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A02" w:rsidRPr="0066103C" w:rsidRDefault="004F0A02" w:rsidP="00E75AC8">
      <w:pPr>
        <w:pStyle w:val="Heading1"/>
      </w:pPr>
      <w:r w:rsidRPr="0066103C">
        <w:t xml:space="preserve">God </w:t>
      </w:r>
      <w:r w:rsidR="0054365E" w:rsidRPr="0066103C">
        <w:t>On High</w:t>
      </w:r>
      <w:r w:rsidRPr="0066103C">
        <w:t xml:space="preserve"> Reveals the World’s Destiny to Daniel (7:1–28)</w:t>
      </w:r>
    </w:p>
    <w:p w:rsidR="004F0A02" w:rsidRPr="00CC1756" w:rsidRDefault="004F0A02" w:rsidP="00CC1756">
      <w:pPr>
        <w:pStyle w:val="Heading2"/>
      </w:pPr>
      <w:r w:rsidRPr="00CC1756">
        <w:t>Pericope Bibliography</w:t>
      </w:r>
    </w:p>
    <w:p w:rsidR="004F0A02" w:rsidRPr="0066103C" w:rsidRDefault="004F0A02" w:rsidP="00C946B7">
      <w:pPr>
        <w:ind w:firstLine="0"/>
      </w:pPr>
      <w:r w:rsidRPr="0008090B">
        <w:rPr>
          <w:b/>
        </w:rPr>
        <w:t>Abbott, E. A.</w:t>
      </w:r>
      <w:r w:rsidRPr="0066103C">
        <w:t xml:space="preserve"> “The Son</w:t>
      </w:r>
      <w:r w:rsidR="00C946B7" w:rsidRPr="0066103C">
        <w:t xml:space="preserve"> of Man.” </w:t>
      </w:r>
      <w:r w:rsidRPr="00530CBE">
        <w:rPr>
          <w:b/>
        </w:rPr>
        <w:t>Altpeter, G.</w:t>
      </w:r>
      <w:r w:rsidRPr="0066103C">
        <w:t xml:space="preserve"> </w:t>
      </w:r>
      <w:r w:rsidRPr="00ED575D">
        <w:rPr>
          <w:i/>
        </w:rPr>
        <w:t>Textlinguistische</w:t>
      </w:r>
      <w:r w:rsidRPr="0066103C">
        <w:rPr>
          <w:i/>
        </w:rPr>
        <w:t xml:space="preserve"> Exegese alttestamentlicher Literatur</w:t>
      </w:r>
      <w:r w:rsidR="00C946B7" w:rsidRPr="0066103C">
        <w:rPr>
          <w:i/>
        </w:rPr>
        <w:t xml:space="preserve">. </w:t>
      </w:r>
      <w:r w:rsidR="009F57C8" w:rsidRPr="00530CBE">
        <w:rPr>
          <w:b/>
        </w:rPr>
        <w:t>Angel, A.</w:t>
      </w:r>
      <w:r w:rsidR="009F57C8" w:rsidRPr="0066103C">
        <w:t xml:space="preserve"> “</w:t>
      </w:r>
      <w:r w:rsidR="009F57C8" w:rsidRPr="0066103C">
        <w:rPr>
          <w:rFonts w:eastAsiaTheme="minorHAnsi"/>
          <w:bCs/>
        </w:rPr>
        <w:t xml:space="preserve">The Sea in 4Q541 7.3 and in Daniel 7:2.” </w:t>
      </w:r>
      <w:r w:rsidRPr="0008090B">
        <w:rPr>
          <w:b/>
        </w:rPr>
        <w:t>Aspinwall, W.</w:t>
      </w:r>
      <w:r w:rsidRPr="0066103C">
        <w:t xml:space="preserve"> </w:t>
      </w:r>
      <w:r w:rsidRPr="0066103C">
        <w:rPr>
          <w:i/>
        </w:rPr>
        <w:t>An Explication and Application of the Seventh Chapter of Daniel</w:t>
      </w:r>
      <w:r w:rsidRPr="0066103C">
        <w:t xml:space="preserve">. </w:t>
      </w:r>
      <w:r w:rsidRPr="0008090B">
        <w:rPr>
          <w:b/>
        </w:rPr>
        <w:t xml:space="preserve">Baeck, L. </w:t>
      </w:r>
      <w:r w:rsidRPr="0066103C">
        <w:t>“D</w:t>
      </w:r>
      <w:r w:rsidR="00D35D8A" w:rsidRPr="0066103C">
        <w:t xml:space="preserve">er ‘Menschensohn.’” </w:t>
      </w:r>
      <w:r w:rsidRPr="0008090B">
        <w:rPr>
          <w:b/>
        </w:rPr>
        <w:t>Balz, H. R.</w:t>
      </w:r>
      <w:r w:rsidRPr="0066103C">
        <w:t xml:space="preserve"> </w:t>
      </w:r>
      <w:r w:rsidRPr="0066103C">
        <w:rPr>
          <w:i/>
        </w:rPr>
        <w:t>Methodische Probleme der neutestamentl</w:t>
      </w:r>
      <w:r w:rsidR="00D35D8A" w:rsidRPr="0066103C">
        <w:rPr>
          <w:i/>
        </w:rPr>
        <w:t>ichen Christologie,</w:t>
      </w:r>
      <w:r w:rsidR="00D35D8A" w:rsidRPr="0066103C">
        <w:t xml:space="preserve"> 48–112. </w:t>
      </w:r>
      <w:r w:rsidRPr="0008090B">
        <w:rPr>
          <w:b/>
        </w:rPr>
        <w:t>Barrett, C. K.</w:t>
      </w:r>
      <w:r w:rsidRPr="0066103C">
        <w:t xml:space="preserve"> “Th</w:t>
      </w:r>
      <w:r w:rsidR="00D35D8A" w:rsidRPr="0066103C">
        <w:t>e Background of Mark 10:45.</w:t>
      </w:r>
      <w:r w:rsidR="00866AAB" w:rsidRPr="0066103C">
        <w:t>”</w:t>
      </w:r>
      <w:r w:rsidR="00D35D8A" w:rsidRPr="0066103C">
        <w:t xml:space="preserve"> </w:t>
      </w:r>
      <w:r w:rsidRPr="0008090B">
        <w:rPr>
          <w:b/>
        </w:rPr>
        <w:t xml:space="preserve">Beasley-Murray, G. R. </w:t>
      </w:r>
      <w:r w:rsidRPr="0066103C">
        <w:rPr>
          <w:i/>
        </w:rPr>
        <w:t>Jesus and the Kingdom of God</w:t>
      </w:r>
      <w:r w:rsidR="00A9459E" w:rsidRPr="0066103C">
        <w:t>.</w:t>
      </w:r>
      <w:r w:rsidRPr="0066103C">
        <w:t xml:space="preserve"> ———. “The Interpretation of Daniel 7.” </w:t>
      </w:r>
      <w:r w:rsidRPr="0008090B">
        <w:rPr>
          <w:b/>
        </w:rPr>
        <w:t>Beek, M. A.</w:t>
      </w:r>
      <w:r w:rsidRPr="0066103C">
        <w:t xml:space="preserve"> “Zeit, </w:t>
      </w:r>
      <w:r w:rsidR="00A9459E" w:rsidRPr="0066103C">
        <w:t xml:space="preserve">Zeiten und eine halbe Zeit.” </w:t>
      </w:r>
      <w:r w:rsidRPr="0008090B">
        <w:rPr>
          <w:b/>
        </w:rPr>
        <w:t>Bentzen,</w:t>
      </w:r>
      <w:r w:rsidRPr="0066103C">
        <w:t xml:space="preserve"> A. </w:t>
      </w:r>
      <w:r w:rsidRPr="0066103C">
        <w:rPr>
          <w:i/>
        </w:rPr>
        <w:t>Messias—Moses rediviv</w:t>
      </w:r>
      <w:r w:rsidR="00A9459E" w:rsidRPr="0066103C">
        <w:rPr>
          <w:i/>
        </w:rPr>
        <w:t>us—Menschensohn</w:t>
      </w:r>
      <w:r w:rsidR="004D1B29" w:rsidRPr="0066103C">
        <w:t xml:space="preserve">. </w:t>
      </w:r>
      <w:r w:rsidRPr="0066103C">
        <w:t>———. “King Ideology—‘Urmensch’—‘Tro</w:t>
      </w:r>
      <w:r w:rsidR="00A9459E" w:rsidRPr="0066103C">
        <w:t xml:space="preserve">onbestijgingsfeest.’” </w:t>
      </w:r>
      <w:r w:rsidR="00BF1CBC" w:rsidRPr="0008090B">
        <w:rPr>
          <w:rFonts w:eastAsia="Times-Roman"/>
          <w:b/>
        </w:rPr>
        <w:t>Beyerle, S.</w:t>
      </w:r>
      <w:r w:rsidR="00BF1CBC" w:rsidRPr="0066103C">
        <w:rPr>
          <w:rFonts w:eastAsia="Times-Roman"/>
        </w:rPr>
        <w:t xml:space="preserve"> “‘Der mit den Wolken des Himm</w:t>
      </w:r>
      <w:r w:rsidR="00054A7B" w:rsidRPr="0066103C">
        <w:rPr>
          <w:rFonts w:eastAsia="Times-Roman"/>
        </w:rPr>
        <w:t>els kommt,’” in Sänger (ed</w:t>
      </w:r>
      <w:r w:rsidR="00BF1CBC" w:rsidRPr="0066103C">
        <w:rPr>
          <w:rFonts w:eastAsia="Times-Roman"/>
        </w:rPr>
        <w:t xml:space="preserve">.), </w:t>
      </w:r>
      <w:r w:rsidR="00BF1CBC" w:rsidRPr="0066103C">
        <w:rPr>
          <w:rFonts w:eastAsia="Times-Roman"/>
          <w:i/>
        </w:rPr>
        <w:t>Gottessohn und Menschensohn</w:t>
      </w:r>
      <w:r w:rsidR="00BF1CBC" w:rsidRPr="0066103C">
        <w:rPr>
          <w:rFonts w:eastAsia="Times-Roman"/>
        </w:rPr>
        <w:t xml:space="preserve">, 1-52. </w:t>
      </w:r>
      <w:r w:rsidRPr="0008090B">
        <w:rPr>
          <w:b/>
        </w:rPr>
        <w:t xml:space="preserve">Bietenhard, H. </w:t>
      </w:r>
      <w:r w:rsidRPr="0066103C">
        <w:t>“‘Der Men</w:t>
      </w:r>
      <w:r w:rsidR="00A9459E" w:rsidRPr="0066103C">
        <w:t xml:space="preserve">schensohn.’” </w:t>
      </w:r>
      <w:r w:rsidRPr="0008090B">
        <w:rPr>
          <w:b/>
        </w:rPr>
        <w:t>Black, M.</w:t>
      </w:r>
      <w:r w:rsidRPr="0066103C">
        <w:t xml:space="preserve"> “The ‘Son of Man’ in the Old Biblic</w:t>
      </w:r>
      <w:r w:rsidR="00A9459E" w:rsidRPr="0066103C">
        <w:t xml:space="preserve">al Literature.” </w:t>
      </w:r>
      <w:r w:rsidRPr="0066103C">
        <w:t>———. “Die Apotheose Israels: Eine neue Interpretation des danielisch</w:t>
      </w:r>
      <w:r w:rsidR="00A9459E" w:rsidRPr="0066103C">
        <w:t xml:space="preserve">en ‘Menschensohns’” </w:t>
      </w:r>
      <w:r w:rsidRPr="0066103C">
        <w:t>———. “The ‘Parables’ of Enoch (1 En 37–71) and the</w:t>
      </w:r>
      <w:r w:rsidR="00A9459E" w:rsidRPr="0066103C">
        <w:t xml:space="preserve"> ‘Son of Man.’” </w:t>
      </w:r>
      <w:r w:rsidRPr="0066103C">
        <w:t>———. “The Throne-Theophany Prophetic Commission a</w:t>
      </w:r>
      <w:r w:rsidR="00A9459E" w:rsidRPr="0066103C">
        <w:t xml:space="preserve">nd the ‘Son of Man.’” </w:t>
      </w:r>
      <w:r w:rsidR="004C6F68">
        <w:rPr>
          <w:b/>
        </w:rPr>
        <w:t xml:space="preserve">Blasius, A. </w:t>
      </w:r>
      <w:r w:rsidR="004C6F68">
        <w:t xml:space="preserve">“Antiochus IV Epiphanes and the Ptolemaic Triad.” </w:t>
      </w:r>
      <w:r w:rsidRPr="0008090B">
        <w:rPr>
          <w:b/>
        </w:rPr>
        <w:t>Borsch, F.</w:t>
      </w:r>
      <w:r w:rsidRPr="0066103C">
        <w:t xml:space="preserve"> </w:t>
      </w:r>
      <w:r w:rsidRPr="0008090B">
        <w:rPr>
          <w:b/>
        </w:rPr>
        <w:t>H.</w:t>
      </w:r>
      <w:r w:rsidRPr="0066103C">
        <w:t xml:space="preserve"> </w:t>
      </w:r>
      <w:r w:rsidRPr="0066103C">
        <w:rPr>
          <w:i/>
        </w:rPr>
        <w:t>The Son of Man in Myth and History.</w:t>
      </w:r>
      <w:r w:rsidR="00A93CD2" w:rsidRPr="0066103C">
        <w:t xml:space="preserve"> </w:t>
      </w:r>
      <w:r w:rsidRPr="0008090B">
        <w:rPr>
          <w:b/>
        </w:rPr>
        <w:t>Bousset, W.</w:t>
      </w:r>
      <w:r w:rsidRPr="0066103C">
        <w:t xml:space="preserve"> </w:t>
      </w:r>
      <w:r w:rsidRPr="0066103C">
        <w:rPr>
          <w:i/>
        </w:rPr>
        <w:t>Die Religion des Judentums</w:t>
      </w:r>
      <w:r w:rsidR="00A93CD2" w:rsidRPr="0066103C">
        <w:t xml:space="preserve">. </w:t>
      </w:r>
      <w:r w:rsidRPr="0008090B">
        <w:rPr>
          <w:b/>
        </w:rPr>
        <w:t>Bowker, J.</w:t>
      </w:r>
      <w:r w:rsidRPr="0066103C">
        <w:t xml:space="preserve"> “The Son of Man.” </w:t>
      </w:r>
      <w:r w:rsidRPr="0008090B">
        <w:rPr>
          <w:b/>
        </w:rPr>
        <w:t>Bowman, J.</w:t>
      </w:r>
      <w:r w:rsidRPr="0066103C">
        <w:t xml:space="preserve"> “The Background of the Term ‘S</w:t>
      </w:r>
      <w:r w:rsidR="00A93CD2" w:rsidRPr="0066103C">
        <w:t xml:space="preserve">on of Man.’” </w:t>
      </w:r>
      <w:r w:rsidR="008502D0" w:rsidRPr="0008090B">
        <w:rPr>
          <w:b/>
        </w:rPr>
        <w:t>Boyarin, D.</w:t>
      </w:r>
      <w:r w:rsidR="008502D0" w:rsidRPr="0066103C">
        <w:t xml:space="preserve"> </w:t>
      </w:r>
      <w:r w:rsidR="008502D0" w:rsidRPr="0066103C">
        <w:rPr>
          <w:rFonts w:eastAsia="Times-Roman" w:cs="Times-Roman"/>
          <w:color w:val="242424"/>
        </w:rPr>
        <w:t xml:space="preserve">“Daniel 7, Intertextuality, and the History of Israel’s Cult.” </w:t>
      </w:r>
      <w:r w:rsidRPr="0008090B">
        <w:rPr>
          <w:b/>
        </w:rPr>
        <w:t>Brekelmans, C. H. W.</w:t>
      </w:r>
      <w:r w:rsidRPr="0066103C">
        <w:t xml:space="preserve"> “The Saints of the Most High </w:t>
      </w:r>
      <w:r w:rsidR="00A93CD2" w:rsidRPr="0066103C">
        <w:t xml:space="preserve">and Their Kingdom.” </w:t>
      </w:r>
      <w:r w:rsidRPr="0008090B">
        <w:rPr>
          <w:b/>
        </w:rPr>
        <w:t>Bruce, F. F.</w:t>
      </w:r>
      <w:r w:rsidRPr="0066103C">
        <w:t xml:space="preserve"> “The Backgroun</w:t>
      </w:r>
      <w:r w:rsidR="00A93CD2" w:rsidRPr="0066103C">
        <w:t xml:space="preserve">d to the Son of Man Sayings.” </w:t>
      </w:r>
      <w:r w:rsidRPr="0008090B">
        <w:rPr>
          <w:b/>
        </w:rPr>
        <w:t>Buchanan, G. W.</w:t>
      </w:r>
      <w:r w:rsidRPr="0066103C">
        <w:t xml:space="preserve"> “The Son of Man in Danie</w:t>
      </w:r>
      <w:r w:rsidR="00A93CD2" w:rsidRPr="0066103C">
        <w:t xml:space="preserve">l and Enoch,” in Buchanan, </w:t>
      </w:r>
      <w:r w:rsidR="00A93CD2" w:rsidRPr="0066103C">
        <w:rPr>
          <w:i/>
        </w:rPr>
        <w:t>To the Hebrews</w:t>
      </w:r>
      <w:r w:rsidR="00A93CD2" w:rsidRPr="0066103C">
        <w:t>,</w:t>
      </w:r>
      <w:r w:rsidRPr="0066103C">
        <w:t xml:space="preserve"> 42–48. </w:t>
      </w:r>
      <w:r w:rsidR="00E86DEF" w:rsidRPr="00E86DEF">
        <w:rPr>
          <w:b/>
        </w:rPr>
        <w:t xml:space="preserve">Burnier-Genton, J. </w:t>
      </w:r>
      <w:r w:rsidR="00E86DEF" w:rsidRPr="00E86DEF">
        <w:rPr>
          <w:i/>
        </w:rPr>
        <w:t>Le rêve subversif d’un sage</w:t>
      </w:r>
      <w:r w:rsidR="00E86DEF" w:rsidRPr="00E86DEF">
        <w:t>.</w:t>
      </w:r>
      <w:r w:rsidR="00E86DEF" w:rsidRPr="00E86DEF">
        <w:rPr>
          <w:b/>
        </w:rPr>
        <w:t xml:space="preserve"> </w:t>
      </w:r>
      <w:r w:rsidRPr="0008090B">
        <w:rPr>
          <w:b/>
        </w:rPr>
        <w:t>Buzy, D.</w:t>
      </w:r>
      <w:r w:rsidRPr="0066103C">
        <w:t xml:space="preserve"> </w:t>
      </w:r>
      <w:r w:rsidR="00D735D6" w:rsidRPr="0066103C">
        <w:t xml:space="preserve">“Les symbols de Daniel.” </w:t>
      </w:r>
      <w:r w:rsidRPr="0008090B">
        <w:rPr>
          <w:b/>
        </w:rPr>
        <w:t>Campbell, J. Y.</w:t>
      </w:r>
      <w:r w:rsidRPr="0066103C">
        <w:t xml:space="preserve"> “The Origin and Meaning of the Term ‘Son of Man.’” </w:t>
      </w:r>
      <w:r w:rsidRPr="0008090B">
        <w:rPr>
          <w:b/>
        </w:rPr>
        <w:t>Caquot, A.</w:t>
      </w:r>
      <w:r w:rsidRPr="0066103C">
        <w:t xml:space="preserve"> “Sur les quatre bê</w:t>
      </w:r>
      <w:r w:rsidR="0090607A" w:rsidRPr="0066103C">
        <w:t xml:space="preserve">tes de Daniel vii.” </w:t>
      </w:r>
      <w:r w:rsidRPr="0066103C">
        <w:t>———. “Les quatre bêtes et le ‘Fils d’h</w:t>
      </w:r>
      <w:r w:rsidR="0090607A" w:rsidRPr="0066103C">
        <w:t xml:space="preserve">omme’ (Daniel 7).” </w:t>
      </w:r>
      <w:r w:rsidRPr="0008090B">
        <w:rPr>
          <w:b/>
        </w:rPr>
        <w:t>Caragounis, C. C.</w:t>
      </w:r>
      <w:r w:rsidRPr="0066103C">
        <w:t xml:space="preserve"> </w:t>
      </w:r>
      <w:r w:rsidR="001452D7" w:rsidRPr="0066103C">
        <w:t>“G</w:t>
      </w:r>
      <w:r w:rsidR="00530CBE">
        <w:t>reek Culture and Jewish Piety: T</w:t>
      </w:r>
      <w:r w:rsidR="001452D7" w:rsidRPr="0066103C">
        <w:t xml:space="preserve">he Clash and the fourth Beast of Daniel 7.” ———. </w:t>
      </w:r>
      <w:r w:rsidR="00CE165F" w:rsidRPr="0066103C">
        <w:t xml:space="preserve">“History and Supra-History,” in van der Woude (ed.), </w:t>
      </w:r>
      <w:r w:rsidR="00CE165F" w:rsidRPr="0066103C">
        <w:rPr>
          <w:i/>
        </w:rPr>
        <w:t>The Book of Daniel</w:t>
      </w:r>
      <w:r w:rsidR="00CE165F" w:rsidRPr="0066103C">
        <w:t>, 387-397. ———. “The Interpretat</w:t>
      </w:r>
      <w:r w:rsidR="0058515C" w:rsidRPr="0066103C">
        <w:t>ion of the Ten Horns</w:t>
      </w:r>
      <w:r w:rsidR="00CE165F" w:rsidRPr="0066103C">
        <w:t xml:space="preserve"> of Daniel 7.” ———. </w:t>
      </w:r>
      <w:r w:rsidR="0090607A" w:rsidRPr="0066103C">
        <w:rPr>
          <w:i/>
        </w:rPr>
        <w:t>The Son of Man</w:t>
      </w:r>
      <w:r w:rsidR="0090607A" w:rsidRPr="0066103C">
        <w:t xml:space="preserve">. </w:t>
      </w:r>
      <w:r w:rsidRPr="0008090B">
        <w:rPr>
          <w:b/>
        </w:rPr>
        <w:t>Carpzov, J. B.</w:t>
      </w:r>
      <w:r w:rsidRPr="0066103C">
        <w:t xml:space="preserve"> </w:t>
      </w:r>
      <w:r w:rsidRPr="0066103C">
        <w:rPr>
          <w:i/>
        </w:rPr>
        <w:t>De Filio Hominis ad antiquum dierum delato</w:t>
      </w:r>
      <w:r w:rsidR="00D735D6" w:rsidRPr="0066103C">
        <w:t xml:space="preserve">. </w:t>
      </w:r>
      <w:r w:rsidRPr="0008090B">
        <w:rPr>
          <w:b/>
        </w:rPr>
        <w:t>Casey, [P.] M.</w:t>
      </w:r>
      <w:r w:rsidRPr="0066103C">
        <w:t xml:space="preserve"> </w:t>
      </w:r>
      <w:r w:rsidR="00C96C19" w:rsidRPr="0066103C">
        <w:t>“The Corporate Interpretation of ‘One Like a Son of Man’ (Dan. vii 13) at the Time of Jesus.</w:t>
      </w:r>
      <w:r w:rsidR="00D7181A">
        <w:t>” ———.</w:t>
      </w:r>
      <w:r w:rsidR="00530CBE">
        <w:t xml:space="preserve"> </w:t>
      </w:r>
      <w:r w:rsidRPr="0066103C">
        <w:rPr>
          <w:i/>
        </w:rPr>
        <w:t>Son of Man</w:t>
      </w:r>
      <w:r w:rsidR="00D735D6" w:rsidRPr="0066103C">
        <w:t xml:space="preserve">. </w:t>
      </w:r>
      <w:r w:rsidRPr="0066103C">
        <w:t xml:space="preserve">———. </w:t>
      </w:r>
      <w:r w:rsidR="00C96C19" w:rsidRPr="0066103C">
        <w:rPr>
          <w:i/>
          <w:iCs/>
        </w:rPr>
        <w:t>The Solution to the “Son oj Man” Problem.</w:t>
      </w:r>
      <w:r w:rsidR="00C96C19" w:rsidRPr="0066103C">
        <w:t xml:space="preserve"> ———. </w:t>
      </w:r>
      <w:r w:rsidRPr="0066103C">
        <w:t>“The Use of the Term ‘Son of Man’ in the</w:t>
      </w:r>
      <w:r w:rsidR="00BF1CBC" w:rsidRPr="0066103C">
        <w:t xml:space="preserve"> </w:t>
      </w:r>
      <w:r w:rsidRPr="0066103C">
        <w:t xml:space="preserve">Similitudes of Enoch.” </w:t>
      </w:r>
      <w:r w:rsidRPr="0008090B">
        <w:rPr>
          <w:b/>
        </w:rPr>
        <w:t>Caspari, W.</w:t>
      </w:r>
      <w:r w:rsidRPr="0066103C">
        <w:t xml:space="preserve"> “Die Gottesgestalt in Daniel.” </w:t>
      </w:r>
      <w:r w:rsidRPr="0008090B">
        <w:rPr>
          <w:b/>
        </w:rPr>
        <w:t>Cheyne, T. K.</w:t>
      </w:r>
      <w:r w:rsidRPr="0066103C">
        <w:t xml:space="preserve"> </w:t>
      </w:r>
      <w:r w:rsidRPr="0066103C">
        <w:rPr>
          <w:i/>
        </w:rPr>
        <w:t>Bible Problems and the New Material for Their Solution</w:t>
      </w:r>
      <w:r w:rsidR="00C96C19" w:rsidRPr="0066103C">
        <w:t xml:space="preserve">, 213-35. </w:t>
      </w:r>
      <w:r w:rsidRPr="0008090B">
        <w:rPr>
          <w:b/>
        </w:rPr>
        <w:t>Collins, J. J.</w:t>
      </w:r>
      <w:r w:rsidRPr="0066103C">
        <w:t xml:space="preserve"> </w:t>
      </w:r>
      <w:r w:rsidR="003B0C7A" w:rsidRPr="0066103C">
        <w:rPr>
          <w:bCs/>
        </w:rPr>
        <w:t xml:space="preserve">“The Danielic Son of Man.” </w:t>
      </w:r>
      <w:r w:rsidR="003B0C7A" w:rsidRPr="0066103C">
        <w:t xml:space="preserve">———. </w:t>
      </w:r>
      <w:r w:rsidRPr="0066103C">
        <w:t>“The Son of Man and the Saints of the Most High in t</w:t>
      </w:r>
      <w:r w:rsidR="00CB52DC" w:rsidRPr="0066103C">
        <w:t>he Book of Daniel</w:t>
      </w:r>
      <w:r w:rsidRPr="0066103C">
        <w:t>.</w:t>
      </w:r>
      <w:r w:rsidR="008F48E0" w:rsidRPr="0066103C">
        <w:t>”</w:t>
      </w:r>
      <w:r w:rsidRPr="0066103C">
        <w:t xml:space="preserve"> </w:t>
      </w:r>
      <w:r w:rsidR="00FE30E1" w:rsidRPr="0066103C">
        <w:t xml:space="preserve">———. </w:t>
      </w:r>
      <w:r w:rsidR="00E53758" w:rsidRPr="0066103C">
        <w:rPr>
          <w:rFonts w:eastAsia="Times New Roman" w:cs="Times New Roman"/>
        </w:rPr>
        <w:t>“</w:t>
      </w:r>
      <w:r w:rsidR="00DC4E0C">
        <w:rPr>
          <w:rFonts w:eastAsia="Times New Roman" w:cs="Times New Roman"/>
        </w:rPr>
        <w:t>Stirring up the Great Sea</w:t>
      </w:r>
      <w:r w:rsidR="00E53758" w:rsidRPr="0066103C">
        <w:rPr>
          <w:rFonts w:eastAsia="Times New Roman" w:cs="Times New Roman"/>
        </w:rPr>
        <w:t>.</w:t>
      </w:r>
      <w:r w:rsidR="00527A2F">
        <w:rPr>
          <w:rFonts w:eastAsia="Times New Roman" w:cs="Times New Roman"/>
        </w:rPr>
        <w:t>”</w:t>
      </w:r>
      <w:r w:rsidR="00FE30E1" w:rsidRPr="0066103C">
        <w:t xml:space="preserve"> </w:t>
      </w:r>
      <w:r w:rsidRPr="006566A9">
        <w:rPr>
          <w:b/>
        </w:rPr>
        <w:t>Colpe, C.</w:t>
      </w:r>
      <w:r w:rsidR="00451843">
        <w:t xml:space="preserve"> “ὁ υἱὸς </w:t>
      </w:r>
      <w:r w:rsidR="00451843" w:rsidRPr="00451843">
        <w:rPr>
          <w:lang w:val="el-GR"/>
        </w:rPr>
        <w:t>τοῦ</w:t>
      </w:r>
      <w:r w:rsidR="008F48E0" w:rsidRPr="0066103C">
        <w:t xml:space="preserve"> ἀνθρώπου.”</w:t>
      </w:r>
      <w:r w:rsidRPr="0066103C">
        <w:t xml:space="preserve"> ———. “Der Begriff </w:t>
      </w:r>
      <w:r w:rsidR="008F48E0" w:rsidRPr="0066103C">
        <w:t>‘Menschensohn.’”</w:t>
      </w:r>
      <w:r w:rsidR="00945C8C">
        <w:t xml:space="preserve">  </w:t>
      </w:r>
      <w:r w:rsidRPr="0066103C">
        <w:t>———. “Neue Untersuchungen zum Menschensohn-Problem.”</w:t>
      </w:r>
      <w:r w:rsidR="00945C8C">
        <w:t xml:space="preserve"> </w:t>
      </w:r>
      <w:r w:rsidRPr="0066103C">
        <w:t>———. “Kearns, Rollin: Vorfragen zur Chri</w:t>
      </w:r>
      <w:r w:rsidR="00C96C19" w:rsidRPr="0066103C">
        <w:t>stologie. I.</w:t>
      </w:r>
      <w:r w:rsidR="008F48E0" w:rsidRPr="0066103C">
        <w:t>”</w:t>
      </w:r>
      <w:r w:rsidRPr="0066103C">
        <w:t xml:space="preserve"> </w:t>
      </w:r>
      <w:r w:rsidRPr="006566A9">
        <w:rPr>
          <w:b/>
        </w:rPr>
        <w:t>Coppens, J.</w:t>
      </w:r>
      <w:r w:rsidR="00945C8C">
        <w:t xml:space="preserve"> </w:t>
      </w:r>
      <w:r w:rsidR="00E05AC8" w:rsidRPr="0066103C">
        <w:t>“Le chapitre vii de Daniel.” ———. “Dan., vii, 1–18—note additionnelle.” ———.</w:t>
      </w:r>
      <w:r w:rsidR="00945C8C">
        <w:t xml:space="preserve"> </w:t>
      </w:r>
      <w:r w:rsidR="00E05AC8" w:rsidRPr="0066103C">
        <w:t>“Daniel vii, un rituel d’intronisation?” ———.</w:t>
      </w:r>
      <w:r w:rsidR="00945C8C">
        <w:t xml:space="preserve"> </w:t>
      </w:r>
      <w:r w:rsidR="00696625" w:rsidRPr="0066103C">
        <w:t>“Le Fils d’homme daniélique et les relectures de Dan., vii, 13.”</w:t>
      </w:r>
      <w:r w:rsidR="00945C8C">
        <w:t xml:space="preserve"> </w:t>
      </w:r>
      <w:r w:rsidR="00696625" w:rsidRPr="0066103C">
        <w:t>———. “Le Fils d’homme daniéliq</w:t>
      </w:r>
      <w:r w:rsidR="00E05AC8" w:rsidRPr="0066103C">
        <w:t xml:space="preserve">ue, vizir céleste?” ———. “L’interprétation collective du Fils d’homme daniélique.” </w:t>
      </w:r>
      <w:r w:rsidR="00696625" w:rsidRPr="0066103C">
        <w:t xml:space="preserve">———. “Le messianisme sapiential et les origines littéraires du Fils de l’homme daniélique.” </w:t>
      </w:r>
      <w:r w:rsidR="00E05AC8" w:rsidRPr="0066103C">
        <w:t xml:space="preserve">———. “Un nouvel essai d’interpréter Dan., vii.” </w:t>
      </w:r>
      <w:r w:rsidRPr="0066103C">
        <w:t xml:space="preserve">———. “L’origine du symbole </w:t>
      </w:r>
      <w:r w:rsidR="00215F86" w:rsidRPr="0066103C">
        <w:t xml:space="preserve">du ‘Fils d’homme.’” </w:t>
      </w:r>
      <w:r w:rsidR="00696625" w:rsidRPr="0066103C">
        <w:t>———. “Les origines du symbole du Fils d’h</w:t>
      </w:r>
      <w:r w:rsidR="00E05AC8" w:rsidRPr="0066103C">
        <w:t>omme en Dan., vii.”</w:t>
      </w:r>
      <w:r w:rsidR="00696625" w:rsidRPr="0066103C">
        <w:rPr>
          <w:i/>
        </w:rPr>
        <w:t>———. La relève apocalyptique du messianisme royal 2: Le Fils d’homme vétéro- et intertestamentaire</w:t>
      </w:r>
      <w:r w:rsidR="00E05AC8" w:rsidRPr="0066103C">
        <w:t xml:space="preserve">. </w:t>
      </w:r>
      <w:r w:rsidR="00696625" w:rsidRPr="0066103C">
        <w:t xml:space="preserve">———. “Les Saints du Très-Haut sont-ils à identifier avec les milices célestes?” </w:t>
      </w:r>
      <w:r w:rsidRPr="0066103C">
        <w:t>———. “Le Serviteur de Yahvé et le Fils d’homme daniélique sont</w:t>
      </w:r>
      <w:r w:rsidR="00E05AC8" w:rsidRPr="0066103C">
        <w:t xml:space="preserve"> </w:t>
      </w:r>
      <w:r w:rsidRPr="0066103C">
        <w:t>ils des fig</w:t>
      </w:r>
      <w:r w:rsidR="00E05AC8" w:rsidRPr="0066103C">
        <w:t xml:space="preserve">ures messianiques?” </w:t>
      </w:r>
      <w:r w:rsidRPr="0066103C">
        <w:t>———. “La vision daniéliq</w:t>
      </w:r>
      <w:r w:rsidR="00E05AC8" w:rsidRPr="0066103C">
        <w:t xml:space="preserve">ue du Fils d’homme.” </w:t>
      </w:r>
      <w:r w:rsidRPr="0066103C">
        <w:t xml:space="preserve">———. “La vision du </w:t>
      </w:r>
      <w:r w:rsidR="003C6E50" w:rsidRPr="0066103C">
        <w:t>Trè</w:t>
      </w:r>
      <w:r w:rsidRPr="0066103C">
        <w:t>s-Haut en Dan., vii et</w:t>
      </w:r>
      <w:r w:rsidR="000A423F">
        <w:t xml:space="preserve"> Hén. éthiop. xiv.”</w:t>
      </w:r>
      <w:r w:rsidR="00E05AC8" w:rsidRPr="0066103C">
        <w:t xml:space="preserve"> </w:t>
      </w:r>
      <w:r w:rsidRPr="00EA6F6F">
        <w:rPr>
          <w:b/>
        </w:rPr>
        <w:t>Creed, J. M.</w:t>
      </w:r>
      <w:r w:rsidRPr="0066103C">
        <w:t xml:space="preserve"> </w:t>
      </w:r>
      <w:r w:rsidR="008F48E0" w:rsidRPr="0066103C">
        <w:t xml:space="preserve">“The Heavenly Man.” </w:t>
      </w:r>
      <w:r w:rsidRPr="00EA6F6F">
        <w:rPr>
          <w:b/>
        </w:rPr>
        <w:t>Dalman, G. H.</w:t>
      </w:r>
      <w:r w:rsidRPr="0066103C">
        <w:t xml:space="preserve"> </w:t>
      </w:r>
      <w:r w:rsidRPr="0066103C">
        <w:rPr>
          <w:i/>
        </w:rPr>
        <w:t>Die Worte Jesu</w:t>
      </w:r>
      <w:r w:rsidR="00DC4E0C">
        <w:t>, 191-219 (ET</w:t>
      </w:r>
      <w:r w:rsidR="000A423F">
        <w:t xml:space="preserve"> </w:t>
      </w:r>
      <w:r w:rsidR="00F23714" w:rsidRPr="0066103C">
        <w:t>234-67</w:t>
      </w:r>
      <w:r w:rsidR="000A423F">
        <w:t>)</w:t>
      </w:r>
      <w:r w:rsidRPr="0066103C">
        <w:t xml:space="preserve">. Day, J. </w:t>
      </w:r>
      <w:r w:rsidRPr="0066103C">
        <w:rPr>
          <w:i/>
        </w:rPr>
        <w:t>God’s Conflict with the Dragon and the Sea</w:t>
      </w:r>
      <w:r w:rsidR="00F23714" w:rsidRPr="0066103C">
        <w:t xml:space="preserve">. </w:t>
      </w:r>
      <w:r w:rsidRPr="00EA6F6F">
        <w:rPr>
          <w:b/>
        </w:rPr>
        <w:t>Deissler, A.</w:t>
      </w:r>
      <w:r w:rsidRPr="0066103C">
        <w:t xml:space="preserve"> “Der ‘Menschensohn’ und ‘das Volk der </w:t>
      </w:r>
      <w:r w:rsidR="00BF1CBC" w:rsidRPr="0066103C">
        <w:t>Hei</w:t>
      </w:r>
      <w:r w:rsidR="00B713FA" w:rsidRPr="0066103C">
        <w:t xml:space="preserve">ligen des Höchsten’ in Dan 7.” </w:t>
      </w:r>
      <w:r w:rsidRPr="00EA6F6F">
        <w:rPr>
          <w:b/>
        </w:rPr>
        <w:t>Delcor, M.</w:t>
      </w:r>
      <w:r w:rsidRPr="0066103C">
        <w:t xml:space="preserve"> “Les sources du chapitre vii de </w:t>
      </w:r>
      <w:r w:rsidR="00757283" w:rsidRPr="0066103C">
        <w:t xml:space="preserve">Daniel.” </w:t>
      </w:r>
      <w:r w:rsidRPr="00EA6F6F">
        <w:rPr>
          <w:b/>
        </w:rPr>
        <w:t>Dequeker, L.</w:t>
      </w:r>
      <w:r w:rsidRPr="0066103C">
        <w:t xml:space="preserve"> “Daniel vii et les Sa</w:t>
      </w:r>
      <w:r w:rsidR="00B713FA" w:rsidRPr="0066103C">
        <w:t>ints du Très-Haut.”</w:t>
      </w:r>
      <w:r w:rsidR="00945C8C">
        <w:t xml:space="preserve"> </w:t>
      </w:r>
      <w:r w:rsidRPr="0066103C">
        <w:t xml:space="preserve">———. “Les Qedôîm du Ps. </w:t>
      </w:r>
      <w:r w:rsidRPr="0066103C">
        <w:lastRenderedPageBreak/>
        <w:t>lxxxix à la lumière des cro</w:t>
      </w:r>
      <w:r w:rsidR="00B713FA" w:rsidRPr="0066103C">
        <w:t xml:space="preserve">yances sèmitiques.” </w:t>
      </w:r>
      <w:r w:rsidRPr="0066103C">
        <w:t xml:space="preserve">———. “The ‘Saints of the Most High’ in </w:t>
      </w:r>
      <w:r w:rsidR="00B713FA" w:rsidRPr="0066103C">
        <w:t>Qumran and Daniel.”</w:t>
      </w:r>
      <w:r w:rsidRPr="0066103C">
        <w:t xml:space="preserve"> </w:t>
      </w:r>
      <w:r w:rsidRPr="00EA6F6F">
        <w:rPr>
          <w:b/>
        </w:rPr>
        <w:t>[Ps-] Dexter,</w:t>
      </w:r>
      <w:r w:rsidR="00DC4E0C">
        <w:rPr>
          <w:b/>
        </w:rPr>
        <w:t xml:space="preserve"> F. L.</w:t>
      </w:r>
      <w:r w:rsidR="00B5738F" w:rsidRPr="0066103C">
        <w:t xml:space="preserve"> </w:t>
      </w:r>
      <w:r w:rsidRPr="0066103C">
        <w:rPr>
          <w:i/>
        </w:rPr>
        <w:t>In prophetiam Danielis de quatuor animalibus</w:t>
      </w:r>
      <w:r w:rsidR="00B5738F" w:rsidRPr="0066103C">
        <w:t xml:space="preserve">. </w:t>
      </w:r>
      <w:r w:rsidRPr="00DC4E0C">
        <w:rPr>
          <w:b/>
        </w:rPr>
        <w:t>Dhanis, E.</w:t>
      </w:r>
      <w:r w:rsidR="00B5738F" w:rsidRPr="0066103C">
        <w:t xml:space="preserve"> “De filio hominis in VT</w:t>
      </w:r>
      <w:r w:rsidRPr="0066103C">
        <w:t xml:space="preserve"> et in</w:t>
      </w:r>
      <w:r w:rsidR="00B5738F" w:rsidRPr="0066103C">
        <w:t xml:space="preserve"> Judaismo.” </w:t>
      </w:r>
      <w:r w:rsidRPr="00EA6F6F">
        <w:rPr>
          <w:b/>
        </w:rPr>
        <w:t xml:space="preserve">Dodd, C. H. </w:t>
      </w:r>
      <w:r w:rsidRPr="0066103C">
        <w:rPr>
          <w:i/>
        </w:rPr>
        <w:t>According to the Scriptures</w:t>
      </w:r>
      <w:r w:rsidR="009A5102" w:rsidRPr="0066103C">
        <w:t xml:space="preserve">. </w:t>
      </w:r>
      <w:r w:rsidRPr="00EA6F6F">
        <w:rPr>
          <w:b/>
        </w:rPr>
        <w:t>Donahue, J. R.</w:t>
      </w:r>
      <w:r w:rsidRPr="0066103C">
        <w:t xml:space="preserve"> “Recent Studies on the Origin of ‘Son of Man’ in the Gospels.” </w:t>
      </w:r>
      <w:r w:rsidRPr="00EA6F6F">
        <w:rPr>
          <w:b/>
        </w:rPr>
        <w:t>Dumbrell, W. J.</w:t>
      </w:r>
      <w:r w:rsidRPr="0066103C">
        <w:t xml:space="preserve"> “Daniel 7 and the Function of </w:t>
      </w:r>
      <w:r w:rsidR="009A5102" w:rsidRPr="0066103C">
        <w:t xml:space="preserve">OT Apocalyptic.” </w:t>
      </w:r>
      <w:r w:rsidR="004254AC" w:rsidRPr="00EA6F6F">
        <w:rPr>
          <w:b/>
        </w:rPr>
        <w:t>Eggler, J.</w:t>
      </w:r>
      <w:r w:rsidR="004254AC" w:rsidRPr="0066103C">
        <w:t xml:space="preserve"> </w:t>
      </w:r>
      <w:r w:rsidR="004254AC" w:rsidRPr="0066103C">
        <w:rPr>
          <w:i/>
        </w:rPr>
        <w:t xml:space="preserve">Influences and Traditions Underlying the Vision of Daniel 7:2-14. </w:t>
      </w:r>
      <w:r w:rsidRPr="00EA6F6F">
        <w:rPr>
          <w:b/>
        </w:rPr>
        <w:t>Emerton, J. A.</w:t>
      </w:r>
      <w:r w:rsidRPr="0066103C">
        <w:t xml:space="preserve"> “The Origin of the Son of Man Imagery.” </w:t>
      </w:r>
      <w:r w:rsidRPr="00EA6F6F">
        <w:rPr>
          <w:b/>
        </w:rPr>
        <w:t>Engnell, I.</w:t>
      </w:r>
      <w:r w:rsidRPr="0066103C">
        <w:t xml:space="preserve"> “E. Sjöberg, Der Menschenso</w:t>
      </w:r>
      <w:r w:rsidR="00DC4E0C">
        <w:t>hn im äthiopischen Henochbuch</w:t>
      </w:r>
      <w:r w:rsidR="009A5102" w:rsidRPr="0066103C">
        <w:t xml:space="preserve">.” </w:t>
      </w:r>
      <w:r w:rsidRPr="0066103C">
        <w:t>———. “Di</w:t>
      </w:r>
      <w:r w:rsidR="00C80F17">
        <w:t>e Urmenschvorstellung und das AT</w:t>
      </w:r>
      <w:r w:rsidR="00DC4E0C">
        <w:t>.”</w:t>
      </w:r>
      <w:r w:rsidR="00945C8C">
        <w:t xml:space="preserve"> </w:t>
      </w:r>
      <w:r w:rsidR="00DC4E0C">
        <w:t>———. “Mäinniskosonen</w:t>
      </w:r>
      <w:r w:rsidR="006C65EF">
        <w:t>”</w:t>
      </w:r>
      <w:r w:rsidR="00DC4E0C">
        <w:t xml:space="preserve"> (</w:t>
      </w:r>
      <w:r w:rsidR="006C65EF">
        <w:t>ET</w:t>
      </w:r>
      <w:r w:rsidR="009A5102" w:rsidRPr="0066103C">
        <w:t xml:space="preserve"> “The Son of Man”</w:t>
      </w:r>
      <w:r w:rsidR="00DC4E0C">
        <w:t>).</w:t>
      </w:r>
      <w:r w:rsidR="009A5102" w:rsidRPr="0066103C">
        <w:t xml:space="preserve"> </w:t>
      </w:r>
      <w:r w:rsidRPr="00EA6F6F">
        <w:rPr>
          <w:b/>
        </w:rPr>
        <w:t xml:space="preserve">Ferch, A. J. </w:t>
      </w:r>
      <w:r w:rsidRPr="0066103C">
        <w:rPr>
          <w:i/>
        </w:rPr>
        <w:t>The Son of Man in Daniel 7</w:t>
      </w:r>
      <w:r w:rsidR="00403023" w:rsidRPr="0066103C">
        <w:t xml:space="preserve">. </w:t>
      </w:r>
      <w:r w:rsidRPr="00EA6F6F">
        <w:rPr>
          <w:b/>
        </w:rPr>
        <w:t>Feuillet, A.</w:t>
      </w:r>
      <w:r w:rsidRPr="0066103C">
        <w:t xml:space="preserve"> “Le Fils de l’homme de Daniel et la </w:t>
      </w:r>
      <w:r w:rsidR="0055794C" w:rsidRPr="0066103C">
        <w:t xml:space="preserve">tradition biblique.” </w:t>
      </w:r>
      <w:r w:rsidRPr="00EA6F6F">
        <w:rPr>
          <w:b/>
        </w:rPr>
        <w:t>Fiebig, P.</w:t>
      </w:r>
      <w:r w:rsidRPr="0066103C">
        <w:t xml:space="preserve"> </w:t>
      </w:r>
      <w:r w:rsidRPr="0066103C">
        <w:rPr>
          <w:i/>
        </w:rPr>
        <w:t>Der Menschensohn</w:t>
      </w:r>
      <w:r w:rsidR="0055794C" w:rsidRPr="0066103C">
        <w:t xml:space="preserve">. </w:t>
      </w:r>
      <w:r w:rsidRPr="00EA6F6F">
        <w:rPr>
          <w:b/>
        </w:rPr>
        <w:t>Fitzmyer, J. A.</w:t>
      </w:r>
      <w:r w:rsidR="00C80F17">
        <w:t xml:space="preserve"> “The NT</w:t>
      </w:r>
      <w:r w:rsidRPr="0066103C">
        <w:t xml:space="preserve"> Title ‘Son of Man’ Philologicall</w:t>
      </w:r>
      <w:r w:rsidR="0055794C" w:rsidRPr="0066103C">
        <w:t>y Considered.”</w:t>
      </w:r>
      <w:r w:rsidRPr="0066103C">
        <w:t xml:space="preserve"> ———. “Another View of the ‘S</w:t>
      </w:r>
      <w:r w:rsidR="0055794C" w:rsidRPr="0066103C">
        <w:t xml:space="preserve">on of Man’ Debate.” </w:t>
      </w:r>
      <w:r w:rsidR="002B4B12" w:rsidRPr="00EA6F6F">
        <w:rPr>
          <w:rFonts w:eastAsiaTheme="minorHAnsi"/>
          <w:b/>
        </w:rPr>
        <w:t>Fletcher-Louis, C. H. T.</w:t>
      </w:r>
      <w:r w:rsidR="002B4B12" w:rsidRPr="0066103C">
        <w:rPr>
          <w:rFonts w:eastAsiaTheme="minorHAnsi"/>
        </w:rPr>
        <w:t xml:space="preserve"> "The High Priest as Divine Mediator in the Hebrew Bible</w:t>
      </w:r>
      <w:r w:rsidR="0098270D" w:rsidRPr="0066103C">
        <w:rPr>
          <w:rFonts w:eastAsiaTheme="minorHAnsi"/>
        </w:rPr>
        <w:t>.”</w:t>
      </w:r>
      <w:r w:rsidR="00945C8C">
        <w:rPr>
          <w:rFonts w:eastAsiaTheme="minorHAnsi"/>
        </w:rPr>
        <w:t xml:space="preserve"> </w:t>
      </w:r>
      <w:r w:rsidRPr="00EA6F6F">
        <w:rPr>
          <w:b/>
        </w:rPr>
        <w:t>Frank, R. M.</w:t>
      </w:r>
      <w:r w:rsidRPr="0066103C">
        <w:t xml:space="preserve"> “The Description of the ‘Bear’ in Dn 7,5.” </w:t>
      </w:r>
      <w:r w:rsidRPr="002B61F2">
        <w:rPr>
          <w:b/>
        </w:rPr>
        <w:t>Gall, A. G. von.</w:t>
      </w:r>
      <w:r w:rsidRPr="0066103C">
        <w:t xml:space="preserve"> </w:t>
      </w:r>
      <w:r w:rsidRPr="0066103C">
        <w:rPr>
          <w:i/>
        </w:rPr>
        <w:t>Βασιλεία τοῦ θεοῦ</w:t>
      </w:r>
      <w:r w:rsidR="0055794C" w:rsidRPr="0066103C">
        <w:t xml:space="preserve">. </w:t>
      </w:r>
      <w:r w:rsidR="003E6897" w:rsidRPr="002B61F2">
        <w:rPr>
          <w:rFonts w:eastAsiaTheme="minorHAnsi" w:cs="TimesNewRoman"/>
          <w:b/>
        </w:rPr>
        <w:t>Gardner, A. E.</w:t>
      </w:r>
      <w:r w:rsidR="003E6897" w:rsidRPr="0066103C">
        <w:rPr>
          <w:rFonts w:eastAsiaTheme="minorHAnsi" w:cs="TimesNewRoman"/>
        </w:rPr>
        <w:t xml:space="preserve"> “Daniel 7,2-14: Another Look at Its Mythic Pattern.” </w:t>
      </w:r>
      <w:r w:rsidR="00901851" w:rsidRPr="006370CC">
        <w:rPr>
          <w:rFonts w:eastAsiaTheme="minorHAnsi" w:cs="TimesNewRoman"/>
          <w:b/>
          <w:bCs/>
          <w:iCs/>
        </w:rPr>
        <w:t>———.</w:t>
      </w:r>
      <w:r w:rsidR="00901851">
        <w:rPr>
          <w:rFonts w:eastAsiaTheme="minorHAnsi" w:cs="TimesNewRoman"/>
          <w:b/>
          <w:bCs/>
          <w:iCs/>
        </w:rPr>
        <w:t xml:space="preserve"> “</w:t>
      </w:r>
      <w:r w:rsidR="00901851" w:rsidRPr="00D12D80">
        <w:rPr>
          <w:rFonts w:eastAsiaTheme="minorHAnsi"/>
          <w:bCs/>
        </w:rPr>
        <w:t>Decoding Daniel: The Case of Dan 7,5</w:t>
      </w:r>
      <w:r w:rsidR="00901851">
        <w:rPr>
          <w:rFonts w:eastAsiaTheme="minorHAnsi"/>
          <w:bCs/>
        </w:rPr>
        <w:t xml:space="preserve">.” </w:t>
      </w:r>
      <w:r w:rsidR="003E6897" w:rsidRPr="0066103C">
        <w:rPr>
          <w:rFonts w:eastAsiaTheme="minorHAnsi" w:cs="TimesNewRoman"/>
        </w:rPr>
        <w:t xml:space="preserve">———. "The Great Sea of Dan. vii 2." </w:t>
      </w:r>
      <w:r w:rsidRPr="00901851">
        <w:rPr>
          <w:b/>
        </w:rPr>
        <w:t>Gaster, M.</w:t>
      </w:r>
      <w:r w:rsidRPr="0066103C">
        <w:t xml:space="preserve"> “The Son of Man and the Theophany in Dani</w:t>
      </w:r>
      <w:r w:rsidR="0055794C" w:rsidRPr="0066103C">
        <w:t xml:space="preserve">el, ch. vii.” </w:t>
      </w:r>
      <w:r w:rsidR="00BF1CBC" w:rsidRPr="002B61F2">
        <w:rPr>
          <w:b/>
        </w:rPr>
        <w:t>Gaston, L.</w:t>
      </w:r>
      <w:r w:rsidR="0055794C" w:rsidRPr="0066103C">
        <w:t xml:space="preserve"> “The Son of Man.” </w:t>
      </w:r>
      <w:r w:rsidRPr="002B61F2">
        <w:rPr>
          <w:b/>
        </w:rPr>
        <w:t>Gelston, A.</w:t>
      </w:r>
      <w:r w:rsidRPr="0066103C">
        <w:t xml:space="preserve"> “A</w:t>
      </w:r>
      <w:r w:rsidR="0055794C" w:rsidRPr="0066103C">
        <w:t xml:space="preserve"> Sidelight on the ‘Son of Man.’”</w:t>
      </w:r>
      <w:r w:rsidRPr="0066103C">
        <w:t xml:space="preserve"> </w:t>
      </w:r>
      <w:r w:rsidRPr="002073C0">
        <w:rPr>
          <w:b/>
        </w:rPr>
        <w:t>Gerlemann, G.</w:t>
      </w:r>
      <w:r w:rsidRPr="0066103C">
        <w:t xml:space="preserve"> </w:t>
      </w:r>
      <w:r w:rsidRPr="0066103C">
        <w:rPr>
          <w:i/>
        </w:rPr>
        <w:t>Der Menschensohn</w:t>
      </w:r>
      <w:r w:rsidR="0055794C" w:rsidRPr="0066103C">
        <w:t xml:space="preserve">. </w:t>
      </w:r>
      <w:r w:rsidRPr="002073C0">
        <w:rPr>
          <w:b/>
        </w:rPr>
        <w:t>Gese, H.</w:t>
      </w:r>
      <w:r w:rsidR="00DC4E0C">
        <w:t xml:space="preserve"> “Der Messias</w:t>
      </w:r>
      <w:r w:rsidRPr="0066103C">
        <w:t>”</w:t>
      </w:r>
      <w:r w:rsidR="00DC4E0C">
        <w:t>(</w:t>
      </w:r>
      <w:r w:rsidRPr="0066103C">
        <w:t xml:space="preserve"> </w:t>
      </w:r>
      <w:r w:rsidR="006C65EF">
        <w:t>ET</w:t>
      </w:r>
      <w:r w:rsidR="00DC4E0C">
        <w:t xml:space="preserve"> “The Messiah</w:t>
      </w:r>
      <w:r w:rsidR="00FA4891" w:rsidRPr="0066103C">
        <w:t>”</w:t>
      </w:r>
      <w:r w:rsidR="00DC4E0C">
        <w:t xml:space="preserve">). </w:t>
      </w:r>
      <w:r w:rsidRPr="0066103C">
        <w:t>———. “Die Weisheit, der Menschensohn und die Ursprünge</w:t>
      </w:r>
      <w:r w:rsidR="00DC4E0C">
        <w:t xml:space="preserve"> der Christologie</w:t>
      </w:r>
      <w:r w:rsidR="00FA4891" w:rsidRPr="0066103C">
        <w:t>”</w:t>
      </w:r>
      <w:r w:rsidR="006C65EF">
        <w:t xml:space="preserve"> </w:t>
      </w:r>
      <w:r w:rsidR="00DC4E0C">
        <w:t>(</w:t>
      </w:r>
      <w:r w:rsidR="006C65EF">
        <w:t>ET</w:t>
      </w:r>
      <w:r w:rsidRPr="0066103C">
        <w:t xml:space="preserve"> “Wisdom, Son of Man,</w:t>
      </w:r>
      <w:r w:rsidR="00FA4891" w:rsidRPr="0066103C">
        <w:t xml:space="preserve"> and the Origins of Christolo</w:t>
      </w:r>
      <w:r w:rsidR="00DC4E0C">
        <w:t>gy</w:t>
      </w:r>
      <w:r w:rsidR="00FA4891" w:rsidRPr="0066103C">
        <w:t>”</w:t>
      </w:r>
      <w:r w:rsidR="00DC4E0C">
        <w:t>).</w:t>
      </w:r>
      <w:r w:rsidR="00FA4891" w:rsidRPr="0066103C">
        <w:t xml:space="preserve"> </w:t>
      </w:r>
      <w:r w:rsidRPr="002073C0">
        <w:rPr>
          <w:b/>
        </w:rPr>
        <w:t>Ginsberg, H. L.</w:t>
      </w:r>
      <w:r w:rsidRPr="0066103C">
        <w:t xml:space="preserve"> “‘King of Kings’ and ‘L</w:t>
      </w:r>
      <w:r w:rsidR="00FA4891" w:rsidRPr="0066103C">
        <w:t xml:space="preserve">ord of Kingdoms.’” </w:t>
      </w:r>
      <w:r w:rsidRPr="002073C0">
        <w:rPr>
          <w:b/>
        </w:rPr>
        <w:t>Glasson, T. F.</w:t>
      </w:r>
      <w:r w:rsidRPr="0066103C">
        <w:t xml:space="preserve"> </w:t>
      </w:r>
      <w:r w:rsidRPr="0066103C">
        <w:rPr>
          <w:i/>
        </w:rPr>
        <w:t>The Second Advent</w:t>
      </w:r>
      <w:r w:rsidRPr="0066103C">
        <w:t xml:space="preserve">. ———. “The Son </w:t>
      </w:r>
      <w:r w:rsidR="00FA4891" w:rsidRPr="0066103C">
        <w:t>of Man Imagery.”</w:t>
      </w:r>
      <w:r w:rsidRPr="0066103C">
        <w:t xml:space="preserve"> </w:t>
      </w:r>
      <w:r w:rsidRPr="002073C0">
        <w:rPr>
          <w:b/>
        </w:rPr>
        <w:t>Goldingay, J.</w:t>
      </w:r>
      <w:r w:rsidRPr="0066103C">
        <w:t xml:space="preserve"> “‘Holy Ones on High</w:t>
      </w:r>
      <w:r w:rsidR="00FA4891" w:rsidRPr="0066103C">
        <w:t xml:space="preserve">’ in Daniel 7:18.” </w:t>
      </w:r>
      <w:r w:rsidRPr="002073C0">
        <w:rPr>
          <w:b/>
        </w:rPr>
        <w:t>Graham, E. A.</w:t>
      </w:r>
      <w:r w:rsidRPr="0066103C">
        <w:t xml:space="preserve"> “The Heaven</w:t>
      </w:r>
      <w:r w:rsidR="00FA4891" w:rsidRPr="0066103C">
        <w:t xml:space="preserve">ly Man.” </w:t>
      </w:r>
      <w:r w:rsidRPr="002073C0">
        <w:rPr>
          <w:b/>
        </w:rPr>
        <w:t>Gray, J.</w:t>
      </w:r>
      <w:r w:rsidRPr="0066103C">
        <w:t xml:space="preserve"> </w:t>
      </w:r>
      <w:r w:rsidRPr="0066103C">
        <w:rPr>
          <w:i/>
        </w:rPr>
        <w:t>The Biblical Doctrine of the Reign of God</w:t>
      </w:r>
      <w:r w:rsidR="00FA4891" w:rsidRPr="0066103C">
        <w:t xml:space="preserve">. </w:t>
      </w:r>
      <w:r w:rsidRPr="002073C0">
        <w:rPr>
          <w:b/>
        </w:rPr>
        <w:t>Grelot, P.</w:t>
      </w:r>
      <w:r w:rsidRPr="0066103C">
        <w:t xml:space="preserve"> “Daniel vii, 9–10 et l</w:t>
      </w:r>
      <w:r w:rsidR="00FA4891" w:rsidRPr="0066103C">
        <w:t xml:space="preserve">e livre d’Hénoch.” </w:t>
      </w:r>
      <w:r w:rsidRPr="002073C0">
        <w:rPr>
          <w:b/>
        </w:rPr>
        <w:t xml:space="preserve">Gressmann, H. </w:t>
      </w:r>
      <w:r w:rsidR="00FA4891" w:rsidRPr="0066103C">
        <w:rPr>
          <w:i/>
        </w:rPr>
        <w:t>Der Messias,</w:t>
      </w:r>
      <w:r w:rsidRPr="0066103C">
        <w:t xml:space="preserve"> 343–414. </w:t>
      </w:r>
      <w:r w:rsidRPr="0066103C">
        <w:rPr>
          <w:i/>
        </w:rPr>
        <w:t>———. Der Ursprung der isra</w:t>
      </w:r>
      <w:r w:rsidR="00FA4891" w:rsidRPr="0066103C">
        <w:rPr>
          <w:i/>
        </w:rPr>
        <w:t>elitisch-jödischen Eschatologie,</w:t>
      </w:r>
      <w:r w:rsidRPr="0066103C">
        <w:t xml:space="preserve"> 334–49. </w:t>
      </w:r>
      <w:r w:rsidRPr="002073C0">
        <w:rPr>
          <w:b/>
        </w:rPr>
        <w:t>Gross, H.</w:t>
      </w:r>
      <w:r w:rsidRPr="0066103C">
        <w:t xml:space="preserve"> “Der Messias i</w:t>
      </w:r>
      <w:r w:rsidR="003E0B5E" w:rsidRPr="0066103C">
        <w:t>m AT.”</w:t>
      </w:r>
      <w:r w:rsidR="00E422EB" w:rsidRPr="00E422EB">
        <w:t xml:space="preserve"> </w:t>
      </w:r>
      <w:r w:rsidR="00E422EB" w:rsidRPr="00E422EB">
        <w:rPr>
          <w:b/>
        </w:rPr>
        <w:t>Gulley,</w:t>
      </w:r>
      <w:r w:rsidR="00E422EB">
        <w:t xml:space="preserve"> </w:t>
      </w:r>
      <w:r w:rsidR="00E422EB" w:rsidRPr="00E422EB">
        <w:rPr>
          <w:b/>
        </w:rPr>
        <w:t>N. R.</w:t>
      </w:r>
      <w:r w:rsidR="00E422EB">
        <w:t xml:space="preserve"> “Why the Danielic Little Horn is not Antiochus IV Epiphanes,” in</w:t>
      </w:r>
      <w:r w:rsidR="00945C8C">
        <w:t xml:space="preserve"> </w:t>
      </w:r>
      <w:r w:rsidR="00E422EB">
        <w:t xml:space="preserve">Merling (ed.), </w:t>
      </w:r>
      <w:r w:rsidR="00E422EB" w:rsidRPr="000F589C">
        <w:rPr>
          <w:i/>
        </w:rPr>
        <w:t>To Understand the Scriptures</w:t>
      </w:r>
      <w:r w:rsidR="00E422EB">
        <w:t>, 191-97.</w:t>
      </w:r>
      <w:r w:rsidR="00E422EB" w:rsidRPr="002073C0">
        <w:rPr>
          <w:b/>
        </w:rPr>
        <w:t xml:space="preserve"> </w:t>
      </w:r>
      <w:r w:rsidR="00303F41" w:rsidRPr="002073C0">
        <w:rPr>
          <w:b/>
        </w:rPr>
        <w:t>Haag, E.</w:t>
      </w:r>
      <w:r w:rsidR="00303F41" w:rsidRPr="0066103C">
        <w:t xml:space="preserve"> “Der Menschensohn und die Heiligen (des) Höchsten</w:t>
      </w:r>
      <w:r w:rsidR="00BF1CBC" w:rsidRPr="0066103C">
        <w:t>,</w:t>
      </w:r>
      <w:r w:rsidR="00303F41" w:rsidRPr="0066103C">
        <w:t>”</w:t>
      </w:r>
      <w:r w:rsidR="00BF1CBC" w:rsidRPr="0066103C">
        <w:t xml:space="preserve"> i</w:t>
      </w:r>
      <w:r w:rsidR="00303F41" w:rsidRPr="0066103C">
        <w:t xml:space="preserve">n van der Woude (ed.), </w:t>
      </w:r>
      <w:r w:rsidR="00303F41" w:rsidRPr="0066103C">
        <w:rPr>
          <w:i/>
        </w:rPr>
        <w:t>The Book of Daniel</w:t>
      </w:r>
      <w:r w:rsidR="00303F41" w:rsidRPr="0066103C">
        <w:t xml:space="preserve">, 137-185. ———. “Psalm 80 und der Menschensohn.” </w:t>
      </w:r>
      <w:r w:rsidR="004F6CE8" w:rsidRPr="002073C0">
        <w:rPr>
          <w:b/>
        </w:rPr>
        <w:t>Hal</w:t>
      </w:r>
      <w:r w:rsidRPr="002073C0">
        <w:rPr>
          <w:b/>
        </w:rPr>
        <w:t>ler, M.</w:t>
      </w:r>
      <w:r w:rsidRPr="0066103C">
        <w:t xml:space="preserve"> “Das Alte</w:t>
      </w:r>
      <w:r w:rsidR="009B445A" w:rsidRPr="0066103C">
        <w:t xml:space="preserve">r von Daniel 7.” </w:t>
      </w:r>
      <w:r w:rsidRPr="002073C0">
        <w:rPr>
          <w:b/>
        </w:rPr>
        <w:t>Hanhart, K.</w:t>
      </w:r>
      <w:r w:rsidRPr="0066103C">
        <w:t xml:space="preserve"> “The Four Beasts of Daniel’s Vision in the Night in the Ligh</w:t>
      </w:r>
      <w:r w:rsidR="00476B7C" w:rsidRPr="0066103C">
        <w:t xml:space="preserve">t of Rev. 13.2.” </w:t>
      </w:r>
      <w:r w:rsidRPr="002073C0">
        <w:rPr>
          <w:b/>
        </w:rPr>
        <w:t>Hanhart, R.</w:t>
      </w:r>
      <w:r w:rsidRPr="0066103C">
        <w:t xml:space="preserve"> “Die Hei</w:t>
      </w:r>
      <w:r w:rsidR="00476B7C" w:rsidRPr="0066103C">
        <w:t xml:space="preserve">ligen des Höchsten.” </w:t>
      </w:r>
      <w:r w:rsidRPr="002073C0">
        <w:rPr>
          <w:b/>
        </w:rPr>
        <w:t>Hardt, H. von der.</w:t>
      </w:r>
      <w:r w:rsidRPr="0066103C">
        <w:t xml:space="preserve"> Danielis</w:t>
      </w:r>
      <w:r w:rsidR="00476B7C" w:rsidRPr="0066103C">
        <w:t xml:space="preserve"> quatuor animalia. </w:t>
      </w:r>
      <w:r w:rsidRPr="002073C0">
        <w:rPr>
          <w:b/>
        </w:rPr>
        <w:t>Hasel, G. F.</w:t>
      </w:r>
      <w:r w:rsidRPr="0066103C">
        <w:t xml:space="preserve"> “The First and Third Ye</w:t>
      </w:r>
      <w:r w:rsidR="00476B7C" w:rsidRPr="0066103C">
        <w:t xml:space="preserve">ars of Belshazzar.” </w:t>
      </w:r>
      <w:r w:rsidRPr="0066103C">
        <w:t xml:space="preserve">———. “The Identity of ‘the Saints of the Most </w:t>
      </w:r>
      <w:r w:rsidR="00B969A7">
        <w:t>High.’</w:t>
      </w:r>
      <w:r w:rsidR="00476B7C" w:rsidRPr="0066103C">
        <w:t xml:space="preserve">” </w:t>
      </w:r>
      <w:r w:rsidRPr="002073C0">
        <w:rPr>
          <w:b/>
        </w:rPr>
        <w:t>Haupt, P.</w:t>
      </w:r>
      <w:r w:rsidRPr="0066103C">
        <w:t xml:space="preserve"> “The </w:t>
      </w:r>
      <w:r w:rsidR="00476B7C" w:rsidRPr="0066103C">
        <w:t xml:space="preserve">Son of Man.” </w:t>
      </w:r>
      <w:r w:rsidRPr="0066103C">
        <w:t>———. “Hidalgo a</w:t>
      </w:r>
      <w:r w:rsidR="00476B7C" w:rsidRPr="0066103C">
        <w:t xml:space="preserve">nd filius hominis.” </w:t>
      </w:r>
      <w:r w:rsidRPr="002073C0">
        <w:rPr>
          <w:b/>
        </w:rPr>
        <w:t>Hertlein, E.</w:t>
      </w:r>
      <w:r w:rsidRPr="0066103C">
        <w:t xml:space="preserve"> </w:t>
      </w:r>
      <w:r w:rsidRPr="0066103C">
        <w:rPr>
          <w:i/>
        </w:rPr>
        <w:t>Die Menschensohnfrage im letzten Stadium</w:t>
      </w:r>
      <w:r w:rsidR="00476B7C" w:rsidRPr="0066103C">
        <w:t xml:space="preserve">. </w:t>
      </w:r>
      <w:r w:rsidRPr="0066103C">
        <w:t>———. “Die Wolken</w:t>
      </w:r>
      <w:r w:rsidR="00476B7C" w:rsidRPr="0066103C">
        <w:t xml:space="preserve"> des ‘Menschensohns.’” </w:t>
      </w:r>
      <w:r w:rsidRPr="002073C0">
        <w:rPr>
          <w:b/>
        </w:rPr>
        <w:t>Herzfeld, E.</w:t>
      </w:r>
      <w:r w:rsidRPr="0066103C">
        <w:t xml:space="preserve"> </w:t>
      </w:r>
      <w:r w:rsidRPr="0066103C">
        <w:rPr>
          <w:i/>
        </w:rPr>
        <w:t>Z</w:t>
      </w:r>
      <w:r w:rsidR="00D724E1" w:rsidRPr="0066103C">
        <w:rPr>
          <w:i/>
        </w:rPr>
        <w:t>oroaster and His World</w:t>
      </w:r>
      <w:r w:rsidR="00D724E1" w:rsidRPr="0066103C">
        <w:t xml:space="preserve">. </w:t>
      </w:r>
      <w:r w:rsidRPr="002073C0">
        <w:rPr>
          <w:b/>
        </w:rPr>
        <w:t>Higgins, A. J. B.</w:t>
      </w:r>
      <w:r w:rsidRPr="0066103C">
        <w:t xml:space="preserve"> “Son of Man-</w:t>
      </w:r>
      <w:r w:rsidRPr="0066103C">
        <w:rPr>
          <w:i/>
        </w:rPr>
        <w:t>Forschung</w:t>
      </w:r>
      <w:r w:rsidRPr="0066103C">
        <w:t xml:space="preserve"> s</w:t>
      </w:r>
      <w:r w:rsidR="00BF1CBC" w:rsidRPr="0066103C">
        <w:t>ince ‘The Tea</w:t>
      </w:r>
      <w:r w:rsidR="00476B7C" w:rsidRPr="0066103C">
        <w:t xml:space="preserve">ching of Jesus.’” </w:t>
      </w:r>
      <w:r w:rsidRPr="002073C0">
        <w:rPr>
          <w:b/>
        </w:rPr>
        <w:t>Hill, D.</w:t>
      </w:r>
      <w:r w:rsidRPr="0066103C">
        <w:t xml:space="preserve"> “‘Son of Man’ i</w:t>
      </w:r>
      <w:r w:rsidR="00B37090" w:rsidRPr="0066103C">
        <w:t xml:space="preserve">n Psalm 80 v. 17.” </w:t>
      </w:r>
      <w:r w:rsidR="00A323F8" w:rsidRPr="002073C0">
        <w:rPr>
          <w:b/>
        </w:rPr>
        <w:t>Hofius, O.</w:t>
      </w:r>
      <w:r w:rsidR="00A323F8" w:rsidRPr="0066103C">
        <w:t xml:space="preserve"> “Der Septuaginta-Text von Daniel 7, 13-14.” </w:t>
      </w:r>
      <w:r w:rsidRPr="002073C0">
        <w:rPr>
          <w:b/>
        </w:rPr>
        <w:t xml:space="preserve">Hommel, F. </w:t>
      </w:r>
      <w:r w:rsidRPr="0066103C">
        <w:t>“The Apocalyptic Origin of the Expression ‘</w:t>
      </w:r>
      <w:r w:rsidR="00B37090" w:rsidRPr="0066103C">
        <w:t xml:space="preserve">Son of Man.’” </w:t>
      </w:r>
      <w:r w:rsidRPr="002073C0">
        <w:rPr>
          <w:b/>
        </w:rPr>
        <w:t>Hooker, M. D.</w:t>
      </w:r>
      <w:r w:rsidRPr="0066103C">
        <w:t xml:space="preserve"> </w:t>
      </w:r>
      <w:r w:rsidRPr="0066103C">
        <w:rPr>
          <w:i/>
        </w:rPr>
        <w:t>The Son of M</w:t>
      </w:r>
      <w:r w:rsidR="00B37090" w:rsidRPr="0066103C">
        <w:rPr>
          <w:i/>
        </w:rPr>
        <w:t>an in Mark</w:t>
      </w:r>
      <w:r w:rsidR="00B37090" w:rsidRPr="0066103C">
        <w:t xml:space="preserve">. </w:t>
      </w:r>
      <w:r w:rsidRPr="002073C0">
        <w:rPr>
          <w:b/>
        </w:rPr>
        <w:t>Horbury, W.</w:t>
      </w:r>
      <w:r w:rsidRPr="0066103C">
        <w:t xml:space="preserve"> “The Messianic Associations of ‘the Son of Man.’” </w:t>
      </w:r>
      <w:r w:rsidRPr="00236C27">
        <w:rPr>
          <w:b/>
        </w:rPr>
        <w:t>Kearns, R.</w:t>
      </w:r>
      <w:r w:rsidRPr="0066103C">
        <w:t xml:space="preserve"> </w:t>
      </w:r>
      <w:r w:rsidRPr="00236C27">
        <w:rPr>
          <w:i/>
        </w:rPr>
        <w:t>Vorfra</w:t>
      </w:r>
      <w:r w:rsidR="00034C7F" w:rsidRPr="00236C27">
        <w:rPr>
          <w:i/>
        </w:rPr>
        <w:t>gen zur Christologie</w:t>
      </w:r>
      <w:r w:rsidR="00034C7F" w:rsidRPr="0066103C">
        <w:t xml:space="preserve">. </w:t>
      </w:r>
      <w:r w:rsidR="00E62BFF" w:rsidRPr="00236C27">
        <w:rPr>
          <w:b/>
        </w:rPr>
        <w:t>Keel, O</w:t>
      </w:r>
      <w:r w:rsidR="00E62BFF" w:rsidRPr="0066103C">
        <w:rPr>
          <w:bCs/>
        </w:rPr>
        <w:t xml:space="preserve">. “Die Tiere und die Mensch in Daniel 7,” in Delgado/Koch/Marsch (eds.), </w:t>
      </w:r>
      <w:r w:rsidR="00E62BFF" w:rsidRPr="0066103C">
        <w:rPr>
          <w:bCs/>
          <w:i/>
        </w:rPr>
        <w:t>Europa, Tausendjähriges Reich und Neue</w:t>
      </w:r>
      <w:r w:rsidR="00E62BFF" w:rsidRPr="0066103C">
        <w:rPr>
          <w:bCs/>
        </w:rPr>
        <w:t xml:space="preserve"> </w:t>
      </w:r>
      <w:r w:rsidR="00E62BFF" w:rsidRPr="0066103C">
        <w:rPr>
          <w:bCs/>
          <w:i/>
        </w:rPr>
        <w:t>Welt</w:t>
      </w:r>
      <w:r w:rsidR="00B969A7">
        <w:rPr>
          <w:bCs/>
        </w:rPr>
        <w:t xml:space="preserve">, 37-65. </w:t>
      </w:r>
      <w:r w:rsidR="00B969A7" w:rsidRPr="00B969A7">
        <w:rPr>
          <w:b/>
          <w:bCs/>
        </w:rPr>
        <w:t>Keel, O</w:t>
      </w:r>
      <w:r w:rsidR="00B969A7" w:rsidRPr="00B969A7">
        <w:rPr>
          <w:bCs/>
        </w:rPr>
        <w:t>.</w:t>
      </w:r>
      <w:r w:rsidR="00945C8C">
        <w:rPr>
          <w:bCs/>
        </w:rPr>
        <w:t xml:space="preserve">, </w:t>
      </w:r>
      <w:r w:rsidR="00F337F4" w:rsidRPr="00B969A7">
        <w:t>and</w:t>
      </w:r>
      <w:r w:rsidR="00F337F4">
        <w:rPr>
          <w:b/>
        </w:rPr>
        <w:t xml:space="preserve"> Staub, U. </w:t>
      </w:r>
      <w:r w:rsidR="00F337F4">
        <w:rPr>
          <w:i/>
        </w:rPr>
        <w:t>Hellenismus und Judentum</w:t>
      </w:r>
      <w:r w:rsidR="00F337F4">
        <w:t>.</w:t>
      </w:r>
      <w:r w:rsidR="00F337F4" w:rsidRPr="00236C27">
        <w:rPr>
          <w:b/>
        </w:rPr>
        <w:t xml:space="preserve"> </w:t>
      </w:r>
      <w:r w:rsidR="001C15A2" w:rsidRPr="00236C27">
        <w:rPr>
          <w:b/>
        </w:rPr>
        <w:t>Kim, D</w:t>
      </w:r>
      <w:r w:rsidR="001C15A2" w:rsidRPr="0066103C">
        <w:t xml:space="preserve">. </w:t>
      </w:r>
      <w:r w:rsidR="001C15A2" w:rsidRPr="0066103C">
        <w:rPr>
          <w:i/>
        </w:rPr>
        <w:t>Biblical Interpretation in the Book of Daniel</w:t>
      </w:r>
      <w:r w:rsidR="001C15A2" w:rsidRPr="0066103C">
        <w:t xml:space="preserve">, 186-249. </w:t>
      </w:r>
      <w:r w:rsidRPr="00236C27">
        <w:rPr>
          <w:b/>
        </w:rPr>
        <w:t>Kim, S.</w:t>
      </w:r>
      <w:r w:rsidRPr="0066103C">
        <w:t xml:space="preserve"> “The ‘Son of Man’ ” as the Son of G</w:t>
      </w:r>
      <w:r w:rsidR="00034C7F" w:rsidRPr="0066103C">
        <w:t xml:space="preserve">od. </w:t>
      </w:r>
      <w:r w:rsidRPr="00236C27">
        <w:rPr>
          <w:b/>
        </w:rPr>
        <w:t>Kobelski, P.</w:t>
      </w:r>
      <w:r w:rsidRPr="0066103C">
        <w:t xml:space="preserve"> J. </w:t>
      </w:r>
      <w:r w:rsidRPr="0066103C">
        <w:rPr>
          <w:i/>
        </w:rPr>
        <w:t>Melchizedek and Melchireša</w:t>
      </w:r>
      <w:r w:rsidR="00034C7F" w:rsidRPr="0066103C">
        <w:rPr>
          <w:i/>
        </w:rPr>
        <w:t>‘.</w:t>
      </w:r>
      <w:r w:rsidR="00034C7F" w:rsidRPr="0066103C">
        <w:t xml:space="preserve"> </w:t>
      </w:r>
      <w:r w:rsidR="00B31F5D" w:rsidRPr="00236C27">
        <w:rPr>
          <w:b/>
        </w:rPr>
        <w:t>Koch, K.</w:t>
      </w:r>
      <w:r w:rsidR="00B31F5D" w:rsidRPr="0066103C">
        <w:t xml:space="preserve"> “Der ‘Menschensohn’ in Daniel.”</w:t>
      </w:r>
      <w:r w:rsidR="00945C8C">
        <w:t xml:space="preserve"> </w:t>
      </w:r>
      <w:r w:rsidR="00EF562D" w:rsidRPr="0066103C">
        <w:t>———. “Das Reich der Heiligen und des Menschensohns.”</w:t>
      </w:r>
      <w:r w:rsidR="00945C8C">
        <w:t xml:space="preserve"> </w:t>
      </w:r>
      <w:r w:rsidRPr="00236C27">
        <w:rPr>
          <w:b/>
        </w:rPr>
        <w:t>Koep, L.</w:t>
      </w:r>
      <w:r w:rsidRPr="0066103C">
        <w:t xml:space="preserve"> </w:t>
      </w:r>
      <w:r w:rsidRPr="0066103C">
        <w:rPr>
          <w:i/>
        </w:rPr>
        <w:t>Das himmlische Buch im Antike und Christentum</w:t>
      </w:r>
      <w:r w:rsidR="00D81C55" w:rsidRPr="0066103C">
        <w:t xml:space="preserve">. </w:t>
      </w:r>
      <w:r w:rsidRPr="00B969A7">
        <w:rPr>
          <w:b/>
        </w:rPr>
        <w:t>König, E.</w:t>
      </w:r>
      <w:r w:rsidRPr="0066103C">
        <w:t xml:space="preserve"> “Der Menschensohn im Danielbuche.” </w:t>
      </w:r>
      <w:r w:rsidR="009609FA" w:rsidRPr="00B969A7">
        <w:rPr>
          <w:rFonts w:eastAsia="Times-Roman"/>
          <w:b/>
        </w:rPr>
        <w:t>Korner, R. J.</w:t>
      </w:r>
      <w:r w:rsidR="00945C8C">
        <w:rPr>
          <w:rFonts w:eastAsia="Times-Roman"/>
        </w:rPr>
        <w:t xml:space="preserve"> </w:t>
      </w:r>
      <w:r w:rsidR="009609FA" w:rsidRPr="0066103C">
        <w:rPr>
          <w:rFonts w:eastAsia="Times-Roman"/>
          <w:i/>
        </w:rPr>
        <w:t>“</w:t>
      </w:r>
      <w:r w:rsidR="009609FA" w:rsidRPr="0066103C">
        <w:rPr>
          <w:rFonts w:eastAsia="Times New Roman" w:cs="Times New Roman"/>
        </w:rPr>
        <w:t>The ‘Exilic’ Prophecy of D</w:t>
      </w:r>
      <w:r w:rsidR="009609FA" w:rsidRPr="0066103C">
        <w:t xml:space="preserve">aniel 7.” </w:t>
      </w:r>
      <w:r w:rsidRPr="00236C27">
        <w:rPr>
          <w:b/>
        </w:rPr>
        <w:t>Kraeling, C. H.</w:t>
      </w:r>
      <w:r w:rsidRPr="0066103C">
        <w:t xml:space="preserve"> </w:t>
      </w:r>
      <w:r w:rsidRPr="00236C27">
        <w:rPr>
          <w:i/>
        </w:rPr>
        <w:t>Anthropos and Son of Man</w:t>
      </w:r>
      <w:r w:rsidR="00236C27">
        <w:t xml:space="preserve">. </w:t>
      </w:r>
      <w:r w:rsidRPr="00236C27">
        <w:rPr>
          <w:b/>
        </w:rPr>
        <w:t>Kraeling, E. G. H.</w:t>
      </w:r>
      <w:r w:rsidRPr="0066103C">
        <w:t xml:space="preserve"> “Some Babylonian and Iranian Mythology in the Seventh C</w:t>
      </w:r>
      <w:r w:rsidR="00D81C55" w:rsidRPr="0066103C">
        <w:t xml:space="preserve">hapter of Daniel.” </w:t>
      </w:r>
      <w:r w:rsidRPr="00236C27">
        <w:rPr>
          <w:b/>
        </w:rPr>
        <w:t>Kristensen, W. B.</w:t>
      </w:r>
      <w:r w:rsidRPr="0066103C">
        <w:t xml:space="preserve"> “De term ‘Zoon des Menschen.’” </w:t>
      </w:r>
      <w:r w:rsidRPr="00236C27">
        <w:rPr>
          <w:b/>
        </w:rPr>
        <w:t>Kruse, H.</w:t>
      </w:r>
      <w:r w:rsidRPr="0066103C">
        <w:t xml:space="preserve"> “Compositio Libri Danielis et </w:t>
      </w:r>
      <w:r w:rsidR="00D81C55" w:rsidRPr="0066103C">
        <w:t xml:space="preserve">idea Filii Hominis.” </w:t>
      </w:r>
      <w:r w:rsidRPr="00236C27">
        <w:rPr>
          <w:b/>
        </w:rPr>
        <w:t>Kvanvig, H. S.</w:t>
      </w:r>
      <w:r w:rsidRPr="0066103C">
        <w:t xml:space="preserve"> </w:t>
      </w:r>
      <w:r w:rsidR="00D81C55" w:rsidRPr="0066103C">
        <w:t>“An Akkadian Vision as Background for Dan 7.” ———. “Henoch und der Menschensohn.”</w:t>
      </w:r>
      <w:r w:rsidR="00945C8C">
        <w:t xml:space="preserve"> </w:t>
      </w:r>
      <w:r w:rsidR="00D81C55" w:rsidRPr="0066103C">
        <w:t>———.</w:t>
      </w:r>
      <w:r w:rsidR="00B969A7">
        <w:t xml:space="preserve"> </w:t>
      </w:r>
      <w:r w:rsidR="00D81C55" w:rsidRPr="0066103C">
        <w:rPr>
          <w:i/>
        </w:rPr>
        <w:t>Roots of Apocalyptic.</w:t>
      </w:r>
      <w:r w:rsidR="00D81C55" w:rsidRPr="0066103C">
        <w:t xml:space="preserve"> ———. </w:t>
      </w:r>
      <w:r w:rsidRPr="0066103C">
        <w:t>“Struktur und Geschi</w:t>
      </w:r>
      <w:r w:rsidR="00D81C55" w:rsidRPr="0066103C">
        <w:t xml:space="preserve">chte in Dan 7,1–14.” </w:t>
      </w:r>
      <w:r w:rsidR="00E13755" w:rsidRPr="00236C27">
        <w:rPr>
          <w:b/>
          <w:iCs/>
        </w:rPr>
        <w:t>Lacocque, A.</w:t>
      </w:r>
      <w:r w:rsidR="00E13755" w:rsidRPr="0066103C">
        <w:rPr>
          <w:iCs/>
        </w:rPr>
        <w:t xml:space="preserve"> “Al</w:t>
      </w:r>
      <w:r w:rsidR="00BF1CBC" w:rsidRPr="0066103C">
        <w:rPr>
          <w:iCs/>
        </w:rPr>
        <w:t>lusions to Creation in Daniel 7,” i</w:t>
      </w:r>
      <w:r w:rsidR="00E13755" w:rsidRPr="0066103C">
        <w:rPr>
          <w:iCs/>
        </w:rPr>
        <w:t xml:space="preserve">n </w:t>
      </w:r>
      <w:r w:rsidR="00E13755" w:rsidRPr="0066103C">
        <w:rPr>
          <w:bCs/>
          <w:iCs/>
        </w:rPr>
        <w:t xml:space="preserve">Collins/Flint (eds.), </w:t>
      </w:r>
      <w:r w:rsidR="00E13755" w:rsidRPr="0066103C">
        <w:rPr>
          <w:bCs/>
          <w:i/>
          <w:iCs/>
        </w:rPr>
        <w:t>The Book of Daniel</w:t>
      </w:r>
      <w:r w:rsidR="00E13755" w:rsidRPr="0066103C">
        <w:rPr>
          <w:bCs/>
          <w:iCs/>
        </w:rPr>
        <w:t xml:space="preserve"> 1:114-31.</w:t>
      </w:r>
      <w:r w:rsidR="00E13755" w:rsidRPr="0066103C">
        <w:t xml:space="preserve"> ———. </w:t>
      </w:r>
      <w:r w:rsidRPr="0066103C">
        <w:t>“The Vision of the Eagle in 4 Esd</w:t>
      </w:r>
      <w:r w:rsidR="00B969A7">
        <w:t>ras, a Rereading of Daniel 7</w:t>
      </w:r>
      <w:r w:rsidR="00D81C55" w:rsidRPr="0066103C">
        <w:t xml:space="preserve">.” </w:t>
      </w:r>
      <w:r w:rsidR="00D81C55" w:rsidRPr="00236C27">
        <w:rPr>
          <w:b/>
        </w:rPr>
        <w:t>Lamberig</w:t>
      </w:r>
      <w:r w:rsidRPr="00236C27">
        <w:rPr>
          <w:b/>
        </w:rPr>
        <w:t>ts, S.</w:t>
      </w:r>
      <w:r w:rsidR="00933C5F" w:rsidRPr="0066103C">
        <w:t xml:space="preserve"> “Le sens de de </w:t>
      </w:r>
      <w:r w:rsidR="00933C5F" w:rsidRPr="0066103C">
        <w:rPr>
          <w:rFonts w:ascii="Arial" w:hAnsi="Arial" w:cs="Arial"/>
        </w:rPr>
        <w:t>ם</w:t>
      </w:r>
      <w:r w:rsidR="00933C5F" w:rsidRPr="0066103C">
        <w:t xml:space="preserve"> </w:t>
      </w:r>
      <w:r w:rsidR="00933C5F" w:rsidRPr="0066103C">
        <w:rPr>
          <w:rFonts w:ascii="Arial" w:hAnsi="Arial" w:cs="Arial"/>
        </w:rPr>
        <w:t>שי</w:t>
      </w:r>
      <w:r w:rsidR="00933C5F" w:rsidRPr="0066103C">
        <w:t xml:space="preserve"> </w:t>
      </w:r>
      <w:r w:rsidR="00933C5F" w:rsidRPr="0066103C">
        <w:rPr>
          <w:rFonts w:ascii="Arial" w:hAnsi="Arial" w:cs="Arial"/>
        </w:rPr>
        <w:t>ו</w:t>
      </w:r>
      <w:r w:rsidR="00933C5F" w:rsidRPr="0066103C">
        <w:t xml:space="preserve"> </w:t>
      </w:r>
      <w:r w:rsidR="00933C5F" w:rsidRPr="0066103C">
        <w:rPr>
          <w:rFonts w:ascii="Arial" w:hAnsi="Arial" w:cs="Arial"/>
        </w:rPr>
        <w:t>קד</w:t>
      </w:r>
      <w:r w:rsidR="00945C8C">
        <w:t xml:space="preserve"> </w:t>
      </w:r>
      <w:r w:rsidR="00933C5F" w:rsidRPr="0066103C">
        <w:t xml:space="preserve"> </w:t>
      </w:r>
      <w:r w:rsidRPr="0066103C">
        <w:t xml:space="preserve">dans les textes de Qumrân.” </w:t>
      </w:r>
      <w:r w:rsidR="00456D1B" w:rsidRPr="00236C27">
        <w:rPr>
          <w:b/>
        </w:rPr>
        <w:t>Lenchak, T. A.</w:t>
      </w:r>
      <w:r w:rsidR="00456D1B" w:rsidRPr="0066103C">
        <w:t xml:space="preserve"> “Puzzling Passages.” </w:t>
      </w:r>
      <w:r w:rsidR="00044F80" w:rsidRPr="00236C27">
        <w:rPr>
          <w:rFonts w:eastAsiaTheme="minorHAnsi" w:cs="TimesNewRomanPS-BoldMT"/>
          <w:b/>
          <w:bCs/>
          <w:lang w:bidi="he-IL"/>
        </w:rPr>
        <w:t>Lopez, K. M.</w:t>
      </w:r>
      <w:r w:rsidR="00044F80" w:rsidRPr="0066103C">
        <w:rPr>
          <w:rFonts w:eastAsiaTheme="minorHAnsi" w:cs="TimesNewRomanPS-BoldMT"/>
          <w:bCs/>
          <w:lang w:bidi="he-IL"/>
        </w:rPr>
        <w:t xml:space="preserve"> "Standing Before the Throne of God." </w:t>
      </w:r>
      <w:r w:rsidR="007E562D" w:rsidRPr="00236C27">
        <w:rPr>
          <w:b/>
        </w:rPr>
        <w:t>Lucas, E. C.</w:t>
      </w:r>
      <w:r w:rsidR="007E562D" w:rsidRPr="0066103C">
        <w:t xml:space="preserve"> “The Source of Daniel’s Animal Imagery.” </w:t>
      </w:r>
      <w:r w:rsidRPr="00AB0F00">
        <w:rPr>
          <w:b/>
        </w:rPr>
        <w:t>Lust, J.</w:t>
      </w:r>
      <w:r w:rsidRPr="0066103C">
        <w:t xml:space="preserve"> “Daniel 7, 13 and the Septuagint.” </w:t>
      </w:r>
      <w:r w:rsidRPr="00AB0F00">
        <w:rPr>
          <w:b/>
        </w:rPr>
        <w:t>Luther, M.</w:t>
      </w:r>
      <w:r w:rsidRPr="0066103C">
        <w:t xml:space="preserve"> “Heerpredigt wider den </w:t>
      </w:r>
      <w:r w:rsidR="00933C5F" w:rsidRPr="0066103C">
        <w:t xml:space="preserve">Türken.” </w:t>
      </w:r>
      <w:r w:rsidR="002D3C4E" w:rsidRPr="00236C27">
        <w:rPr>
          <w:b/>
        </w:rPr>
        <w:t>Macumber, H.</w:t>
      </w:r>
      <w:r w:rsidR="002D3C4E" w:rsidRPr="0066103C">
        <w:t xml:space="preserve"> “A Monster without a Name.” </w:t>
      </w:r>
      <w:r w:rsidRPr="00236C27">
        <w:rPr>
          <w:b/>
        </w:rPr>
        <w:t>Maddox, R.</w:t>
      </w:r>
      <w:r w:rsidRPr="0066103C">
        <w:t xml:space="preserve"> “The Quest for Valid Methods in ‘Son of Man’ Research.” </w:t>
      </w:r>
      <w:r w:rsidRPr="00236C27">
        <w:rPr>
          <w:b/>
        </w:rPr>
        <w:lastRenderedPageBreak/>
        <w:t>Manson, T. W.</w:t>
      </w:r>
      <w:r w:rsidRPr="0066103C">
        <w:t xml:space="preserve"> “The Son of Man in Daniel, Enoch, and the Gospels.” </w:t>
      </w:r>
      <w:r w:rsidRPr="00236C27">
        <w:rPr>
          <w:b/>
        </w:rPr>
        <w:t>Marlow, R.</w:t>
      </w:r>
      <w:r w:rsidRPr="0066103C">
        <w:t xml:space="preserve"> “The Son of Man in Recent Journal Literature.” </w:t>
      </w:r>
      <w:r w:rsidRPr="00236C27">
        <w:rPr>
          <w:b/>
        </w:rPr>
        <w:t>Marsch, E.</w:t>
      </w:r>
      <w:r w:rsidRPr="0066103C">
        <w:t xml:space="preserve"> </w:t>
      </w:r>
      <w:r w:rsidRPr="0066103C">
        <w:rPr>
          <w:i/>
        </w:rPr>
        <w:t>Biblische Prophetie und chronographische Dichtung: Stoff- und Wirkungsgeschichte der Vision des Propheten Daniel nach Dan. vii.</w:t>
      </w:r>
      <w:r w:rsidR="00E22D70" w:rsidRPr="0066103C">
        <w:t xml:space="preserve"> </w:t>
      </w:r>
      <w:r w:rsidRPr="00236C27">
        <w:rPr>
          <w:b/>
        </w:rPr>
        <w:t>Marshall, I. H.</w:t>
      </w:r>
      <w:r w:rsidRPr="0066103C">
        <w:t xml:space="preserve"> “The Son of Man in Contemporary Debate.”</w:t>
      </w:r>
      <w:r w:rsidR="00945C8C">
        <w:t xml:space="preserve"> </w:t>
      </w:r>
      <w:r w:rsidR="00323548" w:rsidRPr="00236C27">
        <w:rPr>
          <w:rFonts w:ascii="Calibri" w:eastAsia="Times New Roman" w:hAnsi="Calibri" w:cs="Times New Roman"/>
          <w:b/>
          <w:szCs w:val="20"/>
        </w:rPr>
        <w:t>Mastin, B. A.</w:t>
      </w:r>
      <w:r w:rsidR="00323548" w:rsidRPr="0066103C">
        <w:rPr>
          <w:rFonts w:ascii="Calibri" w:eastAsia="Times New Roman" w:hAnsi="Calibri" w:cs="Times New Roman"/>
          <w:szCs w:val="20"/>
        </w:rPr>
        <w:t xml:space="preserve"> “A Feature of the Dates in the Aramaic Portions of Ezra and Daniel.” </w:t>
      </w:r>
      <w:r w:rsidR="009966A4" w:rsidRPr="00236C27">
        <w:rPr>
          <w:b/>
        </w:rPr>
        <w:t>Meadowcroft, T. J.</w:t>
      </w:r>
      <w:r w:rsidR="009966A4" w:rsidRPr="0066103C">
        <w:t xml:space="preserve"> </w:t>
      </w:r>
      <w:r w:rsidR="009966A4" w:rsidRPr="0066103C">
        <w:rPr>
          <w:bCs/>
        </w:rPr>
        <w:t xml:space="preserve">“‘One Like a Son of Man’ in the Court of the Foreign King.” </w:t>
      </w:r>
      <w:r w:rsidRPr="00236C27">
        <w:rPr>
          <w:b/>
        </w:rPr>
        <w:t>Moloney, F. J.</w:t>
      </w:r>
      <w:r w:rsidR="00E22D70" w:rsidRPr="0066103C">
        <w:t xml:space="preserve"> “The End of the Son of Man?” </w:t>
      </w:r>
      <w:r w:rsidRPr="00236C27">
        <w:rPr>
          <w:b/>
        </w:rPr>
        <w:t>More, J.</w:t>
      </w:r>
      <w:r w:rsidRPr="0066103C">
        <w:t xml:space="preserve"> </w:t>
      </w:r>
      <w:r w:rsidRPr="0066103C">
        <w:rPr>
          <w:i/>
        </w:rPr>
        <w:t>A Trumpet Sounded: or, The Great Mystery of the Two Little Horns Unfolde</w:t>
      </w:r>
      <w:r w:rsidR="00E22D70" w:rsidRPr="0066103C">
        <w:rPr>
          <w:i/>
        </w:rPr>
        <w:t>d.</w:t>
      </w:r>
      <w:r w:rsidR="00E22D70" w:rsidRPr="0066103C">
        <w:t xml:space="preserve"> </w:t>
      </w:r>
      <w:r w:rsidRPr="00236C27">
        <w:rPr>
          <w:b/>
        </w:rPr>
        <w:t>Morenz, S.</w:t>
      </w:r>
      <w:r w:rsidRPr="0066103C">
        <w:t xml:space="preserve"> “Das T</w:t>
      </w:r>
      <w:r w:rsidR="00E22D70" w:rsidRPr="0066103C">
        <w:t xml:space="preserve">ier mit den Hörnern.” </w:t>
      </w:r>
      <w:r w:rsidRPr="00236C27">
        <w:rPr>
          <w:b/>
        </w:rPr>
        <w:t>Morgenstern, J.</w:t>
      </w:r>
      <w:r w:rsidR="00E22D70" w:rsidRPr="0066103C">
        <w:t xml:space="preserve"> “Jesus as the ‘Son of Man.’” </w:t>
      </w:r>
      <w:r w:rsidRPr="0066103C">
        <w:t xml:space="preserve">———. </w:t>
      </w:r>
      <w:r w:rsidR="00E22D70" w:rsidRPr="0066103C">
        <w:t xml:space="preserve">“The ‘Son of Man’ of Daniel 7 13f.” </w:t>
      </w:r>
      <w:r w:rsidRPr="00236C27">
        <w:rPr>
          <w:b/>
        </w:rPr>
        <w:t>Mosca, P.G</w:t>
      </w:r>
      <w:r w:rsidRPr="0066103C">
        <w:t xml:space="preserve">. “Ugarit and Daniel 7.” </w:t>
      </w:r>
      <w:r w:rsidRPr="00236C27">
        <w:rPr>
          <w:b/>
        </w:rPr>
        <w:t>Moule, C. F. D.</w:t>
      </w:r>
      <w:r w:rsidRPr="0066103C">
        <w:t xml:space="preserve"> “From Defendant to Judge—and De</w:t>
      </w:r>
      <w:r w:rsidR="00E22D70" w:rsidRPr="0066103C">
        <w:t>liverer”.</w:t>
      </w:r>
      <w:r w:rsidR="00945C8C">
        <w:t xml:space="preserve"> </w:t>
      </w:r>
      <w:r w:rsidRPr="0066103C">
        <w:t>———. “Neglected Features in</w:t>
      </w:r>
      <w:r w:rsidR="00BF1CBC" w:rsidRPr="0066103C">
        <w:t xml:space="preserve"> the</w:t>
      </w:r>
      <w:r w:rsidR="00E22D70" w:rsidRPr="0066103C">
        <w:t xml:space="preserve"> Problem of ‘the Son of Man.’” </w:t>
      </w:r>
      <w:r w:rsidRPr="00236C27">
        <w:rPr>
          <w:b/>
        </w:rPr>
        <w:t>Mowinckel, S.</w:t>
      </w:r>
      <w:r w:rsidRPr="0066103C">
        <w:t xml:space="preserve"> </w:t>
      </w:r>
      <w:r w:rsidRPr="0066103C">
        <w:rPr>
          <w:i/>
        </w:rPr>
        <w:t>He That Cometh</w:t>
      </w:r>
      <w:r w:rsidR="00B73D18" w:rsidRPr="0066103C">
        <w:t>.</w:t>
      </w:r>
      <w:r w:rsidR="00945C8C">
        <w:t xml:space="preserve"> </w:t>
      </w:r>
      <w:r w:rsidRPr="0066103C">
        <w:t>———. “Urmensch und ‘Königsideologi</w:t>
      </w:r>
      <w:r w:rsidR="00B73D18" w:rsidRPr="0066103C">
        <w:t xml:space="preserve">e.’” </w:t>
      </w:r>
      <w:r w:rsidRPr="00236C27">
        <w:rPr>
          <w:b/>
        </w:rPr>
        <w:t>Muilenburg, J.</w:t>
      </w:r>
      <w:r w:rsidRPr="0066103C">
        <w:t xml:space="preserve"> “The Son of Man in Daniel and the</w:t>
      </w:r>
      <w:r w:rsidR="00B73D18" w:rsidRPr="0066103C">
        <w:t xml:space="preserve"> Ethiopic Apocalypse of Enoch.” </w:t>
      </w:r>
      <w:r w:rsidRPr="00236C27">
        <w:rPr>
          <w:b/>
        </w:rPr>
        <w:t>Möller, K.</w:t>
      </w:r>
      <w:r w:rsidRPr="0066103C">
        <w:t xml:space="preserve"> “Beobachtungen zur Entwicklung der Menschensohnvorstellung in den Bilderreden</w:t>
      </w:r>
      <w:r w:rsidR="00BF1CBC" w:rsidRPr="0066103C">
        <w:t xml:space="preserve"> de</w:t>
      </w:r>
      <w:r w:rsidR="00B73D18" w:rsidRPr="0066103C">
        <w:t>s Henoch und im Buche Daniel.”</w:t>
      </w:r>
      <w:r w:rsidRPr="0066103C">
        <w:t xml:space="preserve"> ———. “</w:t>
      </w:r>
      <w:r w:rsidR="00B73D18" w:rsidRPr="0066103C">
        <w:t>Menschensohn und Messias.”</w:t>
      </w:r>
      <w:r w:rsidR="00945C8C">
        <w:t xml:space="preserve"> </w:t>
      </w:r>
      <w:r w:rsidRPr="0066103C">
        <w:t>———. “D</w:t>
      </w:r>
      <w:r w:rsidR="00BF1CBC" w:rsidRPr="0066103C">
        <w:t xml:space="preserve">er </w:t>
      </w:r>
      <w:r w:rsidR="00B73D18" w:rsidRPr="0066103C">
        <w:t xml:space="preserve">Menschensohn im Danielzyklus.” </w:t>
      </w:r>
      <w:r w:rsidRPr="00236C27">
        <w:rPr>
          <w:b/>
        </w:rPr>
        <w:t>Müller, U. B.</w:t>
      </w:r>
      <w:r w:rsidRPr="0066103C">
        <w:t xml:space="preserve"> </w:t>
      </w:r>
      <w:r w:rsidRPr="0066103C">
        <w:rPr>
          <w:i/>
        </w:rPr>
        <w:t xml:space="preserve">Messias und Menschensohn in jüdischen Apokalypsen und in der Offenbarung des Johannes. </w:t>
      </w:r>
      <w:r w:rsidR="00566D55" w:rsidRPr="00236C27">
        <w:rPr>
          <w:b/>
        </w:rPr>
        <w:t>Munnich, O</w:t>
      </w:r>
      <w:r w:rsidR="00566D55" w:rsidRPr="0066103C">
        <w:t xml:space="preserve">. </w:t>
      </w:r>
      <w:r w:rsidR="004C79F2" w:rsidRPr="0066103C">
        <w:rPr>
          <w:iCs/>
        </w:rPr>
        <w:t>“</w:t>
      </w:r>
      <w:r w:rsidR="004C79F2" w:rsidRPr="0066103C">
        <w:t>Retouches rédactionnelles au texte proto-massorétique</w:t>
      </w:r>
      <w:r w:rsidR="00566D55" w:rsidRPr="0066103C">
        <w:t xml:space="preserve">.” </w:t>
      </w:r>
      <w:r w:rsidRPr="00236C27">
        <w:rPr>
          <w:b/>
        </w:rPr>
        <w:t>Niditch, S.</w:t>
      </w:r>
      <w:r w:rsidRPr="0066103C">
        <w:t xml:space="preserve"> </w:t>
      </w:r>
      <w:r w:rsidR="00A14AC1" w:rsidRPr="0066103C">
        <w:rPr>
          <w:i/>
        </w:rPr>
        <w:t xml:space="preserve">The Symbolic </w:t>
      </w:r>
      <w:r w:rsidRPr="0066103C">
        <w:rPr>
          <w:i/>
        </w:rPr>
        <w:t>Vision</w:t>
      </w:r>
      <w:r w:rsidR="00A14AC1" w:rsidRPr="0066103C">
        <w:rPr>
          <w:i/>
        </w:rPr>
        <w:t xml:space="preserve"> in Biblical Tradition</w:t>
      </w:r>
      <w:r w:rsidRPr="0066103C">
        <w:t xml:space="preserve">, 177–215. </w:t>
      </w:r>
      <w:r w:rsidRPr="00236C27">
        <w:rPr>
          <w:b/>
        </w:rPr>
        <w:t>Noth, M.</w:t>
      </w:r>
      <w:r w:rsidR="00557FF7" w:rsidRPr="0066103C">
        <w:t xml:space="preserve"> “Zur Komposition des Buches Daniel.” </w:t>
      </w:r>
      <w:r w:rsidR="00B969A7">
        <w:t>———. “Die Heiligen des Höchsten</w:t>
      </w:r>
      <w:r w:rsidR="00557FF7" w:rsidRPr="0066103C">
        <w:t>”</w:t>
      </w:r>
      <w:r w:rsidR="00B969A7">
        <w:t>(</w:t>
      </w:r>
      <w:r w:rsidR="006C65EF">
        <w:t xml:space="preserve"> ET</w:t>
      </w:r>
      <w:r w:rsidRPr="0066103C">
        <w:t xml:space="preserve"> “The Holy Ones o</w:t>
      </w:r>
      <w:r w:rsidR="00B969A7">
        <w:t>f the Most High</w:t>
      </w:r>
      <w:r w:rsidR="00557FF7" w:rsidRPr="0066103C">
        <w:t>”</w:t>
      </w:r>
      <w:r w:rsidR="00B969A7">
        <w:t>).</w:t>
      </w:r>
      <w:r w:rsidR="00557FF7" w:rsidRPr="0066103C">
        <w:t xml:space="preserve"> </w:t>
      </w:r>
      <w:r w:rsidRPr="00236C27">
        <w:rPr>
          <w:b/>
        </w:rPr>
        <w:t>Orrieux, L.-M.</w:t>
      </w:r>
      <w:r w:rsidRPr="0066103C">
        <w:t xml:space="preserve"> “Le problème du Fils de l’Homme dans la littérature apocalyptique.” </w:t>
      </w:r>
      <w:r w:rsidR="00747755" w:rsidRPr="00236C27">
        <w:rPr>
          <w:b/>
        </w:rPr>
        <w:t>Owen, J.</w:t>
      </w:r>
      <w:r w:rsidR="00747755" w:rsidRPr="0066103C">
        <w:t xml:space="preserve"> “Concerning the K</w:t>
      </w:r>
      <w:r w:rsidR="00B969A7">
        <w:t>ingdom of Christ, and the Power of the Civil Magistrate about the T</w:t>
      </w:r>
      <w:r w:rsidRPr="0066103C">
        <w:t xml:space="preserve">hings of the </w:t>
      </w:r>
      <w:r w:rsidR="00B969A7">
        <w:t>W</w:t>
      </w:r>
      <w:r w:rsidR="00715A14" w:rsidRPr="0066103C">
        <w:t xml:space="preserve">orship of God.” </w:t>
      </w:r>
      <w:r w:rsidR="00A3319A" w:rsidRPr="00236C27">
        <w:rPr>
          <w:b/>
        </w:rPr>
        <w:t>Patterson, R. D.</w:t>
      </w:r>
      <w:r w:rsidR="00A3319A" w:rsidRPr="0066103C">
        <w:t xml:space="preserve"> “The Key Role of Daniel 7.” </w:t>
      </w:r>
      <w:r w:rsidRPr="00236C27">
        <w:rPr>
          <w:b/>
        </w:rPr>
        <w:t>Perrin, N.</w:t>
      </w:r>
      <w:r w:rsidRPr="0066103C">
        <w:t xml:space="preserve"> “The Son of Man in Ancient Judaism an</w:t>
      </w:r>
      <w:r w:rsidR="00A94A56" w:rsidRPr="0066103C">
        <w:t>d Primitive Christianity.”</w:t>
      </w:r>
      <w:r w:rsidRPr="0066103C">
        <w:t xml:space="preserve"> ———. “The Interpretation of a Bib</w:t>
      </w:r>
      <w:r w:rsidR="00A94A56" w:rsidRPr="0066103C">
        <w:t xml:space="preserve">lical Symbol.” </w:t>
      </w:r>
      <w:r w:rsidRPr="00236C27">
        <w:rPr>
          <w:b/>
        </w:rPr>
        <w:t>Porter, P. A.</w:t>
      </w:r>
      <w:r w:rsidRPr="0066103C">
        <w:t xml:space="preserve"> </w:t>
      </w:r>
      <w:r w:rsidRPr="0066103C">
        <w:rPr>
          <w:i/>
        </w:rPr>
        <w:t>Metaph</w:t>
      </w:r>
      <w:r w:rsidR="00A94A56" w:rsidRPr="0066103C">
        <w:rPr>
          <w:i/>
        </w:rPr>
        <w:t>ors and Monsters</w:t>
      </w:r>
      <w:r w:rsidRPr="0066103C">
        <w:t xml:space="preserve">. </w:t>
      </w:r>
      <w:r w:rsidRPr="00236C27">
        <w:rPr>
          <w:b/>
        </w:rPr>
        <w:t>Poythress, V. S.</w:t>
      </w:r>
      <w:r w:rsidRPr="0066103C">
        <w:t xml:space="preserve"> “The Holy Ones of the Most High in Da</w:t>
      </w:r>
      <w:r w:rsidR="00A94A56" w:rsidRPr="0066103C">
        <w:t xml:space="preserve">niel vii.” </w:t>
      </w:r>
      <w:r w:rsidRPr="00236C27">
        <w:rPr>
          <w:b/>
        </w:rPr>
        <w:t>Procksch, O.</w:t>
      </w:r>
      <w:r w:rsidRPr="0066103C">
        <w:t xml:space="preserve"> “Die Berufungsvision Hesekie</w:t>
      </w:r>
      <w:r w:rsidR="00A94A56" w:rsidRPr="0066103C">
        <w:t xml:space="preserve">ls.” </w:t>
      </w:r>
      <w:r w:rsidRPr="0066103C">
        <w:t>—</w:t>
      </w:r>
      <w:r w:rsidR="00A94A56" w:rsidRPr="0066103C">
        <w:t xml:space="preserve">——. “Christus im AT.” </w:t>
      </w:r>
      <w:r w:rsidRPr="00236C27">
        <w:rPr>
          <w:b/>
        </w:rPr>
        <w:t>Proudman, C. L. J.</w:t>
      </w:r>
      <w:r w:rsidRPr="0066103C">
        <w:t xml:space="preserve"> “Remarks on the ‘Son </w:t>
      </w:r>
      <w:r w:rsidR="00A94A56" w:rsidRPr="0066103C">
        <w:t xml:space="preserve">of Man.’” </w:t>
      </w:r>
      <w:r w:rsidRPr="00236C27">
        <w:rPr>
          <w:b/>
        </w:rPr>
        <w:t>Raabe, P. R.</w:t>
      </w:r>
      <w:r w:rsidR="00A94A56" w:rsidRPr="0066103C">
        <w:t xml:space="preserve"> “Daniel 7.” </w:t>
      </w:r>
      <w:r w:rsidRPr="00236C27">
        <w:rPr>
          <w:b/>
        </w:rPr>
        <w:t>Rhodes, A. B.</w:t>
      </w:r>
      <w:r w:rsidRPr="0066103C">
        <w:t xml:space="preserve"> “The Kingdoms of </w:t>
      </w:r>
      <w:r w:rsidR="00A94A56" w:rsidRPr="0066103C">
        <w:t xml:space="preserve">Men and the Kingdom of God.” </w:t>
      </w:r>
      <w:r w:rsidRPr="00236C27">
        <w:rPr>
          <w:b/>
        </w:rPr>
        <w:t>Rimbach, J. A.</w:t>
      </w:r>
      <w:r w:rsidRPr="0066103C">
        <w:t xml:space="preserve"> “Bears or Bees? Sefire I A 31 and D</w:t>
      </w:r>
      <w:r w:rsidR="00A94A56" w:rsidRPr="0066103C">
        <w:t xml:space="preserve">aniel 7.” </w:t>
      </w:r>
      <w:r w:rsidRPr="00236C27">
        <w:rPr>
          <w:b/>
        </w:rPr>
        <w:t>Rost, L.</w:t>
      </w:r>
      <w:r w:rsidRPr="0066103C">
        <w:t xml:space="preserve"> “Zur Deutung des Menschensohnes in Daniel</w:t>
      </w:r>
      <w:r w:rsidR="00A94A56" w:rsidRPr="0066103C">
        <w:t xml:space="preserve"> 7.” </w:t>
      </w:r>
      <w:r w:rsidRPr="00236C27">
        <w:rPr>
          <w:b/>
        </w:rPr>
        <w:t>Rowe, R. D.</w:t>
      </w:r>
      <w:r w:rsidRPr="0066103C">
        <w:t xml:space="preserve"> “Is Dan</w:t>
      </w:r>
      <w:r w:rsidR="00A94A56" w:rsidRPr="0066103C">
        <w:t xml:space="preserve">iel’s ‘Son of Man’ Messianic?” </w:t>
      </w:r>
      <w:r w:rsidRPr="00236C27">
        <w:rPr>
          <w:b/>
        </w:rPr>
        <w:t>Roxas, A. de.</w:t>
      </w:r>
      <w:r w:rsidRPr="0066103C">
        <w:t xml:space="preserve"> </w:t>
      </w:r>
      <w:r w:rsidRPr="00236C27">
        <w:rPr>
          <w:i/>
        </w:rPr>
        <w:t>Commentarii in Apocalypsin, et in cap. iv. Zachariae, et vii.</w:t>
      </w:r>
      <w:r w:rsidR="00A94A56" w:rsidRPr="00236C27">
        <w:rPr>
          <w:i/>
        </w:rPr>
        <w:t xml:space="preserve"> Danielis</w:t>
      </w:r>
      <w:r w:rsidR="00A94A56" w:rsidRPr="0066103C">
        <w:t xml:space="preserve">, </w:t>
      </w:r>
      <w:r w:rsidRPr="0066103C">
        <w:t xml:space="preserve">526–42. </w:t>
      </w:r>
      <w:r w:rsidRPr="00236C27">
        <w:rPr>
          <w:b/>
        </w:rPr>
        <w:t>Sahlin, H.</w:t>
      </w:r>
      <w:r w:rsidRPr="0066103C">
        <w:t xml:space="preserve"> “Wie wurde ursprünglich die Benennung ‘De</w:t>
      </w:r>
      <w:r w:rsidR="00236C27">
        <w:t xml:space="preserve">r Menschensohn’ verstanden?” </w:t>
      </w:r>
      <w:r w:rsidRPr="00236C27">
        <w:rPr>
          <w:b/>
        </w:rPr>
        <w:t>Schaberg, J.</w:t>
      </w:r>
      <w:r w:rsidRPr="0066103C">
        <w:t xml:space="preserve"> “Dan</w:t>
      </w:r>
      <w:r w:rsidR="00C80F17">
        <w:t xml:space="preserve">iel 7, 12 and the NT </w:t>
      </w:r>
      <w:r w:rsidRPr="0066103C">
        <w:t>Passion-Resur</w:t>
      </w:r>
      <w:r w:rsidR="00A94A56" w:rsidRPr="0066103C">
        <w:t xml:space="preserve">rection Predictions.” </w:t>
      </w:r>
      <w:r w:rsidRPr="00C80F17">
        <w:rPr>
          <w:b/>
        </w:rPr>
        <w:t>Scheifler, J. R.</w:t>
      </w:r>
      <w:r w:rsidRPr="0066103C">
        <w:t xml:space="preserve"> “El hijo d</w:t>
      </w:r>
      <w:r w:rsidR="00A94A56" w:rsidRPr="0066103C">
        <w:t xml:space="preserve">el hombre en Daniel.” </w:t>
      </w:r>
      <w:r w:rsidRPr="00C80F17">
        <w:rPr>
          <w:b/>
        </w:rPr>
        <w:t>Schmid, H.</w:t>
      </w:r>
      <w:r w:rsidRPr="0066103C">
        <w:t xml:space="preserve"> “Daniel, der Menschenso</w:t>
      </w:r>
      <w:r w:rsidR="00A94A56" w:rsidRPr="0066103C">
        <w:t xml:space="preserve">hn.” </w:t>
      </w:r>
      <w:r w:rsidRPr="00C80F17">
        <w:rPr>
          <w:b/>
        </w:rPr>
        <w:t xml:space="preserve">Schmidt, N. </w:t>
      </w:r>
      <w:r w:rsidRPr="0066103C">
        <w:t>“The ‘Son of Man’ in the Book o</w:t>
      </w:r>
      <w:r w:rsidR="008777E3" w:rsidRPr="0066103C">
        <w:t xml:space="preserve">f Daniel.” </w:t>
      </w:r>
      <w:r w:rsidRPr="00C80F17">
        <w:rPr>
          <w:b/>
        </w:rPr>
        <w:t>Schweizer, E.</w:t>
      </w:r>
      <w:r w:rsidRPr="0066103C">
        <w:t xml:space="preserve"> “The Son of Man </w:t>
      </w:r>
      <w:r w:rsidR="008777E3" w:rsidRPr="0066103C">
        <w:t xml:space="preserve">Again.” </w:t>
      </w:r>
      <w:r w:rsidR="00770EF9" w:rsidRPr="00C80F17">
        <w:rPr>
          <w:b/>
        </w:rPr>
        <w:t>Scolnic, B.</w:t>
      </w:r>
      <w:r w:rsidR="00770EF9" w:rsidRPr="0066103C">
        <w:t xml:space="preserve"> “Antiochus IV and the Three Horns in Daniel 7.” </w:t>
      </w:r>
      <w:r w:rsidRPr="00C80F17">
        <w:rPr>
          <w:b/>
        </w:rPr>
        <w:t>Scott, R. B. Y.</w:t>
      </w:r>
      <w:r w:rsidRPr="0066103C">
        <w:t xml:space="preserve"> “Behold, He Cometh wit</w:t>
      </w:r>
      <w:r w:rsidR="008777E3" w:rsidRPr="0066103C">
        <w:t xml:space="preserve">h Clouds.” </w:t>
      </w:r>
      <w:r w:rsidR="00361262" w:rsidRPr="00C80F17">
        <w:rPr>
          <w:rFonts w:eastAsia="Times New Roman" w:cs="Times New Roman"/>
          <w:b/>
        </w:rPr>
        <w:t>Setio</w:t>
      </w:r>
      <w:r w:rsidR="00361262" w:rsidRPr="00C80F17">
        <w:rPr>
          <w:b/>
        </w:rPr>
        <w:t>, R.</w:t>
      </w:r>
      <w:r w:rsidR="00361262" w:rsidRPr="0066103C">
        <w:t xml:space="preserve"> “</w:t>
      </w:r>
      <w:r w:rsidR="00361262" w:rsidRPr="0066103C">
        <w:rPr>
          <w:rFonts w:eastAsiaTheme="minorHAnsi" w:cs="Arial"/>
          <w:bCs/>
          <w:color w:val="212121"/>
        </w:rPr>
        <w:t xml:space="preserve">Fantasy in Apocalyptic Daniel 7.” </w:t>
      </w:r>
      <w:r w:rsidRPr="00E214DE">
        <w:rPr>
          <w:b/>
        </w:rPr>
        <w:t>Shea, W.</w:t>
      </w:r>
      <w:r w:rsidRPr="0066103C">
        <w:t xml:space="preserve"> </w:t>
      </w:r>
      <w:r w:rsidRPr="00C80F17">
        <w:rPr>
          <w:b/>
        </w:rPr>
        <w:t>H.</w:t>
      </w:r>
      <w:r w:rsidR="00F16082">
        <w:t xml:space="preserve"> “The N</w:t>
      </w:r>
      <w:r w:rsidRPr="0066103C">
        <w:t>eo-Babylonian Historical Setting for D</w:t>
      </w:r>
      <w:r w:rsidR="008777E3" w:rsidRPr="0066103C">
        <w:t xml:space="preserve">aniel 7.” </w:t>
      </w:r>
      <w:r w:rsidR="00D7181A" w:rsidRPr="00D7181A">
        <w:t>———.</w:t>
      </w:r>
      <w:r w:rsidR="00D7181A">
        <w:t xml:space="preserve"> “Judgment in Daniel 7,” in </w:t>
      </w:r>
      <w:r w:rsidR="00B969A7">
        <w:t xml:space="preserve">Shea, </w:t>
      </w:r>
      <w:r w:rsidR="00D7181A">
        <w:rPr>
          <w:i/>
        </w:rPr>
        <w:t xml:space="preserve">Selected </w:t>
      </w:r>
      <w:r w:rsidR="00D7181A" w:rsidRPr="00D7181A">
        <w:rPr>
          <w:i/>
        </w:rPr>
        <w:t>Studies</w:t>
      </w:r>
      <w:r w:rsidR="00D7181A">
        <w:t>, 111-</w:t>
      </w:r>
      <w:r w:rsidR="009F21A2">
        <w:t>53.</w:t>
      </w:r>
      <w:r w:rsidR="00F16082">
        <w:rPr>
          <w:rFonts w:eastAsia="Times-Roman" w:cs="Times-Roman"/>
        </w:rPr>
        <w:t xml:space="preserve"> </w:t>
      </w:r>
      <w:r w:rsidR="00547E28" w:rsidRPr="00E214DE">
        <w:rPr>
          <w:rFonts w:eastAsia="Times-Roman"/>
          <w:b/>
          <w:bCs/>
        </w:rPr>
        <w:t>Shepherd, M. B.</w:t>
      </w:r>
      <w:r w:rsidR="00547E28" w:rsidRPr="0066103C">
        <w:rPr>
          <w:rFonts w:eastAsia="Times-Roman"/>
          <w:bCs/>
        </w:rPr>
        <w:t xml:space="preserve"> “D</w:t>
      </w:r>
      <w:r w:rsidR="00C80F17">
        <w:rPr>
          <w:rFonts w:eastAsia="Times-Roman"/>
          <w:bCs/>
        </w:rPr>
        <w:t>aniel 7:13 and the NT</w:t>
      </w:r>
      <w:r w:rsidR="00547E28" w:rsidRPr="0066103C">
        <w:rPr>
          <w:rFonts w:eastAsia="Times-Roman"/>
          <w:bCs/>
        </w:rPr>
        <w:t xml:space="preserve"> Son of Man.” </w:t>
      </w:r>
      <w:r w:rsidRPr="00C80F17">
        <w:rPr>
          <w:b/>
        </w:rPr>
        <w:t>Sjöberg, E.</w:t>
      </w:r>
      <w:r w:rsidRPr="0066103C">
        <w:t xml:space="preserve"> </w:t>
      </w:r>
      <w:r w:rsidR="008777E3" w:rsidRPr="0066103C">
        <w:t>“</w:t>
      </w:r>
      <w:r w:rsidR="008777E3" w:rsidRPr="0066103C">
        <w:rPr>
          <w:rFonts w:ascii="Arial" w:hAnsi="Arial" w:cs="Arial"/>
        </w:rPr>
        <w:t>אדם</w:t>
      </w:r>
      <w:r w:rsidR="008777E3" w:rsidRPr="0066103C">
        <w:t xml:space="preserve"> </w:t>
      </w:r>
      <w:r w:rsidR="008777E3" w:rsidRPr="0066103C">
        <w:rPr>
          <w:rFonts w:ascii="Arial" w:hAnsi="Arial" w:cs="Arial"/>
        </w:rPr>
        <w:t>בן</w:t>
      </w:r>
      <w:r w:rsidR="008777E3" w:rsidRPr="0066103C">
        <w:t xml:space="preserve"> und </w:t>
      </w:r>
      <w:r w:rsidR="008777E3" w:rsidRPr="0066103C">
        <w:rPr>
          <w:rFonts w:ascii="Arial" w:hAnsi="Arial" w:cs="Arial"/>
        </w:rPr>
        <w:t>אנש</w:t>
      </w:r>
      <w:r w:rsidR="008777E3" w:rsidRPr="0066103C">
        <w:t xml:space="preserve"> </w:t>
      </w:r>
      <w:r w:rsidR="008777E3" w:rsidRPr="0066103C">
        <w:rPr>
          <w:rFonts w:ascii="Arial" w:hAnsi="Arial" w:cs="Arial"/>
        </w:rPr>
        <w:t>בר</w:t>
      </w:r>
      <w:r w:rsidR="008777E3" w:rsidRPr="0066103C">
        <w:t xml:space="preserve"> im Hebräischen und Aramäischen.” </w:t>
      </w:r>
      <w:r w:rsidRPr="00C80F17">
        <w:rPr>
          <w:b/>
        </w:rPr>
        <w:t>Smith, M. S.</w:t>
      </w:r>
      <w:r w:rsidRPr="0066103C">
        <w:t xml:space="preserve"> “The ‘Son of Man’ in </w:t>
      </w:r>
      <w:r w:rsidR="008777E3" w:rsidRPr="0066103C">
        <w:t xml:space="preserve">Ugaritic.” </w:t>
      </w:r>
      <w:r w:rsidRPr="00C80F17">
        <w:rPr>
          <w:b/>
        </w:rPr>
        <w:t>Sokoloff, M.</w:t>
      </w:r>
      <w:r w:rsidRPr="0066103C">
        <w:t xml:space="preserve"> “</w:t>
      </w:r>
      <w:r w:rsidR="003564AC" w:rsidRPr="0066103C">
        <w:rPr>
          <w:vertAlign w:val="superscript"/>
        </w:rPr>
        <w:t>c</w:t>
      </w:r>
      <w:r w:rsidR="003564AC" w:rsidRPr="0066103C">
        <w:t>ămar nĕqē’, ‘</w:t>
      </w:r>
      <w:r w:rsidRPr="0066103C">
        <w:t>Lamb’s Wool’ (D</w:t>
      </w:r>
      <w:r w:rsidR="008777E3" w:rsidRPr="0066103C">
        <w:t xml:space="preserve">an 7:9).” </w:t>
      </w:r>
      <w:r w:rsidR="007834AB" w:rsidRPr="007834AB">
        <w:rPr>
          <w:rFonts w:eastAsia="Times New Roman" w:cs="Times New Roman"/>
          <w:b/>
        </w:rPr>
        <w:t xml:space="preserve">Stahl, R. </w:t>
      </w:r>
      <w:r w:rsidR="007834AB" w:rsidRPr="007834AB">
        <w:rPr>
          <w:rFonts w:eastAsia="Times New Roman" w:cs="Times New Roman"/>
        </w:rPr>
        <w:t>“‘Eine Zeit,</w:t>
      </w:r>
      <w:r w:rsidR="007834AB">
        <w:rPr>
          <w:rFonts w:eastAsia="Times New Roman" w:cs="Times New Roman"/>
        </w:rPr>
        <w:t xml:space="preserve"> Zeiten und die Hälfte der Zeit,</w:t>
      </w:r>
      <w:r w:rsidR="007834AB" w:rsidRPr="007834AB">
        <w:rPr>
          <w:rFonts w:eastAsia="Times New Roman" w:cs="Times New Roman"/>
        </w:rPr>
        <w:t>’”</w:t>
      </w:r>
      <w:r w:rsidR="007834AB">
        <w:rPr>
          <w:rFonts w:eastAsia="Times New Roman" w:cs="Times New Roman"/>
        </w:rPr>
        <w:t xml:space="preserve"> i</w:t>
      </w:r>
      <w:r w:rsidR="007834AB" w:rsidRPr="007834AB">
        <w:rPr>
          <w:rFonts w:eastAsia="Times New Roman" w:cs="Times New Roman"/>
        </w:rPr>
        <w:t xml:space="preserve">n van der </w:t>
      </w:r>
      <w:r w:rsidR="007834AB" w:rsidRPr="00F16082">
        <w:rPr>
          <w:rFonts w:eastAsia="Times New Roman" w:cs="Times New Roman"/>
        </w:rPr>
        <w:t xml:space="preserve">Woude (ed.), </w:t>
      </w:r>
      <w:r w:rsidR="007834AB" w:rsidRPr="00F16082">
        <w:rPr>
          <w:rFonts w:eastAsia="Times New Roman" w:cs="Times New Roman"/>
          <w:i/>
        </w:rPr>
        <w:t>The</w:t>
      </w:r>
      <w:r w:rsidR="007834AB" w:rsidRPr="007834AB">
        <w:rPr>
          <w:rFonts w:eastAsia="Times New Roman" w:cs="Times New Roman"/>
          <w:i/>
        </w:rPr>
        <w:t xml:space="preserve"> Book of Daniel</w:t>
      </w:r>
      <w:r w:rsidR="007834AB" w:rsidRPr="007834AB">
        <w:rPr>
          <w:rFonts w:eastAsia="Times New Roman" w:cs="Times New Roman"/>
        </w:rPr>
        <w:t>, 480-94.</w:t>
      </w:r>
      <w:r w:rsidR="007834AB">
        <w:t xml:space="preserve"> </w:t>
      </w:r>
      <w:r w:rsidRPr="00C80F17">
        <w:rPr>
          <w:b/>
        </w:rPr>
        <w:t>Staub, U.</w:t>
      </w:r>
      <w:r w:rsidRPr="0066103C">
        <w:t xml:space="preserve"> “Das Tier mit den H</w:t>
      </w:r>
      <w:r w:rsidR="008777E3" w:rsidRPr="0066103C">
        <w:t xml:space="preserve">örnern.” </w:t>
      </w:r>
      <w:r w:rsidR="00AC6404" w:rsidRPr="00C80F17">
        <w:rPr>
          <w:rFonts w:eastAsiaTheme="minorHAnsi" w:cs="TimesBasis"/>
          <w:b/>
        </w:rPr>
        <w:t>Stokes, R. E.</w:t>
      </w:r>
      <w:r w:rsidR="00AC6404" w:rsidRPr="0066103C">
        <w:rPr>
          <w:rFonts w:eastAsiaTheme="minorHAnsi" w:cs="TimesBasis"/>
        </w:rPr>
        <w:t xml:space="preserve"> “The Throne Visions of Daniel 7, </w:t>
      </w:r>
      <w:r w:rsidR="00AC6404" w:rsidRPr="0066103C">
        <w:rPr>
          <w:rFonts w:eastAsiaTheme="minorHAnsi" w:cs="TimesBasis-Italic"/>
          <w:i/>
          <w:iCs/>
        </w:rPr>
        <w:t xml:space="preserve">1 Enoch </w:t>
      </w:r>
      <w:r w:rsidR="00AC6404" w:rsidRPr="0066103C">
        <w:rPr>
          <w:rFonts w:eastAsiaTheme="minorHAnsi" w:cs="TimesBasis"/>
        </w:rPr>
        <w:t xml:space="preserve">14, and the Qumran </w:t>
      </w:r>
      <w:r w:rsidR="00AC6404" w:rsidRPr="0066103C">
        <w:rPr>
          <w:rFonts w:eastAsiaTheme="minorHAnsi" w:cs="TimesBasis-Italic"/>
          <w:i/>
          <w:iCs/>
        </w:rPr>
        <w:t xml:space="preserve">Book of Giants </w:t>
      </w:r>
      <w:r w:rsidR="00AC6404" w:rsidRPr="0066103C">
        <w:rPr>
          <w:rFonts w:eastAsiaTheme="minorHAnsi" w:cs="TimesBasis"/>
        </w:rPr>
        <w:t xml:space="preserve">(4Q530).” </w:t>
      </w:r>
      <w:r w:rsidRPr="00C80F17">
        <w:rPr>
          <w:b/>
        </w:rPr>
        <w:t>Stott, W.</w:t>
      </w:r>
      <w:r w:rsidRPr="0066103C">
        <w:t xml:space="preserve"> “‘Son of Man’—a Title of Abasem</w:t>
      </w:r>
      <w:r w:rsidR="008777E3" w:rsidRPr="0066103C">
        <w:t xml:space="preserve">ent.” </w:t>
      </w:r>
      <w:r w:rsidR="00136C59" w:rsidRPr="00C80F17">
        <w:rPr>
          <w:b/>
          <w:bCs/>
        </w:rPr>
        <w:t>Stuckenbruck, L. T.</w:t>
      </w:r>
      <w:r w:rsidR="00136C59" w:rsidRPr="0066103C">
        <w:rPr>
          <w:bCs/>
        </w:rPr>
        <w:t xml:space="preserve"> </w:t>
      </w:r>
      <w:r w:rsidR="00136C59" w:rsidRPr="0066103C">
        <w:rPr>
          <w:rFonts w:eastAsiaTheme="minorHAnsi" w:cs="TimesNewRomanPS-BoldMT"/>
          <w:bCs/>
        </w:rPr>
        <w:t>“‘</w:t>
      </w:r>
      <w:r w:rsidR="00A323F8" w:rsidRPr="0066103C">
        <w:rPr>
          <w:rFonts w:eastAsiaTheme="minorHAnsi" w:cs="TimesNewRomanPS-BoldMT"/>
          <w:bCs/>
        </w:rPr>
        <w:t>One l</w:t>
      </w:r>
      <w:r w:rsidR="00136C59" w:rsidRPr="0066103C">
        <w:rPr>
          <w:rFonts w:eastAsiaTheme="minorHAnsi" w:cs="TimesNewRomanPS-BoldMT"/>
          <w:bCs/>
        </w:rPr>
        <w:t xml:space="preserve">ike a Son of Man as the Ancient of Days.’” </w:t>
      </w:r>
      <w:r w:rsidR="00FF3615" w:rsidRPr="00E52D45">
        <w:rPr>
          <w:rFonts w:eastAsia="Times New Roman"/>
          <w:bCs/>
        </w:rPr>
        <w:t xml:space="preserve">———. </w:t>
      </w:r>
      <w:r w:rsidR="00FF3615">
        <w:rPr>
          <w:bCs/>
        </w:rPr>
        <w:t xml:space="preserve">“The Throne Theophany of the Book of Giants: Some New Light on the Background of Daniel 7.” </w:t>
      </w:r>
      <w:r w:rsidRPr="00C80F17">
        <w:rPr>
          <w:b/>
        </w:rPr>
        <w:t>Süring, M. L.</w:t>
      </w:r>
      <w:r w:rsidRPr="0066103C">
        <w:t xml:space="preserve"> “The Horn-motifs of the Bible and the Ancient Ne</w:t>
      </w:r>
      <w:r w:rsidR="008777E3" w:rsidRPr="0066103C">
        <w:t xml:space="preserve">ar East.” </w:t>
      </w:r>
      <w:r w:rsidRPr="00C80F17">
        <w:rPr>
          <w:b/>
        </w:rPr>
        <w:t>Theisohn, J.</w:t>
      </w:r>
      <w:r w:rsidRPr="0066103C">
        <w:t xml:space="preserve"> </w:t>
      </w:r>
      <w:r w:rsidRPr="0066103C">
        <w:rPr>
          <w:i/>
        </w:rPr>
        <w:t>Der auserwählte Richter</w:t>
      </w:r>
      <w:r w:rsidR="008777E3" w:rsidRPr="0066103C">
        <w:t xml:space="preserve">. </w:t>
      </w:r>
      <w:r w:rsidRPr="00C80F17">
        <w:rPr>
          <w:b/>
        </w:rPr>
        <w:t>Tillman</w:t>
      </w:r>
      <w:r w:rsidR="00E3627E" w:rsidRPr="00C80F17">
        <w:rPr>
          <w:b/>
        </w:rPr>
        <w:t>n</w:t>
      </w:r>
      <w:r w:rsidRPr="00C80F17">
        <w:rPr>
          <w:b/>
        </w:rPr>
        <w:t>, F.</w:t>
      </w:r>
      <w:r w:rsidR="008777E3" w:rsidRPr="0066103C">
        <w:t xml:space="preserve"> “Der Menschensohn.</w:t>
      </w:r>
      <w:r w:rsidRPr="0066103C">
        <w:t xml:space="preserve">” </w:t>
      </w:r>
      <w:r w:rsidRPr="00C80F17">
        <w:rPr>
          <w:b/>
        </w:rPr>
        <w:t>Towner, W. S.</w:t>
      </w:r>
      <w:r w:rsidRPr="0066103C">
        <w:t xml:space="preserve"> “Were the English Puritans ‘the Saints of the Mo</w:t>
      </w:r>
      <w:r w:rsidR="00E3627E" w:rsidRPr="0066103C">
        <w:t xml:space="preserve">st High’?” </w:t>
      </w:r>
      <w:r w:rsidRPr="00C80F17">
        <w:rPr>
          <w:b/>
        </w:rPr>
        <w:t>Tuckett, C.</w:t>
      </w:r>
      <w:r w:rsidRPr="0066103C">
        <w:t xml:space="preserve"> “Rece</w:t>
      </w:r>
      <w:r w:rsidR="00E3627E" w:rsidRPr="0066103C">
        <w:t xml:space="preserve">nt Work on the Son of Man.” </w:t>
      </w:r>
      <w:r w:rsidR="0014770A" w:rsidRPr="00C80F17">
        <w:rPr>
          <w:b/>
          <w:iCs/>
        </w:rPr>
        <w:t>Van Henten</w:t>
      </w:r>
      <w:r w:rsidR="0014770A" w:rsidRPr="00C80F17">
        <w:rPr>
          <w:b/>
        </w:rPr>
        <w:t>, J. W.</w:t>
      </w:r>
      <w:r w:rsidR="00945C8C">
        <w:t xml:space="preserve"> </w:t>
      </w:r>
      <w:r w:rsidR="0014770A" w:rsidRPr="0066103C">
        <w:t>“Antiochus IV a</w:t>
      </w:r>
      <w:r w:rsidR="004254AC" w:rsidRPr="0066103C">
        <w:t>s a Typhonic Figure in Daniel 7,” i</w:t>
      </w:r>
      <w:r w:rsidR="0014770A" w:rsidRPr="0066103C">
        <w:t xml:space="preserve">n van der Woude (ed.), </w:t>
      </w:r>
      <w:r w:rsidR="0014770A" w:rsidRPr="0066103C">
        <w:rPr>
          <w:i/>
        </w:rPr>
        <w:t>The Book of Daniel</w:t>
      </w:r>
      <w:r w:rsidR="0014770A" w:rsidRPr="0066103C">
        <w:t xml:space="preserve">, 223-243. </w:t>
      </w:r>
      <w:r w:rsidRPr="00C80F17">
        <w:rPr>
          <w:b/>
        </w:rPr>
        <w:t>Vermes, G.</w:t>
      </w:r>
      <w:r w:rsidRPr="0066103C">
        <w:t xml:space="preserve"> </w:t>
      </w:r>
      <w:r w:rsidRPr="0066103C">
        <w:rPr>
          <w:i/>
        </w:rPr>
        <w:t>Jesus the Jew</w:t>
      </w:r>
      <w:r w:rsidR="000E601D" w:rsidRPr="0066103C">
        <w:t>,</w:t>
      </w:r>
      <w:r w:rsidRPr="0066103C">
        <w:t xml:space="preserve"> 160–91. </w:t>
      </w:r>
      <w:r w:rsidR="000E601D" w:rsidRPr="0066103C">
        <w:t>———. “The Present State of the ‘Son of Man’ Debate.”</w:t>
      </w:r>
      <w:r w:rsidR="00945C8C">
        <w:t xml:space="preserve"> </w:t>
      </w:r>
      <w:r w:rsidRPr="0066103C">
        <w:t xml:space="preserve">——— “The Use of </w:t>
      </w:r>
      <w:r w:rsidRPr="0066103C">
        <w:rPr>
          <w:rFonts w:ascii="Arial" w:hAnsi="Arial" w:cs="Arial"/>
        </w:rPr>
        <w:t>נש</w:t>
      </w:r>
      <w:r w:rsidR="000E601D" w:rsidRPr="0066103C">
        <w:t xml:space="preserve"> </w:t>
      </w:r>
      <w:r w:rsidR="00F16082" w:rsidRPr="00F16082">
        <w:rPr>
          <w:rFonts w:ascii="Arial" w:hAnsi="Arial" w:cs="Arial"/>
        </w:rPr>
        <w:t>בר</w:t>
      </w:r>
      <w:r w:rsidR="00F16082" w:rsidRPr="00F16082">
        <w:t xml:space="preserve"> /</w:t>
      </w:r>
      <w:r w:rsidR="00F16082">
        <w:t xml:space="preserve"> </w:t>
      </w:r>
      <w:r w:rsidR="00F16082" w:rsidRPr="00F16082">
        <w:rPr>
          <w:rFonts w:ascii="Arial" w:hAnsi="Arial" w:cs="Arial"/>
        </w:rPr>
        <w:t>נשא</w:t>
      </w:r>
      <w:r w:rsidR="00F16082" w:rsidRPr="00F16082">
        <w:t xml:space="preserve"> </w:t>
      </w:r>
      <w:r w:rsidR="00F16082" w:rsidRPr="00F16082">
        <w:rPr>
          <w:rFonts w:ascii="Arial" w:hAnsi="Arial" w:cs="Arial"/>
        </w:rPr>
        <w:t>בר</w:t>
      </w:r>
      <w:r w:rsidR="00F16082" w:rsidRPr="00F16082">
        <w:t xml:space="preserve"> </w:t>
      </w:r>
      <w:r w:rsidR="000E601D" w:rsidRPr="0066103C">
        <w:t>in Jewish Aramaic</w:t>
      </w:r>
      <w:r w:rsidRPr="0066103C">
        <w:t>.</w:t>
      </w:r>
      <w:r w:rsidR="000E601D" w:rsidRPr="0066103C">
        <w:t>”</w:t>
      </w:r>
      <w:r w:rsidRPr="0066103C">
        <w:t xml:space="preserve"> </w:t>
      </w:r>
      <w:r w:rsidR="00E12234" w:rsidRPr="00C80F17">
        <w:rPr>
          <w:rFonts w:eastAsiaTheme="minorHAnsi" w:cs="Times New Roman"/>
          <w:b/>
        </w:rPr>
        <w:t>Viviano, B. T.</w:t>
      </w:r>
      <w:r w:rsidR="00E12234" w:rsidRPr="0066103C">
        <w:rPr>
          <w:rFonts w:eastAsiaTheme="minorHAnsi" w:cs="Times New Roman"/>
        </w:rPr>
        <w:t xml:space="preserve"> “</w:t>
      </w:r>
      <w:r w:rsidR="000E601D" w:rsidRPr="0066103C">
        <w:rPr>
          <w:rFonts w:eastAsiaTheme="minorHAnsi" w:cs="Times New Roman"/>
        </w:rPr>
        <w:t>The Trinity in the OT</w:t>
      </w:r>
      <w:r w:rsidR="00E12234" w:rsidRPr="0066103C">
        <w:rPr>
          <w:rFonts w:eastAsiaTheme="minorHAnsi" w:cs="Times New Roman"/>
        </w:rPr>
        <w:t xml:space="preserve">: </w:t>
      </w:r>
      <w:r w:rsidR="00F16082">
        <w:rPr>
          <w:rFonts w:eastAsiaTheme="minorHAnsi" w:cs="TimesTen-Roman"/>
        </w:rPr>
        <w:t>F</w:t>
      </w:r>
      <w:r w:rsidR="00E12234" w:rsidRPr="0066103C">
        <w:rPr>
          <w:rFonts w:eastAsiaTheme="minorHAnsi" w:cs="TimesTen-Roman"/>
        </w:rPr>
        <w:t>rom Daniel 7:13-14 to Matt 28:19</w:t>
      </w:r>
      <w:r w:rsidR="000E601D" w:rsidRPr="0066103C">
        <w:rPr>
          <w:rFonts w:eastAsiaTheme="minorHAnsi" w:cs="TimesTen-Roman"/>
        </w:rPr>
        <w:t>.</w:t>
      </w:r>
      <w:r w:rsidR="00E12234" w:rsidRPr="0066103C">
        <w:rPr>
          <w:rFonts w:eastAsiaTheme="minorHAnsi" w:cs="Times New Roman"/>
        </w:rPr>
        <w:t xml:space="preserve">” </w:t>
      </w:r>
      <w:r w:rsidRPr="00C80F17">
        <w:rPr>
          <w:b/>
        </w:rPr>
        <w:t xml:space="preserve">Völter, D. </w:t>
      </w:r>
      <w:r w:rsidRPr="0066103C">
        <w:t xml:space="preserve">“Der Menschensohn in </w:t>
      </w:r>
      <w:r w:rsidR="000E601D" w:rsidRPr="0066103C">
        <w:t>Dan 7, 13.”</w:t>
      </w:r>
      <w:r w:rsidRPr="0066103C">
        <w:t xml:space="preserve"> </w:t>
      </w:r>
      <w:r w:rsidR="00F23714" w:rsidRPr="00C80F17">
        <w:rPr>
          <w:rFonts w:eastAsiaTheme="minorHAnsi"/>
          <w:b/>
        </w:rPr>
        <w:t>Wade, L.</w:t>
      </w:r>
      <w:r w:rsidR="00F23714" w:rsidRPr="0066103C">
        <w:rPr>
          <w:rFonts w:eastAsiaTheme="minorHAnsi"/>
        </w:rPr>
        <w:t xml:space="preserve"> “'Son of Man' Comes to the Judgment in Daniel 7:13.” </w:t>
      </w:r>
      <w:r w:rsidRPr="00C80F17">
        <w:rPr>
          <w:b/>
        </w:rPr>
        <w:t>Wagner, M.</w:t>
      </w:r>
      <w:r w:rsidRPr="0066103C">
        <w:t xml:space="preserve"> “Der Menschensohn.”</w:t>
      </w:r>
      <w:r w:rsidR="00945C8C">
        <w:t xml:space="preserve"> </w:t>
      </w:r>
      <w:r w:rsidRPr="00C80F17">
        <w:rPr>
          <w:b/>
        </w:rPr>
        <w:t>Walker, W. O.</w:t>
      </w:r>
      <w:r w:rsidRPr="0066103C">
        <w:t xml:space="preserve"> “Daniel </w:t>
      </w:r>
      <w:r w:rsidR="000E601D" w:rsidRPr="0066103C">
        <w:t xml:space="preserve">7:13–14.” </w:t>
      </w:r>
      <w:r w:rsidR="00FE30E1" w:rsidRPr="00C80F17">
        <w:rPr>
          <w:b/>
          <w:iCs/>
        </w:rPr>
        <w:t>Walton, J. H.</w:t>
      </w:r>
      <w:r w:rsidR="00FE30E1" w:rsidRPr="0066103C">
        <w:rPr>
          <w:iCs/>
        </w:rPr>
        <w:t xml:space="preserve"> “The </w:t>
      </w:r>
      <w:r w:rsidR="00FE30E1" w:rsidRPr="0066103C">
        <w:rPr>
          <w:i/>
          <w:iCs/>
        </w:rPr>
        <w:t>Anzu</w:t>
      </w:r>
      <w:r w:rsidR="00FE30E1" w:rsidRPr="0066103C">
        <w:rPr>
          <w:iCs/>
        </w:rPr>
        <w:t xml:space="preserve"> Myth as Rele</w:t>
      </w:r>
      <w:r w:rsidR="00BF1CBC" w:rsidRPr="0066103C">
        <w:rPr>
          <w:iCs/>
        </w:rPr>
        <w:t>vant Background for Daniel 7?” i</w:t>
      </w:r>
      <w:r w:rsidR="00FE30E1" w:rsidRPr="0066103C">
        <w:rPr>
          <w:iCs/>
        </w:rPr>
        <w:t xml:space="preserve">n </w:t>
      </w:r>
      <w:r w:rsidR="00FE30E1" w:rsidRPr="0066103C">
        <w:rPr>
          <w:bCs/>
          <w:iCs/>
        </w:rPr>
        <w:t xml:space="preserve">Collins/Flint (eds.), </w:t>
      </w:r>
      <w:r w:rsidR="00FE30E1" w:rsidRPr="0066103C">
        <w:rPr>
          <w:bCs/>
          <w:i/>
          <w:iCs/>
        </w:rPr>
        <w:t>The Book of Daniel</w:t>
      </w:r>
      <w:r w:rsidR="00FE30E1" w:rsidRPr="0066103C">
        <w:rPr>
          <w:bCs/>
          <w:iCs/>
        </w:rPr>
        <w:t xml:space="preserve"> </w:t>
      </w:r>
      <w:r w:rsidR="00766E71" w:rsidRPr="0066103C">
        <w:rPr>
          <w:bCs/>
          <w:iCs/>
        </w:rPr>
        <w:t>1:</w:t>
      </w:r>
      <w:r w:rsidR="00FE30E1" w:rsidRPr="0066103C">
        <w:rPr>
          <w:bCs/>
          <w:iCs/>
        </w:rPr>
        <w:t>69-89.</w:t>
      </w:r>
      <w:r w:rsidR="00FE30E1" w:rsidRPr="0066103C">
        <w:t xml:space="preserve"> </w:t>
      </w:r>
      <w:r w:rsidR="00E12234" w:rsidRPr="0066103C">
        <w:t xml:space="preserve">———. “The Four Kingdoms of Daniel.” </w:t>
      </w:r>
      <w:r w:rsidRPr="00C80F17">
        <w:rPr>
          <w:b/>
        </w:rPr>
        <w:lastRenderedPageBreak/>
        <w:t>Waterman, L.</w:t>
      </w:r>
      <w:r w:rsidRPr="0066103C">
        <w:t xml:space="preserve"> “A Gloss on Darius the Mede in Daniel 7 5</w:t>
      </w:r>
      <w:r w:rsidR="000E601D" w:rsidRPr="0066103C">
        <w:t>.</w:t>
      </w:r>
      <w:r w:rsidRPr="0066103C">
        <w:t xml:space="preserve">” </w:t>
      </w:r>
      <w:r w:rsidRPr="00C80F17">
        <w:rPr>
          <w:b/>
        </w:rPr>
        <w:t>Weimar, P.</w:t>
      </w:r>
      <w:r w:rsidR="00FE30E1" w:rsidRPr="0066103C">
        <w:t xml:space="preserve"> “Daniel 7</w:t>
      </w:r>
      <w:r w:rsidR="00557FF7" w:rsidRPr="0066103C">
        <w:t xml:space="preserve">.” </w:t>
      </w:r>
      <w:r w:rsidRPr="00C80F17">
        <w:rPr>
          <w:b/>
        </w:rPr>
        <w:t>Wifall, W.</w:t>
      </w:r>
      <w:r w:rsidRPr="0066103C">
        <w:t xml:space="preserve"> “Son of Man—a Pre-Davidic Social Class?” ———. “David—Prototype of Israel’s Future?” </w:t>
      </w:r>
      <w:r w:rsidRPr="00C80F17">
        <w:rPr>
          <w:b/>
        </w:rPr>
        <w:t>Wilson, F. M.</w:t>
      </w:r>
      <w:r w:rsidRPr="0066103C">
        <w:t xml:space="preserve"> “The Son of Man in Jewish Apocalyptic Literature.” </w:t>
      </w:r>
      <w:r w:rsidR="00C30FAB" w:rsidRPr="00B740B4">
        <w:rPr>
          <w:rFonts w:eastAsiaTheme="minorHAnsi" w:cs="TimesNewRoman"/>
          <w:b/>
        </w:rPr>
        <w:t xml:space="preserve">Wilson, R. R. </w:t>
      </w:r>
      <w:r w:rsidR="00C30FAB" w:rsidRPr="00B740B4">
        <w:rPr>
          <w:rFonts w:eastAsiaTheme="minorHAnsi" w:cs="TimesNewRoman"/>
        </w:rPr>
        <w:t xml:space="preserve">“Creation and New Creation: The Role of Creation Imagery in the Book of Daniel.” </w:t>
      </w:r>
      <w:r w:rsidRPr="00C80F17">
        <w:rPr>
          <w:b/>
        </w:rPr>
        <w:t>Wittstruck, T.</w:t>
      </w:r>
      <w:r w:rsidRPr="0066103C">
        <w:t xml:space="preserve"> “The Influence of Treaty Curse Imagery on the Beast Imagery of Daniel 7.” </w:t>
      </w:r>
      <w:r w:rsidRPr="00C80F17">
        <w:rPr>
          <w:b/>
        </w:rPr>
        <w:t>Young, E. J.</w:t>
      </w:r>
      <w:r w:rsidRPr="0066103C">
        <w:t xml:space="preserve"> </w:t>
      </w:r>
      <w:r w:rsidRPr="0066103C">
        <w:rPr>
          <w:i/>
        </w:rPr>
        <w:t>Daniel’s Vision of the Son of Man</w:t>
      </w:r>
      <w:r w:rsidR="008470A4" w:rsidRPr="0066103C">
        <w:t xml:space="preserve">. </w:t>
      </w:r>
      <w:r w:rsidRPr="00C80F17">
        <w:rPr>
          <w:b/>
        </w:rPr>
        <w:t>Zevit, Z.</w:t>
      </w:r>
      <w:r w:rsidRPr="0066103C">
        <w:t xml:space="preserve"> “The Structure and In</w:t>
      </w:r>
      <w:r w:rsidR="008470A4" w:rsidRPr="0066103C">
        <w:t>dividual Elements of Daniel 7.”</w:t>
      </w:r>
    </w:p>
    <w:p w:rsidR="004F0A02" w:rsidRPr="0066103C" w:rsidRDefault="004F0A02" w:rsidP="004F0A02">
      <w:r w:rsidRPr="0066103C">
        <w:t>On the four kingdoms</w:t>
      </w:r>
      <w:r w:rsidR="0019733A">
        <w:t xml:space="preserve">, see also the chap. 2 </w:t>
      </w:r>
      <w:r w:rsidR="0019733A" w:rsidRPr="0019733A">
        <w:rPr>
          <w:i/>
        </w:rPr>
        <w:t>B</w:t>
      </w:r>
      <w:r w:rsidR="00FE30E1" w:rsidRPr="0019733A">
        <w:rPr>
          <w:i/>
        </w:rPr>
        <w:t>ibliography</w:t>
      </w:r>
      <w:r w:rsidR="00FE30E1" w:rsidRPr="0066103C">
        <w:t>.</w:t>
      </w:r>
    </w:p>
    <w:p w:rsidR="006B5293" w:rsidRPr="00CC1756" w:rsidRDefault="006B5293" w:rsidP="00CC1756">
      <w:pPr>
        <w:pStyle w:val="Heading2"/>
      </w:pPr>
      <w:r w:rsidRPr="00CC1756">
        <w:t>Translation</w:t>
      </w:r>
    </w:p>
    <w:p w:rsidR="006B5293" w:rsidRPr="0066103C" w:rsidRDefault="006B5293" w:rsidP="006B5293">
      <w:pPr>
        <w:rPr>
          <w:rFonts w:eastAsia="Times New Roman"/>
          <w:i/>
          <w:noProof/>
        </w:rPr>
      </w:pPr>
      <w:r w:rsidRPr="0066103C">
        <w:rPr>
          <w:rFonts w:eastAsia="Times New Roman"/>
          <w:i/>
          <w:noProof/>
          <w:vertAlign w:val="superscript"/>
        </w:rPr>
        <w:t>1</w:t>
      </w:r>
      <w:r w:rsidR="00B712C9" w:rsidRPr="0066103C">
        <w:rPr>
          <w:rFonts w:eastAsia="Times New Roman"/>
          <w:i/>
          <w:noProof/>
        </w:rPr>
        <w:t>In the first year of Bel’šaṣṣar</w:t>
      </w:r>
      <w:r w:rsidRPr="0066103C">
        <w:rPr>
          <w:rFonts w:eastAsia="Times New Roman"/>
          <w:i/>
          <w:noProof/>
        </w:rPr>
        <w:t>,</w:t>
      </w:r>
      <w:r w:rsidRPr="0066103C">
        <w:rPr>
          <w:rFonts w:eastAsia="Times New Roman"/>
          <w:i/>
          <w:noProof/>
          <w:vertAlign w:val="superscript"/>
        </w:rPr>
        <w:t>a</w:t>
      </w:r>
      <w:r w:rsidR="00B712C9" w:rsidRPr="0066103C">
        <w:rPr>
          <w:rFonts w:eastAsia="Times New Roman"/>
          <w:i/>
          <w:noProof/>
        </w:rPr>
        <w:t xml:space="preserve"> king of Babel, Da</w:t>
      </w:r>
      <w:r w:rsidRPr="0066103C">
        <w:rPr>
          <w:rFonts w:eastAsia="Times New Roman"/>
          <w:i/>
          <w:noProof/>
        </w:rPr>
        <w:t>ni</w:t>
      </w:r>
      <w:r w:rsidR="00B712C9" w:rsidRPr="0066103C">
        <w:rPr>
          <w:rFonts w:eastAsia="Times New Roman"/>
          <w:i/>
          <w:noProof/>
        </w:rPr>
        <w:t>yy</w:t>
      </w:r>
      <w:r w:rsidRPr="0066103C">
        <w:rPr>
          <w:rFonts w:eastAsia="Times New Roman"/>
          <w:i/>
          <w:noProof/>
        </w:rPr>
        <w:t>e</w:t>
      </w:r>
      <w:r w:rsidR="00B712C9" w:rsidRPr="0066103C">
        <w:rPr>
          <w:rFonts w:eastAsia="Times New Roman"/>
          <w:i/>
          <w:noProof/>
        </w:rPr>
        <w:t>’</w:t>
      </w:r>
      <w:r w:rsidRPr="0066103C">
        <w:rPr>
          <w:rFonts w:eastAsia="Times New Roman"/>
          <w:i/>
          <w:noProof/>
        </w:rPr>
        <w:t xml:space="preserve">l had a dream, </w:t>
      </w:r>
      <w:r w:rsidRPr="0066103C">
        <w:rPr>
          <w:rFonts w:eastAsia="Times New Roman"/>
          <w:i/>
          <w:noProof/>
          <w:vertAlign w:val="superscript"/>
        </w:rPr>
        <w:t>b</w:t>
      </w:r>
      <w:r w:rsidRPr="0066103C">
        <w:rPr>
          <w:rFonts w:eastAsia="Times New Roman"/>
          <w:i/>
          <w:noProof/>
        </w:rPr>
        <w:t>a vision which came into his head as he lay in bed.</w:t>
      </w:r>
      <w:r w:rsidRPr="0066103C">
        <w:rPr>
          <w:rFonts w:eastAsia="Times New Roman"/>
          <w:i/>
          <w:noProof/>
          <w:vertAlign w:val="superscript"/>
        </w:rPr>
        <w:t>b</w:t>
      </w:r>
      <w:r w:rsidRPr="0066103C">
        <w:rPr>
          <w:rFonts w:eastAsia="Times New Roman"/>
          <w:i/>
          <w:noProof/>
        </w:rPr>
        <w:t xml:space="preserve"> He wrote the dream down. </w:t>
      </w:r>
      <w:r w:rsidR="00D428F6" w:rsidRPr="0066103C">
        <w:rPr>
          <w:rFonts w:eastAsia="Times New Roman"/>
          <w:i/>
          <w:noProof/>
          <w:vertAlign w:val="superscript"/>
        </w:rPr>
        <w:t>c</w:t>
      </w:r>
      <w:r w:rsidRPr="0066103C">
        <w:rPr>
          <w:rFonts w:eastAsia="Times New Roman"/>
          <w:i/>
          <w:noProof/>
        </w:rPr>
        <w:t>The beginning of the account</w:t>
      </w:r>
      <w:r w:rsidR="00D04FE1">
        <w:rPr>
          <w:rFonts w:eastAsia="Times New Roman"/>
          <w:i/>
          <w:noProof/>
        </w:rPr>
        <w:t>.</w:t>
      </w:r>
      <w:r w:rsidRPr="0066103C">
        <w:rPr>
          <w:rFonts w:eastAsia="Times New Roman"/>
          <w:i/>
          <w:noProof/>
          <w:vertAlign w:val="superscript"/>
        </w:rPr>
        <w:t>c</w:t>
      </w:r>
      <w:r w:rsidRPr="0066103C">
        <w:rPr>
          <w:rFonts w:eastAsia="Times New Roman"/>
          <w:i/>
          <w:noProof/>
        </w:rPr>
        <w:t xml:space="preserve"> </w:t>
      </w:r>
      <w:r w:rsidRPr="0066103C">
        <w:rPr>
          <w:rFonts w:eastAsia="Times New Roman"/>
          <w:i/>
          <w:noProof/>
          <w:vertAlign w:val="superscript"/>
        </w:rPr>
        <w:t>2</w:t>
      </w:r>
      <w:r w:rsidR="00AB4164" w:rsidRPr="0066103C">
        <w:rPr>
          <w:rFonts w:eastAsia="Times New Roman"/>
          <w:i/>
          <w:noProof/>
        </w:rPr>
        <w:t>Daniel averr</w:t>
      </w:r>
      <w:r w:rsidR="00D04FE1">
        <w:rPr>
          <w:rFonts w:eastAsia="Times New Roman"/>
          <w:i/>
          <w:noProof/>
        </w:rPr>
        <w:t>ed:</w:t>
      </w:r>
      <w:r w:rsidRPr="0066103C">
        <w:rPr>
          <w:rFonts w:eastAsia="Times New Roman"/>
          <w:i/>
          <w:noProof/>
          <w:vertAlign w:val="superscript"/>
        </w:rPr>
        <w:t>a</w:t>
      </w:r>
      <w:r w:rsidRPr="0066103C">
        <w:rPr>
          <w:rFonts w:eastAsia="Times New Roman"/>
          <w:i/>
          <w:noProof/>
        </w:rPr>
        <w:t xml:space="preserve"> </w:t>
      </w:r>
    </w:p>
    <w:p w:rsidR="006B5293" w:rsidRPr="0066103C" w:rsidRDefault="006B5293" w:rsidP="006B5293">
      <w:pPr>
        <w:rPr>
          <w:rFonts w:eastAsia="Times New Roman"/>
          <w:i/>
          <w:noProof/>
        </w:rPr>
      </w:pPr>
    </w:p>
    <w:p w:rsidR="006B5293" w:rsidRPr="0066103C" w:rsidRDefault="006B5293" w:rsidP="006B5293">
      <w:pPr>
        <w:rPr>
          <w:rFonts w:eastAsia="Times New Roman"/>
          <w:i/>
          <w:noProof/>
        </w:rPr>
      </w:pPr>
      <w:r w:rsidRPr="0066103C">
        <w:rPr>
          <w:rFonts w:eastAsia="Times New Roman"/>
          <w:i/>
          <w:noProof/>
        </w:rPr>
        <w:t>I watched in my vision during</w:t>
      </w:r>
      <w:r w:rsidRPr="0066103C">
        <w:rPr>
          <w:rFonts w:eastAsia="Times New Roman"/>
          <w:i/>
          <w:noProof/>
          <w:vertAlign w:val="superscript"/>
        </w:rPr>
        <w:t>b</w:t>
      </w:r>
      <w:r w:rsidRPr="0066103C">
        <w:rPr>
          <w:rFonts w:eastAsia="Times New Roman"/>
          <w:i/>
          <w:noProof/>
        </w:rPr>
        <w:t xml:space="preserve"> the night, and there before me were the four winds of the heavens stirring up</w:t>
      </w:r>
      <w:r w:rsidRPr="0066103C">
        <w:rPr>
          <w:rFonts w:eastAsia="Times New Roman"/>
          <w:i/>
          <w:noProof/>
          <w:vertAlign w:val="superscript"/>
        </w:rPr>
        <w:t>c</w:t>
      </w:r>
      <w:r w:rsidRPr="0066103C">
        <w:rPr>
          <w:rFonts w:eastAsia="Times New Roman"/>
          <w:i/>
          <w:noProof/>
        </w:rPr>
        <w:t xml:space="preserve"> the Great Sea, </w:t>
      </w:r>
      <w:r w:rsidRPr="0066103C">
        <w:rPr>
          <w:rFonts w:eastAsia="Times New Roman"/>
          <w:i/>
          <w:noProof/>
          <w:vertAlign w:val="superscript"/>
        </w:rPr>
        <w:t>3</w:t>
      </w:r>
      <w:r w:rsidRPr="0066103C">
        <w:rPr>
          <w:rFonts w:eastAsia="Times New Roman"/>
          <w:i/>
          <w:noProof/>
        </w:rPr>
        <w:t xml:space="preserve">and four huge animals coming up out of the sea, each differing from the others. </w:t>
      </w:r>
      <w:r w:rsidRPr="0066103C">
        <w:rPr>
          <w:rFonts w:eastAsia="Times New Roman"/>
          <w:i/>
          <w:noProof/>
          <w:vertAlign w:val="superscript"/>
        </w:rPr>
        <w:t>4</w:t>
      </w:r>
      <w:r w:rsidRPr="0066103C">
        <w:rPr>
          <w:rFonts w:eastAsia="Times New Roman"/>
          <w:i/>
          <w:noProof/>
        </w:rPr>
        <w:t>The first was like a lion, but it had the wings of an eagle.</w:t>
      </w:r>
      <w:r w:rsidRPr="0066103C">
        <w:rPr>
          <w:rFonts w:eastAsia="Times New Roman"/>
          <w:i/>
          <w:noProof/>
          <w:vertAlign w:val="superscript"/>
        </w:rPr>
        <w:t>a</w:t>
      </w:r>
      <w:r w:rsidRPr="0066103C">
        <w:rPr>
          <w:rFonts w:eastAsia="Times New Roman"/>
          <w:i/>
          <w:noProof/>
        </w:rPr>
        <w:t xml:space="preserve"> I watched as its wings were plucked off; it was raised</w:t>
      </w:r>
      <w:r w:rsidRPr="0066103C">
        <w:rPr>
          <w:rFonts w:eastAsia="Times New Roman"/>
          <w:i/>
          <w:noProof/>
          <w:vertAlign w:val="superscript"/>
        </w:rPr>
        <w:t>b</w:t>
      </w:r>
      <w:r w:rsidRPr="0066103C">
        <w:rPr>
          <w:rFonts w:eastAsia="Times New Roman"/>
          <w:i/>
          <w:noProof/>
        </w:rPr>
        <w:t xml:space="preserve"> from the ground </w:t>
      </w:r>
      <w:r w:rsidRPr="0066103C">
        <w:rPr>
          <w:rFonts w:eastAsia="Times New Roman"/>
          <w:i/>
          <w:noProof/>
          <w:vertAlign w:val="superscript"/>
        </w:rPr>
        <w:t>c</w:t>
      </w:r>
      <w:r w:rsidRPr="0066103C">
        <w:rPr>
          <w:rFonts w:eastAsia="Times New Roman"/>
          <w:i/>
          <w:noProof/>
        </w:rPr>
        <w:t>and lifted up</w:t>
      </w:r>
      <w:r w:rsidRPr="0066103C">
        <w:rPr>
          <w:rFonts w:eastAsia="Times New Roman"/>
          <w:i/>
          <w:noProof/>
          <w:vertAlign w:val="superscript"/>
        </w:rPr>
        <w:t>d</w:t>
      </w:r>
      <w:r w:rsidRPr="0066103C">
        <w:rPr>
          <w:rFonts w:eastAsia="Times New Roman"/>
          <w:i/>
          <w:noProof/>
        </w:rPr>
        <w:t xml:space="preserve"> on </w:t>
      </w:r>
      <w:r w:rsidRPr="0066103C">
        <w:rPr>
          <w:rFonts w:eastAsia="Times New Roman"/>
          <w:i/>
          <w:noProof/>
          <w:vertAlign w:val="superscript"/>
        </w:rPr>
        <w:t>e</w:t>
      </w:r>
      <w:r w:rsidRPr="0066103C">
        <w:rPr>
          <w:rFonts w:eastAsia="Times New Roman"/>
          <w:i/>
          <w:noProof/>
        </w:rPr>
        <w:t>two feet</w:t>
      </w:r>
      <w:r w:rsidRPr="0066103C">
        <w:rPr>
          <w:rFonts w:eastAsia="Times New Roman"/>
          <w:i/>
          <w:noProof/>
          <w:vertAlign w:val="superscript"/>
        </w:rPr>
        <w:t>e</w:t>
      </w:r>
      <w:r w:rsidRPr="0066103C">
        <w:rPr>
          <w:rFonts w:eastAsia="Times New Roman"/>
          <w:i/>
          <w:noProof/>
        </w:rPr>
        <w:t xml:space="preserve"> like a man, and a man’s mind was given to it.</w:t>
      </w:r>
      <w:r w:rsidRPr="0066103C">
        <w:rPr>
          <w:rFonts w:eastAsia="Times New Roman"/>
          <w:i/>
          <w:noProof/>
          <w:vertAlign w:val="superscript"/>
        </w:rPr>
        <w:t>c</w:t>
      </w:r>
      <w:r w:rsidRPr="0066103C">
        <w:rPr>
          <w:rFonts w:eastAsia="Times New Roman"/>
          <w:i/>
          <w:noProof/>
        </w:rPr>
        <w:t xml:space="preserve"> </w:t>
      </w:r>
      <w:r w:rsidRPr="0066103C">
        <w:rPr>
          <w:rFonts w:eastAsia="Times New Roman"/>
          <w:i/>
          <w:noProof/>
          <w:vertAlign w:val="superscript"/>
        </w:rPr>
        <w:t>5</w:t>
      </w:r>
      <w:r w:rsidRPr="0066103C">
        <w:rPr>
          <w:rFonts w:eastAsia="Times New Roman"/>
          <w:i/>
          <w:noProof/>
        </w:rPr>
        <w:t>Then there before me was a second animal, a different</w:t>
      </w:r>
      <w:r w:rsidRPr="0066103C">
        <w:rPr>
          <w:rFonts w:eastAsia="Times New Roman"/>
          <w:i/>
          <w:noProof/>
          <w:vertAlign w:val="superscript"/>
        </w:rPr>
        <w:t>a</w:t>
      </w:r>
      <w:r w:rsidR="004803BD" w:rsidRPr="0066103C">
        <w:rPr>
          <w:rFonts w:eastAsia="Times New Roman"/>
          <w:i/>
          <w:noProof/>
        </w:rPr>
        <w:t xml:space="preserve"> one, resembling</w:t>
      </w:r>
      <w:r w:rsidRPr="0066103C">
        <w:rPr>
          <w:rFonts w:eastAsia="Times New Roman"/>
          <w:i/>
          <w:noProof/>
        </w:rPr>
        <w:t xml:space="preserve"> a bear, but it was lifted up</w:t>
      </w:r>
      <w:r w:rsidRPr="0066103C">
        <w:rPr>
          <w:rFonts w:eastAsia="Times New Roman"/>
          <w:i/>
          <w:noProof/>
          <w:vertAlign w:val="superscript"/>
        </w:rPr>
        <w:t>b</w:t>
      </w:r>
      <w:r w:rsidRPr="0066103C">
        <w:rPr>
          <w:rFonts w:eastAsia="Times New Roman"/>
          <w:i/>
          <w:noProof/>
        </w:rPr>
        <w:t xml:space="preserve"> on one side.</w:t>
      </w:r>
      <w:r w:rsidRPr="0066103C">
        <w:rPr>
          <w:rFonts w:eastAsia="Times New Roman"/>
          <w:i/>
          <w:noProof/>
          <w:vertAlign w:val="superscript"/>
        </w:rPr>
        <w:t>c</w:t>
      </w:r>
      <w:r w:rsidRPr="0066103C">
        <w:rPr>
          <w:rFonts w:eastAsia="Times New Roman"/>
          <w:i/>
          <w:noProof/>
        </w:rPr>
        <w:t xml:space="preserve"> </w:t>
      </w:r>
      <w:r w:rsidRPr="0066103C">
        <w:rPr>
          <w:rFonts w:eastAsia="Times New Roman"/>
          <w:i/>
          <w:noProof/>
          <w:vertAlign w:val="superscript"/>
        </w:rPr>
        <w:t>d</w:t>
      </w:r>
      <w:r w:rsidRPr="0066103C">
        <w:rPr>
          <w:rFonts w:eastAsia="Times New Roman"/>
          <w:i/>
          <w:noProof/>
        </w:rPr>
        <w:t>It had three ribs</w:t>
      </w:r>
      <w:r w:rsidRPr="0066103C">
        <w:rPr>
          <w:rFonts w:eastAsia="Times New Roman"/>
          <w:i/>
          <w:noProof/>
          <w:vertAlign w:val="superscript"/>
        </w:rPr>
        <w:t>e</w:t>
      </w:r>
      <w:r w:rsidRPr="0066103C">
        <w:rPr>
          <w:rFonts w:eastAsia="Times New Roman"/>
          <w:i/>
          <w:noProof/>
        </w:rPr>
        <w:t xml:space="preserve"> in its mouth, between its teeth. It was told, “Get up, eat lots of meat.”</w:t>
      </w:r>
      <w:r w:rsidRPr="0066103C">
        <w:rPr>
          <w:rFonts w:eastAsia="Times New Roman"/>
          <w:i/>
          <w:noProof/>
          <w:vertAlign w:val="superscript"/>
        </w:rPr>
        <w:t>d</w:t>
      </w:r>
      <w:r w:rsidRPr="0066103C">
        <w:rPr>
          <w:rFonts w:eastAsia="Times New Roman"/>
          <w:i/>
          <w:noProof/>
        </w:rPr>
        <w:t xml:space="preserve"> </w:t>
      </w:r>
      <w:r w:rsidRPr="0066103C">
        <w:rPr>
          <w:rFonts w:eastAsia="Times New Roman"/>
          <w:i/>
          <w:noProof/>
          <w:vertAlign w:val="superscript"/>
        </w:rPr>
        <w:t>6</w:t>
      </w:r>
      <w:r w:rsidRPr="0066103C">
        <w:rPr>
          <w:rFonts w:eastAsia="Times New Roman"/>
          <w:i/>
          <w:noProof/>
        </w:rPr>
        <w:t>After that I watched and there before me was another</w:t>
      </w:r>
      <w:r w:rsidRPr="0066103C">
        <w:rPr>
          <w:rFonts w:eastAsia="Times New Roman"/>
          <w:i/>
          <w:noProof/>
          <w:vertAlign w:val="superscript"/>
        </w:rPr>
        <w:t>a</w:t>
      </w:r>
      <w:r w:rsidRPr="0066103C">
        <w:rPr>
          <w:rFonts w:eastAsia="Times New Roman"/>
          <w:i/>
          <w:noProof/>
        </w:rPr>
        <w:t xml:space="preserve"> like a leopard, but it had four bird’s wings on its back.</w:t>
      </w:r>
      <w:r w:rsidRPr="0066103C">
        <w:rPr>
          <w:rFonts w:eastAsia="Times New Roman"/>
          <w:i/>
          <w:noProof/>
          <w:vertAlign w:val="superscript"/>
        </w:rPr>
        <w:t>b</w:t>
      </w:r>
      <w:r w:rsidRPr="0066103C">
        <w:rPr>
          <w:rFonts w:eastAsia="Times New Roman"/>
          <w:i/>
          <w:noProof/>
        </w:rPr>
        <w:t xml:space="preserve"> The animal also had four heads, and authority was given to it. </w:t>
      </w:r>
    </w:p>
    <w:p w:rsidR="006B5293" w:rsidRPr="0066103C" w:rsidRDefault="006B5293" w:rsidP="006B5293">
      <w:pPr>
        <w:rPr>
          <w:rFonts w:eastAsia="Times New Roman"/>
          <w:i/>
          <w:noProof/>
          <w:vertAlign w:val="superscript"/>
        </w:rPr>
      </w:pPr>
      <w:r w:rsidRPr="0066103C">
        <w:rPr>
          <w:rFonts w:eastAsia="Times New Roman"/>
          <w:i/>
          <w:noProof/>
          <w:vertAlign w:val="superscript"/>
        </w:rPr>
        <w:t>7</w:t>
      </w:r>
      <w:r w:rsidRPr="0066103C">
        <w:rPr>
          <w:rFonts w:eastAsia="Times New Roman"/>
          <w:i/>
          <w:noProof/>
        </w:rPr>
        <w:t>After that, as I watched in the vision during the night, there before me was a fourth animal, fearful and terrifying,</w:t>
      </w:r>
      <w:r w:rsidRPr="0066103C">
        <w:rPr>
          <w:rFonts w:eastAsia="Times New Roman"/>
          <w:i/>
          <w:noProof/>
          <w:vertAlign w:val="superscript"/>
        </w:rPr>
        <w:t>a</w:t>
      </w:r>
      <w:r w:rsidRPr="0066103C">
        <w:rPr>
          <w:rFonts w:eastAsia="Times New Roman"/>
          <w:i/>
          <w:noProof/>
        </w:rPr>
        <w:t xml:space="preserve"> extraordinarily strong and with big iron teeth,</w:t>
      </w:r>
      <w:r w:rsidRPr="0066103C">
        <w:rPr>
          <w:rFonts w:eastAsia="Times New Roman"/>
          <w:i/>
          <w:noProof/>
          <w:vertAlign w:val="superscript"/>
        </w:rPr>
        <w:t>b</w:t>
      </w:r>
      <w:r w:rsidRPr="0066103C">
        <w:rPr>
          <w:rFonts w:eastAsia="Times New Roman"/>
          <w:i/>
          <w:noProof/>
        </w:rPr>
        <w:t xml:space="preserve"> eating and crushing and trampling underfoot what was left: it behaved differently</w:t>
      </w:r>
      <w:r w:rsidRPr="0066103C">
        <w:rPr>
          <w:rFonts w:eastAsia="Times New Roman"/>
          <w:i/>
          <w:noProof/>
          <w:vertAlign w:val="superscript"/>
        </w:rPr>
        <w:t>c</w:t>
      </w:r>
      <w:r w:rsidRPr="0066103C">
        <w:rPr>
          <w:rFonts w:eastAsia="Times New Roman"/>
          <w:i/>
          <w:noProof/>
        </w:rPr>
        <w:t xml:space="preserve"> from all the animals before it. It also had ten horns. </w:t>
      </w:r>
      <w:r w:rsidRPr="0066103C">
        <w:rPr>
          <w:rFonts w:eastAsia="Times New Roman"/>
          <w:i/>
          <w:noProof/>
          <w:vertAlign w:val="superscript"/>
        </w:rPr>
        <w:t>8</w:t>
      </w:r>
      <w:r w:rsidRPr="0066103C">
        <w:rPr>
          <w:rFonts w:eastAsia="Times New Roman"/>
          <w:i/>
          <w:noProof/>
        </w:rPr>
        <w:t>As I looked at the horns, there before me another, small horn came up</w:t>
      </w:r>
      <w:r w:rsidRPr="0066103C">
        <w:rPr>
          <w:rFonts w:eastAsia="Times New Roman"/>
          <w:i/>
          <w:noProof/>
          <w:vertAlign w:val="superscript"/>
        </w:rPr>
        <w:t>a</w:t>
      </w:r>
      <w:r w:rsidRPr="0066103C">
        <w:rPr>
          <w:rFonts w:eastAsia="Times New Roman"/>
          <w:i/>
          <w:noProof/>
        </w:rPr>
        <w:t xml:space="preserve"> among them, and three of the first horns were uprooted</w:t>
      </w:r>
      <w:r w:rsidRPr="0066103C">
        <w:rPr>
          <w:rFonts w:eastAsia="Times New Roman"/>
          <w:i/>
          <w:noProof/>
          <w:vertAlign w:val="superscript"/>
        </w:rPr>
        <w:t>b</w:t>
      </w:r>
      <w:r w:rsidRPr="0066103C">
        <w:rPr>
          <w:rFonts w:eastAsia="Times New Roman"/>
          <w:i/>
          <w:noProof/>
        </w:rPr>
        <w:t xml:space="preserve"> before it. And there in this horn were eyes</w:t>
      </w:r>
      <w:r w:rsidRPr="0066103C">
        <w:rPr>
          <w:rFonts w:eastAsia="Times New Roman"/>
          <w:i/>
          <w:noProof/>
          <w:vertAlign w:val="superscript"/>
        </w:rPr>
        <w:t>c</w:t>
      </w:r>
      <w:r w:rsidRPr="0066103C">
        <w:rPr>
          <w:rFonts w:eastAsia="Times New Roman"/>
          <w:i/>
          <w:noProof/>
        </w:rPr>
        <w:t xml:space="preserve"> like a man’s and a mouth </w:t>
      </w:r>
      <w:r w:rsidRPr="0066103C">
        <w:rPr>
          <w:rFonts w:eastAsia="Times New Roman"/>
          <w:i/>
          <w:noProof/>
          <w:vertAlign w:val="superscript"/>
        </w:rPr>
        <w:t>d</w:t>
      </w:r>
      <w:r w:rsidRPr="0066103C">
        <w:rPr>
          <w:rFonts w:eastAsia="Times New Roman"/>
          <w:i/>
          <w:noProof/>
        </w:rPr>
        <w:t>making great statements.</w:t>
      </w:r>
      <w:r w:rsidRPr="0066103C">
        <w:rPr>
          <w:rFonts w:eastAsia="Times New Roman"/>
          <w:i/>
          <w:noProof/>
          <w:vertAlign w:val="superscript"/>
        </w:rPr>
        <w:t>d</w:t>
      </w:r>
    </w:p>
    <w:p w:rsidR="006B5293" w:rsidRPr="0066103C" w:rsidRDefault="006B5293" w:rsidP="006B5293">
      <w:pPr>
        <w:rPr>
          <w:rFonts w:eastAsia="Times New Roman"/>
          <w:i/>
          <w:noProof/>
        </w:rPr>
      </w:pPr>
    </w:p>
    <w:p w:rsidR="006B5293" w:rsidRPr="0066103C" w:rsidRDefault="006B5293" w:rsidP="006B5293">
      <w:pPr>
        <w:rPr>
          <w:rFonts w:eastAsia="Times New Roman"/>
          <w:i/>
          <w:noProof/>
        </w:rPr>
      </w:pPr>
      <w:r w:rsidRPr="0066103C">
        <w:rPr>
          <w:rFonts w:eastAsia="Times New Roman"/>
          <w:i/>
          <w:noProof/>
          <w:vertAlign w:val="superscript"/>
        </w:rPr>
        <w:t>9</w:t>
      </w:r>
      <w:r w:rsidRPr="0066103C">
        <w:rPr>
          <w:rFonts w:eastAsia="Times New Roman"/>
          <w:i/>
          <w:noProof/>
        </w:rPr>
        <w:t xml:space="preserve">I watched as thrones were </w:t>
      </w:r>
      <w:r w:rsidRPr="0066103C">
        <w:rPr>
          <w:rFonts w:eastAsia="Times New Roman"/>
          <w:i/>
          <w:noProof/>
          <w:vertAlign w:val="superscript"/>
        </w:rPr>
        <w:t>a</w:t>
      </w:r>
      <w:r w:rsidRPr="0066103C">
        <w:rPr>
          <w:rFonts w:eastAsia="Times New Roman"/>
          <w:i/>
          <w:noProof/>
        </w:rPr>
        <w:t>set in place</w:t>
      </w:r>
      <w:r w:rsidRPr="0066103C">
        <w:rPr>
          <w:rFonts w:eastAsia="Times New Roman"/>
          <w:i/>
          <w:noProof/>
          <w:vertAlign w:val="superscript"/>
        </w:rPr>
        <w:t>a</w:t>
      </w:r>
    </w:p>
    <w:p w:rsidR="006B5293" w:rsidRPr="0066103C" w:rsidRDefault="006B5293" w:rsidP="006B5293">
      <w:pPr>
        <w:rPr>
          <w:rFonts w:eastAsia="Times New Roman"/>
          <w:i/>
          <w:noProof/>
        </w:rPr>
      </w:pPr>
      <w:r w:rsidRPr="0066103C">
        <w:rPr>
          <w:rFonts w:eastAsia="Times New Roman"/>
          <w:i/>
          <w:noProof/>
        </w:rPr>
        <w:tab/>
        <w:t>and one advanced in years</w:t>
      </w:r>
      <w:r w:rsidRPr="0066103C">
        <w:rPr>
          <w:rFonts w:eastAsia="Times New Roman"/>
          <w:i/>
          <w:noProof/>
          <w:vertAlign w:val="superscript"/>
        </w:rPr>
        <w:t>b</w:t>
      </w:r>
      <w:r w:rsidRPr="0066103C">
        <w:rPr>
          <w:rFonts w:eastAsia="Times New Roman"/>
          <w:i/>
          <w:noProof/>
        </w:rPr>
        <w:t xml:space="preserve"> took his seat.</w:t>
      </w:r>
    </w:p>
    <w:p w:rsidR="006B5293" w:rsidRPr="0066103C" w:rsidRDefault="006B5293" w:rsidP="006B5293">
      <w:pPr>
        <w:rPr>
          <w:rFonts w:eastAsia="Times New Roman"/>
          <w:i/>
          <w:noProof/>
        </w:rPr>
      </w:pPr>
      <w:r w:rsidRPr="0066103C">
        <w:rPr>
          <w:rFonts w:eastAsia="Times New Roman"/>
          <w:i/>
          <w:noProof/>
        </w:rPr>
        <w:t xml:space="preserve">His clothing was </w:t>
      </w:r>
      <w:r w:rsidRPr="0066103C">
        <w:rPr>
          <w:rFonts w:eastAsia="Times New Roman"/>
          <w:i/>
          <w:noProof/>
          <w:vertAlign w:val="superscript"/>
        </w:rPr>
        <w:t>c</w:t>
      </w:r>
      <w:r w:rsidRPr="0066103C">
        <w:rPr>
          <w:rFonts w:eastAsia="Times New Roman"/>
          <w:i/>
          <w:noProof/>
        </w:rPr>
        <w:t>like white snow,</w:t>
      </w:r>
      <w:r w:rsidRPr="0066103C">
        <w:rPr>
          <w:rFonts w:eastAsia="Times New Roman"/>
          <w:i/>
          <w:noProof/>
          <w:vertAlign w:val="superscript"/>
        </w:rPr>
        <w:t>c</w:t>
      </w:r>
    </w:p>
    <w:p w:rsidR="006B5293" w:rsidRPr="0066103C" w:rsidRDefault="006B5293" w:rsidP="006B5293">
      <w:pPr>
        <w:rPr>
          <w:rFonts w:eastAsia="Times New Roman"/>
          <w:i/>
          <w:noProof/>
        </w:rPr>
      </w:pPr>
      <w:r w:rsidRPr="0066103C">
        <w:rPr>
          <w:rFonts w:eastAsia="Times New Roman"/>
          <w:i/>
          <w:noProof/>
        </w:rPr>
        <w:tab/>
        <w:t>the hair on his head like lamb’s</w:t>
      </w:r>
      <w:r w:rsidRPr="0066103C">
        <w:rPr>
          <w:rFonts w:eastAsia="Times New Roman"/>
          <w:i/>
          <w:noProof/>
          <w:vertAlign w:val="superscript"/>
        </w:rPr>
        <w:t>d</w:t>
      </w:r>
      <w:r w:rsidRPr="0066103C">
        <w:rPr>
          <w:rFonts w:eastAsia="Times New Roman"/>
          <w:i/>
          <w:noProof/>
        </w:rPr>
        <w:t xml:space="preserve"> wool.</w:t>
      </w:r>
    </w:p>
    <w:p w:rsidR="006B5293" w:rsidRPr="0066103C" w:rsidRDefault="006B5293" w:rsidP="006B5293">
      <w:pPr>
        <w:rPr>
          <w:rFonts w:eastAsia="Times New Roman"/>
          <w:i/>
          <w:noProof/>
        </w:rPr>
      </w:pPr>
      <w:r w:rsidRPr="0066103C">
        <w:rPr>
          <w:rFonts w:eastAsia="Times New Roman"/>
          <w:i/>
          <w:noProof/>
        </w:rPr>
        <w:t>His throne was flashes of flame,</w:t>
      </w:r>
    </w:p>
    <w:p w:rsidR="006B5293" w:rsidRPr="0066103C" w:rsidRDefault="006B5293" w:rsidP="006B5293">
      <w:pPr>
        <w:rPr>
          <w:rFonts w:eastAsia="Times New Roman"/>
          <w:i/>
          <w:noProof/>
        </w:rPr>
      </w:pPr>
      <w:r w:rsidRPr="0066103C">
        <w:rPr>
          <w:rFonts w:eastAsia="Times New Roman"/>
          <w:i/>
          <w:noProof/>
        </w:rPr>
        <w:tab/>
        <w:t>his rings</w:t>
      </w:r>
      <w:r w:rsidRPr="0066103C">
        <w:rPr>
          <w:rFonts w:eastAsia="Times New Roman"/>
          <w:i/>
          <w:noProof/>
          <w:vertAlign w:val="superscript"/>
        </w:rPr>
        <w:t>e</w:t>
      </w:r>
      <w:r w:rsidRPr="0066103C">
        <w:rPr>
          <w:rFonts w:eastAsia="Times New Roman"/>
          <w:i/>
          <w:noProof/>
        </w:rPr>
        <w:t xml:space="preserve"> a blazing flame.</w:t>
      </w:r>
    </w:p>
    <w:p w:rsidR="006B5293" w:rsidRPr="0066103C" w:rsidRDefault="006B5293" w:rsidP="006B5293">
      <w:pPr>
        <w:rPr>
          <w:rFonts w:eastAsia="Times New Roman"/>
          <w:i/>
          <w:noProof/>
        </w:rPr>
      </w:pPr>
      <w:r w:rsidRPr="0066103C">
        <w:rPr>
          <w:rFonts w:eastAsia="Times New Roman"/>
          <w:i/>
          <w:noProof/>
          <w:vertAlign w:val="superscript"/>
        </w:rPr>
        <w:t>10</w:t>
      </w:r>
      <w:r w:rsidRPr="0066103C">
        <w:rPr>
          <w:rFonts w:eastAsia="Times New Roman"/>
          <w:i/>
          <w:noProof/>
        </w:rPr>
        <w:t>A stream of flame was surging forth,</w:t>
      </w:r>
    </w:p>
    <w:p w:rsidR="006B5293" w:rsidRPr="0066103C" w:rsidRDefault="006B5293" w:rsidP="006B5293">
      <w:pPr>
        <w:rPr>
          <w:rFonts w:eastAsia="Times New Roman"/>
          <w:i/>
          <w:noProof/>
        </w:rPr>
      </w:pPr>
      <w:r w:rsidRPr="0066103C">
        <w:rPr>
          <w:rFonts w:eastAsia="Times New Roman"/>
          <w:i/>
          <w:noProof/>
        </w:rPr>
        <w:tab/>
        <w:t>issuing from his presence.</w:t>
      </w:r>
    </w:p>
    <w:p w:rsidR="006B5293" w:rsidRPr="0066103C" w:rsidRDefault="006B5293" w:rsidP="00CE50B7">
      <w:pPr>
        <w:rPr>
          <w:rFonts w:eastAsia="Times New Roman"/>
          <w:i/>
          <w:noProof/>
        </w:rPr>
      </w:pPr>
      <w:r w:rsidRPr="0066103C">
        <w:rPr>
          <w:rFonts w:eastAsia="Times New Roman"/>
          <w:i/>
          <w:noProof/>
        </w:rPr>
        <w:t xml:space="preserve">Thousand upon thousand </w:t>
      </w:r>
      <w:r w:rsidR="005F5B76">
        <w:rPr>
          <w:rFonts w:eastAsia="Times New Roman"/>
          <w:i/>
          <w:noProof/>
        </w:rPr>
        <w:t>would minister</w:t>
      </w:r>
      <w:r w:rsidRPr="0066103C">
        <w:rPr>
          <w:rFonts w:eastAsia="Times New Roman"/>
          <w:i/>
          <w:noProof/>
        </w:rPr>
        <w:t xml:space="preserve"> to him,</w:t>
      </w:r>
    </w:p>
    <w:p w:rsidR="006B5293" w:rsidRPr="0066103C" w:rsidRDefault="005F5B76" w:rsidP="006B5293">
      <w:pPr>
        <w:rPr>
          <w:rFonts w:eastAsia="Times New Roman"/>
          <w:i/>
          <w:noProof/>
        </w:rPr>
      </w:pPr>
      <w:r>
        <w:rPr>
          <w:rFonts w:eastAsia="Times New Roman"/>
          <w:i/>
          <w:noProof/>
        </w:rPr>
        <w:tab/>
        <w:t>myriad upon myriad would stand</w:t>
      </w:r>
      <w:r w:rsidR="006B5293" w:rsidRPr="0066103C">
        <w:rPr>
          <w:rFonts w:eastAsia="Times New Roman"/>
          <w:i/>
          <w:noProof/>
        </w:rPr>
        <w:t xml:space="preserve"> in attendance on him.</w:t>
      </w:r>
    </w:p>
    <w:p w:rsidR="00ED7BE5" w:rsidRPr="0066103C" w:rsidRDefault="006B5293" w:rsidP="006B5293">
      <w:pPr>
        <w:rPr>
          <w:rFonts w:eastAsia="Times New Roman"/>
          <w:i/>
          <w:noProof/>
        </w:rPr>
      </w:pPr>
      <w:r w:rsidRPr="0066103C">
        <w:rPr>
          <w:rFonts w:eastAsia="Times New Roman"/>
          <w:i/>
          <w:noProof/>
        </w:rPr>
        <w:t xml:space="preserve">The court sat </w:t>
      </w:r>
    </w:p>
    <w:p w:rsidR="006B5293" w:rsidRPr="0066103C" w:rsidRDefault="00ED7BE5" w:rsidP="006B5293">
      <w:pPr>
        <w:rPr>
          <w:rFonts w:eastAsia="Times New Roman"/>
          <w:i/>
          <w:noProof/>
        </w:rPr>
      </w:pPr>
      <w:r w:rsidRPr="0066103C">
        <w:rPr>
          <w:rFonts w:eastAsia="Times New Roman"/>
          <w:i/>
          <w:noProof/>
        </w:rPr>
        <w:tab/>
      </w:r>
      <w:r w:rsidR="006B5293" w:rsidRPr="0066103C">
        <w:rPr>
          <w:rFonts w:eastAsia="Times New Roman"/>
          <w:i/>
          <w:noProof/>
        </w:rPr>
        <w:t>and books were opened.</w:t>
      </w:r>
    </w:p>
    <w:p w:rsidR="006B5293" w:rsidRPr="0066103C" w:rsidRDefault="006B5293" w:rsidP="005A1928">
      <w:pPr>
        <w:ind w:firstLine="0"/>
        <w:rPr>
          <w:rFonts w:eastAsia="Times New Roman"/>
          <w:i/>
          <w:vertAlign w:val="superscript"/>
        </w:rPr>
      </w:pPr>
    </w:p>
    <w:p w:rsidR="006B5293" w:rsidRPr="0066103C" w:rsidRDefault="006B5293" w:rsidP="006B5293">
      <w:pPr>
        <w:rPr>
          <w:rFonts w:eastAsia="Times New Roman"/>
          <w:i/>
        </w:rPr>
      </w:pPr>
      <w:r w:rsidRPr="0066103C">
        <w:rPr>
          <w:rFonts w:eastAsia="Times New Roman"/>
          <w:i/>
          <w:vertAlign w:val="superscript"/>
        </w:rPr>
        <w:t>11a</w:t>
      </w:r>
      <w:r w:rsidRPr="0066103C">
        <w:rPr>
          <w:rFonts w:eastAsia="Times New Roman"/>
          <w:i/>
        </w:rPr>
        <w:t xml:space="preserve"> I watched then from the time when I heard the sound</w:t>
      </w:r>
      <w:r w:rsidRPr="0066103C">
        <w:rPr>
          <w:rFonts w:eastAsia="Times New Roman"/>
          <w:i/>
          <w:vertAlign w:val="superscript"/>
        </w:rPr>
        <w:t>a</w:t>
      </w:r>
      <w:r w:rsidR="003075E9" w:rsidRPr="0066103C">
        <w:rPr>
          <w:rFonts w:eastAsia="Times New Roman"/>
          <w:i/>
        </w:rPr>
        <w:t xml:space="preserve"> of the great statements that</w:t>
      </w:r>
      <w:r w:rsidRPr="0066103C">
        <w:rPr>
          <w:rFonts w:eastAsia="Times New Roman"/>
          <w:i/>
        </w:rPr>
        <w:t xml:space="preserve"> the horn was making, watched as the animal was killed and its body destroyed; it was put </w:t>
      </w:r>
      <w:r w:rsidRPr="0066103C">
        <w:rPr>
          <w:rFonts w:eastAsia="Times New Roman"/>
          <w:i/>
          <w:vertAlign w:val="superscript"/>
        </w:rPr>
        <w:t>b</w:t>
      </w:r>
      <w:r w:rsidRPr="0066103C">
        <w:rPr>
          <w:rFonts w:eastAsia="Times New Roman"/>
          <w:i/>
        </w:rPr>
        <w:t>into fire for burning,</w:t>
      </w:r>
      <w:r w:rsidRPr="0066103C">
        <w:rPr>
          <w:rFonts w:eastAsia="Times New Roman"/>
          <w:i/>
          <w:vertAlign w:val="superscript"/>
        </w:rPr>
        <w:t>b</w:t>
      </w:r>
      <w:r w:rsidRPr="0066103C">
        <w:rPr>
          <w:rFonts w:eastAsia="Times New Roman"/>
          <w:i/>
        </w:rPr>
        <w:t xml:space="preserve"> </w:t>
      </w:r>
      <w:r w:rsidRPr="0066103C">
        <w:rPr>
          <w:rFonts w:eastAsia="Times New Roman"/>
          <w:i/>
          <w:vertAlign w:val="superscript"/>
        </w:rPr>
        <w:t>12</w:t>
      </w:r>
      <w:r w:rsidRPr="0066103C">
        <w:rPr>
          <w:rFonts w:eastAsia="Times New Roman"/>
          <w:i/>
        </w:rPr>
        <w:t>The rest of the animals</w:t>
      </w:r>
      <w:r w:rsidR="009675FF" w:rsidRPr="0066103C">
        <w:rPr>
          <w:rFonts w:eastAsia="Times New Roman"/>
          <w:i/>
        </w:rPr>
        <w:t>—they</w:t>
      </w:r>
      <w:r w:rsidRPr="0066103C">
        <w:rPr>
          <w:rFonts w:eastAsia="Times New Roman"/>
          <w:i/>
        </w:rPr>
        <w:t xml:space="preserve"> had</w:t>
      </w:r>
      <w:r w:rsidRPr="0066103C">
        <w:rPr>
          <w:rFonts w:eastAsia="Times New Roman"/>
          <w:i/>
          <w:vertAlign w:val="superscript"/>
        </w:rPr>
        <w:t>a</w:t>
      </w:r>
      <w:r w:rsidRPr="0066103C">
        <w:rPr>
          <w:rFonts w:eastAsia="Times New Roman"/>
          <w:i/>
        </w:rPr>
        <w:t xml:space="preserve"> their authority taken away, but they were</w:t>
      </w:r>
      <w:r w:rsidRPr="0066103C">
        <w:rPr>
          <w:rFonts w:eastAsia="Times New Roman"/>
          <w:i/>
          <w:vertAlign w:val="superscript"/>
        </w:rPr>
        <w:t>a</w:t>
      </w:r>
      <w:r w:rsidRPr="0066103C">
        <w:rPr>
          <w:rFonts w:eastAsia="Times New Roman"/>
          <w:i/>
        </w:rPr>
        <w:t xml:space="preserve"> given an extension</w:t>
      </w:r>
      <w:r w:rsidRPr="0066103C">
        <w:rPr>
          <w:rFonts w:eastAsia="Times New Roman"/>
          <w:i/>
          <w:vertAlign w:val="superscript"/>
        </w:rPr>
        <w:t>b</w:t>
      </w:r>
      <w:r w:rsidRPr="0066103C">
        <w:rPr>
          <w:rFonts w:eastAsia="Times New Roman"/>
          <w:i/>
        </w:rPr>
        <w:t xml:space="preserve"> to their lives for a set period of time.</w:t>
      </w:r>
    </w:p>
    <w:p w:rsidR="00E5253C" w:rsidRPr="0066103C" w:rsidRDefault="006B5293" w:rsidP="006B5293">
      <w:pPr>
        <w:rPr>
          <w:rFonts w:eastAsia="Times New Roman"/>
          <w:i/>
          <w:noProof/>
        </w:rPr>
      </w:pPr>
      <w:r w:rsidRPr="0066103C">
        <w:rPr>
          <w:rFonts w:eastAsia="Times New Roman"/>
          <w:i/>
          <w:noProof/>
          <w:vertAlign w:val="superscript"/>
        </w:rPr>
        <w:t>13</w:t>
      </w:r>
      <w:r w:rsidRPr="0066103C">
        <w:rPr>
          <w:rFonts w:eastAsia="Times New Roman"/>
          <w:i/>
          <w:noProof/>
        </w:rPr>
        <w:t xml:space="preserve">As I </w:t>
      </w:r>
      <w:r w:rsidR="00473396" w:rsidRPr="0066103C">
        <w:rPr>
          <w:rFonts w:eastAsia="Times New Roman"/>
          <w:i/>
          <w:noProof/>
        </w:rPr>
        <w:t>watched in the vision by night:</w:t>
      </w:r>
    </w:p>
    <w:p w:rsidR="00473396" w:rsidRPr="0066103C" w:rsidRDefault="00473396" w:rsidP="006B5293">
      <w:pPr>
        <w:rPr>
          <w:rFonts w:eastAsia="Times New Roman"/>
          <w:i/>
          <w:noProof/>
        </w:rPr>
      </w:pPr>
    </w:p>
    <w:p w:rsidR="006B5293" w:rsidRPr="0066103C" w:rsidRDefault="00473396" w:rsidP="006B5293">
      <w:pPr>
        <w:rPr>
          <w:rFonts w:eastAsia="Times New Roman"/>
          <w:i/>
          <w:noProof/>
        </w:rPr>
      </w:pPr>
      <w:r w:rsidRPr="0066103C">
        <w:rPr>
          <w:rFonts w:eastAsia="Times New Roman"/>
          <w:i/>
          <w:noProof/>
        </w:rPr>
        <w:t>T</w:t>
      </w:r>
      <w:r w:rsidR="006B5293" w:rsidRPr="0066103C">
        <w:rPr>
          <w:rFonts w:eastAsia="Times New Roman"/>
          <w:i/>
          <w:noProof/>
        </w:rPr>
        <w:t>here before me</w:t>
      </w:r>
      <w:r w:rsidR="00E5253C" w:rsidRPr="0066103C">
        <w:rPr>
          <w:rFonts w:eastAsia="Times New Roman"/>
          <w:i/>
          <w:noProof/>
        </w:rPr>
        <w:t xml:space="preserve"> </w:t>
      </w:r>
      <w:r w:rsidR="006B5293" w:rsidRPr="0066103C">
        <w:rPr>
          <w:rFonts w:eastAsia="Times New Roman"/>
          <w:i/>
          <w:noProof/>
        </w:rPr>
        <w:t>among</w:t>
      </w:r>
      <w:r w:rsidR="006B5293" w:rsidRPr="0066103C">
        <w:rPr>
          <w:rFonts w:eastAsia="Times New Roman"/>
          <w:i/>
          <w:noProof/>
          <w:vertAlign w:val="superscript"/>
        </w:rPr>
        <w:t>a</w:t>
      </w:r>
      <w:r w:rsidR="006B5293" w:rsidRPr="0066103C">
        <w:rPr>
          <w:rFonts w:eastAsia="Times New Roman"/>
          <w:i/>
          <w:noProof/>
        </w:rPr>
        <w:t xml:space="preserve"> the clouds of the heavens</w:t>
      </w:r>
    </w:p>
    <w:p w:rsidR="006B5293" w:rsidRPr="0066103C" w:rsidRDefault="00E5253C" w:rsidP="006B5293">
      <w:pPr>
        <w:rPr>
          <w:rFonts w:eastAsia="Times New Roman"/>
          <w:i/>
          <w:noProof/>
        </w:rPr>
      </w:pPr>
      <w:r w:rsidRPr="0066103C">
        <w:rPr>
          <w:rFonts w:eastAsia="Times New Roman"/>
          <w:i/>
          <w:noProof/>
        </w:rPr>
        <w:lastRenderedPageBreak/>
        <w:tab/>
      </w:r>
      <w:r w:rsidR="006B5293" w:rsidRPr="0066103C">
        <w:rPr>
          <w:rFonts w:eastAsia="Times New Roman"/>
          <w:i/>
          <w:noProof/>
        </w:rPr>
        <w:t>one in human likeness</w:t>
      </w:r>
      <w:r w:rsidR="006B5293" w:rsidRPr="0066103C">
        <w:rPr>
          <w:rFonts w:eastAsia="Times New Roman"/>
          <w:i/>
          <w:noProof/>
          <w:vertAlign w:val="superscript"/>
        </w:rPr>
        <w:t>b</w:t>
      </w:r>
      <w:r w:rsidR="006B5293" w:rsidRPr="0066103C">
        <w:rPr>
          <w:rFonts w:eastAsia="Times New Roman"/>
          <w:i/>
          <w:noProof/>
        </w:rPr>
        <w:t xml:space="preserve"> was coming.</w:t>
      </w:r>
    </w:p>
    <w:p w:rsidR="006B5293" w:rsidRPr="0066103C" w:rsidRDefault="006B5293" w:rsidP="006B5293">
      <w:pPr>
        <w:rPr>
          <w:rFonts w:eastAsia="Times New Roman"/>
          <w:i/>
          <w:noProof/>
        </w:rPr>
      </w:pPr>
      <w:r w:rsidRPr="0066103C">
        <w:rPr>
          <w:rFonts w:eastAsia="Times New Roman"/>
          <w:i/>
          <w:noProof/>
        </w:rPr>
        <w:t>He went to</w:t>
      </w:r>
      <w:r w:rsidRPr="0066103C">
        <w:rPr>
          <w:rFonts w:eastAsia="Times New Roman"/>
          <w:i/>
          <w:noProof/>
          <w:vertAlign w:val="superscript"/>
        </w:rPr>
        <w:t>c</w:t>
      </w:r>
      <w:r w:rsidRPr="0066103C">
        <w:rPr>
          <w:rFonts w:eastAsia="Times New Roman"/>
          <w:i/>
          <w:noProof/>
        </w:rPr>
        <w:t xml:space="preserve"> the one advanced in years</w:t>
      </w:r>
    </w:p>
    <w:p w:rsidR="006B5293" w:rsidRPr="0066103C" w:rsidRDefault="00E5253C" w:rsidP="006B5293">
      <w:pPr>
        <w:rPr>
          <w:rFonts w:eastAsia="Times New Roman"/>
          <w:i/>
          <w:noProof/>
        </w:rPr>
      </w:pPr>
      <w:r w:rsidRPr="0066103C">
        <w:rPr>
          <w:rFonts w:eastAsia="Times New Roman"/>
          <w:i/>
          <w:noProof/>
        </w:rPr>
        <w:tab/>
      </w:r>
      <w:r w:rsidR="006B5293" w:rsidRPr="0066103C">
        <w:rPr>
          <w:rFonts w:eastAsia="Times New Roman"/>
          <w:i/>
          <w:noProof/>
        </w:rPr>
        <w:t>and was presented before him.</w:t>
      </w:r>
    </w:p>
    <w:p w:rsidR="006B5293" w:rsidRPr="0066103C" w:rsidRDefault="006B5293" w:rsidP="006B5293">
      <w:pPr>
        <w:rPr>
          <w:rFonts w:eastAsia="Times New Roman"/>
          <w:i/>
          <w:noProof/>
        </w:rPr>
      </w:pPr>
      <w:r w:rsidRPr="0066103C">
        <w:rPr>
          <w:rFonts w:eastAsia="Times New Roman"/>
          <w:i/>
          <w:noProof/>
          <w:vertAlign w:val="superscript"/>
        </w:rPr>
        <w:t>14</w:t>
      </w:r>
      <w:r w:rsidRPr="0066103C">
        <w:rPr>
          <w:rFonts w:eastAsia="Times New Roman"/>
          <w:i/>
          <w:noProof/>
        </w:rPr>
        <w:t>To him was given glorious kingly authority</w:t>
      </w:r>
    </w:p>
    <w:p w:rsidR="006B5293" w:rsidRPr="0066103C" w:rsidRDefault="00E5253C" w:rsidP="006B5293">
      <w:pPr>
        <w:rPr>
          <w:rFonts w:eastAsia="Times New Roman"/>
          <w:i/>
          <w:noProof/>
        </w:rPr>
      </w:pPr>
      <w:r w:rsidRPr="0066103C">
        <w:rPr>
          <w:rFonts w:eastAsia="Times New Roman"/>
          <w:i/>
          <w:noProof/>
        </w:rPr>
        <w:tab/>
      </w:r>
      <w:r w:rsidR="006B5293" w:rsidRPr="0066103C">
        <w:rPr>
          <w:rFonts w:eastAsia="Times New Roman"/>
          <w:i/>
          <w:noProof/>
        </w:rPr>
        <w:t>so that people of all races, nations, and languages would honor</w:t>
      </w:r>
      <w:r w:rsidR="006B5293" w:rsidRPr="0066103C">
        <w:rPr>
          <w:rFonts w:eastAsia="Times New Roman"/>
          <w:i/>
          <w:noProof/>
          <w:vertAlign w:val="superscript"/>
        </w:rPr>
        <w:t>a</w:t>
      </w:r>
      <w:r w:rsidR="006B5293" w:rsidRPr="0066103C">
        <w:rPr>
          <w:rFonts w:eastAsia="Times New Roman"/>
          <w:i/>
          <w:noProof/>
        </w:rPr>
        <w:t xml:space="preserve"> </w:t>
      </w:r>
      <w:r w:rsidRPr="0066103C">
        <w:rPr>
          <w:rFonts w:eastAsia="Times New Roman"/>
          <w:i/>
          <w:noProof/>
        </w:rPr>
        <w:t>him.</w:t>
      </w:r>
    </w:p>
    <w:p w:rsidR="006B5293" w:rsidRPr="0066103C" w:rsidRDefault="00E5253C" w:rsidP="006B5293">
      <w:pPr>
        <w:rPr>
          <w:rFonts w:eastAsia="Times New Roman"/>
          <w:i/>
          <w:noProof/>
        </w:rPr>
      </w:pPr>
      <w:r w:rsidRPr="0066103C">
        <w:rPr>
          <w:rFonts w:eastAsia="Times New Roman"/>
          <w:i/>
          <w:noProof/>
        </w:rPr>
        <w:t>H</w:t>
      </w:r>
      <w:r w:rsidR="006B5293" w:rsidRPr="0066103C">
        <w:rPr>
          <w:rFonts w:eastAsia="Times New Roman"/>
          <w:i/>
          <w:noProof/>
        </w:rPr>
        <w:t>is authority would last for ever and not pass away,</w:t>
      </w:r>
    </w:p>
    <w:p w:rsidR="006B5293" w:rsidRPr="0066103C" w:rsidRDefault="00E5253C" w:rsidP="006B5293">
      <w:pPr>
        <w:rPr>
          <w:rFonts w:eastAsia="Times New Roman"/>
          <w:i/>
          <w:noProof/>
        </w:rPr>
      </w:pPr>
      <w:r w:rsidRPr="0066103C">
        <w:rPr>
          <w:rFonts w:eastAsia="Times New Roman"/>
          <w:i/>
          <w:noProof/>
        </w:rPr>
        <w:tab/>
      </w:r>
      <w:r w:rsidR="006B5293" w:rsidRPr="0066103C">
        <w:rPr>
          <w:rFonts w:eastAsia="Times New Roman"/>
          <w:i/>
          <w:noProof/>
        </w:rPr>
        <w:t>and his kingship would not be destroyed.</w:t>
      </w:r>
    </w:p>
    <w:p w:rsidR="00E5253C" w:rsidRPr="0066103C" w:rsidRDefault="00E5253C" w:rsidP="006B5293">
      <w:pPr>
        <w:rPr>
          <w:rFonts w:eastAsia="Times New Roman"/>
          <w:i/>
          <w:noProof/>
        </w:rPr>
      </w:pPr>
    </w:p>
    <w:p w:rsidR="006B5293" w:rsidRPr="0066103C" w:rsidRDefault="006B5293" w:rsidP="006B5293">
      <w:pPr>
        <w:rPr>
          <w:rFonts w:eastAsia="Times New Roman"/>
          <w:i/>
        </w:rPr>
      </w:pPr>
      <w:r w:rsidRPr="0066103C">
        <w:rPr>
          <w:rFonts w:eastAsia="Times New Roman"/>
          <w:i/>
          <w:vertAlign w:val="superscript"/>
        </w:rPr>
        <w:t>15</w:t>
      </w:r>
      <w:r w:rsidR="00B00849" w:rsidRPr="0066103C">
        <w:rPr>
          <w:rFonts w:eastAsia="Times New Roman"/>
          <w:i/>
        </w:rPr>
        <w:t>I, Dani</w:t>
      </w:r>
      <w:r w:rsidR="00B712C9" w:rsidRPr="0066103C">
        <w:rPr>
          <w:rFonts w:eastAsia="Times New Roman"/>
          <w:i/>
        </w:rPr>
        <w:t>yy</w:t>
      </w:r>
      <w:r w:rsidR="00B00849" w:rsidRPr="0066103C">
        <w:rPr>
          <w:rFonts w:eastAsia="Times New Roman"/>
          <w:i/>
        </w:rPr>
        <w:t>e</w:t>
      </w:r>
      <w:r w:rsidR="00B712C9" w:rsidRPr="0066103C">
        <w:rPr>
          <w:rFonts w:eastAsia="Times New Roman"/>
          <w:i/>
        </w:rPr>
        <w:t>’</w:t>
      </w:r>
      <w:r w:rsidR="00B00849" w:rsidRPr="0066103C">
        <w:rPr>
          <w:rFonts w:eastAsia="Times New Roman"/>
          <w:i/>
        </w:rPr>
        <w:t>l—</w:t>
      </w:r>
      <w:r w:rsidRPr="0066103C">
        <w:rPr>
          <w:rFonts w:eastAsia="Times New Roman"/>
          <w:i/>
          <w:vertAlign w:val="superscript"/>
        </w:rPr>
        <w:t>a</w:t>
      </w:r>
      <w:r w:rsidRPr="0066103C">
        <w:rPr>
          <w:rFonts w:eastAsia="Times New Roman"/>
          <w:i/>
        </w:rPr>
        <w:t xml:space="preserve"> </w:t>
      </w:r>
      <w:r w:rsidRPr="0066103C">
        <w:rPr>
          <w:rFonts w:eastAsia="Times New Roman"/>
          <w:i/>
          <w:vertAlign w:val="superscript"/>
        </w:rPr>
        <w:t>b</w:t>
      </w:r>
      <w:r w:rsidR="00B00849" w:rsidRPr="0066103C">
        <w:rPr>
          <w:rFonts w:eastAsia="Times New Roman"/>
          <w:i/>
        </w:rPr>
        <w:t>my spirit was disturbed within</w:t>
      </w:r>
      <w:r w:rsidRPr="0066103C">
        <w:rPr>
          <w:rFonts w:eastAsia="Times New Roman"/>
          <w:i/>
          <w:vertAlign w:val="superscript"/>
        </w:rPr>
        <w:t>b</w:t>
      </w:r>
      <w:r w:rsidRPr="0066103C">
        <w:rPr>
          <w:rFonts w:eastAsia="Times New Roman"/>
          <w:i/>
        </w:rPr>
        <w:t xml:space="preserve"> at this. The visions that came into my head alarmed me. </w:t>
      </w:r>
      <w:r w:rsidRPr="0066103C">
        <w:rPr>
          <w:rFonts w:eastAsia="Times New Roman"/>
          <w:i/>
          <w:vertAlign w:val="superscript"/>
        </w:rPr>
        <w:t>16</w:t>
      </w:r>
      <w:r w:rsidRPr="0066103C">
        <w:rPr>
          <w:rFonts w:eastAsia="Times New Roman"/>
          <w:i/>
        </w:rPr>
        <w:t xml:space="preserve">I approached one of </w:t>
      </w:r>
      <w:r w:rsidR="00B00849" w:rsidRPr="0066103C">
        <w:rPr>
          <w:rFonts w:eastAsia="Times New Roman"/>
          <w:i/>
        </w:rPr>
        <w:t>those who stood in attendance so I might</w:t>
      </w:r>
      <w:r w:rsidRPr="0066103C">
        <w:rPr>
          <w:rFonts w:eastAsia="Times New Roman"/>
          <w:i/>
        </w:rPr>
        <w:t xml:space="preserve"> ask</w:t>
      </w:r>
      <w:r w:rsidRPr="0066103C">
        <w:rPr>
          <w:rFonts w:eastAsia="Times New Roman"/>
          <w:i/>
          <w:vertAlign w:val="superscript"/>
        </w:rPr>
        <w:t>a</w:t>
      </w:r>
      <w:r w:rsidR="002847CD" w:rsidRPr="0066103C">
        <w:rPr>
          <w:rFonts w:eastAsia="Times New Roman"/>
          <w:i/>
        </w:rPr>
        <w:t xml:space="preserve"> him the actual</w:t>
      </w:r>
      <w:r w:rsidRPr="0066103C">
        <w:rPr>
          <w:rFonts w:eastAsia="Times New Roman"/>
          <w:i/>
        </w:rPr>
        <w:t xml:space="preserve"> meaning of all this, and he told me he would explain</w:t>
      </w:r>
      <w:r w:rsidRPr="0066103C">
        <w:rPr>
          <w:rFonts w:eastAsia="Times New Roman"/>
          <w:i/>
          <w:vertAlign w:val="superscript"/>
        </w:rPr>
        <w:t>a</w:t>
      </w:r>
      <w:r w:rsidRPr="0066103C">
        <w:rPr>
          <w:rFonts w:eastAsia="Times New Roman"/>
          <w:i/>
        </w:rPr>
        <w:t xml:space="preserve"> to me the interpretation of the matter.</w:t>
      </w:r>
    </w:p>
    <w:p w:rsidR="00FD72A6" w:rsidRDefault="006B5293" w:rsidP="006B5293">
      <w:pPr>
        <w:rPr>
          <w:rFonts w:eastAsia="Times New Roman"/>
          <w:i/>
        </w:rPr>
      </w:pPr>
      <w:r w:rsidRPr="0066103C">
        <w:rPr>
          <w:rFonts w:eastAsia="Times New Roman"/>
          <w:i/>
          <w:vertAlign w:val="superscript"/>
        </w:rPr>
        <w:t>17</w:t>
      </w:r>
      <w:r w:rsidR="00E5253C" w:rsidRPr="0066103C">
        <w:rPr>
          <w:rFonts w:eastAsia="Times New Roman"/>
          <w:i/>
        </w:rPr>
        <w:t>”</w:t>
      </w:r>
      <w:r w:rsidRPr="0066103C">
        <w:rPr>
          <w:rFonts w:eastAsia="Times New Roman"/>
          <w:i/>
        </w:rPr>
        <w:t>These huge animals of which there were four: four kings</w:t>
      </w:r>
      <w:r w:rsidRPr="0066103C">
        <w:rPr>
          <w:rFonts w:eastAsia="Times New Roman"/>
          <w:i/>
          <w:vertAlign w:val="superscript"/>
        </w:rPr>
        <w:t>a</w:t>
      </w:r>
      <w:r w:rsidRPr="0066103C">
        <w:rPr>
          <w:rFonts w:eastAsia="Times New Roman"/>
          <w:i/>
        </w:rPr>
        <w:t xml:space="preserve"> will arise from the world, </w:t>
      </w:r>
      <w:r w:rsidRPr="0066103C">
        <w:rPr>
          <w:rFonts w:eastAsia="Times New Roman"/>
          <w:i/>
          <w:vertAlign w:val="superscript"/>
        </w:rPr>
        <w:t>18</w:t>
      </w:r>
      <w:r w:rsidRPr="0066103C">
        <w:rPr>
          <w:rFonts w:eastAsia="Times New Roman"/>
          <w:i/>
        </w:rPr>
        <w:t>but holy ones on high</w:t>
      </w:r>
      <w:r w:rsidRPr="0066103C">
        <w:rPr>
          <w:rFonts w:eastAsia="Times New Roman"/>
          <w:i/>
          <w:vertAlign w:val="superscript"/>
        </w:rPr>
        <w:t>a</w:t>
      </w:r>
      <w:r w:rsidRPr="0066103C">
        <w:rPr>
          <w:rFonts w:eastAsia="Times New Roman"/>
          <w:i/>
        </w:rPr>
        <w:t xml:space="preserve"> will acquire the kingship. They will take hold of the kingshi</w:t>
      </w:r>
      <w:r w:rsidR="00E5253C" w:rsidRPr="0066103C">
        <w:rPr>
          <w:rFonts w:eastAsia="Times New Roman"/>
          <w:i/>
        </w:rPr>
        <w:t>p for ever, until the very end.”</w:t>
      </w:r>
      <w:r w:rsidRPr="0066103C">
        <w:rPr>
          <w:rFonts w:eastAsia="Times New Roman"/>
          <w:i/>
        </w:rPr>
        <w:t xml:space="preserve"> </w:t>
      </w:r>
    </w:p>
    <w:p w:rsidR="00E5253C" w:rsidRPr="0066103C" w:rsidRDefault="006B5293" w:rsidP="006B5293">
      <w:pPr>
        <w:rPr>
          <w:rFonts w:eastAsia="Times New Roman"/>
          <w:i/>
          <w:noProof/>
        </w:rPr>
      </w:pPr>
      <w:r w:rsidRPr="0066103C">
        <w:rPr>
          <w:rFonts w:eastAsia="Times New Roman"/>
          <w:i/>
          <w:vertAlign w:val="superscript"/>
        </w:rPr>
        <w:t>19</w:t>
      </w:r>
      <w:r w:rsidR="002847CD" w:rsidRPr="0066103C">
        <w:rPr>
          <w:rFonts w:eastAsia="Times New Roman"/>
          <w:i/>
        </w:rPr>
        <w:t>Then I wanted to know the actual</w:t>
      </w:r>
      <w:r w:rsidRPr="0066103C">
        <w:rPr>
          <w:rFonts w:eastAsia="Times New Roman"/>
          <w:i/>
        </w:rPr>
        <w:t xml:space="preserve"> meaning of the fourth animal which differed from all the others, being extraordinarily fearful, with its iron teeth and bronze claws, eating, crushing, and trampling underfoot what was left; </w:t>
      </w:r>
      <w:r w:rsidRPr="0066103C">
        <w:rPr>
          <w:rFonts w:eastAsia="Times New Roman"/>
          <w:i/>
          <w:vertAlign w:val="superscript"/>
        </w:rPr>
        <w:t>20</w:t>
      </w:r>
      <w:r w:rsidRPr="0066103C">
        <w:rPr>
          <w:rFonts w:eastAsia="Times New Roman"/>
          <w:i/>
        </w:rPr>
        <w:t>and of the ten horns on its head and the other one which came up and three fell</w:t>
      </w:r>
      <w:r w:rsidRPr="0066103C">
        <w:rPr>
          <w:rFonts w:eastAsia="Times New Roman"/>
          <w:i/>
          <w:vertAlign w:val="superscript"/>
        </w:rPr>
        <w:t>a</w:t>
      </w:r>
      <w:r w:rsidRPr="0066103C">
        <w:rPr>
          <w:rFonts w:eastAsia="Times New Roman"/>
          <w:i/>
        </w:rPr>
        <w:t xml:space="preserve"> before it, that horn which had eyes and a mouth making great statements</w:t>
      </w:r>
      <w:r w:rsidR="00B00849" w:rsidRPr="0066103C">
        <w:rPr>
          <w:rFonts w:eastAsia="Times New Roman"/>
          <w:i/>
        </w:rPr>
        <w:t>,</w:t>
      </w:r>
      <w:r w:rsidRPr="0066103C">
        <w:rPr>
          <w:rFonts w:eastAsia="Times New Roman"/>
          <w:i/>
        </w:rPr>
        <w:t xml:space="preserve"> and which looked bigger</w:t>
      </w:r>
      <w:r w:rsidRPr="0066103C">
        <w:rPr>
          <w:rFonts w:eastAsia="Times New Roman"/>
          <w:i/>
          <w:vertAlign w:val="superscript"/>
        </w:rPr>
        <w:t>b</w:t>
      </w:r>
      <w:r w:rsidRPr="0066103C">
        <w:rPr>
          <w:rFonts w:eastAsia="Times New Roman"/>
          <w:i/>
        </w:rPr>
        <w:t xml:space="preserve"> than its companions. </w:t>
      </w:r>
      <w:r w:rsidRPr="0066103C">
        <w:rPr>
          <w:rFonts w:eastAsia="Times New Roman"/>
          <w:i/>
          <w:vertAlign w:val="superscript"/>
        </w:rPr>
        <w:t>21</w:t>
      </w:r>
      <w:r w:rsidRPr="0066103C">
        <w:rPr>
          <w:rFonts w:eastAsia="Times New Roman"/>
          <w:i/>
        </w:rPr>
        <w:t>I watched</w:t>
      </w:r>
      <w:r w:rsidRPr="0066103C">
        <w:rPr>
          <w:rFonts w:eastAsia="Times New Roman"/>
          <w:i/>
          <w:vertAlign w:val="superscript"/>
        </w:rPr>
        <w:t>a</w:t>
      </w:r>
      <w:r w:rsidRPr="0066103C">
        <w:rPr>
          <w:rFonts w:eastAsia="Times New Roman"/>
          <w:i/>
        </w:rPr>
        <w:t xml:space="preserve"> while that horn was making war on holy beings and overcoming them, </w:t>
      </w:r>
      <w:r w:rsidRPr="0066103C">
        <w:rPr>
          <w:rFonts w:eastAsia="Times New Roman"/>
          <w:i/>
          <w:vertAlign w:val="superscript"/>
        </w:rPr>
        <w:t>22</w:t>
      </w:r>
      <w:r w:rsidRPr="0066103C">
        <w:rPr>
          <w:rFonts w:eastAsia="Times New Roman"/>
          <w:i/>
        </w:rPr>
        <w:t>as the one advanced in years came and judgment was given</w:t>
      </w:r>
      <w:r w:rsidRPr="0066103C">
        <w:rPr>
          <w:rFonts w:eastAsia="Times New Roman"/>
          <w:i/>
          <w:vertAlign w:val="superscript"/>
        </w:rPr>
        <w:t>a</w:t>
      </w:r>
      <w:r w:rsidRPr="0066103C">
        <w:rPr>
          <w:rFonts w:eastAsia="Times New Roman"/>
          <w:i/>
        </w:rPr>
        <w:t xml:space="preserve"> for</w:t>
      </w:r>
      <w:r w:rsidRPr="0066103C">
        <w:rPr>
          <w:rFonts w:eastAsia="Times New Roman"/>
          <w:i/>
          <w:vertAlign w:val="superscript"/>
        </w:rPr>
        <w:t>b</w:t>
      </w:r>
      <w:r w:rsidRPr="0066103C">
        <w:rPr>
          <w:rFonts w:eastAsia="Times New Roman"/>
          <w:i/>
        </w:rPr>
        <w:t xml:space="preserve"> holy ones on high, when the time came for holy ones to take hold of the kingship.</w:t>
      </w:r>
      <w:r w:rsidRPr="0066103C">
        <w:rPr>
          <w:rFonts w:eastAsia="Times New Roman"/>
          <w:i/>
          <w:noProof/>
          <w:vertAlign w:val="superscript"/>
        </w:rPr>
        <w:t>23</w:t>
      </w:r>
      <w:r w:rsidR="00E5253C" w:rsidRPr="0066103C">
        <w:rPr>
          <w:rFonts w:eastAsia="Times New Roman"/>
          <w:i/>
          <w:noProof/>
        </w:rPr>
        <w:t xml:space="preserve">He said, </w:t>
      </w:r>
    </w:p>
    <w:p w:rsidR="00E5253C" w:rsidRPr="0066103C" w:rsidRDefault="00E5253C" w:rsidP="006B5293">
      <w:pPr>
        <w:rPr>
          <w:rFonts w:eastAsia="Times New Roman"/>
          <w:i/>
          <w:noProof/>
        </w:rPr>
      </w:pPr>
    </w:p>
    <w:p w:rsidR="006B5293" w:rsidRPr="0066103C" w:rsidRDefault="006B5293" w:rsidP="006B5293">
      <w:pPr>
        <w:rPr>
          <w:rFonts w:eastAsia="Times New Roman"/>
          <w:i/>
          <w:noProof/>
        </w:rPr>
      </w:pPr>
      <w:r w:rsidRPr="0066103C">
        <w:rPr>
          <w:rFonts w:eastAsia="Times New Roman"/>
          <w:i/>
          <w:noProof/>
        </w:rPr>
        <w:t>The fourth animal:</w:t>
      </w:r>
    </w:p>
    <w:p w:rsidR="00E5253C" w:rsidRPr="0066103C" w:rsidRDefault="00E5253C" w:rsidP="006B5293">
      <w:pPr>
        <w:rPr>
          <w:rFonts w:eastAsia="Times New Roman"/>
          <w:i/>
          <w:noProof/>
        </w:rPr>
      </w:pPr>
    </w:p>
    <w:p w:rsidR="006B5293" w:rsidRPr="0066103C" w:rsidRDefault="00E5253C" w:rsidP="006B5293">
      <w:pPr>
        <w:rPr>
          <w:rFonts w:eastAsia="Times New Roman"/>
          <w:i/>
          <w:noProof/>
        </w:rPr>
      </w:pPr>
      <w:r w:rsidRPr="0066103C">
        <w:rPr>
          <w:rFonts w:eastAsia="Times New Roman"/>
          <w:i/>
          <w:noProof/>
        </w:rPr>
        <w:t>T</w:t>
      </w:r>
      <w:r w:rsidR="006B5293" w:rsidRPr="0066103C">
        <w:rPr>
          <w:rFonts w:eastAsia="Times New Roman"/>
          <w:i/>
          <w:noProof/>
        </w:rPr>
        <w:t>here will be</w:t>
      </w:r>
      <w:r w:rsidRPr="0066103C">
        <w:rPr>
          <w:rFonts w:eastAsia="Times New Roman"/>
          <w:i/>
          <w:noProof/>
        </w:rPr>
        <w:t xml:space="preserve"> a fourth kingship in the world;</w:t>
      </w:r>
    </w:p>
    <w:p w:rsidR="006B5293" w:rsidRPr="0066103C" w:rsidRDefault="00E5253C" w:rsidP="006B5293">
      <w:pPr>
        <w:rPr>
          <w:rFonts w:eastAsia="Times New Roman"/>
          <w:i/>
          <w:noProof/>
        </w:rPr>
      </w:pPr>
      <w:r w:rsidRPr="0066103C">
        <w:rPr>
          <w:rFonts w:eastAsia="Times New Roman"/>
          <w:i/>
          <w:noProof/>
        </w:rPr>
        <w:tab/>
        <w:t>i</w:t>
      </w:r>
      <w:r w:rsidR="006B5293" w:rsidRPr="0066103C">
        <w:rPr>
          <w:rFonts w:eastAsia="Times New Roman"/>
          <w:i/>
          <w:noProof/>
        </w:rPr>
        <w:t>t will differ from</w:t>
      </w:r>
      <w:r w:rsidR="006B5293" w:rsidRPr="0066103C">
        <w:rPr>
          <w:rFonts w:eastAsia="Times New Roman"/>
          <w:i/>
          <w:noProof/>
          <w:vertAlign w:val="superscript"/>
        </w:rPr>
        <w:t>a</w:t>
      </w:r>
      <w:r w:rsidR="006B5293" w:rsidRPr="0066103C">
        <w:rPr>
          <w:rFonts w:eastAsia="Times New Roman"/>
          <w:i/>
          <w:noProof/>
        </w:rPr>
        <w:t xml:space="preserve"> all the other kingships.</w:t>
      </w:r>
    </w:p>
    <w:p w:rsidR="006B5293" w:rsidRPr="0066103C" w:rsidRDefault="006B5293" w:rsidP="006B5293">
      <w:pPr>
        <w:rPr>
          <w:rFonts w:eastAsia="Times New Roman"/>
          <w:i/>
          <w:noProof/>
        </w:rPr>
      </w:pPr>
      <w:r w:rsidRPr="0066103C">
        <w:rPr>
          <w:rFonts w:eastAsia="Times New Roman"/>
          <w:i/>
          <w:noProof/>
        </w:rPr>
        <w:t>It will consume the whole world,</w:t>
      </w:r>
    </w:p>
    <w:p w:rsidR="006B5293" w:rsidRPr="0066103C" w:rsidRDefault="00E5253C" w:rsidP="006B5293">
      <w:pPr>
        <w:rPr>
          <w:rFonts w:eastAsia="Times New Roman"/>
          <w:i/>
          <w:noProof/>
        </w:rPr>
      </w:pPr>
      <w:r w:rsidRPr="0066103C">
        <w:rPr>
          <w:rFonts w:eastAsia="Times New Roman"/>
          <w:i/>
          <w:noProof/>
        </w:rPr>
        <w:tab/>
      </w:r>
      <w:r w:rsidR="006B5293" w:rsidRPr="0066103C">
        <w:rPr>
          <w:rFonts w:eastAsia="Times New Roman"/>
          <w:i/>
          <w:noProof/>
        </w:rPr>
        <w:t>trample it down and crush it.</w:t>
      </w:r>
    </w:p>
    <w:p w:rsidR="00E5253C" w:rsidRPr="0066103C" w:rsidRDefault="00E5253C" w:rsidP="006B5293">
      <w:pPr>
        <w:rPr>
          <w:rFonts w:eastAsia="Times New Roman"/>
          <w:i/>
          <w:noProof/>
          <w:vertAlign w:val="superscript"/>
        </w:rPr>
      </w:pPr>
    </w:p>
    <w:p w:rsidR="006B5293" w:rsidRPr="0066103C" w:rsidRDefault="006B5293" w:rsidP="006B5293">
      <w:pPr>
        <w:rPr>
          <w:rFonts w:eastAsia="Times New Roman"/>
          <w:i/>
          <w:noProof/>
        </w:rPr>
      </w:pPr>
      <w:r w:rsidRPr="0066103C">
        <w:rPr>
          <w:rFonts w:eastAsia="Times New Roman"/>
          <w:i/>
          <w:noProof/>
          <w:vertAlign w:val="superscript"/>
        </w:rPr>
        <w:t>24</w:t>
      </w:r>
      <w:r w:rsidRPr="0066103C">
        <w:rPr>
          <w:rFonts w:eastAsia="Times New Roman"/>
          <w:i/>
          <w:noProof/>
        </w:rPr>
        <w:t>The ten horns:</w:t>
      </w:r>
    </w:p>
    <w:p w:rsidR="00E5253C" w:rsidRPr="0066103C" w:rsidRDefault="00E5253C" w:rsidP="006B5293">
      <w:pPr>
        <w:rPr>
          <w:rFonts w:eastAsia="Times New Roman"/>
          <w:i/>
          <w:noProof/>
        </w:rPr>
      </w:pPr>
    </w:p>
    <w:p w:rsidR="006B5293" w:rsidRPr="0066103C" w:rsidRDefault="00E5253C" w:rsidP="006B5293">
      <w:pPr>
        <w:rPr>
          <w:rFonts w:eastAsia="Times New Roman"/>
          <w:i/>
          <w:noProof/>
        </w:rPr>
      </w:pPr>
      <w:r w:rsidRPr="0066103C">
        <w:rPr>
          <w:rFonts w:eastAsia="Times New Roman"/>
          <w:i/>
          <w:noProof/>
        </w:rPr>
        <w:t>F</w:t>
      </w:r>
      <w:r w:rsidR="006B5293" w:rsidRPr="0066103C">
        <w:rPr>
          <w:rFonts w:eastAsia="Times New Roman"/>
          <w:i/>
          <w:noProof/>
        </w:rPr>
        <w:t>rom that</w:t>
      </w:r>
      <w:r w:rsidR="006B5293" w:rsidRPr="0066103C">
        <w:rPr>
          <w:rFonts w:eastAsia="Times New Roman"/>
          <w:i/>
          <w:noProof/>
          <w:vertAlign w:val="superscript"/>
        </w:rPr>
        <w:t>a</w:t>
      </w:r>
      <w:r w:rsidR="006B5293" w:rsidRPr="0066103C">
        <w:rPr>
          <w:rFonts w:eastAsia="Times New Roman"/>
          <w:i/>
          <w:noProof/>
        </w:rPr>
        <w:t xml:space="preserve"> kingship ten kings will arise,</w:t>
      </w:r>
    </w:p>
    <w:p w:rsidR="006B5293" w:rsidRPr="0066103C" w:rsidRDefault="00E5253C" w:rsidP="006B5293">
      <w:pPr>
        <w:rPr>
          <w:rFonts w:eastAsia="Times New Roman"/>
          <w:i/>
          <w:noProof/>
        </w:rPr>
      </w:pPr>
      <w:r w:rsidRPr="0066103C">
        <w:rPr>
          <w:rFonts w:eastAsia="Times New Roman"/>
          <w:i/>
          <w:noProof/>
        </w:rPr>
        <w:tab/>
      </w:r>
      <w:r w:rsidR="006B5293" w:rsidRPr="0066103C">
        <w:rPr>
          <w:rFonts w:eastAsia="Times New Roman"/>
          <w:i/>
          <w:noProof/>
        </w:rPr>
        <w:t>but another will arise after them.</w:t>
      </w:r>
    </w:p>
    <w:p w:rsidR="006B5293" w:rsidRPr="0066103C" w:rsidRDefault="006B5293" w:rsidP="006B5293">
      <w:pPr>
        <w:rPr>
          <w:rFonts w:eastAsia="Times New Roman"/>
          <w:i/>
          <w:noProof/>
        </w:rPr>
      </w:pPr>
      <w:r w:rsidRPr="0066103C">
        <w:rPr>
          <w:rFonts w:eastAsia="Times New Roman"/>
          <w:i/>
          <w:noProof/>
        </w:rPr>
        <w:t xml:space="preserve">He will </w:t>
      </w:r>
      <w:r w:rsidR="00E5253C" w:rsidRPr="0066103C">
        <w:rPr>
          <w:rFonts w:eastAsia="Times New Roman"/>
          <w:i/>
          <w:noProof/>
        </w:rPr>
        <w:t>differ from the ones before him;</w:t>
      </w:r>
    </w:p>
    <w:p w:rsidR="006B5293" w:rsidRPr="0066103C" w:rsidRDefault="00E5253C" w:rsidP="006B5293">
      <w:pPr>
        <w:rPr>
          <w:rFonts w:eastAsia="Times New Roman"/>
          <w:i/>
          <w:noProof/>
        </w:rPr>
      </w:pPr>
      <w:r w:rsidRPr="0066103C">
        <w:rPr>
          <w:rFonts w:eastAsia="Times New Roman"/>
          <w:i/>
          <w:noProof/>
        </w:rPr>
        <w:tab/>
        <w:t>h</w:t>
      </w:r>
      <w:r w:rsidR="006B5293" w:rsidRPr="0066103C">
        <w:rPr>
          <w:rFonts w:eastAsia="Times New Roman"/>
          <w:i/>
          <w:noProof/>
        </w:rPr>
        <w:t>e will lay low three kings.</w:t>
      </w:r>
    </w:p>
    <w:p w:rsidR="006B5293" w:rsidRPr="0066103C" w:rsidRDefault="006B5293" w:rsidP="006B5293">
      <w:pPr>
        <w:rPr>
          <w:rFonts w:eastAsia="Times New Roman"/>
          <w:i/>
          <w:noProof/>
        </w:rPr>
      </w:pPr>
      <w:r w:rsidRPr="0066103C">
        <w:rPr>
          <w:rFonts w:eastAsia="Times New Roman"/>
          <w:i/>
          <w:noProof/>
          <w:vertAlign w:val="superscript"/>
        </w:rPr>
        <w:t>25</w:t>
      </w:r>
      <w:r w:rsidRPr="0066103C">
        <w:rPr>
          <w:rFonts w:eastAsia="Times New Roman"/>
          <w:i/>
          <w:noProof/>
        </w:rPr>
        <w:t xml:space="preserve">He will make statements hostile to the </w:t>
      </w:r>
      <w:r w:rsidR="0054365E" w:rsidRPr="0066103C">
        <w:rPr>
          <w:rFonts w:eastAsia="Times New Roman"/>
          <w:i/>
          <w:noProof/>
        </w:rPr>
        <w:t>One On High</w:t>
      </w:r>
    </w:p>
    <w:p w:rsidR="006B5293" w:rsidRPr="0066103C" w:rsidRDefault="00E5253C" w:rsidP="006B5293">
      <w:pPr>
        <w:rPr>
          <w:rFonts w:eastAsia="Times New Roman"/>
          <w:i/>
          <w:noProof/>
        </w:rPr>
      </w:pPr>
      <w:r w:rsidRPr="0066103C">
        <w:rPr>
          <w:rFonts w:eastAsia="Times New Roman"/>
          <w:i/>
          <w:noProof/>
        </w:rPr>
        <w:tab/>
      </w:r>
      <w:r w:rsidR="006B5293" w:rsidRPr="0066103C">
        <w:rPr>
          <w:rFonts w:eastAsia="Times New Roman"/>
          <w:i/>
          <w:noProof/>
        </w:rPr>
        <w:t>and oppress</w:t>
      </w:r>
      <w:r w:rsidR="006B5293" w:rsidRPr="0066103C">
        <w:rPr>
          <w:rFonts w:eastAsia="Times New Roman"/>
          <w:i/>
          <w:noProof/>
          <w:vertAlign w:val="superscript"/>
        </w:rPr>
        <w:t>a</w:t>
      </w:r>
      <w:r w:rsidR="006B5293" w:rsidRPr="0066103C">
        <w:rPr>
          <w:rFonts w:eastAsia="Times New Roman"/>
          <w:i/>
          <w:noProof/>
        </w:rPr>
        <w:t xml:space="preserve"> holy ones on high.</w:t>
      </w:r>
    </w:p>
    <w:p w:rsidR="006B5293" w:rsidRPr="0066103C" w:rsidRDefault="006B5293" w:rsidP="006B5293">
      <w:pPr>
        <w:rPr>
          <w:rFonts w:eastAsia="Times New Roman"/>
          <w:i/>
          <w:noProof/>
        </w:rPr>
      </w:pPr>
      <w:r w:rsidRPr="0066103C">
        <w:rPr>
          <w:rFonts w:eastAsia="Times New Roman"/>
          <w:i/>
          <w:noProof/>
        </w:rPr>
        <w:t xml:space="preserve">He will try to change </w:t>
      </w:r>
      <w:r w:rsidRPr="0066103C">
        <w:rPr>
          <w:rFonts w:eastAsia="Times New Roman"/>
          <w:i/>
          <w:noProof/>
          <w:vertAlign w:val="superscript"/>
        </w:rPr>
        <w:t>b</w:t>
      </w:r>
      <w:r w:rsidR="001A1CA1">
        <w:rPr>
          <w:rFonts w:eastAsia="Times New Roman"/>
          <w:i/>
          <w:noProof/>
        </w:rPr>
        <w:t>times set by edict</w:t>
      </w:r>
      <w:r w:rsidRPr="0066103C">
        <w:rPr>
          <w:rFonts w:eastAsia="Times New Roman"/>
          <w:i/>
          <w:noProof/>
          <w:vertAlign w:val="superscript"/>
        </w:rPr>
        <w:t>b</w:t>
      </w:r>
    </w:p>
    <w:p w:rsidR="006B5293" w:rsidRPr="0066103C" w:rsidRDefault="00E5253C" w:rsidP="006B5293">
      <w:pPr>
        <w:rPr>
          <w:rFonts w:eastAsia="Times New Roman"/>
          <w:i/>
          <w:noProof/>
        </w:rPr>
      </w:pPr>
      <w:r w:rsidRPr="0066103C">
        <w:rPr>
          <w:rFonts w:eastAsia="Times New Roman"/>
          <w:i/>
          <w:noProof/>
        </w:rPr>
        <w:tab/>
      </w:r>
      <w:r w:rsidR="006B5293" w:rsidRPr="0066103C">
        <w:rPr>
          <w:rFonts w:eastAsia="Times New Roman"/>
          <w:i/>
          <w:noProof/>
        </w:rPr>
        <w:t>and they</w:t>
      </w:r>
      <w:r w:rsidR="006B5293" w:rsidRPr="0066103C">
        <w:rPr>
          <w:rFonts w:eastAsia="Times New Roman"/>
          <w:i/>
          <w:noProof/>
          <w:vertAlign w:val="superscript"/>
        </w:rPr>
        <w:t>c</w:t>
      </w:r>
      <w:r w:rsidR="006B5293" w:rsidRPr="0066103C">
        <w:rPr>
          <w:rFonts w:eastAsia="Times New Roman"/>
          <w:i/>
          <w:noProof/>
        </w:rPr>
        <w:t xml:space="preserve"> will be given into his control</w:t>
      </w:r>
    </w:p>
    <w:p w:rsidR="006B5293" w:rsidRPr="0066103C" w:rsidRDefault="00E5253C" w:rsidP="006B5293">
      <w:pPr>
        <w:rPr>
          <w:rFonts w:eastAsia="Times New Roman"/>
          <w:i/>
          <w:noProof/>
        </w:rPr>
      </w:pPr>
      <w:r w:rsidRPr="0066103C">
        <w:rPr>
          <w:rFonts w:eastAsia="Times New Roman"/>
          <w:i/>
          <w:noProof/>
        </w:rPr>
        <w:tab/>
      </w:r>
      <w:r w:rsidR="006B5293" w:rsidRPr="0066103C">
        <w:rPr>
          <w:rFonts w:eastAsia="Times New Roman"/>
          <w:i/>
          <w:noProof/>
        </w:rPr>
        <w:t>for a period, periods,</w:t>
      </w:r>
      <w:r w:rsidR="006B5293" w:rsidRPr="0066103C">
        <w:rPr>
          <w:rFonts w:eastAsia="Times New Roman"/>
          <w:i/>
          <w:noProof/>
          <w:vertAlign w:val="superscript"/>
        </w:rPr>
        <w:t>d</w:t>
      </w:r>
      <w:r w:rsidR="006B5293" w:rsidRPr="0066103C">
        <w:rPr>
          <w:rFonts w:eastAsia="Times New Roman"/>
          <w:i/>
          <w:noProof/>
        </w:rPr>
        <w:t xml:space="preserve"> and half a period.</w:t>
      </w:r>
    </w:p>
    <w:p w:rsidR="00E5253C" w:rsidRPr="0066103C" w:rsidRDefault="00E5253C" w:rsidP="006B5293">
      <w:pPr>
        <w:rPr>
          <w:rFonts w:eastAsia="Times New Roman"/>
          <w:i/>
          <w:noProof/>
        </w:rPr>
      </w:pPr>
    </w:p>
    <w:p w:rsidR="006B5293" w:rsidRPr="0066103C" w:rsidRDefault="006B5293" w:rsidP="006B5293">
      <w:pPr>
        <w:rPr>
          <w:rFonts w:eastAsia="Times New Roman"/>
          <w:i/>
          <w:noProof/>
        </w:rPr>
      </w:pPr>
      <w:r w:rsidRPr="0066103C">
        <w:rPr>
          <w:rFonts w:eastAsia="Times New Roman"/>
          <w:i/>
          <w:noProof/>
          <w:vertAlign w:val="superscript"/>
        </w:rPr>
        <w:t>26</w:t>
      </w:r>
      <w:r w:rsidRPr="0066103C">
        <w:rPr>
          <w:rFonts w:eastAsia="Times New Roman"/>
          <w:i/>
          <w:noProof/>
        </w:rPr>
        <w:t>But the court will sit and his authority will be taken away,</w:t>
      </w:r>
    </w:p>
    <w:p w:rsidR="006B5293" w:rsidRPr="0066103C" w:rsidRDefault="00E5253C" w:rsidP="006B5293">
      <w:pPr>
        <w:rPr>
          <w:rFonts w:eastAsia="Times New Roman"/>
          <w:i/>
          <w:noProof/>
        </w:rPr>
      </w:pPr>
      <w:r w:rsidRPr="0066103C">
        <w:rPr>
          <w:rFonts w:eastAsia="Times New Roman"/>
          <w:i/>
          <w:noProof/>
        </w:rPr>
        <w:tab/>
      </w:r>
      <w:r w:rsidR="006B5293" w:rsidRPr="0066103C">
        <w:rPr>
          <w:rFonts w:eastAsia="Times New Roman"/>
          <w:i/>
          <w:noProof/>
        </w:rPr>
        <w:t>to be completely and permanently destroyed.</w:t>
      </w:r>
    </w:p>
    <w:p w:rsidR="006B5293" w:rsidRPr="0066103C" w:rsidRDefault="006B5293" w:rsidP="006B5293">
      <w:pPr>
        <w:rPr>
          <w:rFonts w:eastAsia="Times New Roman"/>
          <w:i/>
          <w:noProof/>
        </w:rPr>
      </w:pPr>
      <w:r w:rsidRPr="0066103C">
        <w:rPr>
          <w:rFonts w:eastAsia="Times New Roman"/>
          <w:i/>
          <w:noProof/>
          <w:vertAlign w:val="superscript"/>
        </w:rPr>
        <w:t>27</w:t>
      </w:r>
      <w:r w:rsidRPr="0066103C">
        <w:rPr>
          <w:rFonts w:eastAsia="Times New Roman"/>
          <w:i/>
          <w:noProof/>
        </w:rPr>
        <w:t>The mighty kingly authority</w:t>
      </w:r>
    </w:p>
    <w:p w:rsidR="006B5293" w:rsidRPr="0066103C" w:rsidRDefault="00E5253C" w:rsidP="006B5293">
      <w:pPr>
        <w:rPr>
          <w:rFonts w:eastAsia="Times New Roman"/>
          <w:i/>
          <w:noProof/>
        </w:rPr>
      </w:pPr>
      <w:r w:rsidRPr="0066103C">
        <w:rPr>
          <w:rFonts w:eastAsia="Times New Roman"/>
          <w:i/>
          <w:noProof/>
        </w:rPr>
        <w:tab/>
      </w:r>
      <w:r w:rsidR="006B5293" w:rsidRPr="0066103C">
        <w:rPr>
          <w:rFonts w:eastAsia="Times New Roman"/>
          <w:i/>
          <w:noProof/>
        </w:rPr>
        <w:t>of the kingships under the whole heavens</w:t>
      </w:r>
    </w:p>
    <w:p w:rsidR="006B5293" w:rsidRPr="0066103C" w:rsidRDefault="00175E9E" w:rsidP="006B5293">
      <w:pPr>
        <w:rPr>
          <w:rFonts w:eastAsia="Times New Roman"/>
          <w:i/>
          <w:noProof/>
        </w:rPr>
      </w:pPr>
      <w:r>
        <w:rPr>
          <w:rFonts w:eastAsia="Times New Roman"/>
          <w:i/>
          <w:noProof/>
        </w:rPr>
        <w:t>W</w:t>
      </w:r>
      <w:r w:rsidR="006B5293" w:rsidRPr="0066103C">
        <w:rPr>
          <w:rFonts w:eastAsia="Times New Roman"/>
          <w:i/>
          <w:noProof/>
        </w:rPr>
        <w:t>ill have been given</w:t>
      </w:r>
      <w:r w:rsidR="006B5293" w:rsidRPr="0066103C">
        <w:rPr>
          <w:rFonts w:eastAsia="Times New Roman"/>
          <w:i/>
          <w:noProof/>
          <w:vertAlign w:val="superscript"/>
        </w:rPr>
        <w:t>a</w:t>
      </w:r>
      <w:r w:rsidR="006B5293" w:rsidRPr="0066103C">
        <w:rPr>
          <w:rFonts w:eastAsia="Times New Roman"/>
          <w:i/>
          <w:noProof/>
        </w:rPr>
        <w:t xml:space="preserve"> to a holy people</w:t>
      </w:r>
      <w:r>
        <w:rPr>
          <w:rFonts w:eastAsia="Times New Roman"/>
          <w:i/>
          <w:noProof/>
        </w:rPr>
        <w:t xml:space="preserve"> on high,</w:t>
      </w:r>
      <w:r w:rsidR="00D04FE1" w:rsidRPr="00D04FE1">
        <w:rPr>
          <w:rFonts w:eastAsia="Times New Roman"/>
          <w:i/>
          <w:noProof/>
          <w:vertAlign w:val="superscript"/>
        </w:rPr>
        <w:t>b</w:t>
      </w:r>
    </w:p>
    <w:p w:rsidR="006B5293" w:rsidRPr="0066103C" w:rsidRDefault="00175E9E" w:rsidP="006B5293">
      <w:pPr>
        <w:rPr>
          <w:rFonts w:eastAsia="Times New Roman"/>
          <w:i/>
          <w:noProof/>
        </w:rPr>
      </w:pPr>
      <w:r>
        <w:rPr>
          <w:rFonts w:eastAsia="Times New Roman"/>
          <w:i/>
          <w:noProof/>
        </w:rPr>
        <w:tab/>
        <w:t>its kingship one that stands for ever.</w:t>
      </w:r>
    </w:p>
    <w:p w:rsidR="00175E9E" w:rsidRDefault="00175E9E" w:rsidP="006B5293">
      <w:pPr>
        <w:rPr>
          <w:rFonts w:eastAsia="Times New Roman"/>
          <w:i/>
          <w:noProof/>
        </w:rPr>
      </w:pPr>
      <w:r>
        <w:rPr>
          <w:rFonts w:eastAsia="Times New Roman"/>
          <w:i/>
          <w:noProof/>
        </w:rPr>
        <w:t>To it e</w:t>
      </w:r>
      <w:r w:rsidR="006B5293" w:rsidRPr="0066103C">
        <w:rPr>
          <w:rFonts w:eastAsia="Times New Roman"/>
          <w:i/>
          <w:noProof/>
        </w:rPr>
        <w:t xml:space="preserve">very authority </w:t>
      </w:r>
    </w:p>
    <w:p w:rsidR="006B5293" w:rsidRPr="0066103C" w:rsidRDefault="00175E9E" w:rsidP="006B5293">
      <w:pPr>
        <w:rPr>
          <w:rFonts w:eastAsia="Times New Roman"/>
          <w:i/>
          <w:noProof/>
        </w:rPr>
      </w:pPr>
      <w:r>
        <w:rPr>
          <w:rFonts w:eastAsia="Times New Roman"/>
          <w:i/>
          <w:noProof/>
        </w:rPr>
        <w:tab/>
      </w:r>
      <w:r w:rsidR="006B5293" w:rsidRPr="0066103C">
        <w:rPr>
          <w:rFonts w:eastAsia="Times New Roman"/>
          <w:i/>
          <w:noProof/>
        </w:rPr>
        <w:t xml:space="preserve">will </w:t>
      </w:r>
      <w:r w:rsidR="00D04FE1">
        <w:rPr>
          <w:rFonts w:eastAsia="Times New Roman"/>
          <w:i/>
          <w:noProof/>
        </w:rPr>
        <w:t xml:space="preserve">give </w:t>
      </w:r>
      <w:r w:rsidR="006B5293" w:rsidRPr="0066103C">
        <w:rPr>
          <w:rFonts w:eastAsia="Times New Roman"/>
          <w:i/>
          <w:noProof/>
        </w:rPr>
        <w:t>h</w:t>
      </w:r>
      <w:r>
        <w:rPr>
          <w:rFonts w:eastAsia="Times New Roman"/>
          <w:i/>
          <w:noProof/>
        </w:rPr>
        <w:t>onor and show obedience</w:t>
      </w:r>
      <w:r w:rsidR="00E5253C" w:rsidRPr="0066103C">
        <w:rPr>
          <w:rFonts w:eastAsia="Times New Roman"/>
          <w:i/>
          <w:noProof/>
        </w:rPr>
        <w:t>.”</w:t>
      </w:r>
    </w:p>
    <w:p w:rsidR="00E5253C" w:rsidRPr="0066103C" w:rsidRDefault="00E5253C" w:rsidP="006B5293">
      <w:pPr>
        <w:rPr>
          <w:rFonts w:eastAsia="Times New Roman"/>
          <w:i/>
          <w:vertAlign w:val="superscript"/>
        </w:rPr>
      </w:pPr>
    </w:p>
    <w:p w:rsidR="006B5293" w:rsidRPr="0066103C" w:rsidRDefault="006B5293" w:rsidP="006B5293">
      <w:pPr>
        <w:rPr>
          <w:rFonts w:eastAsia="Times New Roman"/>
          <w:i/>
        </w:rPr>
      </w:pPr>
      <w:r w:rsidRPr="0066103C">
        <w:rPr>
          <w:rFonts w:eastAsia="Times New Roman"/>
          <w:i/>
          <w:vertAlign w:val="superscript"/>
        </w:rPr>
        <w:t>28</w:t>
      </w:r>
      <w:r w:rsidRPr="0066103C">
        <w:rPr>
          <w:rFonts w:eastAsia="Times New Roman"/>
          <w:i/>
        </w:rPr>
        <w:t xml:space="preserve">That is the </w:t>
      </w:r>
      <w:r w:rsidR="00403499" w:rsidRPr="0066103C">
        <w:rPr>
          <w:rFonts w:eastAsia="Times New Roman"/>
          <w:i/>
        </w:rPr>
        <w:t>end of the account. “I, Dani</w:t>
      </w:r>
      <w:r w:rsidR="00B712C9" w:rsidRPr="0066103C">
        <w:rPr>
          <w:rFonts w:eastAsia="Times New Roman"/>
          <w:i/>
        </w:rPr>
        <w:t>yy</w:t>
      </w:r>
      <w:r w:rsidR="00403499" w:rsidRPr="0066103C">
        <w:rPr>
          <w:rFonts w:eastAsia="Times New Roman"/>
          <w:i/>
        </w:rPr>
        <w:t>e</w:t>
      </w:r>
      <w:r w:rsidR="00B712C9" w:rsidRPr="0066103C">
        <w:rPr>
          <w:rFonts w:eastAsia="Times New Roman"/>
          <w:i/>
        </w:rPr>
        <w:t>’</w:t>
      </w:r>
      <w:r w:rsidR="00403499" w:rsidRPr="0066103C">
        <w:rPr>
          <w:rFonts w:eastAsia="Times New Roman"/>
          <w:i/>
        </w:rPr>
        <w:t xml:space="preserve">l—I </w:t>
      </w:r>
      <w:r w:rsidRPr="0066103C">
        <w:rPr>
          <w:rFonts w:eastAsia="Times New Roman"/>
          <w:i/>
        </w:rPr>
        <w:t>was very alarmed in my thinking</w:t>
      </w:r>
      <w:r w:rsidR="00C27E3A" w:rsidRPr="0066103C">
        <w:rPr>
          <w:rFonts w:eastAsia="Times New Roman"/>
          <w:i/>
        </w:rPr>
        <w:t>,</w:t>
      </w:r>
      <w:r w:rsidRPr="0066103C">
        <w:rPr>
          <w:rFonts w:eastAsia="Times New Roman"/>
          <w:i/>
        </w:rPr>
        <w:t xml:space="preserve"> and my face turned pale, but I kept this matter in my own mind.”</w:t>
      </w:r>
      <w:r w:rsidRPr="0066103C">
        <w:rPr>
          <w:rFonts w:eastAsia="Times New Roman"/>
          <w:i/>
          <w:vertAlign w:val="superscript"/>
        </w:rPr>
        <w:t>a</w:t>
      </w:r>
    </w:p>
    <w:p w:rsidR="004F0A02" w:rsidRPr="00CC1756" w:rsidRDefault="004F0A02" w:rsidP="00CC1756">
      <w:pPr>
        <w:pStyle w:val="Heading2"/>
      </w:pPr>
      <w:r w:rsidRPr="00CC1756">
        <w:t>Notes</w:t>
      </w:r>
    </w:p>
    <w:p w:rsidR="004F0A02" w:rsidRPr="0066103C" w:rsidRDefault="00D735D6" w:rsidP="004F0A02">
      <w:r w:rsidRPr="0066103C">
        <w:t xml:space="preserve">1.a. The spelling is </w:t>
      </w:r>
      <w:r w:rsidR="00D428F6" w:rsidRPr="0066103C">
        <w:t>as in 5:30</w:t>
      </w:r>
      <w:r w:rsidR="004F0A02" w:rsidRPr="0066103C">
        <w:t>.</w:t>
      </w:r>
      <w:r w:rsidR="00323548" w:rsidRPr="0066103C">
        <w:t xml:space="preserve"> The form of the date using the preposition </w:t>
      </w:r>
      <w:r w:rsidR="00323548" w:rsidRPr="0066103C">
        <w:rPr>
          <w:rFonts w:ascii="Arial" w:hAnsi="Arial" w:cs="Arial"/>
        </w:rPr>
        <w:t>ל</w:t>
      </w:r>
      <w:r w:rsidR="00323548" w:rsidRPr="0066103C">
        <w:t xml:space="preserve"> is a Hebraism (Mastin, “A Feature of the Dates in the Aramaic Portions of Ezra and Daniel”).</w:t>
      </w:r>
    </w:p>
    <w:p w:rsidR="00D428F6" w:rsidRPr="0066103C" w:rsidRDefault="004F0A02" w:rsidP="00D428F6">
      <w:r w:rsidRPr="0066103C">
        <w:t>1.b-b.</w:t>
      </w:r>
      <w:r w:rsidR="00E5253C" w:rsidRPr="0066103C">
        <w:t xml:space="preserve"> </w:t>
      </w:r>
      <w:r w:rsidR="00E5253C" w:rsidRPr="0066103C">
        <w:rPr>
          <w:i/>
        </w:rPr>
        <w:t>Waw</w:t>
      </w:r>
      <w:r w:rsidR="00E5253C" w:rsidRPr="0066103C">
        <w:t xml:space="preserve"> explicative (see n. 6:28.a</w:t>
      </w:r>
      <w:r w:rsidRPr="0066103C">
        <w:t>). The double description of the dream vision is characteristic of Dan</w:t>
      </w:r>
      <w:r w:rsidR="00175E9E">
        <w:t>ielic</w:t>
      </w:r>
      <w:r w:rsidRPr="0066103C">
        <w:t xml:space="preserve"> style (Plöger deletes</w:t>
      </w:r>
      <w:r w:rsidR="00E5253C" w:rsidRPr="0066103C">
        <w:t xml:space="preserve"> the whole phrase); cf. esp. 4:5</w:t>
      </w:r>
      <w:r w:rsidR="00717BF5">
        <w:t xml:space="preserve"> 2]</w:t>
      </w:r>
      <w:r w:rsidRPr="0066103C">
        <w:t xml:space="preserve">. </w:t>
      </w:r>
      <w:r w:rsidR="00D428F6" w:rsidRPr="0066103C">
        <w:t>Hartman/Di Lella</w:t>
      </w:r>
      <w:r w:rsidRPr="0066103C">
        <w:t xml:space="preserve"> adds the </w:t>
      </w:r>
      <w:r w:rsidR="00E5253C" w:rsidRPr="0066103C">
        <w:t>verb</w:t>
      </w:r>
      <w:r w:rsidRPr="0066103C">
        <w:t xml:space="preserve"> יבהלנה</w:t>
      </w:r>
      <w:r w:rsidR="00D428F6" w:rsidRPr="0066103C">
        <w:t xml:space="preserve"> (“alarmed him”</w:t>
      </w:r>
      <w:r w:rsidRPr="0066103C">
        <w:t>), comparing 4:</w:t>
      </w:r>
      <w:r w:rsidR="00175E9E">
        <w:t>5, 22 [2, 19]</w:t>
      </w:r>
      <w:r w:rsidRPr="0066103C">
        <w:t>; 7:15; but in those verses the ref</w:t>
      </w:r>
      <w:r w:rsidR="00D428F6" w:rsidRPr="0066103C">
        <w:t>erence</w:t>
      </w:r>
      <w:r w:rsidRPr="0066103C">
        <w:t>s to the visionary being disturbed by his dream are also repeated, whereas there are no such ref</w:t>
      </w:r>
      <w:r w:rsidR="00D428F6" w:rsidRPr="0066103C">
        <w:t xml:space="preserve">erences </w:t>
      </w:r>
      <w:r w:rsidRPr="0066103C">
        <w:t>in 7:1. Dramatically, Daniel’s response is reserved for v 15. On pl. חזוי “visions” see n. 2:1.a</w:t>
      </w:r>
      <w:r w:rsidR="00D428F6" w:rsidRPr="0066103C">
        <w:t>.</w:t>
      </w:r>
    </w:p>
    <w:p w:rsidR="00447D9C" w:rsidRPr="0066103C" w:rsidRDefault="004F0A02" w:rsidP="00175E9E">
      <w:pPr>
        <w:rPr>
          <w:i/>
        </w:rPr>
      </w:pPr>
      <w:r w:rsidRPr="0066103C">
        <w:t>1.c-c</w:t>
      </w:r>
      <w:r w:rsidR="00D428F6" w:rsidRPr="0066103C">
        <w:t xml:space="preserve">. </w:t>
      </w:r>
      <w:r w:rsidR="00D428F6" w:rsidRPr="0066103C">
        <w:rPr>
          <w:rFonts w:ascii="Arial" w:eastAsiaTheme="minorHAnsi" w:hAnsi="Arial" w:cs="Arial"/>
        </w:rPr>
        <w:t xml:space="preserve">ן י ל מ </w:t>
      </w:r>
      <w:r w:rsidR="00D428F6" w:rsidRPr="0066103C">
        <w:rPr>
          <w:rFonts w:ascii="Arial" w:hAnsi="Arial" w:cs="Arial"/>
        </w:rPr>
        <w:t>ראש</w:t>
      </w:r>
      <w:r w:rsidR="00D428F6" w:rsidRPr="0066103C">
        <w:t xml:space="preserve"> </w:t>
      </w:r>
      <w:r w:rsidRPr="0066103C">
        <w:t xml:space="preserve">and the </w:t>
      </w:r>
      <w:r w:rsidR="00D428F6" w:rsidRPr="0066103C">
        <w:t>equivalent phrase in v 28a</w:t>
      </w:r>
      <w:r w:rsidRPr="0066103C">
        <w:t xml:space="preserve"> open and close Danie</w:t>
      </w:r>
      <w:r w:rsidR="00D428F6" w:rsidRPr="0066103C">
        <w:t>l’s account of the dream (cf</w:t>
      </w:r>
      <w:r w:rsidR="00175E9E">
        <w:t xml:space="preserve">. JB). Thus the phrase </w:t>
      </w:r>
      <w:r w:rsidR="00D428F6" w:rsidRPr="0066103C">
        <w:t xml:space="preserve">does </w:t>
      </w:r>
      <w:r w:rsidRPr="0066103C">
        <w:t>not mean “a s</w:t>
      </w:r>
      <w:r w:rsidR="008470A4" w:rsidRPr="0066103C">
        <w:t>ummary of matters” (cf. OG).</w:t>
      </w:r>
      <w:r w:rsidRPr="0066103C">
        <w:t xml:space="preserve"> ר</w:t>
      </w:r>
      <w:r w:rsidR="004803BD" w:rsidRPr="0066103C">
        <w:t xml:space="preserve"> </w:t>
      </w:r>
      <w:r w:rsidR="004803BD" w:rsidRPr="0066103C">
        <w:rPr>
          <w:rFonts w:ascii="Arial" w:hAnsi="Arial" w:cs="Arial"/>
        </w:rPr>
        <w:t>מ</w:t>
      </w:r>
      <w:r w:rsidRPr="0066103C">
        <w:t xml:space="preserve"> </w:t>
      </w:r>
      <w:r w:rsidR="004803BD" w:rsidRPr="0066103C">
        <w:rPr>
          <w:rFonts w:ascii="Arial" w:hAnsi="Arial" w:cs="Arial"/>
        </w:rPr>
        <w:t>א</w:t>
      </w:r>
      <w:r w:rsidR="004803BD" w:rsidRPr="0066103C">
        <w:t xml:space="preserve"> </w:t>
      </w:r>
      <w:r w:rsidRPr="0066103C">
        <w:t>“he said” which follows may be a gl</w:t>
      </w:r>
      <w:r w:rsidR="00D428F6" w:rsidRPr="0066103C">
        <w:t>oss</w:t>
      </w:r>
      <w:r w:rsidRPr="0066103C">
        <w:t xml:space="preserve"> (G lacks), perhaps presupposing the alternative meaning of</w:t>
      </w:r>
      <w:r w:rsidR="00D428F6" w:rsidRPr="0066103C">
        <w:t xml:space="preserve"> </w:t>
      </w:r>
      <w:r w:rsidR="00D428F6" w:rsidRPr="0066103C">
        <w:rPr>
          <w:rFonts w:ascii="Arial" w:hAnsi="Arial" w:cs="Arial"/>
        </w:rPr>
        <w:t>ן</w:t>
      </w:r>
      <w:r w:rsidR="00D428F6" w:rsidRPr="0066103C">
        <w:t xml:space="preserve"> </w:t>
      </w:r>
      <w:r w:rsidR="00D428F6" w:rsidRPr="0066103C">
        <w:rPr>
          <w:rFonts w:ascii="Arial" w:hAnsi="Arial" w:cs="Arial"/>
        </w:rPr>
        <w:t>י</w:t>
      </w:r>
      <w:r w:rsidR="00D428F6" w:rsidRPr="0066103C">
        <w:t xml:space="preserve"> </w:t>
      </w:r>
      <w:r w:rsidR="00D428F6" w:rsidRPr="0066103C">
        <w:rPr>
          <w:rFonts w:ascii="Arial" w:hAnsi="Arial" w:cs="Arial"/>
        </w:rPr>
        <w:t>ל</w:t>
      </w:r>
      <w:r w:rsidR="00D428F6" w:rsidRPr="0066103C">
        <w:t xml:space="preserve"> </w:t>
      </w:r>
      <w:r w:rsidR="00D428F6" w:rsidRPr="0066103C">
        <w:rPr>
          <w:rFonts w:ascii="Arial" w:hAnsi="Arial" w:cs="Arial"/>
        </w:rPr>
        <w:t>מ</w:t>
      </w:r>
      <w:r w:rsidR="00D428F6" w:rsidRPr="0066103C">
        <w:t xml:space="preserve">  </w:t>
      </w:r>
      <w:r w:rsidRPr="0066103C">
        <w:t xml:space="preserve"> ראש </w:t>
      </w:r>
      <w:r w:rsidR="00D428F6" w:rsidRPr="0066103C">
        <w:t>(cf. RV</w:t>
      </w:r>
      <w:r w:rsidRPr="0066103C">
        <w:t>); or perhaps its redundancy relates t</w:t>
      </w:r>
      <w:r w:rsidR="004803BD" w:rsidRPr="0066103C">
        <w:t xml:space="preserve">o problems in v 2 (see n. 2.a). </w:t>
      </w:r>
      <w:r w:rsidRPr="0066103C">
        <w:t xml:space="preserve">Th omits the whole phrase </w:t>
      </w:r>
      <w:r w:rsidR="00D01C09" w:rsidRPr="0066103C">
        <w:t xml:space="preserve">here </w:t>
      </w:r>
      <w:r w:rsidRPr="0066103C">
        <w:t>but has the subscription in v 2</w:t>
      </w:r>
      <w:r w:rsidR="008470A4" w:rsidRPr="0066103C">
        <w:t xml:space="preserve">8; </w:t>
      </w:r>
      <w:r w:rsidR="00447D9C" w:rsidRPr="0066103C">
        <w:t>4QDan</w:t>
      </w:r>
      <w:r w:rsidR="00447D9C" w:rsidRPr="0066103C">
        <w:rPr>
          <w:vertAlign w:val="superscript"/>
        </w:rPr>
        <w:t>b</w:t>
      </w:r>
      <w:r w:rsidR="00AA7C24" w:rsidRPr="0066103C">
        <w:t xml:space="preserve"> may not </w:t>
      </w:r>
      <w:r w:rsidR="008470A4" w:rsidRPr="0066103C">
        <w:t>have enough room for the phrase (see e.g., Collins).</w:t>
      </w:r>
    </w:p>
    <w:p w:rsidR="004F0A02" w:rsidRPr="0066103C" w:rsidRDefault="00D01C09" w:rsidP="004F0A02">
      <w:r w:rsidRPr="0066103C">
        <w:t>2.a. NEB</w:t>
      </w:r>
      <w:r w:rsidR="004F0A02" w:rsidRPr="0066103C">
        <w:t xml:space="preserve"> omits</w:t>
      </w:r>
      <w:r w:rsidR="00AB4164" w:rsidRPr="0066103C">
        <w:t xml:space="preserve"> </w:t>
      </w:r>
      <w:r w:rsidR="00AB4164" w:rsidRPr="0066103C">
        <w:rPr>
          <w:rFonts w:ascii="Arial" w:hAnsi="Arial" w:cs="Arial"/>
        </w:rPr>
        <w:t>ענה</w:t>
      </w:r>
      <w:r w:rsidR="00AB4164" w:rsidRPr="0066103C">
        <w:t xml:space="preserve"> and</w:t>
      </w:r>
      <w:r w:rsidR="004F0A02" w:rsidRPr="0066103C">
        <w:t xml:space="preserve"> ואמר and</w:t>
      </w:r>
      <w:r w:rsidRPr="0066103C">
        <w:t xml:space="preserve"> </w:t>
      </w:r>
      <w:r w:rsidR="004F0A02" w:rsidRPr="0066103C">
        <w:t xml:space="preserve">follows Th (cf. OG); but the </w:t>
      </w:r>
      <w:r w:rsidRPr="0066103C">
        <w:t>Aramaic</w:t>
      </w:r>
      <w:r w:rsidR="004F0A02" w:rsidRPr="0066103C">
        <w:t xml:space="preserve"> flavor of this phrase may suggest it is original (Montgomery).</w:t>
      </w:r>
    </w:p>
    <w:p w:rsidR="004F0A02" w:rsidRPr="0066103C" w:rsidRDefault="00AB4164" w:rsidP="004F0A02">
      <w:r w:rsidRPr="0066103C">
        <w:t>2.b. Perhaps</w:t>
      </w:r>
      <w:r w:rsidR="004F0A02" w:rsidRPr="0066103C">
        <w:t xml:space="preserve"> “through”: cf</w:t>
      </w:r>
      <w:r w:rsidRPr="0066103C">
        <w:t>.</w:t>
      </w:r>
      <w:r w:rsidR="00945C8C">
        <w:t xml:space="preserve"> </w:t>
      </w:r>
      <w:r w:rsidR="004F0A02" w:rsidRPr="0066103C">
        <w:t xml:space="preserve">עם in </w:t>
      </w:r>
      <w:r w:rsidR="00175E9E">
        <w:t xml:space="preserve">4:3, </w:t>
      </w:r>
      <w:r w:rsidRPr="0066103C">
        <w:t>34 [</w:t>
      </w:r>
      <w:r w:rsidR="00175E9E">
        <w:t>3:33; 4:</w:t>
      </w:r>
      <w:r w:rsidRPr="0066103C">
        <w:t>31</w:t>
      </w:r>
      <w:r w:rsidR="004F0A02" w:rsidRPr="0066103C">
        <w:t>]; Ps 72:5.</w:t>
      </w:r>
    </w:p>
    <w:p w:rsidR="004F0A02" w:rsidRPr="0066103C" w:rsidRDefault="004F0A02" w:rsidP="004F0A02">
      <w:r w:rsidRPr="0066103C">
        <w:t>2.c. BDB</w:t>
      </w:r>
      <w:r w:rsidR="00AB4164" w:rsidRPr="0066103C">
        <w:t>,</w:t>
      </w:r>
      <w:r w:rsidRPr="0066103C">
        <w:t xml:space="preserve"> 1127 takes מגיחן as intrans</w:t>
      </w:r>
      <w:r w:rsidR="00AB4164" w:rsidRPr="0066103C">
        <w:t>itive (cf. RV); more likely it is transitive</w:t>
      </w:r>
      <w:r w:rsidRPr="0066103C">
        <w:t xml:space="preserve"> (cf. instances of the qal in BH) and ל is the sign of the obj</w:t>
      </w:r>
      <w:r w:rsidR="00AB4164" w:rsidRPr="0066103C">
        <w:t>ect</w:t>
      </w:r>
      <w:r w:rsidRPr="0066103C">
        <w:t>, as often in BA (for “upon</w:t>
      </w:r>
      <w:r w:rsidR="00AB4164" w:rsidRPr="0066103C">
        <w:t>,</w:t>
      </w:r>
      <w:r w:rsidRPr="0066103C">
        <w:t>”</w:t>
      </w:r>
      <w:r w:rsidR="00945C8C">
        <w:t xml:space="preserve"> </w:t>
      </w:r>
      <w:r w:rsidRPr="0066103C">
        <w:t>על would be more natural).</w:t>
      </w:r>
    </w:p>
    <w:p w:rsidR="004F0A02" w:rsidRPr="0066103C" w:rsidRDefault="004F0A02" w:rsidP="004F0A02">
      <w:r w:rsidRPr="0066103C">
        <w:t>4.a. Perh</w:t>
      </w:r>
      <w:r w:rsidR="00AB4164" w:rsidRPr="0066103C">
        <w:t>aps</w:t>
      </w:r>
      <w:r w:rsidRPr="0066103C">
        <w:t xml:space="preserve"> “vulture” (Driver), but see BDB</w:t>
      </w:r>
      <w:r w:rsidR="00AB4164" w:rsidRPr="0066103C">
        <w:t>,</w:t>
      </w:r>
      <w:r w:rsidRPr="0066103C">
        <w:t xml:space="preserve"> 676–77.</w:t>
      </w:r>
    </w:p>
    <w:p w:rsidR="004F0A02" w:rsidRPr="0066103C" w:rsidRDefault="00AB4164" w:rsidP="004F0A02">
      <w:r w:rsidRPr="0066103C">
        <w:t>4.b. See Rowley, “Composition of the Book of Daniel,”</w:t>
      </w:r>
      <w:r w:rsidR="004F0A02" w:rsidRPr="0066103C">
        <w:t xml:space="preserve"> 274–76, against Ginsberg; also </w:t>
      </w:r>
      <w:r w:rsidR="004F0A02" w:rsidRPr="0066103C">
        <w:rPr>
          <w:i/>
        </w:rPr>
        <w:t>DTT</w:t>
      </w:r>
      <w:r w:rsidR="004F0A02" w:rsidRPr="0066103C">
        <w:t>.</w:t>
      </w:r>
    </w:p>
    <w:p w:rsidR="004F0A02" w:rsidRPr="0066103C" w:rsidRDefault="00AB4164" w:rsidP="004F0A02">
      <w:r w:rsidRPr="0066103C">
        <w:t>4.c-c. Ginsberg moves these</w:t>
      </w:r>
      <w:r w:rsidR="004F0A02" w:rsidRPr="0066103C">
        <w:t xml:space="preserve"> cl</w:t>
      </w:r>
      <w:r w:rsidRPr="0066103C">
        <w:t>auses</w:t>
      </w:r>
      <w:r w:rsidR="004F0A02" w:rsidRPr="0066103C">
        <w:t xml:space="preserve"> to v 5 to follow “it had lifted up one side.” Cf. n. 5.d-d.</w:t>
      </w:r>
    </w:p>
    <w:p w:rsidR="004F0A02" w:rsidRPr="0066103C" w:rsidRDefault="004F0A02" w:rsidP="004F0A02">
      <w:r w:rsidRPr="0066103C">
        <w:t xml:space="preserve">4.d. The form הֳקִימַת is surprising (cf. </w:t>
      </w:r>
      <w:r w:rsidRPr="0066103C">
        <w:rPr>
          <w:i/>
        </w:rPr>
        <w:t>GBA</w:t>
      </w:r>
      <w:r w:rsidR="00717BF5">
        <w:t xml:space="preserve"> 140); it</w:t>
      </w:r>
      <w:r w:rsidRPr="0066103C">
        <w:t xml:space="preserve"> may be a mixed form, the first vowel suggesting ho</w:t>
      </w:r>
      <w:r w:rsidR="00D735D6" w:rsidRPr="0066103C">
        <w:t>phal</w:t>
      </w:r>
      <w:r w:rsidRPr="0066103C">
        <w:t>, the י suggesting haphe</w:t>
      </w:r>
      <w:r w:rsidR="00AA7C24" w:rsidRPr="0066103C">
        <w:t>l (?impersonal);</w:t>
      </w:r>
      <w:r w:rsidR="00D735D6" w:rsidRPr="0066103C">
        <w:t>the translation</w:t>
      </w:r>
      <w:r w:rsidR="00717BF5">
        <w:t xml:space="preserve"> is unaffected</w:t>
      </w:r>
      <w:r w:rsidRPr="0066103C">
        <w:t xml:space="preserve">. It corresponds to the Arabic equivalent to hophal (BL 28s), but </w:t>
      </w:r>
      <w:r w:rsidR="00D735D6" w:rsidRPr="0066103C">
        <w:t xml:space="preserve">it </w:t>
      </w:r>
      <w:r w:rsidRPr="0066103C">
        <w:t>would be the only such form in Dan</w:t>
      </w:r>
      <w:r w:rsidR="00717BF5">
        <w:t>iel</w:t>
      </w:r>
      <w:r w:rsidRPr="0066103C">
        <w:t xml:space="preserve"> (Ginsberg, 2–3: he emends).</w:t>
      </w:r>
    </w:p>
    <w:p w:rsidR="004F0A02" w:rsidRPr="0066103C" w:rsidRDefault="004F0A02" w:rsidP="004F0A02">
      <w:r w:rsidRPr="0066103C">
        <w:t xml:space="preserve">4.e-e. </w:t>
      </w:r>
      <w:r w:rsidR="00A71254" w:rsidRPr="0066103C">
        <w:t>Whereas</w:t>
      </w:r>
      <w:r w:rsidRPr="0066103C">
        <w:t xml:space="preserve"> גַפִּין</w:t>
      </w:r>
      <w:r w:rsidR="00A71254" w:rsidRPr="0066103C">
        <w:t xml:space="preserve"> </w:t>
      </w:r>
      <w:r w:rsidR="00717BF5">
        <w:t xml:space="preserve">“wings” </w:t>
      </w:r>
      <w:r w:rsidR="00A71254" w:rsidRPr="0066103C">
        <w:t>wa</w:t>
      </w:r>
      <w:r w:rsidRPr="0066103C">
        <w:t xml:space="preserve">s pointed as pl., רַגְלַיִן “feet” </w:t>
      </w:r>
      <w:r w:rsidR="00A71254" w:rsidRPr="0066103C">
        <w:t xml:space="preserve">is pointed as dual; in </w:t>
      </w:r>
      <w:r w:rsidR="000C1456" w:rsidRPr="0066103C">
        <w:t>v</w:t>
      </w:r>
      <w:r w:rsidR="00A71254" w:rsidRPr="0066103C">
        <w:t xml:space="preserve"> 7 so are</w:t>
      </w:r>
      <w:r w:rsidRPr="0066103C">
        <w:t xml:space="preserve"> שִׁנַּיִן</w:t>
      </w:r>
      <w:r w:rsidR="00A71254" w:rsidRPr="0066103C">
        <w:t xml:space="preserve"> “teeth” (the reference being to two jaws)</w:t>
      </w:r>
      <w:r w:rsidRPr="0066103C">
        <w:t xml:space="preserve"> and קַרְנַיִן</w:t>
      </w:r>
      <w:r w:rsidR="00A71254" w:rsidRPr="0066103C">
        <w:t xml:space="preserve"> “horns” (</w:t>
      </w:r>
      <w:r w:rsidRPr="0066103C">
        <w:t>bec</w:t>
      </w:r>
      <w:r w:rsidR="00A71254" w:rsidRPr="0066103C">
        <w:t>ause they usually come in pairs).</w:t>
      </w:r>
      <w:r w:rsidRPr="0066103C">
        <w:t xml:space="preserve"> In later </w:t>
      </w:r>
      <w:r w:rsidR="00D01C09" w:rsidRPr="0066103C">
        <w:t>Aramaic</w:t>
      </w:r>
      <w:r w:rsidRPr="0066103C">
        <w:t xml:space="preserve"> and Syriac the dual d</w:t>
      </w:r>
      <w:r w:rsidR="00AA7C24" w:rsidRPr="0066103C">
        <w:t>isappears, which</w:t>
      </w:r>
      <w:r w:rsidR="00A71254" w:rsidRPr="0066103C">
        <w:t xml:space="preserve"> has perhaps</w:t>
      </w:r>
      <w:r w:rsidRPr="0066103C">
        <w:t xml:space="preserve"> affected MT pointing</w:t>
      </w:r>
      <w:r w:rsidR="00AA7C24" w:rsidRPr="0066103C">
        <w:t xml:space="preserve"> in Dan</w:t>
      </w:r>
      <w:r w:rsidR="00717BF5">
        <w:t>iel</w:t>
      </w:r>
      <w:r w:rsidR="00AA7C24" w:rsidRPr="0066103C">
        <w:t xml:space="preserve">—that is, </w:t>
      </w:r>
      <w:r w:rsidR="00A71254" w:rsidRPr="0066103C">
        <w:t xml:space="preserve">some MT plurals will originally have been </w:t>
      </w:r>
      <w:r w:rsidRPr="0066103C">
        <w:t>dual.</w:t>
      </w:r>
    </w:p>
    <w:p w:rsidR="004F0A02" w:rsidRPr="0066103C" w:rsidRDefault="00A71254" w:rsidP="004F0A02">
      <w:r w:rsidRPr="0066103C">
        <w:t>5.a. Cf. JB (and</w:t>
      </w:r>
      <w:r w:rsidR="004F0A02" w:rsidRPr="0066103C">
        <w:t xml:space="preserve"> the BH usage, BDB</w:t>
      </w:r>
      <w:r w:rsidRPr="0066103C">
        <w:t>,</w:t>
      </w:r>
      <w:r w:rsidR="004F0A02" w:rsidRPr="0066103C">
        <w:t xml:space="preserve"> 29). If אחרי simply means “another,” either it or תנינה “s</w:t>
      </w:r>
      <w:r w:rsidRPr="0066103C">
        <w:t xml:space="preserve">econd” looks redundant; G, Syr </w:t>
      </w:r>
      <w:r w:rsidR="004F0A02" w:rsidRPr="0066103C">
        <w:t xml:space="preserve">have equivalents to </w:t>
      </w:r>
      <w:r w:rsidRPr="0066103C">
        <w:t>only one of the two words. Perhaps</w:t>
      </w:r>
      <w:r w:rsidR="004F0A02" w:rsidRPr="0066103C">
        <w:t xml:space="preserve"> MT conflates (Charles).</w:t>
      </w:r>
      <w:r w:rsidR="004803BD" w:rsidRPr="0066103C">
        <w:t xml:space="preserve"> For the translation that follows, cf. Muraoka, </w:t>
      </w:r>
      <w:r w:rsidR="004803BD" w:rsidRPr="0066103C">
        <w:rPr>
          <w:i/>
        </w:rPr>
        <w:t>Reader</w:t>
      </w:r>
      <w:r w:rsidR="004803BD" w:rsidRPr="0066103C">
        <w:t xml:space="preserve">, </w:t>
      </w:r>
      <w:r w:rsidR="00495522" w:rsidRPr="0066103C">
        <w:t>64-65.</w:t>
      </w:r>
    </w:p>
    <w:p w:rsidR="004F0A02" w:rsidRPr="0066103C" w:rsidRDefault="004F0A02" w:rsidP="004F0A02">
      <w:r w:rsidRPr="0066103C">
        <w:t xml:space="preserve">5.b. </w:t>
      </w:r>
      <w:r w:rsidR="00A71254" w:rsidRPr="0066103C">
        <w:t>Ben Chayyim’s edition of MT</w:t>
      </w:r>
      <w:r w:rsidRPr="0066103C">
        <w:t xml:space="preserve"> (cf. BDB) points הֱקִמַת (ha</w:t>
      </w:r>
      <w:r w:rsidR="00A71254" w:rsidRPr="0066103C">
        <w:t>phel</w:t>
      </w:r>
      <w:r w:rsidRPr="0066103C">
        <w:t>); but this involves taking</w:t>
      </w:r>
      <w:r w:rsidR="00A71254" w:rsidRPr="0066103C">
        <w:t xml:space="preserve"> </w:t>
      </w:r>
      <w:r w:rsidR="00A71254" w:rsidRPr="0066103C">
        <w:rPr>
          <w:rFonts w:ascii="Arial" w:hAnsi="Arial" w:cs="Arial"/>
        </w:rPr>
        <w:t>חד</w:t>
      </w:r>
      <w:r w:rsidRPr="0066103C">
        <w:t xml:space="preserve"> לשטר “on one side” as direct obj</w:t>
      </w:r>
      <w:r w:rsidR="00A71254" w:rsidRPr="0066103C">
        <w:t>ect</w:t>
      </w:r>
      <w:r w:rsidRPr="0066103C">
        <w:t>, whereas ל can hardly be obj</w:t>
      </w:r>
      <w:r w:rsidR="00A71254" w:rsidRPr="0066103C">
        <w:t>ect marker since the noun is absolute</w:t>
      </w:r>
      <w:r w:rsidR="00AA7C24" w:rsidRPr="0066103C">
        <w:t>.</w:t>
      </w:r>
      <w:r w:rsidRPr="0066103C">
        <w:t xml:space="preserve"> L’s הֳקִמַת is apparently another mixed form (cf. n. 4.d.): ho</w:t>
      </w:r>
      <w:r w:rsidR="00A71254" w:rsidRPr="0066103C">
        <w:t>phal</w:t>
      </w:r>
      <w:r w:rsidRPr="0066103C">
        <w:t xml:space="preserve"> is easier, since here the v</w:t>
      </w:r>
      <w:r w:rsidR="00A71254" w:rsidRPr="0066103C">
        <w:t>er</w:t>
      </w:r>
      <w:r w:rsidRPr="0066103C">
        <w:t>b cannot be impe</w:t>
      </w:r>
      <w:r w:rsidR="00A71254" w:rsidRPr="0066103C">
        <w:t>rsonal. Cf. G ἐστάθη; but Syr</w:t>
      </w:r>
      <w:r w:rsidRPr="0066103C">
        <w:t xml:space="preserve"> has </w:t>
      </w:r>
      <w:r w:rsidRPr="0066103C">
        <w:rPr>
          <w:i/>
        </w:rPr>
        <w:t>qmt</w:t>
      </w:r>
      <w:r w:rsidRPr="0066103C">
        <w:t xml:space="preserve"> (peal), Vg </w:t>
      </w:r>
      <w:r w:rsidRPr="0066103C">
        <w:rPr>
          <w:i/>
        </w:rPr>
        <w:t>stetit</w:t>
      </w:r>
      <w:r w:rsidRPr="0066103C">
        <w:t xml:space="preserve">. As in v 4, the </w:t>
      </w:r>
      <w:r w:rsidR="00E5253C" w:rsidRPr="0066103C">
        <w:t>verb</w:t>
      </w:r>
      <w:r w:rsidRPr="0066103C">
        <w:t xml:space="preserve"> must</w:t>
      </w:r>
      <w:r w:rsidR="00A71254" w:rsidRPr="0066103C">
        <w:t xml:space="preserve"> be taken in an aorist (or pluperfect) sense; </w:t>
      </w:r>
      <w:r w:rsidRPr="0066103C">
        <w:t>it does not mean “it was in a state of having been lifted up” (see BL 83b).</w:t>
      </w:r>
    </w:p>
    <w:p w:rsidR="004F0A02" w:rsidRPr="0066103C" w:rsidRDefault="004F0A02" w:rsidP="004F0A02">
      <w:r w:rsidRPr="0066103C">
        <w:t>5.c.</w:t>
      </w:r>
      <w:r w:rsidR="00717BF5">
        <w:t xml:space="preserve"> For</w:t>
      </w:r>
      <w:r w:rsidRPr="0066103C">
        <w:t xml:space="preserve"> שׂטר</w:t>
      </w:r>
      <w:r w:rsidR="00717BF5">
        <w:t>,</w:t>
      </w:r>
      <w:r w:rsidRPr="0066103C">
        <w:t xml:space="preserve"> RVmg “dominion” presupp</w:t>
      </w:r>
      <w:r w:rsidR="00586F54" w:rsidRPr="0066103C">
        <w:t>oses</w:t>
      </w:r>
      <w:r w:rsidRPr="0066103C">
        <w:t xml:space="preserve"> שׁטר (cf. BH משׁטר); c</w:t>
      </w:r>
      <w:r w:rsidR="00586F54" w:rsidRPr="0066103C">
        <w:t>f. Waterman, “A Gloss on Darius the Mede in Daniel 7 5</w:t>
      </w:r>
      <w:r w:rsidRPr="0066103C">
        <w:t>.</w:t>
      </w:r>
      <w:r w:rsidR="00586F54" w:rsidRPr="0066103C">
        <w:t>”</w:t>
      </w:r>
      <w:r w:rsidRPr="0066103C">
        <w:t xml:space="preserve"> It is doubtful if שׂטר</w:t>
      </w:r>
      <w:r w:rsidR="00AA7C24" w:rsidRPr="0066103C">
        <w:t xml:space="preserve"> can mean “end,” </w:t>
      </w:r>
      <w:r w:rsidRPr="0066103C">
        <w:t>suggesting the bear lifting i</w:t>
      </w:r>
      <w:r w:rsidR="00AA7C24" w:rsidRPr="0066103C">
        <w:t>tself up on its hind legs</w:t>
      </w:r>
      <w:r w:rsidR="00586F54" w:rsidRPr="0066103C">
        <w:t xml:space="preserve"> </w:t>
      </w:r>
      <w:r w:rsidR="00AA7C24" w:rsidRPr="0066103C">
        <w:t>(</w:t>
      </w:r>
      <w:r w:rsidR="00D428F6" w:rsidRPr="0066103C">
        <w:t>Hartman/Di Lella</w:t>
      </w:r>
      <w:r w:rsidRPr="0066103C">
        <w:t>).</w:t>
      </w:r>
    </w:p>
    <w:p w:rsidR="004F0A02" w:rsidRPr="0066103C" w:rsidRDefault="004F0A02" w:rsidP="004F0A02">
      <w:r w:rsidRPr="0066103C">
        <w:t xml:space="preserve">5.d-d. Ginsberg </w:t>
      </w:r>
      <w:r w:rsidR="00AA7C24" w:rsidRPr="0066103C">
        <w:t>moves to v 4 (cf. n. 4.c-c);</w:t>
      </w:r>
      <w:r w:rsidRPr="0066103C">
        <w:t xml:space="preserve"> if this </w:t>
      </w:r>
      <w:r w:rsidR="00AA7C24" w:rsidRPr="0066103C">
        <w:t xml:space="preserve">move </w:t>
      </w:r>
      <w:r w:rsidRPr="0066103C">
        <w:t xml:space="preserve">“improves” the picture, that </w:t>
      </w:r>
      <w:r w:rsidR="00586F54" w:rsidRPr="0066103C">
        <w:t xml:space="preserve">consideration </w:t>
      </w:r>
      <w:r w:rsidRPr="0066103C">
        <w:t>does not make it original. The similarity between Ginsberg’s text and Rev 13:1 (</w:t>
      </w:r>
      <w:r w:rsidR="00D428F6" w:rsidRPr="0066103C">
        <w:t>Hartman/Di Lella</w:t>
      </w:r>
      <w:r w:rsidRPr="0066103C">
        <w:t>) is not so marked that Rev</w:t>
      </w:r>
      <w:r w:rsidR="00717BF5">
        <w:t>elation</w:t>
      </w:r>
      <w:r w:rsidRPr="0066103C">
        <w:t xml:space="preserve"> must presuppose Ginsberg’s text; the similarity reflects the fact that both are more naturalistic than Dan 7:4–5 MT (Coppens, </w:t>
      </w:r>
      <w:r w:rsidR="00B713FA" w:rsidRPr="0066103C">
        <w:rPr>
          <w:i/>
        </w:rPr>
        <w:t>La relève apocalyptique</w:t>
      </w:r>
      <w:r w:rsidRPr="0066103C">
        <w:t xml:space="preserve"> </w:t>
      </w:r>
      <w:r w:rsidR="00D13DC4">
        <w:t>2:</w:t>
      </w:r>
      <w:r w:rsidRPr="0066103C">
        <w:t>29–30).</w:t>
      </w:r>
    </w:p>
    <w:p w:rsidR="004F0A02" w:rsidRPr="0066103C" w:rsidRDefault="004F0A02" w:rsidP="004F0A02">
      <w:r w:rsidRPr="0066103C">
        <w:lastRenderedPageBreak/>
        <w:t xml:space="preserve">5.e. </w:t>
      </w:r>
      <w:r w:rsidR="00586F54" w:rsidRPr="0066103C">
        <w:t>For</w:t>
      </w:r>
      <w:r w:rsidRPr="0066103C">
        <w:t>עלעין</w:t>
      </w:r>
      <w:r w:rsidR="00586F54" w:rsidRPr="0066103C">
        <w:t>, JPS</w:t>
      </w:r>
      <w:r w:rsidR="00ED0C67" w:rsidRPr="0066103C">
        <w:t>V</w:t>
      </w:r>
      <w:r w:rsidRPr="0066103C">
        <w:t xml:space="preserve"> “fangs” follows Vg </w:t>
      </w:r>
      <w:r w:rsidRPr="0066103C">
        <w:rPr>
          <w:i/>
        </w:rPr>
        <w:t>ordines</w:t>
      </w:r>
      <w:r w:rsidRPr="0066103C">
        <w:t xml:space="preserve"> “rows [of teeth],” Ps-Saadia</w:t>
      </w:r>
      <w:r w:rsidR="00586F54" w:rsidRPr="0066103C">
        <w:t>,</w:t>
      </w:r>
      <w:r w:rsidR="00ED0C67" w:rsidRPr="0066103C">
        <w:t xml:space="preserve"> and Arabic usage (and</w:t>
      </w:r>
      <w:r w:rsidRPr="0066103C">
        <w:t xml:space="preserve"> cf. BH</w:t>
      </w:r>
      <w:r w:rsidR="00945C8C">
        <w:t xml:space="preserve"> </w:t>
      </w:r>
      <w:r w:rsidRPr="0066103C">
        <w:t>מתלעות)</w:t>
      </w:r>
      <w:r w:rsidR="00586F54" w:rsidRPr="0066103C">
        <w:t>; see Frank, “The Description of the ‘Bear.’”</w:t>
      </w:r>
      <w:r w:rsidRPr="0066103C">
        <w:t xml:space="preserve"> But would עלעין have been understood here as “fangs,” given t</w:t>
      </w:r>
      <w:r w:rsidR="00586F54" w:rsidRPr="0066103C">
        <w:t>he usual meaning “ribs” in Aramaic</w:t>
      </w:r>
      <w:r w:rsidRPr="0066103C">
        <w:t xml:space="preserve"> (cf. BH צלע</w:t>
      </w:r>
      <w:r w:rsidR="006847B1">
        <w:t>, and Saadia</w:t>
      </w:r>
      <w:r w:rsidRPr="0066103C">
        <w:t>)?</w:t>
      </w:r>
    </w:p>
    <w:p w:rsidR="004F0A02" w:rsidRPr="0066103C" w:rsidRDefault="004F0A02" w:rsidP="004F0A02">
      <w:r w:rsidRPr="0066103C">
        <w:t>6.a.</w:t>
      </w:r>
      <w:r w:rsidR="00321863" w:rsidRPr="0066103C">
        <w:t xml:space="preserve"> Perhaps</w:t>
      </w:r>
      <w:r w:rsidRPr="0066103C">
        <w:t xml:space="preserve"> add</w:t>
      </w:r>
      <w:r w:rsidR="00945C8C">
        <w:t xml:space="preserve"> </w:t>
      </w:r>
      <w:r w:rsidRPr="0066103C">
        <w:t>חיוה “animal” (Kallarakkal, 72, following G, Syr).</w:t>
      </w:r>
    </w:p>
    <w:p w:rsidR="004F0A02" w:rsidRPr="0066103C" w:rsidRDefault="00321863" w:rsidP="004F0A02">
      <w:r w:rsidRPr="0066103C">
        <w:t>6.b. Perhaps</w:t>
      </w:r>
      <w:r w:rsidR="004F0A02" w:rsidRPr="0066103C">
        <w:t xml:space="preserve"> Q גבה is s</w:t>
      </w:r>
      <w:r w:rsidRPr="0066103C">
        <w:t>.</w:t>
      </w:r>
      <w:r w:rsidR="004F0A02" w:rsidRPr="0066103C">
        <w:t xml:space="preserve"> and means “back,” K גביה</w:t>
      </w:r>
      <w:r w:rsidRPr="0066103C">
        <w:t xml:space="preserve"> pl. and means “sides” (cf. JB</w:t>
      </w:r>
      <w:r w:rsidR="004F0A02" w:rsidRPr="0066103C">
        <w:t>). But Q regularly spells pl. suffixes defectively (cf. גפיה/גפה “its wings” in v 4, שניה/</w:t>
      </w:r>
      <w:r w:rsidRPr="0066103C">
        <w:t xml:space="preserve"> </w:t>
      </w:r>
      <w:r w:rsidR="004F0A02" w:rsidRPr="0066103C">
        <w:t>שנה “its teeth” in v 5); thus גבה could also mean “sides.”</w:t>
      </w:r>
    </w:p>
    <w:p w:rsidR="004F0A02" w:rsidRPr="0066103C" w:rsidRDefault="00213801" w:rsidP="004F0A02">
      <w:r w:rsidRPr="0066103C">
        <w:t xml:space="preserve">7.a. RV </w:t>
      </w:r>
      <w:r w:rsidR="004F0A02" w:rsidRPr="0066103C">
        <w:t>“powerfu</w:t>
      </w:r>
      <w:r w:rsidR="005A1928" w:rsidRPr="0066103C">
        <w:t>l” implie</w:t>
      </w:r>
      <w:r w:rsidR="004F0A02" w:rsidRPr="0066103C">
        <w:t>s a dubious Arabic etymology for the reading</w:t>
      </w:r>
      <w:r w:rsidR="005A1928" w:rsidRPr="0066103C">
        <w:t xml:space="preserve"> </w:t>
      </w:r>
      <w:r w:rsidR="004F0A02" w:rsidRPr="0066103C">
        <w:t>אמתני instead of אימתני (for which cf. BH אים) (Montgomery).</w:t>
      </w:r>
    </w:p>
    <w:p w:rsidR="004F0A02" w:rsidRPr="0066103C" w:rsidRDefault="004F0A02" w:rsidP="004F0A02">
      <w:r w:rsidRPr="0066103C">
        <w:t>7.b. Dual: see n. 4.e-e.</w:t>
      </w:r>
    </w:p>
    <w:p w:rsidR="004F0A02" w:rsidRPr="0066103C" w:rsidRDefault="004F0A02" w:rsidP="004F0A02">
      <w:r w:rsidRPr="0066103C">
        <w:t>7.c. משניה (pa</w:t>
      </w:r>
      <w:r w:rsidR="00213801" w:rsidRPr="0066103C">
        <w:t>el</w:t>
      </w:r>
      <w:r w:rsidRPr="0066103C">
        <w:t xml:space="preserve">: cf. Montgomery). Form and meaning are the same whether parsed </w:t>
      </w:r>
      <w:r w:rsidR="00213801" w:rsidRPr="0066103C">
        <w:t xml:space="preserve">as </w:t>
      </w:r>
      <w:r w:rsidRPr="0066103C">
        <w:t>act</w:t>
      </w:r>
      <w:r w:rsidR="00213801" w:rsidRPr="0066103C">
        <w:t>ive</w:t>
      </w:r>
      <w:r w:rsidRPr="0066103C">
        <w:t xml:space="preserve"> or pass</w:t>
      </w:r>
      <w:r w:rsidR="00213801" w:rsidRPr="0066103C">
        <w:t>ive</w:t>
      </w:r>
      <w:r w:rsidRPr="0066103C">
        <w:t xml:space="preserve"> (</w:t>
      </w:r>
      <w:r w:rsidRPr="0066103C">
        <w:rPr>
          <w:i/>
        </w:rPr>
        <w:t>GBA</w:t>
      </w:r>
      <w:r w:rsidRPr="0066103C">
        <w:t xml:space="preserve"> 67; </w:t>
      </w:r>
      <w:r w:rsidRPr="0066103C">
        <w:rPr>
          <w:i/>
        </w:rPr>
        <w:t>DTT</w:t>
      </w:r>
      <w:r w:rsidR="00213801" w:rsidRPr="0066103C">
        <w:t>,</w:t>
      </w:r>
      <w:r w:rsidRPr="0066103C">
        <w:t xml:space="preserve"> 1605–6).</w:t>
      </w:r>
    </w:p>
    <w:p w:rsidR="004F0A02" w:rsidRPr="0066103C" w:rsidRDefault="004F0A02" w:rsidP="004F0A02">
      <w:r w:rsidRPr="0066103C">
        <w:t xml:space="preserve">8.a. סִלְקָת seems to be </w:t>
      </w:r>
      <w:r w:rsidR="00213801" w:rsidRPr="0066103C">
        <w:t>a mixed form, a cross between perfect</w:t>
      </w:r>
      <w:r w:rsidRPr="0066103C">
        <w:t xml:space="preserve"> סִלְקַת</w:t>
      </w:r>
      <w:r w:rsidR="00213801" w:rsidRPr="0066103C">
        <w:t xml:space="preserve"> (read by some </w:t>
      </w:r>
      <w:r w:rsidR="003F4DB6" w:rsidRPr="003F4DB6">
        <w:t xml:space="preserve">medieval </w:t>
      </w:r>
      <w:r w:rsidR="00213801" w:rsidRPr="0066103C">
        <w:t>mss) and participle</w:t>
      </w:r>
      <w:r w:rsidRPr="0066103C">
        <w:t xml:space="preserve"> סָלְקָה</w:t>
      </w:r>
      <w:r w:rsidR="00213801" w:rsidRPr="0066103C">
        <w:t>. Participle</w:t>
      </w:r>
      <w:r w:rsidRPr="0066103C">
        <w:t xml:space="preserve"> appears in v 3 and might have been expected after אלו</w:t>
      </w:r>
      <w:r w:rsidR="00213801" w:rsidRPr="0066103C">
        <w:t xml:space="preserve"> “there before me,” but perfect</w:t>
      </w:r>
      <w:r w:rsidRPr="0066103C">
        <w:t xml:space="preserve"> </w:t>
      </w:r>
      <w:r w:rsidR="00E5253C" w:rsidRPr="0066103C">
        <w:t>verb</w:t>
      </w:r>
      <w:r w:rsidRPr="0066103C">
        <w:t xml:space="preserve"> comes in v 20</w:t>
      </w:r>
      <w:r w:rsidR="00213801" w:rsidRPr="0066103C">
        <w:t>,</w:t>
      </w:r>
      <w:r w:rsidRPr="0066103C">
        <w:t xml:space="preserve"> and the following </w:t>
      </w:r>
      <w:r w:rsidR="00E5253C" w:rsidRPr="0066103C">
        <w:t>verb</w:t>
      </w:r>
      <w:r w:rsidR="00213801" w:rsidRPr="0066103C">
        <w:t xml:space="preserve"> is also perfect; an original perfect</w:t>
      </w:r>
      <w:r w:rsidRPr="0066103C">
        <w:t xml:space="preserve"> might </w:t>
      </w:r>
      <w:r w:rsidR="00213801" w:rsidRPr="0066103C">
        <w:t>have been influenced by the participle</w:t>
      </w:r>
      <w:r w:rsidRPr="0066103C">
        <w:t xml:space="preserve"> in v 3.</w:t>
      </w:r>
    </w:p>
    <w:p w:rsidR="004F0A02" w:rsidRPr="0066103C" w:rsidRDefault="004F0A02" w:rsidP="004F0A02">
      <w:r w:rsidRPr="0066103C">
        <w:t>8.b. אתעקרו: see n. 5:5.a.</w:t>
      </w:r>
    </w:p>
    <w:p w:rsidR="004F0A02" w:rsidRPr="0066103C" w:rsidRDefault="004F0A02" w:rsidP="004F0A02">
      <w:r w:rsidRPr="0066103C">
        <w:t>8.c. עינין</w:t>
      </w:r>
      <w:r w:rsidR="00213801" w:rsidRPr="0066103C">
        <w:t xml:space="preserve"> </w:t>
      </w:r>
      <w:r w:rsidR="00441097">
        <w:t xml:space="preserve">is pointed as </w:t>
      </w:r>
      <w:r w:rsidR="00213801" w:rsidRPr="0066103C">
        <w:t>pl. not dual, which might indicat</w:t>
      </w:r>
      <w:r w:rsidRPr="0066103C">
        <w:t>e that the horn had many eyes (cf. Ezekiel’s chariot wheels); but see n. 4.e-e.</w:t>
      </w:r>
    </w:p>
    <w:p w:rsidR="004F0A02" w:rsidRPr="0066103C" w:rsidRDefault="004F0A02" w:rsidP="004F0A02">
      <w:r w:rsidRPr="0066103C">
        <w:t>8.d-d.</w:t>
      </w:r>
      <w:r w:rsidR="00213801" w:rsidRPr="0066103C">
        <w:t xml:space="preserve"> </w:t>
      </w:r>
      <w:r w:rsidR="00213801" w:rsidRPr="0066103C">
        <w:rPr>
          <w:rFonts w:ascii="Arial" w:hAnsi="Arial" w:cs="Arial"/>
        </w:rPr>
        <w:t>ן</w:t>
      </w:r>
      <w:r w:rsidR="00441097">
        <w:rPr>
          <w:rFonts w:ascii="Arial" w:hAnsi="Arial" w:cs="Arial"/>
        </w:rPr>
        <w:t xml:space="preserve"> </w:t>
      </w:r>
      <w:r w:rsidR="00213801" w:rsidRPr="0066103C">
        <w:rPr>
          <w:rFonts w:ascii="Arial" w:hAnsi="Arial" w:cs="Arial"/>
        </w:rPr>
        <w:t>רב</w:t>
      </w:r>
      <w:r w:rsidRPr="0066103C">
        <w:t xml:space="preserve"> </w:t>
      </w:r>
      <w:r w:rsidR="00441097" w:rsidRPr="00441097">
        <w:rPr>
          <w:rFonts w:ascii="Arial" w:hAnsi="Arial" w:cs="Arial"/>
        </w:rPr>
        <w:t>רב</w:t>
      </w:r>
      <w:r w:rsidR="00441097">
        <w:t xml:space="preserve"> </w:t>
      </w:r>
      <w:r w:rsidRPr="0066103C">
        <w:t>ממלל</w:t>
      </w:r>
      <w:r w:rsidR="00945C8C">
        <w:t xml:space="preserve"> </w:t>
      </w:r>
      <w:r w:rsidR="00556D16" w:rsidRPr="0066103C">
        <w:t>(cf. v 20) is not expliclt</w:t>
      </w:r>
      <w:r w:rsidRPr="0066103C">
        <w:t>ly negative</w:t>
      </w:r>
      <w:r w:rsidR="00213801" w:rsidRPr="0066103C">
        <w:t xml:space="preserve">, </w:t>
      </w:r>
      <w:r w:rsidR="00556D16" w:rsidRPr="0066103C">
        <w:t xml:space="preserve">as EVV imply (contrast Th, Vg). OG adds an explicative phrase here, but MT withholds the explication </w:t>
      </w:r>
      <w:r w:rsidR="00213801" w:rsidRPr="0066103C">
        <w:t>until</w:t>
      </w:r>
      <w:r w:rsidRPr="0066103C">
        <w:t xml:space="preserve"> v </w:t>
      </w:r>
      <w:r w:rsidR="00556D16" w:rsidRPr="0066103C">
        <w:t>21 for dramatic effect.</w:t>
      </w:r>
    </w:p>
    <w:p w:rsidR="004F0A02" w:rsidRPr="0066103C" w:rsidRDefault="00213801" w:rsidP="004F0A02">
      <w:r w:rsidRPr="0066103C">
        <w:t>9.a-a. RV</w:t>
      </w:r>
      <w:r w:rsidR="004F0A02" w:rsidRPr="0066103C">
        <w:t>mg “cast down” follows the more common meaning of רמא (cf. Ps-Saadia); but ref</w:t>
      </w:r>
      <w:r w:rsidRPr="0066103C">
        <w:t>erence</w:t>
      </w:r>
      <w:r w:rsidR="004F0A02" w:rsidRPr="0066103C">
        <w:t xml:space="preserve"> to the casting down of the animals’ thrones is out of place here. See BDB for the meaning “set.”</w:t>
      </w:r>
    </w:p>
    <w:p w:rsidR="004F0A02" w:rsidRPr="0022642B" w:rsidRDefault="004F0A02" w:rsidP="004F0A02">
      <w:r w:rsidRPr="0066103C">
        <w:t>9.b. Lit., “days.” The phrase is a fairly straightforward one for some</w:t>
      </w:r>
      <w:r w:rsidR="00213801" w:rsidRPr="0066103C">
        <w:t>one of great age; cf.</w:t>
      </w:r>
      <w:r w:rsidR="00945C8C">
        <w:t xml:space="preserve"> </w:t>
      </w:r>
      <w:r w:rsidRPr="0066103C">
        <w:t>עתק</w:t>
      </w:r>
      <w:r w:rsidR="00441097">
        <w:t xml:space="preserve"> “advance” in Job 21:7,</w:t>
      </w:r>
      <w:r w:rsidR="00945C8C">
        <w:t xml:space="preserve"> </w:t>
      </w:r>
      <w:r w:rsidRPr="0066103C">
        <w:t>מים</w:t>
      </w:r>
      <w:r w:rsidR="00933FC5" w:rsidRPr="0066103C">
        <w:rPr>
          <w:rFonts w:ascii="Arial" w:hAnsi="Arial" w:cs="Arial"/>
        </w:rPr>
        <w:t>בי</w:t>
      </w:r>
      <w:r w:rsidRPr="0066103C">
        <w:t xml:space="preserve"> </w:t>
      </w:r>
      <w:r w:rsidR="00933FC5" w:rsidRPr="0066103C">
        <w:rPr>
          <w:rFonts w:ascii="Arial" w:hAnsi="Arial" w:cs="Arial"/>
        </w:rPr>
        <w:t>בא</w:t>
      </w:r>
      <w:r w:rsidR="00933FC5" w:rsidRPr="0066103C">
        <w:t xml:space="preserve"> </w:t>
      </w:r>
      <w:r w:rsidRPr="0066103C">
        <w:t>“gon</w:t>
      </w:r>
      <w:r w:rsidR="005A1928" w:rsidRPr="0066103C">
        <w:t>e [o</w:t>
      </w:r>
      <w:r w:rsidR="00441097">
        <w:t>n] in days” in Gen 24:1, and</w:t>
      </w:r>
      <w:r w:rsidRPr="0066103C">
        <w:t xml:space="preserve"> t</w:t>
      </w:r>
      <w:r w:rsidR="00933FC5" w:rsidRPr="0066103C">
        <w:t>he descriptions of God in Ps 9:7 [8</w:t>
      </w:r>
      <w:r w:rsidRPr="0066103C">
        <w:t xml:space="preserve">]; 29:10; 90:2; also </w:t>
      </w:r>
      <w:r w:rsidR="002A35EE">
        <w:t xml:space="preserve">Sirach </w:t>
      </w:r>
      <w:r w:rsidRPr="0066103C">
        <w:t>25:4.</w:t>
      </w:r>
      <w:r w:rsidR="0022642B">
        <w:t xml:space="preserve"> Thus Saadia has prosaically “an old man</w:t>
      </w:r>
      <w:r w:rsidR="00E64A1F">
        <w:t>” (</w:t>
      </w:r>
      <w:r w:rsidR="00E64A1F" w:rsidRPr="00E64A1F">
        <w:t>and later “young man” for the “one in human likeness” in v 13</w:t>
      </w:r>
      <w:r w:rsidR="00E64A1F">
        <w:t>), while</w:t>
      </w:r>
      <w:r w:rsidR="0022642B">
        <w:t>Yephet translates more literally</w:t>
      </w:r>
      <w:r w:rsidR="00E64A1F">
        <w:t>;</w:t>
      </w:r>
      <w:r w:rsidR="00E64A1F" w:rsidRPr="00E64A1F">
        <w:t xml:space="preserve"> both take the figu</w:t>
      </w:r>
      <w:r w:rsidR="00E64A1F">
        <w:t>re to be</w:t>
      </w:r>
      <w:r w:rsidR="00E64A1F" w:rsidRPr="00E64A1F">
        <w:t xml:space="preserve"> an angel</w:t>
      </w:r>
      <w:r w:rsidR="00E64A1F">
        <w:t>.</w:t>
      </w:r>
    </w:p>
    <w:p w:rsidR="005A1928" w:rsidRPr="0066103C" w:rsidRDefault="004F0A02" w:rsidP="004F0A02">
      <w:r w:rsidRPr="0066103C">
        <w:t>9.c-c.</w:t>
      </w:r>
      <w:r w:rsidR="00945C8C">
        <w:t xml:space="preserve"> </w:t>
      </w:r>
      <w:r w:rsidR="005A1928" w:rsidRPr="0066103C">
        <w:t>Fo</w:t>
      </w:r>
      <w:r w:rsidRPr="0066103C">
        <w:t xml:space="preserve">llowing MT accents and OG </w:t>
      </w:r>
      <w:r w:rsidR="003564AC" w:rsidRPr="0066103C">
        <w:t>(contrast EVV</w:t>
      </w:r>
      <w:r w:rsidRPr="0066103C">
        <w:t xml:space="preserve"> “white as snow” [cf. Th]</w:t>
      </w:r>
      <w:r w:rsidR="00933FC5" w:rsidRPr="0066103C">
        <w:t xml:space="preserve">; next colon </w:t>
      </w:r>
    </w:p>
    <w:p w:rsidR="004F0A02" w:rsidRPr="0066103C" w:rsidRDefault="004F0A02" w:rsidP="004F0A02">
      <w:r w:rsidRPr="0066103C">
        <w:t xml:space="preserve"> נקא </w:t>
      </w:r>
      <w:r w:rsidR="00933FC5" w:rsidRPr="0066103C">
        <w:rPr>
          <w:rFonts w:ascii="Arial" w:hAnsi="Arial" w:cs="Arial"/>
        </w:rPr>
        <w:t>כעמר</w:t>
      </w:r>
      <w:r w:rsidR="00933FC5" w:rsidRPr="0066103C">
        <w:t xml:space="preserve"> </w:t>
      </w:r>
      <w:r w:rsidRPr="0066103C">
        <w:t>MT, G “clean as wool”). Cf. also the fi</w:t>
      </w:r>
      <w:r w:rsidR="00933FC5" w:rsidRPr="0066103C">
        <w:t>nal two cola in</w:t>
      </w:r>
      <w:r w:rsidRPr="0066103C">
        <w:t xml:space="preserve"> v 9, which lack כ‍ “like/as” but are similar in structure.</w:t>
      </w:r>
    </w:p>
    <w:p w:rsidR="004F0A02" w:rsidRPr="0066103C" w:rsidRDefault="00933FC5" w:rsidP="004F0A02">
      <w:r w:rsidRPr="0066103C">
        <w:t>9.d. Deriv</w:t>
      </w:r>
      <w:r w:rsidR="004F0A02" w:rsidRPr="0066103C">
        <w:t>ing נקא</w:t>
      </w:r>
      <w:r w:rsidRPr="0066103C">
        <w:t xml:space="preserve"> </w:t>
      </w:r>
      <w:r w:rsidR="004F0A02" w:rsidRPr="0066103C">
        <w:t>from נקי/נקא ii (</w:t>
      </w:r>
      <w:r w:rsidR="004F0A02" w:rsidRPr="0066103C">
        <w:rPr>
          <w:i/>
        </w:rPr>
        <w:t>DTT</w:t>
      </w:r>
      <w:r w:rsidR="004F0A02" w:rsidRPr="0066103C">
        <w:t>) with Sokoloff,</w:t>
      </w:r>
      <w:r w:rsidR="00945C8C">
        <w:t xml:space="preserve"> </w:t>
      </w:r>
      <w:r w:rsidR="003564AC" w:rsidRPr="0066103C">
        <w:t>“</w:t>
      </w:r>
      <w:r w:rsidR="003564AC" w:rsidRPr="0066103C">
        <w:rPr>
          <w:vertAlign w:val="superscript"/>
        </w:rPr>
        <w:t>c</w:t>
      </w:r>
      <w:r w:rsidR="003564AC" w:rsidRPr="0066103C">
        <w:t>ămar nĕqē’”</w:t>
      </w:r>
      <w:r w:rsidR="004F0A02" w:rsidRPr="0066103C">
        <w:t>; “clean” (נקי/נקא</w:t>
      </w:r>
      <w:r w:rsidR="003564AC" w:rsidRPr="0066103C">
        <w:t xml:space="preserve"> i) (EVV</w:t>
      </w:r>
      <w:r w:rsidR="004F0A02" w:rsidRPr="0066103C">
        <w:t xml:space="preserve">) would be a Hebraism (though cf. </w:t>
      </w:r>
      <w:r w:rsidR="004F0A02" w:rsidRPr="0066103C">
        <w:rPr>
          <w:i/>
        </w:rPr>
        <w:t>1 Eno</w:t>
      </w:r>
      <w:r w:rsidRPr="0066103C">
        <w:rPr>
          <w:i/>
        </w:rPr>
        <w:t>ch</w:t>
      </w:r>
      <w:r w:rsidRPr="0066103C">
        <w:t xml:space="preserve"> 106.2; Rev 1:14; and Hebrais</w:t>
      </w:r>
      <w:r w:rsidR="004F0A02" w:rsidRPr="0066103C">
        <w:t>ms are not out of place in Dan 7). See also n. 9.c-c.</w:t>
      </w:r>
    </w:p>
    <w:p w:rsidR="004F0A02" w:rsidRPr="0066103C" w:rsidRDefault="004F0A02" w:rsidP="004F0A02">
      <w:r w:rsidRPr="0066103C">
        <w:t>9.e. גלגלוהי</w:t>
      </w:r>
      <w:r w:rsidR="003564AC" w:rsidRPr="0066103C">
        <w:t xml:space="preserve">: </w:t>
      </w:r>
      <w:r w:rsidR="005A1928" w:rsidRPr="0066103C">
        <w:t xml:space="preserve">whereas </w:t>
      </w:r>
      <w:r w:rsidR="003564AC" w:rsidRPr="0066103C">
        <w:t>EVV</w:t>
      </w:r>
      <w:r w:rsidRPr="0066103C">
        <w:t xml:space="preserve"> </w:t>
      </w:r>
      <w:r w:rsidR="003564AC" w:rsidRPr="0066103C">
        <w:t xml:space="preserve">have </w:t>
      </w:r>
      <w:r w:rsidR="005A1928" w:rsidRPr="0066103C">
        <w:t>“its wheels,”</w:t>
      </w:r>
      <w:r w:rsidR="00945C8C">
        <w:t xml:space="preserve"> </w:t>
      </w:r>
      <w:r w:rsidRPr="0066103C">
        <w:t xml:space="preserve">in descriptions of God’s fiery throne the motif of the sun has a natural </w:t>
      </w:r>
      <w:r w:rsidR="003564AC" w:rsidRPr="0066103C">
        <w:t xml:space="preserve">place (cf. </w:t>
      </w:r>
      <w:r w:rsidR="003564AC" w:rsidRPr="0066103C">
        <w:rPr>
          <w:i/>
        </w:rPr>
        <w:t>1 Enoch</w:t>
      </w:r>
      <w:r w:rsidR="003564AC" w:rsidRPr="0066103C">
        <w:t xml:space="preserve"> 14.8–22); cf. Grelot, “Daniel vii, 9–10 et le livre d’Hénoch,”</w:t>
      </w:r>
      <w:r w:rsidRPr="0066103C">
        <w:t xml:space="preserve"> 80–81; Kearns, </w:t>
      </w:r>
      <w:r w:rsidRPr="0066103C">
        <w:rPr>
          <w:i/>
        </w:rPr>
        <w:t>Vorfragen</w:t>
      </w:r>
      <w:r w:rsidR="003564AC" w:rsidRPr="0066103C">
        <w:t xml:space="preserve"> 3:179–81</w:t>
      </w:r>
      <w:r w:rsidRPr="0066103C">
        <w:t>.</w:t>
      </w:r>
      <w:r w:rsidR="00AC6404" w:rsidRPr="0066103C">
        <w:t xml:space="preserve"> But </w:t>
      </w:r>
      <w:r w:rsidR="00D5279C" w:rsidRPr="0066103C">
        <w:rPr>
          <w:i/>
        </w:rPr>
        <w:t xml:space="preserve">OTP </w:t>
      </w:r>
      <w:r w:rsidR="00D5279C" w:rsidRPr="0066103C">
        <w:t xml:space="preserve">1:21 has “wheels” </w:t>
      </w:r>
      <w:r w:rsidR="00AC6404" w:rsidRPr="0066103C">
        <w:t xml:space="preserve">in </w:t>
      </w:r>
      <w:r w:rsidR="00AC6404" w:rsidRPr="0066103C">
        <w:rPr>
          <w:i/>
        </w:rPr>
        <w:t>1 Enoch</w:t>
      </w:r>
      <w:r w:rsidR="00D5279C" w:rsidRPr="0066103C">
        <w:t xml:space="preserve"> 14, and Stokes (“The Throne Visions,” 341) has “wheels” in both texts.</w:t>
      </w:r>
    </w:p>
    <w:p w:rsidR="004F0A02" w:rsidRPr="0066103C" w:rsidRDefault="004F0A02" w:rsidP="004F0A02">
      <w:r w:rsidRPr="0066103C">
        <w:t>11.a-a קל</w:t>
      </w:r>
      <w:r w:rsidR="00CE50B7" w:rsidRPr="0066103C">
        <w:t xml:space="preserve"> </w:t>
      </w:r>
      <w:r w:rsidR="00CE50B7" w:rsidRPr="0066103C">
        <w:rPr>
          <w:rFonts w:ascii="Arial" w:hAnsi="Arial" w:cs="Arial"/>
        </w:rPr>
        <w:t>מן</w:t>
      </w:r>
      <w:r w:rsidRPr="0066103C">
        <w:t xml:space="preserve"> </w:t>
      </w:r>
      <w:r w:rsidR="00CE50B7" w:rsidRPr="0066103C">
        <w:rPr>
          <w:rFonts w:ascii="Arial" w:hAnsi="Arial" w:cs="Arial"/>
        </w:rPr>
        <w:t>באדין</w:t>
      </w:r>
      <w:r w:rsidR="00CE50B7" w:rsidRPr="0066103C">
        <w:t xml:space="preserve">  </w:t>
      </w:r>
      <w:r w:rsidR="00CE50B7" w:rsidRPr="0066103C">
        <w:rPr>
          <w:rFonts w:ascii="Arial" w:hAnsi="Arial" w:cs="Arial"/>
        </w:rPr>
        <w:t>הוית</w:t>
      </w:r>
      <w:r w:rsidR="00CE50B7" w:rsidRPr="0066103C">
        <w:t xml:space="preserve"> </w:t>
      </w:r>
      <w:r w:rsidR="00CE50B7" w:rsidRPr="0066103C">
        <w:rPr>
          <w:rFonts w:ascii="Arial" w:hAnsi="Arial" w:cs="Arial"/>
        </w:rPr>
        <w:t>חזה</w:t>
      </w:r>
      <w:r w:rsidR="00CE50B7" w:rsidRPr="0066103C">
        <w:t xml:space="preserve"> </w:t>
      </w:r>
      <w:r w:rsidRPr="0066103C">
        <w:t>raises three problems. (</w:t>
      </w:r>
      <w:r w:rsidR="00CE50B7" w:rsidRPr="0066103C">
        <w:t>i)</w:t>
      </w:r>
      <w:r w:rsidR="00945C8C">
        <w:t xml:space="preserve"> </w:t>
      </w:r>
      <w:r w:rsidRPr="0066103C">
        <w:t xml:space="preserve"> הוית </w:t>
      </w:r>
      <w:r w:rsidR="00945C8C">
        <w:t xml:space="preserve"> </w:t>
      </w:r>
      <w:r w:rsidR="00CE50B7" w:rsidRPr="0066103C">
        <w:rPr>
          <w:rFonts w:ascii="Arial" w:hAnsi="Arial" w:cs="Arial"/>
        </w:rPr>
        <w:t>חזה</w:t>
      </w:r>
      <w:r w:rsidR="00945C8C">
        <w:t xml:space="preserve"> </w:t>
      </w:r>
      <w:r w:rsidRPr="0066103C">
        <w:t>“I was watching” is repeated later in v 11; G lacks the repetition, but not Vg, and cf. the resumptive repetition in 9:1–2 (Driver notes also Lev 17:5; Judg 11:31; Zech 8:23). (ii) Elsewhere in BA באדין “then” always appears at the beginning of a sentence—though cf. 1QapGen 22.2 (Casey). (iii) מן</w:t>
      </w:r>
      <w:r w:rsidR="00CE50B7" w:rsidRPr="0066103C">
        <w:t xml:space="preserve"> could mean “from” (cf. JB) or “because of” (</w:t>
      </w:r>
      <w:r w:rsidR="00BB22D2">
        <w:t>N</w:t>
      </w:r>
      <w:r w:rsidR="00CE50B7" w:rsidRPr="0066103C">
        <w:t>RSV). But</w:t>
      </w:r>
      <w:r w:rsidRPr="0066103C">
        <w:t xml:space="preserve"> אדין </w:t>
      </w:r>
      <w:r w:rsidR="00CE50B7" w:rsidRPr="0066103C">
        <w:rPr>
          <w:rFonts w:ascii="Arial" w:hAnsi="Arial" w:cs="Arial"/>
        </w:rPr>
        <w:t>מן</w:t>
      </w:r>
      <w:r w:rsidR="00CE50B7" w:rsidRPr="0066103C">
        <w:t xml:space="preserve"> </w:t>
      </w:r>
      <w:r w:rsidRPr="0066103C">
        <w:t xml:space="preserve">“from that time” </w:t>
      </w:r>
      <w:r w:rsidR="00CE50B7" w:rsidRPr="0066103C">
        <w:t>does occur</w:t>
      </w:r>
      <w:r w:rsidRPr="0066103C">
        <w:t xml:space="preserve"> once in BA, in Ezra</w:t>
      </w:r>
      <w:r w:rsidR="00CE50B7" w:rsidRPr="0066103C">
        <w:t xml:space="preserve"> 5:16, not </w:t>
      </w:r>
      <w:r w:rsidRPr="0066103C">
        <w:t>at the begin</w:t>
      </w:r>
      <w:r w:rsidR="00CE50B7" w:rsidRPr="0066103C">
        <w:t xml:space="preserve">ning of the sentence, and </w:t>
      </w:r>
      <w:r w:rsidRPr="0066103C">
        <w:t>followed by עד “until.” Apparently</w:t>
      </w:r>
      <w:r w:rsidR="00CE50B7" w:rsidRPr="0066103C">
        <w:t xml:space="preserve"> </w:t>
      </w:r>
      <w:r w:rsidR="00CE50B7" w:rsidRPr="0066103C">
        <w:rPr>
          <w:rFonts w:ascii="Arial" w:hAnsi="Arial" w:cs="Arial"/>
        </w:rPr>
        <w:t>מן</w:t>
      </w:r>
      <w:r w:rsidRPr="0066103C">
        <w:t xml:space="preserve"> באדין here, followed by עד</w:t>
      </w:r>
      <w:r w:rsidR="00CE50B7" w:rsidRPr="0066103C">
        <w:t xml:space="preserve"> (in thie context</w:t>
      </w:r>
      <w:r w:rsidRPr="0066103C">
        <w:t xml:space="preserve"> translated “as”) has a similar meaning; cf. Montgomery’s comparison with BH מאז. The cl</w:t>
      </w:r>
      <w:r w:rsidR="00CE50B7" w:rsidRPr="0066103C">
        <w:t>ause</w:t>
      </w:r>
      <w:r w:rsidRPr="0066103C">
        <w:t xml:space="preserve"> as a whole is thus unusual, but the text need not be questioned. Syr omits v 11a (homoioarkton?): see Kallarakkal, 52–53.</w:t>
      </w:r>
    </w:p>
    <w:p w:rsidR="00CE50B7" w:rsidRPr="0066103C" w:rsidRDefault="004F0A02" w:rsidP="004F0A02">
      <w:r w:rsidRPr="0066103C">
        <w:lastRenderedPageBreak/>
        <w:t>11.b-b.</w:t>
      </w:r>
      <w:r w:rsidR="00CE50B7" w:rsidRPr="0066103C">
        <w:t xml:space="preserve"> </w:t>
      </w:r>
      <w:r w:rsidR="00CE50B7" w:rsidRPr="0066103C">
        <w:rPr>
          <w:rFonts w:ascii="Arial" w:hAnsi="Arial" w:cs="Arial"/>
        </w:rPr>
        <w:t>אשא</w:t>
      </w:r>
      <w:r w:rsidR="00CE50B7" w:rsidRPr="0066103C">
        <w:t xml:space="preserve"> </w:t>
      </w:r>
      <w:r w:rsidRPr="0066103C">
        <w:t xml:space="preserve"> ליקדת</w:t>
      </w:r>
      <w:r w:rsidR="00CE50B7" w:rsidRPr="0066103C">
        <w:t xml:space="preserve"> </w:t>
      </w:r>
      <w:r w:rsidRPr="0066103C">
        <w:t>: “the burning of fire,” not, strictl</w:t>
      </w:r>
      <w:r w:rsidR="00CE50B7" w:rsidRPr="0066103C">
        <w:t>y, “burning fire.” C</w:t>
      </w:r>
      <w:r w:rsidR="00CC12BB">
        <w:t>f. Isa 64:11</w:t>
      </w:r>
      <w:r w:rsidR="00CE50B7" w:rsidRPr="0066103C">
        <w:t xml:space="preserve"> [10</w:t>
      </w:r>
      <w:r w:rsidRPr="0066103C">
        <w:t>]</w:t>
      </w:r>
      <w:r w:rsidR="00945C8C">
        <w:t xml:space="preserve"> </w:t>
      </w:r>
    </w:p>
    <w:p w:rsidR="004F0A02" w:rsidRPr="0066103C" w:rsidRDefault="004F0A02" w:rsidP="00136C59">
      <w:pPr>
        <w:ind w:firstLine="0"/>
      </w:pPr>
      <w:r w:rsidRPr="0066103C">
        <w:t>אש</w:t>
      </w:r>
      <w:r w:rsidR="00CE50B7" w:rsidRPr="0066103C">
        <w:t xml:space="preserve"> </w:t>
      </w:r>
      <w:r w:rsidRPr="0066103C">
        <w:t xml:space="preserve"> לשרפת</w:t>
      </w:r>
      <w:r w:rsidR="00136C59" w:rsidRPr="0066103C">
        <w:t>.</w:t>
      </w:r>
    </w:p>
    <w:p w:rsidR="004F0A02" w:rsidRPr="0066103C" w:rsidRDefault="004F0A02" w:rsidP="004F0A02">
      <w:r w:rsidRPr="0066103C">
        <w:t xml:space="preserve">12.a. The first </w:t>
      </w:r>
      <w:r w:rsidR="00E5253C" w:rsidRPr="0066103C">
        <w:t>verb</w:t>
      </w:r>
      <w:r w:rsidR="00EC3825" w:rsidRPr="0066103C">
        <w:t xml:space="preserve"> (NIV</w:t>
      </w:r>
      <w:r w:rsidRPr="0066103C">
        <w:t>) or the second (Calvin) or both (Plög</w:t>
      </w:r>
      <w:r w:rsidR="00EC3825" w:rsidRPr="0066103C">
        <w:t>er) have been taken to be pluperfect</w:t>
      </w:r>
      <w:r w:rsidRPr="0066103C">
        <w:t xml:space="preserve">, but this involves </w:t>
      </w:r>
      <w:r w:rsidR="00EC3825" w:rsidRPr="0066103C">
        <w:t>reading back from the interpre</w:t>
      </w:r>
      <w:r w:rsidRPr="0066103C">
        <w:t>tive vision or from the assumed historical reference.</w:t>
      </w:r>
    </w:p>
    <w:p w:rsidR="004F0A02" w:rsidRPr="0066103C" w:rsidRDefault="004F0A02" w:rsidP="004F0A02">
      <w:r w:rsidRPr="0066103C">
        <w:t>12.b. ארכה</w:t>
      </w:r>
      <w:r w:rsidR="00EC3825" w:rsidRPr="0066103C">
        <w:t>: perhaps</w:t>
      </w:r>
      <w:r w:rsidRPr="0066103C">
        <w:t xml:space="preserve"> “limit” (Tg. Gen 6:3).</w:t>
      </w:r>
    </w:p>
    <w:p w:rsidR="004F0A02" w:rsidRPr="0066103C" w:rsidRDefault="004F0A02" w:rsidP="004F0A02">
      <w:r w:rsidRPr="0066103C">
        <w:t xml:space="preserve">13.a. Cf. Th; Mark 14:62; Rev 1:7. עם could mean “in,” as in v 2 (cf. Mark 13:26; Luke 21:27). OG, Matt 24:30; 26:64 have “on”: Yahweh can be spoken of as “in” or “on” the clouds, so this hardly proves an original על—translations anyway vary in their rendering of prepositions and </w:t>
      </w:r>
      <w:r w:rsidR="00EC3825" w:rsidRPr="0066103C">
        <w:t xml:space="preserve">they </w:t>
      </w:r>
      <w:r w:rsidRPr="0066103C">
        <w:t>are poor grounds for emendation</w:t>
      </w:r>
      <w:r w:rsidR="00DD7972" w:rsidRPr="0066103C">
        <w:t>. S</w:t>
      </w:r>
      <w:r w:rsidR="00EC3825" w:rsidRPr="0066103C">
        <w:t xml:space="preserve">ee Scott, “Behold, He Cometh with Clouds,” </w:t>
      </w:r>
      <w:r w:rsidR="00DD7972" w:rsidRPr="0066103C">
        <w:t>128</w:t>
      </w:r>
      <w:r w:rsidR="00B25526" w:rsidRPr="0066103C">
        <w:t xml:space="preserve"> (and for discussion, Meadowcroft, </w:t>
      </w:r>
      <w:r w:rsidR="00B25526" w:rsidRPr="0066103C">
        <w:rPr>
          <w:i/>
        </w:rPr>
        <w:t>Aramaic Daniel and Greek Daniel</w:t>
      </w:r>
      <w:r w:rsidR="00B25526" w:rsidRPr="0066103C">
        <w:t xml:space="preserve">, </w:t>
      </w:r>
      <w:r w:rsidR="000F60C4" w:rsidRPr="0066103C">
        <w:t>224-28)</w:t>
      </w:r>
      <w:r w:rsidRPr="0066103C">
        <w:t>.</w:t>
      </w:r>
      <w:r w:rsidR="000F60C4" w:rsidRPr="0066103C">
        <w:t xml:space="preserve"> Scott</w:t>
      </w:r>
      <w:r w:rsidR="00DD7972" w:rsidRPr="0066103C">
        <w:t xml:space="preserve"> further (129–31) takes this phrase as qualifying “there before me” and thus as denoting the location of the whole scene des</w:t>
      </w:r>
      <w:r w:rsidR="00CC12BB">
        <w:t xml:space="preserve">cribed in vv 13–14 (cf. </w:t>
      </w:r>
      <w:r w:rsidR="00DD7972" w:rsidRPr="0066103C">
        <w:t xml:space="preserve">Ezek 1); he notes that </w:t>
      </w:r>
      <w:r w:rsidR="00DD7972" w:rsidRPr="0066103C">
        <w:rPr>
          <w:rFonts w:ascii="Arial" w:hAnsi="Arial" w:cs="Arial"/>
        </w:rPr>
        <w:t>ארו</w:t>
      </w:r>
      <w:r w:rsidR="00DD7972" w:rsidRPr="0066103C">
        <w:t xml:space="preserve"> is elsewhere followed directly by its predicate (cf. vv 2, 5, 6, 7). On his own interpretation, however, v 13 is still unique, in following </w:t>
      </w:r>
      <w:r w:rsidR="00DD7972" w:rsidRPr="0066103C">
        <w:rPr>
          <w:rFonts w:ascii="Arial" w:hAnsi="Arial" w:cs="Arial"/>
        </w:rPr>
        <w:t>ארו</w:t>
      </w:r>
      <w:r w:rsidR="00DD7972" w:rsidRPr="0066103C">
        <w:t xml:space="preserve"> with this qualifying phrase, which is not a predicate and hangs in the air. It is easier to understand “among the clouds of the heavens” as relating to the next clause which describes the coming of the one in human likeness</w:t>
      </w:r>
      <w:r w:rsidR="003075E9" w:rsidRPr="0066103C">
        <w:t>.</w:t>
      </w:r>
    </w:p>
    <w:p w:rsidR="004F0A02" w:rsidRPr="0066103C" w:rsidRDefault="004F0A02" w:rsidP="004F0A02">
      <w:r w:rsidRPr="0066103C">
        <w:t>13.b.</w:t>
      </w:r>
      <w:r w:rsidR="00945C8C">
        <w:t xml:space="preserve"> </w:t>
      </w:r>
      <w:r w:rsidRPr="0066103C">
        <w:t xml:space="preserve">אנש </w:t>
      </w:r>
      <w:r w:rsidR="00EC3825" w:rsidRPr="0066103C">
        <w:rPr>
          <w:rFonts w:ascii="Arial" w:hAnsi="Arial" w:cs="Arial"/>
        </w:rPr>
        <w:t>כבר</w:t>
      </w:r>
      <w:r w:rsidR="00EC3825" w:rsidRPr="0066103C">
        <w:t xml:space="preserve"> </w:t>
      </w:r>
      <w:r w:rsidRPr="0066103C">
        <w:t>“[one] like a son of man.” The BH equivalent</w:t>
      </w:r>
      <w:r w:rsidR="00EC3825" w:rsidRPr="0066103C">
        <w:t xml:space="preserve"> </w:t>
      </w:r>
      <w:r w:rsidRPr="0066103C">
        <w:t xml:space="preserve"> אדם </w:t>
      </w:r>
      <w:r w:rsidR="00EC3825" w:rsidRPr="0066103C">
        <w:rPr>
          <w:rFonts w:ascii="Arial" w:hAnsi="Arial" w:cs="Arial"/>
        </w:rPr>
        <w:t>בן</w:t>
      </w:r>
      <w:r w:rsidR="00EC3825" w:rsidRPr="0066103C">
        <w:t xml:space="preserve"> </w:t>
      </w:r>
      <w:r w:rsidRPr="0066103C">
        <w:t>appears in poetic passages in parallelism with some othe</w:t>
      </w:r>
      <w:r w:rsidR="00EC3825" w:rsidRPr="0066103C">
        <w:t>r word for “man” (e.g., Ps 80:17 [18</w:t>
      </w:r>
      <w:r w:rsidRPr="0066103C">
        <w:t xml:space="preserve">]; Job 16:21), but </w:t>
      </w:r>
      <w:r w:rsidR="00EC3825" w:rsidRPr="0066103C">
        <w:t>most commonly in Ezek to denote</w:t>
      </w:r>
      <w:r w:rsidRPr="0066103C">
        <w:t xml:space="preserve"> mere man (e.g., 2:1, cf. Dan 8:17). In later </w:t>
      </w:r>
      <w:r w:rsidR="00D01C09" w:rsidRPr="0066103C">
        <w:t>Aramaic</w:t>
      </w:r>
      <w:r w:rsidR="00EC3825" w:rsidRPr="0066103C">
        <w:t xml:space="preserve"> </w:t>
      </w:r>
      <w:r w:rsidRPr="0066103C">
        <w:t xml:space="preserve"> אנש </w:t>
      </w:r>
      <w:r w:rsidR="00EC3825" w:rsidRPr="0066103C">
        <w:rPr>
          <w:rFonts w:ascii="Arial" w:hAnsi="Arial" w:cs="Arial"/>
        </w:rPr>
        <w:t>בר</w:t>
      </w:r>
      <w:r w:rsidR="00EC3825" w:rsidRPr="0066103C">
        <w:t xml:space="preserve"> </w:t>
      </w:r>
      <w:r w:rsidRPr="0066103C">
        <w:t>is a more prosaic term for “a man,” an alternative to</w:t>
      </w:r>
      <w:r w:rsidR="00EC3825" w:rsidRPr="0066103C">
        <w:t xml:space="preserve"> </w:t>
      </w:r>
      <w:r w:rsidRPr="0066103C">
        <w:t xml:space="preserve"> אנש (v 4), though in a poetic context such as this </w:t>
      </w:r>
      <w:r w:rsidR="00EC3825" w:rsidRPr="0066103C">
        <w:t xml:space="preserve">verse </w:t>
      </w:r>
      <w:r w:rsidRPr="0066103C">
        <w:t>it might add so</w:t>
      </w:r>
      <w:r w:rsidR="00EC3825" w:rsidRPr="0066103C">
        <w:t>lemnity (Sjöberg, “</w:t>
      </w:r>
      <w:r w:rsidR="00EC3825" w:rsidRPr="0066103C">
        <w:rPr>
          <w:rFonts w:ascii="Arial" w:hAnsi="Arial" w:cs="Arial"/>
        </w:rPr>
        <w:t>אדם</w:t>
      </w:r>
      <w:r w:rsidR="00EC3825" w:rsidRPr="0066103C">
        <w:t xml:space="preserve"> </w:t>
      </w:r>
      <w:r w:rsidR="00EC3825" w:rsidRPr="0066103C">
        <w:rPr>
          <w:rFonts w:ascii="Arial" w:hAnsi="Arial" w:cs="Arial"/>
        </w:rPr>
        <w:t>בן</w:t>
      </w:r>
      <w:r w:rsidR="00EC3825" w:rsidRPr="0066103C">
        <w:t xml:space="preserve"> und </w:t>
      </w:r>
      <w:r w:rsidR="00EC3825" w:rsidRPr="0066103C">
        <w:rPr>
          <w:rFonts w:ascii="Arial" w:hAnsi="Arial" w:cs="Arial"/>
        </w:rPr>
        <w:t>אנש</w:t>
      </w:r>
      <w:r w:rsidR="00EC3825" w:rsidRPr="0066103C">
        <w:t xml:space="preserve"> </w:t>
      </w:r>
      <w:r w:rsidR="00EC3825" w:rsidRPr="0066103C">
        <w:rPr>
          <w:rFonts w:ascii="Arial" w:hAnsi="Arial" w:cs="Arial"/>
        </w:rPr>
        <w:t>בר</w:t>
      </w:r>
      <w:r w:rsidR="003075E9" w:rsidRPr="0066103C">
        <w:t>,</w:t>
      </w:r>
      <w:r w:rsidR="00EC3825" w:rsidRPr="0066103C">
        <w:t>”</w:t>
      </w:r>
      <w:r w:rsidRPr="0066103C">
        <w:t xml:space="preserve"> 105). It might originally have meant “a son of somebody,” i.e., a significan</w:t>
      </w:r>
      <w:r w:rsidR="00EC3825" w:rsidRPr="0066103C">
        <w:t>t person (Haupt</w:t>
      </w:r>
      <w:r w:rsidR="00CC12BB">
        <w:t>, “Hidalgo and filius hominis”</w:t>
      </w:r>
      <w:r w:rsidR="00AB57A2">
        <w:t>); Kearns</w:t>
      </w:r>
      <w:r w:rsidRPr="0066103C">
        <w:t xml:space="preserve"> con</w:t>
      </w:r>
      <w:r w:rsidR="00AB57A2">
        <w:t>nects</w:t>
      </w:r>
      <w:r w:rsidR="00EC3825" w:rsidRPr="0066103C">
        <w:t xml:space="preserve"> it with a different Semitic</w:t>
      </w:r>
      <w:r w:rsidRPr="0066103C">
        <w:t xml:space="preserve"> word for a vassal landowner, later provided with a false etymology (</w:t>
      </w:r>
      <w:r w:rsidRPr="0066103C">
        <w:rPr>
          <w:i/>
        </w:rPr>
        <w:t>Vorfragen</w:t>
      </w:r>
      <w:r w:rsidRPr="0066103C">
        <w:t>, Teil 1). Gerlemann’s proposal (</w:t>
      </w:r>
      <w:r w:rsidRPr="0066103C">
        <w:rPr>
          <w:i/>
        </w:rPr>
        <w:t>Menschensohn</w:t>
      </w:r>
      <w:r w:rsidRPr="0066103C">
        <w:t>, 1–13) that בר here means not “son of” but “set apart from [humanity]” seems implausibly imaginative.</w:t>
      </w:r>
    </w:p>
    <w:p w:rsidR="004F0A02" w:rsidRPr="0066103C" w:rsidRDefault="004F0A02" w:rsidP="004F0A02">
      <w:r w:rsidRPr="0066103C">
        <w:t xml:space="preserve">13.c. </w:t>
      </w:r>
      <w:r w:rsidR="00261807" w:rsidRPr="0066103C">
        <w:t xml:space="preserve">Two of the three mss of </w:t>
      </w:r>
      <w:r w:rsidRPr="0066103C">
        <w:t xml:space="preserve">OG </w:t>
      </w:r>
      <w:r w:rsidR="000B5FDC" w:rsidRPr="0066103C">
        <w:t>(</w:t>
      </w:r>
      <w:r w:rsidR="00261807" w:rsidRPr="0066103C">
        <w:t>have</w:t>
      </w:r>
      <w:r w:rsidRPr="0066103C">
        <w:t xml:space="preserve"> ὡς “as” not ἕως (cf. Rahlfs; </w:t>
      </w:r>
      <w:r w:rsidR="00261807" w:rsidRPr="0066103C">
        <w:t>contrast Ziegler/Munnich, which has ἕως</w:t>
      </w:r>
      <w:r w:rsidR="00AB57A2">
        <w:t xml:space="preserve">; </w:t>
      </w:r>
      <w:r w:rsidR="00AB57A2" w:rsidRPr="00AB57A2">
        <w:t xml:space="preserve">see </w:t>
      </w:r>
      <w:r w:rsidR="00AB57A2" w:rsidRPr="00AB57A2">
        <w:rPr>
          <w:i/>
        </w:rPr>
        <w:t>The First Greek Translation of Daniel</w:t>
      </w:r>
      <w:r w:rsidR="00AB57A2" w:rsidRPr="00AB57A2">
        <w:t xml:space="preserve"> in the Introduction to this commentary</w:t>
      </w:r>
      <w:r w:rsidR="00261807" w:rsidRPr="0066103C">
        <w:t xml:space="preserve">). This reading suggests an identification of </w:t>
      </w:r>
      <w:r w:rsidRPr="0066103C">
        <w:t xml:space="preserve">the human figure and the one advanced in years. </w:t>
      </w:r>
      <w:r w:rsidR="00D03C1E" w:rsidRPr="0066103C">
        <w:t>The reading has been seen simply as a slip (</w:t>
      </w:r>
      <w:r w:rsidR="00136C59" w:rsidRPr="0066103C">
        <w:t xml:space="preserve">e.g., Montgomery, </w:t>
      </w:r>
      <w:r w:rsidR="00D03C1E" w:rsidRPr="0066103C">
        <w:t>Collins) or as a pre-MT Hebrew</w:t>
      </w:r>
      <w:r w:rsidRPr="0066103C">
        <w:t xml:space="preserve"> text (</w:t>
      </w:r>
      <w:r w:rsidR="00136C59" w:rsidRPr="0066103C">
        <w:t xml:space="preserve">e.g., </w:t>
      </w:r>
      <w:r w:rsidR="00D03C1E" w:rsidRPr="0066103C">
        <w:t>Lust, “Daniel 7, 13 and the Septuagint”</w:t>
      </w:r>
      <w:r w:rsidR="00CF560C" w:rsidRPr="0066103C">
        <w:t xml:space="preserve">: </w:t>
      </w:r>
      <w:r w:rsidRPr="0066103C">
        <w:t xml:space="preserve">but this makes poor sense of vv 9–14 as </w:t>
      </w:r>
      <w:r w:rsidR="00CF560C" w:rsidRPr="0066103C">
        <w:t>a whole)</w:t>
      </w:r>
      <w:r w:rsidRPr="0066103C">
        <w:t xml:space="preserve"> </w:t>
      </w:r>
      <w:r w:rsidR="00CF560C" w:rsidRPr="0066103C">
        <w:t>or as OG midrash (</w:t>
      </w:r>
      <w:r w:rsidR="00136C59" w:rsidRPr="0066103C">
        <w:t xml:space="preserve">e.g., </w:t>
      </w:r>
      <w:r w:rsidRPr="0066103C">
        <w:t>Bruce, “The Oldest Greek V</w:t>
      </w:r>
      <w:r w:rsidR="00CF560C" w:rsidRPr="0066103C">
        <w:t>ersion of Daniel,” 25–26)</w:t>
      </w:r>
      <w:r w:rsidR="00136C59" w:rsidRPr="0066103C">
        <w:t xml:space="preserve"> or theological interpretation (e.g., </w:t>
      </w:r>
      <w:r w:rsidR="00136C59" w:rsidRPr="0066103C">
        <w:rPr>
          <w:bCs/>
        </w:rPr>
        <w:t>Stuckenbruck,</w:t>
      </w:r>
      <w:r w:rsidR="00945C8C">
        <w:rPr>
          <w:bCs/>
        </w:rPr>
        <w:t xml:space="preserve"> </w:t>
      </w:r>
      <w:r w:rsidR="00136C59" w:rsidRPr="0066103C">
        <w:rPr>
          <w:bCs/>
        </w:rPr>
        <w:t>“‘One Like a Son of Man as the Ancient of Days’”)</w:t>
      </w:r>
      <w:r w:rsidRPr="0066103C">
        <w:t xml:space="preserve">, perhaps subsequent to the main translation </w:t>
      </w:r>
      <w:r w:rsidR="00261807" w:rsidRPr="0066103C">
        <w:t xml:space="preserve">as a whole </w:t>
      </w:r>
      <w:r w:rsidRPr="0066103C">
        <w:t xml:space="preserve">since OG elsewhere does not suggest that the human figure is divine (Pace, </w:t>
      </w:r>
      <w:r w:rsidR="00CF560C" w:rsidRPr="0066103C">
        <w:rPr>
          <w:i/>
        </w:rPr>
        <w:t>OG Text</w:t>
      </w:r>
      <w:r w:rsidR="00CF560C" w:rsidRPr="0066103C">
        <w:t xml:space="preserve">, </w:t>
      </w:r>
      <w:r w:rsidRPr="0066103C">
        <w:t>257–60).</w:t>
      </w:r>
      <w:r w:rsidR="00A323F8" w:rsidRPr="0066103C">
        <w:t xml:space="preserve"> Hofius (“Der Septuaginta-Text von Daniel 7, 13-14”) </w:t>
      </w:r>
      <w:r w:rsidR="002F0032" w:rsidRPr="0066103C">
        <w:t>rather understands “as one advanced in years” to be</w:t>
      </w:r>
      <w:r w:rsidR="00A323F8" w:rsidRPr="0066103C">
        <w:t xml:space="preserve"> a resumptive description of the senior of the two figures, not a description of the humanlike figure.</w:t>
      </w:r>
    </w:p>
    <w:p w:rsidR="004F0A02" w:rsidRPr="0066103C" w:rsidRDefault="004F0A02" w:rsidP="004F0A02">
      <w:r w:rsidRPr="0066103C">
        <w:t>14.a. Elsewhere BA פלח refers only to revering God, but outside the OT it de</w:t>
      </w:r>
      <w:r w:rsidR="00CF560C" w:rsidRPr="0066103C">
        <w:t>notes service more generally (</w:t>
      </w:r>
      <w:r w:rsidR="00CF560C" w:rsidRPr="0066103C">
        <w:rPr>
          <w:i/>
        </w:rPr>
        <w:t>HALOT</w:t>
      </w:r>
      <w:r w:rsidRPr="0066103C">
        <w:t xml:space="preserve">, </w:t>
      </w:r>
      <w:r w:rsidRPr="0066103C">
        <w:rPr>
          <w:i/>
        </w:rPr>
        <w:t>DTT</w:t>
      </w:r>
      <w:r w:rsidRPr="0066103C">
        <w:t>).</w:t>
      </w:r>
    </w:p>
    <w:p w:rsidR="004F0A02" w:rsidRPr="0066103C" w:rsidRDefault="004F0A02" w:rsidP="004F0A02">
      <w:r w:rsidRPr="0066103C">
        <w:t>15.a. The seer mentions himself as he comes to himself (Montgomery): cf. 7:28; 8:15, 27. Lit., “My spiri</w:t>
      </w:r>
      <w:r w:rsidR="00991DE2">
        <w:t>t was disturbed, I, Daniel</w:t>
      </w:r>
      <w:r w:rsidRPr="0066103C">
        <w:t>”: the pronoun referring back to the suffix is emphatic.</w:t>
      </w:r>
    </w:p>
    <w:p w:rsidR="004F0A02" w:rsidRPr="0066103C" w:rsidRDefault="004F0A02" w:rsidP="004F0A02">
      <w:r w:rsidRPr="0066103C">
        <w:t>15.b-b.</w:t>
      </w:r>
      <w:r w:rsidR="00945C8C">
        <w:t xml:space="preserve"> </w:t>
      </w:r>
      <w:r w:rsidRPr="0066103C">
        <w:t>נדנה</w:t>
      </w:r>
      <w:r w:rsidR="00437B0F" w:rsidRPr="0066103C">
        <w:t xml:space="preserve"> </w:t>
      </w:r>
      <w:r w:rsidRPr="0066103C">
        <w:t> </w:t>
      </w:r>
      <w:r w:rsidR="00437B0F" w:rsidRPr="0066103C">
        <w:rPr>
          <w:rFonts w:ascii="Arial" w:hAnsi="Arial" w:cs="Arial"/>
        </w:rPr>
        <w:t>בגוא</w:t>
      </w:r>
      <w:r w:rsidRPr="0066103C">
        <w:t>. .</w:t>
      </w:r>
      <w:r w:rsidR="00437B0F" w:rsidRPr="0066103C">
        <w:t>.</w:t>
      </w:r>
      <w:r w:rsidR="00945C8C">
        <w:t xml:space="preserve"> </w:t>
      </w:r>
      <w:r w:rsidRPr="0066103C">
        <w:t xml:space="preserve">רוחי </w:t>
      </w:r>
      <w:r w:rsidR="00437B0F" w:rsidRPr="0066103C">
        <w:t xml:space="preserve"> </w:t>
      </w:r>
      <w:r w:rsidR="00437B0F" w:rsidRPr="0066103C">
        <w:rPr>
          <w:rFonts w:ascii="Arial" w:hAnsi="Arial" w:cs="Arial"/>
        </w:rPr>
        <w:t>אתכרית</w:t>
      </w:r>
      <w:r w:rsidR="00437B0F" w:rsidRPr="0066103C">
        <w:t xml:space="preserve"> </w:t>
      </w:r>
      <w:r w:rsidRPr="0066103C">
        <w:t>“my spirit was disturbed in the midst of the sheath.” נִדְנֶה</w:t>
      </w:r>
      <w:r w:rsidR="00437B0F" w:rsidRPr="0066103C">
        <w:t xml:space="preserve"> could be </w:t>
      </w:r>
      <w:r w:rsidRPr="0066103C">
        <w:t xml:space="preserve">repointed נִדְנַהּ (Brockington); cf. the form of </w:t>
      </w:r>
      <w:r w:rsidR="00437B0F" w:rsidRPr="0066103C">
        <w:t>the phrase in 1QapGen 2.10, whose</w:t>
      </w:r>
      <w:r w:rsidRPr="0066103C">
        <w:t xml:space="preserve"> occurrence makes other proposed emendations (cf. BHS) less plausible.</w:t>
      </w:r>
    </w:p>
    <w:p w:rsidR="004F0A02" w:rsidRPr="0066103C" w:rsidRDefault="004F0A02" w:rsidP="004F0A02">
      <w:r w:rsidRPr="0066103C">
        <w:t>16.a. Taking imp</w:t>
      </w:r>
      <w:r w:rsidR="0054365E" w:rsidRPr="0066103C">
        <w:t xml:space="preserve">erfect </w:t>
      </w:r>
      <w:r w:rsidRPr="0066103C">
        <w:t xml:space="preserve"> אבעא and יהודענני as not merely temporally consecutive in relation to the preceding </w:t>
      </w:r>
      <w:r w:rsidR="00E5253C" w:rsidRPr="0066103C">
        <w:t>verb</w:t>
      </w:r>
      <w:r w:rsidRPr="0066103C">
        <w:t>s, but as indicating purpose and indirect speech respectively.</w:t>
      </w:r>
    </w:p>
    <w:p w:rsidR="004F0A02" w:rsidRPr="0066103C" w:rsidRDefault="004F0A02" w:rsidP="004F0A02">
      <w:r w:rsidRPr="0066103C">
        <w:t>17.a. מלכין; the kings s</w:t>
      </w:r>
      <w:r w:rsidR="0054365E" w:rsidRPr="0066103C">
        <w:t>tand for their kingdoms (cf. NIV</w:t>
      </w:r>
      <w:r w:rsidRPr="0066103C">
        <w:t>; 2:38; 7:23; 8:20–22). There is hardly need to emend the text to make the po</w:t>
      </w:r>
      <w:r w:rsidR="00437B0F" w:rsidRPr="0066103C">
        <w:t xml:space="preserve">int explicit (against BHS, </w:t>
      </w:r>
      <w:r w:rsidRPr="0066103C">
        <w:t>following G).</w:t>
      </w:r>
    </w:p>
    <w:p w:rsidR="004F0A02" w:rsidRPr="0066103C" w:rsidRDefault="004F0A02" w:rsidP="004F0A02">
      <w:r w:rsidRPr="0066103C">
        <w:t xml:space="preserve">18.a. Cf. Calvin, Lacocque; GKC 124q for the use of a second pl. when the expression as a whole </w:t>
      </w:r>
      <w:r w:rsidR="0054365E" w:rsidRPr="0066103C">
        <w:t>is pl. (and indeterminate: Ginsberg, 71</w:t>
      </w:r>
      <w:r w:rsidRPr="0066103C">
        <w:t>); against the usual view that עליונין is pl</w:t>
      </w:r>
      <w:r w:rsidR="0054365E" w:rsidRPr="0066103C">
        <w:t>.</w:t>
      </w:r>
      <w:r w:rsidRPr="0066103C">
        <w:t xml:space="preserve"> of majesty (see </w:t>
      </w:r>
      <w:r w:rsidR="0054365E" w:rsidRPr="0066103C">
        <w:lastRenderedPageBreak/>
        <w:t xml:space="preserve">Goldingay, “‘Holy Ones on High’”). </w:t>
      </w:r>
      <w:r w:rsidR="00453D91" w:rsidRPr="0066103C">
        <w:t>For “h</w:t>
      </w:r>
      <w:r w:rsidR="0054365E" w:rsidRPr="0066103C">
        <w:t>oly ones of the One On</w:t>
      </w:r>
      <w:r w:rsidRPr="0066103C">
        <w:t xml:space="preserve"> High” </w:t>
      </w:r>
      <w:r w:rsidR="00453D91" w:rsidRPr="0066103C">
        <w:t>one would expect</w:t>
      </w:r>
      <w:r w:rsidRPr="0066103C">
        <w:t xml:space="preserve"> עליון </w:t>
      </w:r>
      <w:r w:rsidR="00B00849" w:rsidRPr="0066103C">
        <w:rPr>
          <w:rFonts w:ascii="Arial" w:hAnsi="Arial" w:cs="Arial"/>
        </w:rPr>
        <w:t>קדישי</w:t>
      </w:r>
      <w:r w:rsidR="00945C8C">
        <w:t xml:space="preserve"> </w:t>
      </w:r>
      <w:r w:rsidR="00453D91" w:rsidRPr="0066103C">
        <w:t xml:space="preserve">as in </w:t>
      </w:r>
      <w:r w:rsidRPr="0066103C">
        <w:t>CD 20.8</w:t>
      </w:r>
      <w:r w:rsidR="00453D91" w:rsidRPr="0066103C">
        <w:t xml:space="preserve"> (</w:t>
      </w:r>
      <w:r w:rsidR="00453D91" w:rsidRPr="0066103C">
        <w:rPr>
          <w:i/>
        </w:rPr>
        <w:t xml:space="preserve">DSS </w:t>
      </w:r>
      <w:r w:rsidR="00453D91" w:rsidRPr="0066103C">
        <w:t>1:578</w:t>
      </w:r>
      <w:r w:rsidRPr="0066103C">
        <w:t>); cf. the use of s</w:t>
      </w:r>
      <w:r w:rsidR="00F21DA8" w:rsidRPr="0066103C">
        <w:t>.</w:t>
      </w:r>
      <w:r w:rsidRPr="0066103C">
        <w:t xml:space="preserve"> עליא</w:t>
      </w:r>
      <w:r w:rsidR="0054365E" w:rsidRPr="0066103C">
        <w:t xml:space="preserve"> for “the One On </w:t>
      </w:r>
      <w:r w:rsidRPr="0066103C">
        <w:t xml:space="preserve">High” in v 25. </w:t>
      </w:r>
      <w:r w:rsidR="002A7308">
        <w:t xml:space="preserve">Burnier-Genton </w:t>
      </w:r>
      <w:r w:rsidR="002A7308">
        <w:rPr>
          <w:b/>
        </w:rPr>
        <w:t>(</w:t>
      </w:r>
      <w:r w:rsidR="002A7308" w:rsidRPr="002A7308">
        <w:rPr>
          <w:i/>
        </w:rPr>
        <w:t>Le rêve subversif d’un sage</w:t>
      </w:r>
      <w:r w:rsidR="002A7308">
        <w:t>) suggests “holy ones of the most high places</w:t>
      </w:r>
      <w:r w:rsidR="002A7308" w:rsidRPr="002A7308">
        <w:t>.</w:t>
      </w:r>
      <w:r w:rsidR="002A7308">
        <w:t>”</w:t>
      </w:r>
      <w:r w:rsidR="002A7308" w:rsidRPr="002A7308">
        <w:rPr>
          <w:b/>
        </w:rPr>
        <w:t xml:space="preserve"> </w:t>
      </w:r>
      <w:r w:rsidRPr="0066103C">
        <w:t>The Hebr</w:t>
      </w:r>
      <w:r w:rsidR="00F21DA8" w:rsidRPr="0066103C">
        <w:t xml:space="preserve">aism </w:t>
      </w:r>
      <w:r w:rsidRPr="0066103C">
        <w:t>occurs</w:t>
      </w:r>
      <w:r w:rsidR="00F21DA8" w:rsidRPr="0066103C">
        <w:t xml:space="preserve"> only</w:t>
      </w:r>
      <w:r w:rsidR="00B00849" w:rsidRPr="0066103C">
        <w:t xml:space="preserve"> </w:t>
      </w:r>
      <w:r w:rsidRPr="0066103C">
        <w:t>in this phrase (cf. vv 2</w:t>
      </w:r>
      <w:r w:rsidR="00991DE2">
        <w:t>2, 25, 27); perhaps it is an</w:t>
      </w:r>
      <w:r w:rsidRPr="0066103C">
        <w:t xml:space="preserve"> expression used among those </w:t>
      </w:r>
      <w:r w:rsidR="002A7308">
        <w:t>for whom the book is written</w:t>
      </w:r>
      <w:r w:rsidRPr="0066103C">
        <w:t>.</w:t>
      </w:r>
    </w:p>
    <w:p w:rsidR="004F0A02" w:rsidRPr="0066103C" w:rsidRDefault="004F0A02" w:rsidP="004F0A02">
      <w:r w:rsidRPr="0066103C">
        <w:t>20.a. נפלו: see n. 5:5.a.</w:t>
      </w:r>
    </w:p>
    <w:p w:rsidR="004F0A02" w:rsidRPr="0066103C" w:rsidRDefault="004F0A02" w:rsidP="004F0A02">
      <w:r w:rsidRPr="0066103C">
        <w:t>20.b.</w:t>
      </w:r>
      <w:r w:rsidR="00F21DA8" w:rsidRPr="0066103C">
        <w:t xml:space="preserve"> </w:t>
      </w:r>
      <w:r w:rsidR="00F21DA8" w:rsidRPr="0066103C">
        <w:rPr>
          <w:rFonts w:ascii="Arial" w:hAnsi="Arial" w:cs="Arial"/>
        </w:rPr>
        <w:t>רב</w:t>
      </w:r>
      <w:r w:rsidR="00F21DA8" w:rsidRPr="0066103C">
        <w:t xml:space="preserve"> </w:t>
      </w:r>
      <w:r w:rsidRPr="0066103C">
        <w:t xml:space="preserve"> חזוה</w:t>
      </w:r>
      <w:r w:rsidR="00945C8C">
        <w:t xml:space="preserve"> </w:t>
      </w:r>
      <w:r w:rsidRPr="0066103C">
        <w:t>“its appearance [was] greater”: cf. expressions in 4:</w:t>
      </w:r>
      <w:r w:rsidR="00F21DA8" w:rsidRPr="0066103C">
        <w:t>11, 20 [</w:t>
      </w:r>
      <w:r w:rsidRPr="0066103C">
        <w:t>8</w:t>
      </w:r>
      <w:r w:rsidR="00F21DA8" w:rsidRPr="0066103C">
        <w:t>, 17</w:t>
      </w:r>
      <w:r w:rsidRPr="0066103C">
        <w:t>].</w:t>
      </w:r>
    </w:p>
    <w:p w:rsidR="004F0A02" w:rsidRPr="0066103C" w:rsidRDefault="004F0A02" w:rsidP="004F0A02">
      <w:r w:rsidRPr="0066103C">
        <w:t>21.a.</w:t>
      </w:r>
      <w:r w:rsidR="00945C8C">
        <w:t xml:space="preserve"> </w:t>
      </w:r>
      <w:r w:rsidRPr="0066103C">
        <w:t>הוית</w:t>
      </w:r>
      <w:r w:rsidR="00F21DA8" w:rsidRPr="0066103C">
        <w:t xml:space="preserve"> </w:t>
      </w:r>
      <w:r w:rsidR="00F21DA8" w:rsidRPr="0066103C">
        <w:rPr>
          <w:rFonts w:ascii="Arial" w:hAnsi="Arial" w:cs="Arial"/>
        </w:rPr>
        <w:t>חזה</w:t>
      </w:r>
      <w:r w:rsidR="00F21DA8" w:rsidRPr="0066103C">
        <w:t xml:space="preserve"> ; JB</w:t>
      </w:r>
      <w:r w:rsidRPr="0066103C">
        <w:t xml:space="preserve"> “I had watched” reflects the fact that this detail might hav</w:t>
      </w:r>
      <w:r w:rsidR="00F21DA8" w:rsidRPr="0066103C">
        <w:t>e been expected to come earlier (thus</w:t>
      </w:r>
      <w:r w:rsidRPr="0066103C">
        <w:t xml:space="preserve"> some scholars see vv 21–22 as later expansion). But it is a</w:t>
      </w:r>
      <w:r w:rsidR="00F21DA8" w:rsidRPr="0066103C">
        <w:t xml:space="preserve"> standard phrase which more likely has</w:t>
      </w:r>
      <w:r w:rsidRPr="0066103C">
        <w:t xml:space="preserve"> its standard meaning.</w:t>
      </w:r>
    </w:p>
    <w:p w:rsidR="004F0A02" w:rsidRPr="0066103C" w:rsidRDefault="004F0A02" w:rsidP="004F0A02">
      <w:r w:rsidRPr="0066103C">
        <w:t>22.a. יְהִב: BHS reports a variant reading יְהַב</w:t>
      </w:r>
      <w:r w:rsidR="00A71254" w:rsidRPr="0066103C">
        <w:t xml:space="preserve"> “he gave,” reflected in G, Syr</w:t>
      </w:r>
      <w:r w:rsidRPr="0066103C">
        <w:t>, Vg.</w:t>
      </w:r>
    </w:p>
    <w:p w:rsidR="004F0A02" w:rsidRPr="0066103C" w:rsidRDefault="004F0A02" w:rsidP="004F0A02">
      <w:r w:rsidRPr="0066103C">
        <w:t>22.b. ל</w:t>
      </w:r>
      <w:r w:rsidR="00F21DA8" w:rsidRPr="0066103C">
        <w:t>; not “to” (G</w:t>
      </w:r>
      <w:r w:rsidR="00996DF6">
        <w:t>). The holy ones, whether supernatural beings</w:t>
      </w:r>
      <w:r w:rsidRPr="0066103C">
        <w:t xml:space="preserve"> or the people of God, do elsewhere share in judgment with God (cf. the allusion in Rev 20:4), but here the judgment is given on their behalf rather than exercised by them. God is </w:t>
      </w:r>
      <w:r w:rsidR="00B00849" w:rsidRPr="0066103C">
        <w:t xml:space="preserve">the </w:t>
      </w:r>
      <w:r w:rsidRPr="0066103C">
        <w:t>judge (vv 9–14). Ewald suggested that two words had been omitted and</w:t>
      </w:r>
      <w:r w:rsidR="00B00849" w:rsidRPr="0066103C">
        <w:t xml:space="preserve"> that the text should read</w:t>
      </w:r>
      <w:r w:rsidR="00945C8C">
        <w:t xml:space="preserve"> </w:t>
      </w:r>
      <w:r w:rsidRPr="0066103C">
        <w:t xml:space="preserve"> יהב </w:t>
      </w:r>
      <w:r w:rsidR="00F21DA8" w:rsidRPr="0066103C">
        <w:rPr>
          <w:rFonts w:ascii="Arial" w:hAnsi="Arial" w:cs="Arial"/>
        </w:rPr>
        <w:t>ושלטנא</w:t>
      </w:r>
      <w:r w:rsidR="00F21DA8" w:rsidRPr="0066103C">
        <w:t xml:space="preserve"> </w:t>
      </w:r>
      <w:r w:rsidR="00F21DA8" w:rsidRPr="0066103C">
        <w:rPr>
          <w:rFonts w:ascii="Arial" w:hAnsi="Arial" w:cs="Arial"/>
        </w:rPr>
        <w:t>יתב</w:t>
      </w:r>
      <w:r w:rsidR="00F21DA8" w:rsidRPr="0066103C">
        <w:t xml:space="preserve"> </w:t>
      </w:r>
      <w:r w:rsidR="00F21DA8" w:rsidRPr="0066103C">
        <w:rPr>
          <w:rFonts w:ascii="Arial" w:hAnsi="Arial" w:cs="Arial"/>
        </w:rPr>
        <w:t>ודינא</w:t>
      </w:r>
      <w:r w:rsidR="00F21DA8" w:rsidRPr="0066103C">
        <w:t xml:space="preserve"> </w:t>
      </w:r>
      <w:r w:rsidRPr="0066103C">
        <w:t>“the court sat [cf. v 10] and auth</w:t>
      </w:r>
      <w:r w:rsidR="00B00849" w:rsidRPr="0066103C">
        <w:t>ority was given [cf. v 27]</w:t>
      </w:r>
      <w:r w:rsidRPr="0066103C">
        <w:t>”; cf. BHS).</w:t>
      </w:r>
    </w:p>
    <w:p w:rsidR="004F0A02" w:rsidRPr="0066103C" w:rsidRDefault="004F0A02" w:rsidP="004F0A02">
      <w:r w:rsidRPr="0066103C">
        <w:t>23.a. תשנא; Th</w:t>
      </w:r>
      <w:r w:rsidR="00135D2C" w:rsidRPr="0066103C">
        <w:t xml:space="preserve"> has</w:t>
      </w:r>
      <w:r w:rsidRPr="0066103C">
        <w:t xml:space="preserve"> ὓπερέξει “excel” as if from a different </w:t>
      </w:r>
      <w:r w:rsidR="00E5253C" w:rsidRPr="0066103C">
        <w:t>verb</w:t>
      </w:r>
      <w:r w:rsidRPr="0066103C">
        <w:t xml:space="preserve"> שנא</w:t>
      </w:r>
      <w:r w:rsidR="00135D2C" w:rsidRPr="0066103C">
        <w:t xml:space="preserve"> (see </w:t>
      </w:r>
      <w:r w:rsidRPr="0066103C">
        <w:t xml:space="preserve">Emerton, </w:t>
      </w:r>
      <w:r w:rsidR="00135D2C" w:rsidRPr="0066103C">
        <w:t xml:space="preserve">“The Meaning of </w:t>
      </w:r>
      <w:r w:rsidR="00135D2C" w:rsidRPr="0066103C">
        <w:rPr>
          <w:i/>
        </w:rPr>
        <w:t>šēnā</w:t>
      </w:r>
      <w:r w:rsidR="00135D2C" w:rsidRPr="0066103C">
        <w:t>’”</w:t>
      </w:r>
      <w:r w:rsidR="00BF2CA6">
        <w:t>); mor</w:t>
      </w:r>
      <w:r w:rsidR="00D04FE1">
        <w:t xml:space="preserve">e likely the </w:t>
      </w:r>
      <w:r w:rsidR="00D04FE1" w:rsidRPr="00D04FE1">
        <w:t xml:space="preserve">verb is </w:t>
      </w:r>
      <w:r w:rsidR="00D04FE1" w:rsidRPr="00D04FE1">
        <w:rPr>
          <w:rFonts w:ascii="Arial" w:hAnsi="Arial" w:cs="Arial"/>
        </w:rPr>
        <w:t>שנא</w:t>
      </w:r>
      <w:r w:rsidR="00D04FE1" w:rsidRPr="00D04FE1">
        <w:t xml:space="preserve"> “change</w:t>
      </w:r>
      <w:r w:rsidR="00D04FE1">
        <w:t>” as</w:t>
      </w:r>
      <w:r w:rsidR="00BF2CA6">
        <w:t xml:space="preserve"> in v. 7</w:t>
      </w:r>
      <w:r w:rsidR="00D04FE1">
        <w:t xml:space="preserve"> (also vv 3, 19, among others).</w:t>
      </w:r>
    </w:p>
    <w:p w:rsidR="004F0A02" w:rsidRPr="0066103C" w:rsidRDefault="00135D2C" w:rsidP="004F0A02">
      <w:r w:rsidRPr="0066103C">
        <w:t>24.a. For this significance of the pronominal suffix, s</w:t>
      </w:r>
      <w:r w:rsidR="004F0A02" w:rsidRPr="0066103C">
        <w:t>ee BL 74a.</w:t>
      </w:r>
    </w:p>
    <w:p w:rsidR="004F0A02" w:rsidRPr="0066103C" w:rsidRDefault="004F0A02" w:rsidP="004F0A02">
      <w:r w:rsidRPr="0066103C">
        <w:t xml:space="preserve">25.a. בלא (lit., “wear out”), cf. BH בלה in 1 Chr 17:9. There is thus no need to posit another בלא related to an Arabic </w:t>
      </w:r>
      <w:r w:rsidR="00E5253C" w:rsidRPr="0066103C">
        <w:t>verb</w:t>
      </w:r>
      <w:r w:rsidRPr="0066103C">
        <w:t xml:space="preserve"> “offend” (against Noth, </w:t>
      </w:r>
      <w:r w:rsidR="00B00849" w:rsidRPr="0066103C">
        <w:t>“Die Heiligen</w:t>
      </w:r>
      <w:r w:rsidRPr="0066103C">
        <w:t>,</w:t>
      </w:r>
      <w:r w:rsidR="00B00849" w:rsidRPr="0066103C">
        <w:t>”</w:t>
      </w:r>
      <w:r w:rsidRPr="0066103C">
        <w:t xml:space="preserve"> 286 [ET 224–25]).</w:t>
      </w:r>
    </w:p>
    <w:p w:rsidR="004F0A02" w:rsidRPr="0066103C" w:rsidRDefault="004F0A02" w:rsidP="004F0A02">
      <w:r w:rsidRPr="0066103C">
        <w:t>25.b-b.</w:t>
      </w:r>
      <w:r w:rsidR="00135D2C" w:rsidRPr="0066103C">
        <w:t xml:space="preserve"> Taking</w:t>
      </w:r>
      <w:r w:rsidRPr="0066103C">
        <w:t xml:space="preserve"> ודת </w:t>
      </w:r>
      <w:r w:rsidR="00135D2C" w:rsidRPr="0066103C">
        <w:rPr>
          <w:rFonts w:ascii="Arial" w:hAnsi="Arial" w:cs="Arial"/>
        </w:rPr>
        <w:t>זמנין</w:t>
      </w:r>
      <w:r w:rsidR="001A1CA1">
        <w:t xml:space="preserve"> “times and edict</w:t>
      </w:r>
      <w:r w:rsidR="00135D2C" w:rsidRPr="0066103C">
        <w:t xml:space="preserve">” </w:t>
      </w:r>
      <w:r w:rsidRPr="0066103C">
        <w:t xml:space="preserve">as </w:t>
      </w:r>
      <w:r w:rsidR="00135D2C" w:rsidRPr="0066103C">
        <w:t xml:space="preserve">a </w:t>
      </w:r>
      <w:r w:rsidRPr="0066103C">
        <w:t>hendiadys, a frequent device in chap. 7. On</w:t>
      </w:r>
      <w:r w:rsidR="00135D2C" w:rsidRPr="0066103C">
        <w:t xml:space="preserve"> </w:t>
      </w:r>
      <w:r w:rsidRPr="0066103C">
        <w:t xml:space="preserve"> דת</w:t>
      </w:r>
      <w:r w:rsidR="00D04FE1">
        <w:t>, see n. 6:5</w:t>
      </w:r>
      <w:r w:rsidRPr="0066103C">
        <w:t>.b</w:t>
      </w:r>
      <w:r w:rsidR="001A1CA1">
        <w:t xml:space="preserve"> (there translated “law”)</w:t>
      </w:r>
      <w:r w:rsidRPr="0066103C">
        <w:t>.</w:t>
      </w:r>
    </w:p>
    <w:p w:rsidR="004F0A02" w:rsidRPr="0066103C" w:rsidRDefault="004F0A02" w:rsidP="004F0A02">
      <w:r w:rsidRPr="0066103C">
        <w:t xml:space="preserve">25.c. Presumably the times (so G), not the holy ones: the former is the antecedent and this </w:t>
      </w:r>
      <w:r w:rsidR="00B00849" w:rsidRPr="0066103C">
        <w:t xml:space="preserve">understanding </w:t>
      </w:r>
      <w:r w:rsidRPr="0066103C">
        <w:t xml:space="preserve">makes entire sense (see </w:t>
      </w:r>
      <w:r w:rsidRPr="0066103C">
        <w:rPr>
          <w:i/>
        </w:rPr>
        <w:t>Comment</w:t>
      </w:r>
      <w:r w:rsidRPr="0066103C">
        <w:t>).</w:t>
      </w:r>
    </w:p>
    <w:p w:rsidR="004F0A02" w:rsidRPr="0066103C" w:rsidRDefault="004F0A02" w:rsidP="004F0A02">
      <w:r w:rsidRPr="0066103C">
        <w:t>25.d. עדנין should presumably here</w:t>
      </w:r>
      <w:r w:rsidR="00135D2C" w:rsidRPr="0066103C">
        <w:t xml:space="preserve"> be taken as dual (see n. 4.e-e)</w:t>
      </w:r>
      <w:r w:rsidRPr="0066103C">
        <w:t>.</w:t>
      </w:r>
    </w:p>
    <w:p w:rsidR="004F0A02" w:rsidRPr="0066103C" w:rsidRDefault="004F0A02" w:rsidP="004F0A02">
      <w:r w:rsidRPr="0066103C">
        <w:t>27.a. יהיבת</w:t>
      </w:r>
      <w:r w:rsidR="00135D2C" w:rsidRPr="0066103C">
        <w:t xml:space="preserve">; cf. Bevan for the future perfect </w:t>
      </w:r>
      <w:r w:rsidR="007B23C6" w:rsidRPr="0066103C">
        <w:t>t</w:t>
      </w:r>
      <w:r w:rsidR="00135D2C" w:rsidRPr="0066103C">
        <w:t>ranslation</w:t>
      </w:r>
      <w:r w:rsidRPr="0066103C">
        <w:t>, comparing נעשתה “will have been achieved” in 11:36.</w:t>
      </w:r>
    </w:p>
    <w:p w:rsidR="004F0A02" w:rsidRPr="0066103C" w:rsidRDefault="004F0A02" w:rsidP="004F0A02">
      <w:r w:rsidRPr="0066103C">
        <w:t>27.b. Taking the constr</w:t>
      </w:r>
      <w:r w:rsidR="00135D2C" w:rsidRPr="0066103C">
        <w:t>uct</w:t>
      </w:r>
      <w:r w:rsidRPr="0066103C">
        <w:t xml:space="preserve"> chain as</w:t>
      </w:r>
      <w:r w:rsidR="00C7196D" w:rsidRPr="0066103C">
        <w:t xml:space="preserve"> ep</w:t>
      </w:r>
      <w:r w:rsidRPr="0066103C">
        <w:t xml:space="preserve">exegetical throughout (“a people consisting in holy ones who are on high”) rather than possessive throughout (“a people that belongs to holy ones who belong to the </w:t>
      </w:r>
      <w:r w:rsidR="0054365E" w:rsidRPr="0066103C">
        <w:t>One On High</w:t>
      </w:r>
      <w:r w:rsidRPr="0066103C">
        <w:t>”</w:t>
      </w:r>
      <w:r w:rsidR="00C7196D" w:rsidRPr="0066103C">
        <w:t>—so that the One On High is then the possessor of kingship and the object of honor and obedience</w:t>
      </w:r>
      <w:r w:rsidRPr="0066103C">
        <w:t xml:space="preserve">): see </w:t>
      </w:r>
      <w:r w:rsidRPr="0066103C">
        <w:rPr>
          <w:i/>
        </w:rPr>
        <w:t>Comment</w:t>
      </w:r>
      <w:r w:rsidRPr="0066103C">
        <w:t>.</w:t>
      </w:r>
    </w:p>
    <w:p w:rsidR="004F0A02" w:rsidRPr="0066103C" w:rsidRDefault="004F0A02" w:rsidP="004F0A02">
      <w:r w:rsidRPr="0066103C">
        <w:t>28.a. בלבי</w:t>
      </w:r>
      <w:r w:rsidR="00135D2C" w:rsidRPr="0066103C">
        <w:t xml:space="preserve"> suggests “to myself” (JB),</w:t>
      </w:r>
      <w:r w:rsidRPr="0066103C">
        <w:t xml:space="preserve"> the implication of the equivalent expression in </w:t>
      </w:r>
      <w:r w:rsidR="000C0C9F" w:rsidRPr="0066103C">
        <w:rPr>
          <w:i/>
        </w:rPr>
        <w:t>T.</w:t>
      </w:r>
      <w:r w:rsidRPr="0066103C">
        <w:rPr>
          <w:i/>
        </w:rPr>
        <w:t xml:space="preserve"> Levi</w:t>
      </w:r>
      <w:r w:rsidRPr="0066103C">
        <w:t xml:space="preserve"> 6.2; 8.19 (and Luke 2:19?).</w:t>
      </w:r>
    </w:p>
    <w:p w:rsidR="004F0A02" w:rsidRPr="00CC1756" w:rsidRDefault="004F0A02" w:rsidP="00CC1756">
      <w:pPr>
        <w:pStyle w:val="Heading2"/>
      </w:pPr>
      <w:r w:rsidRPr="00CC1756">
        <w:t>Form/Structure/Setting</w:t>
      </w:r>
    </w:p>
    <w:p w:rsidR="004F0A02" w:rsidRPr="0066103C" w:rsidRDefault="004F0A02" w:rsidP="00AF6220">
      <w:pPr>
        <w:pStyle w:val="Heading3"/>
      </w:pPr>
      <w:r w:rsidRPr="0066103C">
        <w:t>Form</w:t>
      </w:r>
    </w:p>
    <w:p w:rsidR="00482CA5" w:rsidRPr="0066103C" w:rsidRDefault="00482CA5" w:rsidP="00482CA5"/>
    <w:p w:rsidR="004F0A02" w:rsidRPr="0066103C" w:rsidRDefault="004F0A02" w:rsidP="004F0A02">
      <w:r w:rsidRPr="0066103C">
        <w:t>Dan 7 is the report of a dream or nocturnal vision</w:t>
      </w:r>
      <w:r w:rsidR="00482CA5" w:rsidRPr="0066103C">
        <w:t xml:space="preserve"> (cf. chap. 2 </w:t>
      </w:r>
      <w:r w:rsidR="00482CA5" w:rsidRPr="0066103C">
        <w:rPr>
          <w:i/>
        </w:rPr>
        <w:t>Form</w:t>
      </w:r>
      <w:r w:rsidR="00482CA5" w:rsidRPr="0066103C">
        <w:t>)</w:t>
      </w:r>
      <w:r w:rsidRPr="0066103C">
        <w:t xml:space="preserve">. Characteristic expressions are verbs for “watch” (חזה, שכל), followed </w:t>
      </w:r>
      <w:r w:rsidR="00482CA5" w:rsidRPr="0066103C">
        <w:t>by temporal expressions such as</w:t>
      </w:r>
      <w:r w:rsidRPr="0066103C">
        <w:t xml:space="preserve">די </w:t>
      </w:r>
      <w:r w:rsidR="00482CA5" w:rsidRPr="0066103C">
        <w:rPr>
          <w:rFonts w:ascii="Arial" w:hAnsi="Arial" w:cs="Arial"/>
        </w:rPr>
        <w:t>עד</w:t>
      </w:r>
      <w:r w:rsidR="00482CA5" w:rsidRPr="0066103C">
        <w:t xml:space="preserve"> </w:t>
      </w:r>
      <w:r w:rsidRPr="0066103C">
        <w:t>(lit., “until”) or</w:t>
      </w:r>
      <w:r w:rsidR="00482CA5" w:rsidRPr="0066103C">
        <w:t xml:space="preserve"> </w:t>
      </w:r>
      <w:r w:rsidR="00482CA5" w:rsidRPr="0066103C">
        <w:rPr>
          <w:rFonts w:ascii="Arial" w:hAnsi="Arial" w:cs="Arial"/>
        </w:rPr>
        <w:t>מן</w:t>
      </w:r>
      <w:r w:rsidRPr="0066103C">
        <w:t xml:space="preserve"> באדן “from the time when” or by the particle ואלו/וארו</w:t>
      </w:r>
      <w:r w:rsidR="00482CA5" w:rsidRPr="0066103C">
        <w:t xml:space="preserve"> “and there before me” and the </w:t>
      </w:r>
      <w:r w:rsidRPr="0066103C">
        <w:t>preposition כ‍ “like.” The opening half recounts a symbolic dream, set in a standard brief narrative context recording the date at</w:t>
      </w:r>
      <w:r w:rsidR="00D144E2" w:rsidRPr="0066103C">
        <w:t xml:space="preserve"> the beginning and the dreamer</w:t>
      </w:r>
      <w:r w:rsidRPr="0066103C">
        <w:t xml:space="preserve">’s troubled response at the end (vv 1, 15). </w:t>
      </w:r>
      <w:r w:rsidR="00F81F37" w:rsidRPr="0066103C">
        <w:t>An introduction using mythic motifs leads into</w:t>
      </w:r>
      <w:r w:rsidR="00482CA5" w:rsidRPr="0066103C">
        <w:t xml:space="preserve"> a </w:t>
      </w:r>
      <w:r w:rsidRPr="0066103C">
        <w:t>vision</w:t>
      </w:r>
      <w:r w:rsidR="00482CA5" w:rsidRPr="0066103C">
        <w:t xml:space="preserve"> of four </w:t>
      </w:r>
      <w:r w:rsidR="00D144E2" w:rsidRPr="0066103C">
        <w:t xml:space="preserve">hybrid </w:t>
      </w:r>
      <w:r w:rsidR="00482CA5" w:rsidRPr="0066103C">
        <w:t>animals</w:t>
      </w:r>
      <w:r w:rsidRPr="0066103C">
        <w:t xml:space="preserve"> (vv 2–8, partly recapitulated and expanded i</w:t>
      </w:r>
      <w:r w:rsidR="00482CA5" w:rsidRPr="0066103C">
        <w:t>n vv 19–21; the interpretation in v 17</w:t>
      </w:r>
      <w:r w:rsidRPr="0066103C">
        <w:t xml:space="preserve"> w</w:t>
      </w:r>
      <w:r w:rsidR="00482CA5" w:rsidRPr="0066103C">
        <w:t>ill make explicit that it constitutes</w:t>
      </w:r>
      <w:r w:rsidRPr="0066103C">
        <w:t xml:space="preserve"> an allegorical periodization of history). It goes on to a judgmen</w:t>
      </w:r>
      <w:r w:rsidR="00F81F37" w:rsidRPr="0066103C">
        <w:t xml:space="preserve">t scene (vv 9–14), which </w:t>
      </w:r>
      <w:r w:rsidRPr="0066103C">
        <w:t xml:space="preserve">incorporates descriptions of </w:t>
      </w:r>
      <w:r w:rsidR="00482CA5" w:rsidRPr="0066103C">
        <w:t>some</w:t>
      </w:r>
      <w:r w:rsidRPr="0066103C">
        <w:t xml:space="preserve">one seated </w:t>
      </w:r>
      <w:r w:rsidRPr="0066103C">
        <w:lastRenderedPageBreak/>
        <w:t>on a divine throne (vv 9–10) and of the appearing of a second heavenly figure (vv 13–14</w:t>
      </w:r>
      <w:r w:rsidR="00482CA5" w:rsidRPr="0066103C">
        <w:t>)</w:t>
      </w:r>
      <w:r w:rsidRPr="0066103C">
        <w:t>.</w:t>
      </w:r>
      <w:r w:rsidR="00482CA5" w:rsidRPr="0066103C">
        <w:rPr>
          <w:rStyle w:val="FootnoteReference"/>
        </w:rPr>
        <w:footnoteReference w:id="1"/>
      </w:r>
      <w:r w:rsidRPr="0066103C">
        <w:t xml:space="preserve"> The significance of vv 9–10, 13–14 is emphasized and their effect </w:t>
      </w:r>
      <w:r w:rsidR="00F81F37" w:rsidRPr="0066103C">
        <w:t>is heightened through their</w:t>
      </w:r>
      <w:r w:rsidRPr="0066103C">
        <w:t xml:space="preserve"> rhythmic, elevated style, with instances of the paral</w:t>
      </w:r>
      <w:r w:rsidR="00A14AC1" w:rsidRPr="0066103C">
        <w:t xml:space="preserve">lelism </w:t>
      </w:r>
      <w:r w:rsidR="00F81F37" w:rsidRPr="0066103C">
        <w:t>that characterizes</w:t>
      </w:r>
      <w:r w:rsidR="00A14AC1" w:rsidRPr="0066103C">
        <w:t xml:space="preserve"> OT</w:t>
      </w:r>
      <w:r w:rsidRPr="0066103C">
        <w:t xml:space="preserve"> poe</w:t>
      </w:r>
      <w:r w:rsidR="00F81F37" w:rsidRPr="0066103C">
        <w:t>try, and</w:t>
      </w:r>
      <w:r w:rsidR="00D30E0D">
        <w:t xml:space="preserve"> </w:t>
      </w:r>
      <w:r w:rsidRPr="0066103C">
        <w:t>of simile and metaphor. The pattern of vv 8–11 (presentation of wrongdoing, judgment scene, implementation of punishment</w:t>
      </w:r>
      <w:r w:rsidR="00A14AC1" w:rsidRPr="0066103C">
        <w:t>) recall</w:t>
      </w:r>
      <w:r w:rsidRPr="0066103C">
        <w:t>s that of</w:t>
      </w:r>
      <w:r w:rsidR="00F81F37" w:rsidRPr="0066103C">
        <w:t xml:space="preserve"> the</w:t>
      </w:r>
      <w:r w:rsidR="00A14AC1" w:rsidRPr="0066103C">
        <w:t xml:space="preserve"> secular/prophetic lawsuit</w:t>
      </w:r>
      <w:r w:rsidRPr="0066103C">
        <w:t>.</w:t>
      </w:r>
      <w:r w:rsidR="00A14AC1" w:rsidRPr="0066103C">
        <w:rPr>
          <w:rStyle w:val="FootnoteReference"/>
        </w:rPr>
        <w:footnoteReference w:id="2"/>
      </w:r>
    </w:p>
    <w:p w:rsidR="00F236EC" w:rsidRPr="0066103C" w:rsidRDefault="004F0A02" w:rsidP="004F0A02">
      <w:r w:rsidRPr="0066103C">
        <w:t>The second half reports the interpretation of the symbolic dream. A standard</w:t>
      </w:r>
      <w:r w:rsidR="00F81F37" w:rsidRPr="0066103C">
        <w:t xml:space="preserve"> brief narrative context tells of how the subject sought</w:t>
      </w:r>
      <w:r w:rsidRPr="0066103C">
        <w:t xml:space="preserve"> the interpretation (v 16) and </w:t>
      </w:r>
      <w:r w:rsidR="00F81F37" w:rsidRPr="0066103C">
        <w:t>of how he reacted</w:t>
      </w:r>
      <w:r w:rsidRPr="0066103C">
        <w:t xml:space="preserve"> to it (v 28). The initial interp</w:t>
      </w:r>
      <w:r w:rsidR="00A14AC1" w:rsidRPr="0066103C">
        <w:t>retation is brief (vv 17–18);</w:t>
      </w:r>
      <w:r w:rsidRPr="0066103C">
        <w:t xml:space="preserve"> in response to the subject’s supplementary requ</w:t>
      </w:r>
      <w:r w:rsidR="00F81F37" w:rsidRPr="0066103C">
        <w:t xml:space="preserve">est (vv 19–22), </w:t>
      </w:r>
      <w:r w:rsidRPr="0066103C">
        <w:t xml:space="preserve">a more detailed explanation of part of the symbolism </w:t>
      </w:r>
      <w:r w:rsidR="00F81F37" w:rsidRPr="0066103C">
        <w:t xml:space="preserve">follows </w:t>
      </w:r>
      <w:r w:rsidRPr="0066103C">
        <w:t>(vv 23–27). Rhythm and parallelism reappear here at a further key point in the chapter, though</w:t>
      </w:r>
      <w:r w:rsidR="00D30E0D">
        <w:t xml:space="preserve"> with less consistency and </w:t>
      </w:r>
      <w:r w:rsidRPr="0066103C">
        <w:t>less heightened effect than in vv 9–10, 13–14 (because of the more prosaic subject-ma</w:t>
      </w:r>
      <w:r w:rsidR="00F81F37" w:rsidRPr="0066103C">
        <w:t>tter?), and</w:t>
      </w:r>
      <w:r w:rsidRPr="0066103C">
        <w:t xml:space="preserve"> some in</w:t>
      </w:r>
      <w:r w:rsidR="00F81F37" w:rsidRPr="0066103C">
        <w:t>terpreters treat</w:t>
      </w:r>
      <w:r w:rsidR="00D30E0D">
        <w:t xml:space="preserve"> vv 23-27 as prose</w:t>
      </w:r>
      <w:r w:rsidR="00A14AC1" w:rsidRPr="0066103C">
        <w:t>. R</w:t>
      </w:r>
      <w:r w:rsidRPr="0066103C">
        <w:t>hythm, parallelism, an</w:t>
      </w:r>
      <w:r w:rsidR="00D30E0D">
        <w:t xml:space="preserve">d other rhetorical devices </w:t>
      </w:r>
      <w:r w:rsidRPr="0066103C">
        <w:t>appear elsewhere in Dan 7;</w:t>
      </w:r>
      <w:r w:rsidR="00A14AC1" w:rsidRPr="0066103C">
        <w:rPr>
          <w:rStyle w:val="FootnoteReference"/>
        </w:rPr>
        <w:footnoteReference w:id="3"/>
      </w:r>
      <w:r w:rsidRPr="0066103C">
        <w:t xml:space="preserve"> a division</w:t>
      </w:r>
      <w:r w:rsidR="00A14AC1" w:rsidRPr="0066103C">
        <w:t xml:space="preserve"> between poetic prose and prosaic</w:t>
      </w:r>
      <w:r w:rsidRPr="0066103C">
        <w:t xml:space="preserve"> poetry is hard to make. The interpretation of the symbolic dream takes place within</w:t>
      </w:r>
      <w:r w:rsidR="00A14AC1" w:rsidRPr="0066103C">
        <w:t xml:space="preserve"> the context of the dream</w:t>
      </w:r>
      <w:r w:rsidR="00F81F37" w:rsidRPr="0066103C">
        <w:t>. In this respect the</w:t>
      </w:r>
      <w:r w:rsidRPr="0066103C">
        <w:t xml:space="preserve"> </w:t>
      </w:r>
      <w:r w:rsidR="00A14AC1" w:rsidRPr="0066103C">
        <w:t xml:space="preserve">vision </w:t>
      </w:r>
      <w:r w:rsidR="00F81F37" w:rsidRPr="0066103C">
        <w:t xml:space="preserve">compares </w:t>
      </w:r>
      <w:r w:rsidRPr="0066103C">
        <w:t>with the noctu</w:t>
      </w:r>
      <w:r w:rsidR="00A14AC1" w:rsidRPr="0066103C">
        <w:t xml:space="preserve">rnal visions in Zech 1–6 and </w:t>
      </w:r>
      <w:r w:rsidR="00F81F37" w:rsidRPr="0066103C">
        <w:t xml:space="preserve">2 Esd 11–13 (though there the interpreter is God himself) </w:t>
      </w:r>
      <w:r w:rsidRPr="0066103C">
        <w:t>an</w:t>
      </w:r>
      <w:r w:rsidR="00F236EC" w:rsidRPr="0066103C">
        <w:t>d with the vision in Dan 8. It contrasts with th</w:t>
      </w:r>
      <w:r w:rsidRPr="0066103C">
        <w:t xml:space="preserve">e </w:t>
      </w:r>
      <w:r w:rsidR="00F236EC" w:rsidRPr="0066103C">
        <w:t xml:space="preserve">visions </w:t>
      </w:r>
      <w:r w:rsidRPr="0066103C">
        <w:t>in Dan 2; 4, where a human interpreter explains the dream after it is over</w:t>
      </w:r>
      <w:r w:rsidR="00D30E0D">
        <w:t>. And there,</w:t>
      </w:r>
      <w:r w:rsidRPr="0066103C">
        <w:t xml:space="preserve"> the story in whic</w:t>
      </w:r>
      <w:r w:rsidR="00D30E0D">
        <w:t xml:space="preserve">h the dream report is set has a </w:t>
      </w:r>
      <w:r w:rsidRPr="0066103C">
        <w:t xml:space="preserve">significance in its own right </w:t>
      </w:r>
      <w:r w:rsidR="00F236EC" w:rsidRPr="0066103C">
        <w:t xml:space="preserve">that far exceeds that of the simple </w:t>
      </w:r>
      <w:r w:rsidRPr="0066103C">
        <w:t>n</w:t>
      </w:r>
      <w:r w:rsidR="00F236EC" w:rsidRPr="0066103C">
        <w:t>arrative framework of chap. 7; h</w:t>
      </w:r>
      <w:r w:rsidRPr="0066103C">
        <w:t xml:space="preserve">ere the dream is everything. </w:t>
      </w:r>
    </w:p>
    <w:p w:rsidR="004F0A02" w:rsidRPr="0066103C" w:rsidRDefault="004F0A02" w:rsidP="004F0A02">
      <w:r w:rsidRPr="0066103C">
        <w:t>The interpretation takes t</w:t>
      </w:r>
      <w:r w:rsidR="00F236EC" w:rsidRPr="0066103C">
        <w:t>he form of political prophecies</w:t>
      </w:r>
      <w:r w:rsidRPr="0066103C">
        <w:t xml:space="preserve"> (vv 17, 23</w:t>
      </w:r>
      <w:r w:rsidR="00945E04" w:rsidRPr="0066103C">
        <w:t xml:space="preserve">–25) that lead into </w:t>
      </w:r>
      <w:r w:rsidR="00F236EC" w:rsidRPr="0066103C">
        <w:t>prophecies</w:t>
      </w:r>
      <w:r w:rsidRPr="0066103C">
        <w:t xml:space="preserve"> </w:t>
      </w:r>
      <w:r w:rsidR="00945E04" w:rsidRPr="0066103C">
        <w:t xml:space="preserve">about the final implementation of God’s reign </w:t>
      </w:r>
      <w:r w:rsidRPr="0066103C">
        <w:t xml:space="preserve">(vv 18, 26–27). The combination </w:t>
      </w:r>
      <w:r w:rsidR="00945E04" w:rsidRPr="0066103C">
        <w:t>of forms parallels that in the Animal Apocalypse,</w:t>
      </w:r>
      <w:r w:rsidRPr="0066103C">
        <w:t xml:space="preserve"> </w:t>
      </w:r>
      <w:r w:rsidRPr="0066103C">
        <w:rPr>
          <w:i/>
        </w:rPr>
        <w:t>1 Enoch</w:t>
      </w:r>
      <w:r w:rsidRPr="0066103C">
        <w:t xml:space="preserve"> 85–90, which addresses the Maccabean</w:t>
      </w:r>
      <w:r w:rsidR="00945E04" w:rsidRPr="0066103C">
        <w:t xml:space="preserve"> crisis</w:t>
      </w:r>
      <w:r w:rsidRPr="0066103C">
        <w:t>.</w:t>
      </w:r>
      <w:r w:rsidR="00945E04" w:rsidRPr="0066103C">
        <w:rPr>
          <w:rStyle w:val="FootnoteReference"/>
        </w:rPr>
        <w:footnoteReference w:id="4"/>
      </w:r>
      <w:r w:rsidRPr="0066103C">
        <w:t xml:space="preserve"> Such parallels su</w:t>
      </w:r>
      <w:r w:rsidR="00F236EC" w:rsidRPr="0066103C">
        <w:t>ggest that the political prophecies are quasi-prediction</w:t>
      </w:r>
      <w:r w:rsidRPr="0066103C">
        <w:t xml:space="preserve">s, not actual ones (see further chaps. 10–12 </w:t>
      </w:r>
      <w:r w:rsidRPr="0066103C">
        <w:rPr>
          <w:i/>
        </w:rPr>
        <w:t>Form</w:t>
      </w:r>
      <w:r w:rsidRPr="0066103C">
        <w:t>). The self-presentation formula “I, Daniel” supports this view; it is characteristically a formula of self-presentation by someone who cannot be seen or who speaks through someone else (e.g., a proph</w:t>
      </w:r>
      <w:r w:rsidR="00F236EC" w:rsidRPr="0066103C">
        <w:t>et</w:t>
      </w:r>
      <w:r w:rsidR="00D30E0D">
        <w:t xml:space="preserve"> who says “I am Yahweh</w:t>
      </w:r>
      <w:r w:rsidR="00F236EC" w:rsidRPr="0066103C">
        <w:t>,</w:t>
      </w:r>
      <w:r w:rsidR="00D30E0D">
        <w:t>” or</w:t>
      </w:r>
      <w:r w:rsidR="00F236EC" w:rsidRPr="0066103C">
        <w:t xml:space="preserve"> a messenger, or a medium). While t</w:t>
      </w:r>
      <w:r w:rsidRPr="0066103C">
        <w:t xml:space="preserve">he chapter </w:t>
      </w:r>
      <w:r w:rsidR="00F236EC" w:rsidRPr="0066103C">
        <w:t xml:space="preserve">as </w:t>
      </w:r>
      <w:r w:rsidR="009E70F5">
        <w:t>a whole has then</w:t>
      </w:r>
      <w:r w:rsidR="00F236EC" w:rsidRPr="0066103C">
        <w:t xml:space="preserve"> been taken to be a literary creation</w:t>
      </w:r>
      <w:r w:rsidRPr="0066103C">
        <w:t xml:space="preserve"> not</w:t>
      </w:r>
      <w:r w:rsidR="00945E04" w:rsidRPr="0066103C">
        <w:t xml:space="preserve"> the report of an actual dream</w:t>
      </w:r>
      <w:r w:rsidRPr="0066103C">
        <w:t>,</w:t>
      </w:r>
      <w:r w:rsidR="00945E04" w:rsidRPr="0066103C">
        <w:rPr>
          <w:rStyle w:val="FootnoteReference"/>
        </w:rPr>
        <w:footnoteReference w:id="5"/>
      </w:r>
      <w:r w:rsidR="00F236EC" w:rsidRPr="0066103C">
        <w:t xml:space="preserve"> </w:t>
      </w:r>
      <w:r w:rsidRPr="0066103C">
        <w:t xml:space="preserve">this </w:t>
      </w:r>
      <w:r w:rsidR="00F236EC" w:rsidRPr="0066103C">
        <w:t xml:space="preserve">inference </w:t>
      </w:r>
      <w:r w:rsidRPr="0066103C">
        <w:t>need not f</w:t>
      </w:r>
      <w:r w:rsidR="00945E04" w:rsidRPr="0066103C">
        <w:t>ollow</w:t>
      </w:r>
      <w:r w:rsidRPr="0066103C">
        <w:t>.</w:t>
      </w:r>
      <w:r w:rsidR="00945E04" w:rsidRPr="0066103C">
        <w:rPr>
          <w:rStyle w:val="FootnoteReference"/>
        </w:rPr>
        <w:footnoteReference w:id="6"/>
      </w:r>
    </w:p>
    <w:p w:rsidR="004F0A02" w:rsidRPr="0066103C" w:rsidRDefault="004F0A02" w:rsidP="004F0A02">
      <w:r w:rsidRPr="0066103C">
        <w:t xml:space="preserve">The dream involves myth, symbol, allegory, scriptural allusion, and revelation concerning things above and things future. It both reveals and conceals, by the interpretation (e.g., v 25b) as well as by the symbolic dream. The response it twice attributes to Daniel (vv 15, 28) is the response these </w:t>
      </w:r>
      <w:r w:rsidR="00945E04" w:rsidRPr="0066103C">
        <w:t xml:space="preserve">elements </w:t>
      </w:r>
      <w:r w:rsidRPr="0066103C">
        <w:t>seek to evoke in the reader.</w:t>
      </w:r>
    </w:p>
    <w:p w:rsidR="004F0A02" w:rsidRPr="0066103C" w:rsidRDefault="004F0A02" w:rsidP="004F0A02">
      <w:r w:rsidRPr="0066103C">
        <w:t>Dan 7 uses symbolism in varied ways.</w:t>
      </w:r>
      <w:r w:rsidR="00000F61">
        <w:rPr>
          <w:rStyle w:val="FootnoteReference"/>
        </w:rPr>
        <w:footnoteReference w:id="7"/>
      </w:r>
      <w:r w:rsidRPr="0066103C">
        <w:t xml:space="preserve"> Its symbols have been viewed as a code: </w:t>
      </w:r>
      <w:r w:rsidR="00E36CF6" w:rsidRPr="0066103C">
        <w:t xml:space="preserve">e.g., </w:t>
      </w:r>
      <w:r w:rsidRPr="0066103C">
        <w:t>lion = Babylon, leopard = Persia or Greece, small horn = Antiochus or some other hi</w:t>
      </w:r>
      <w:r w:rsidR="00E36CF6" w:rsidRPr="0066103C">
        <w:t xml:space="preserve">storical or future person. </w:t>
      </w:r>
      <w:r w:rsidRPr="0066103C">
        <w:t xml:space="preserve">Such identities can </w:t>
      </w:r>
      <w:r w:rsidR="00E36CF6" w:rsidRPr="0066103C">
        <w:t xml:space="preserve">then </w:t>
      </w:r>
      <w:r w:rsidRPr="0066103C">
        <w:t xml:space="preserve">be substituted for their ciphers without losing anything except a slight air of mystery, which might have enabled the author to escape the attention of the authorities. This </w:t>
      </w:r>
      <w:r w:rsidR="00E36CF6" w:rsidRPr="0066103C">
        <w:t>view is an oversimple one</w:t>
      </w:r>
      <w:r w:rsidRPr="0066103C">
        <w:t>.</w:t>
      </w:r>
      <w:r w:rsidR="00361262" w:rsidRPr="0066103C">
        <w:rPr>
          <w:rStyle w:val="FootnoteReference"/>
        </w:rPr>
        <w:footnoteReference w:id="8"/>
      </w:r>
      <w:r w:rsidRPr="0066103C">
        <w:t xml:space="preserve"> The symbols are not a random allegorical code speaking of realities that could just as adequately be referred to directly; they contribu</w:t>
      </w:r>
      <w:r w:rsidR="00E36CF6" w:rsidRPr="0066103C">
        <w:t>te to the text’s meaning. W</w:t>
      </w:r>
      <w:r w:rsidRPr="0066103C">
        <w:t xml:space="preserve">hen vv 17–27 add a God-given interpretation to the God-given revelation in vv 2–14, some of the symbolism </w:t>
      </w:r>
      <w:r w:rsidR="00E36CF6" w:rsidRPr="0066103C">
        <w:t xml:space="preserve">thus </w:t>
      </w:r>
      <w:r w:rsidRPr="0066103C">
        <w:t xml:space="preserve">remains (e.g., v </w:t>
      </w:r>
      <w:r w:rsidRPr="0066103C">
        <w:lastRenderedPageBreak/>
        <w:t xml:space="preserve">26), and even where symbols are in some way </w:t>
      </w:r>
      <w:r w:rsidR="00F71344" w:rsidRPr="0066103C">
        <w:t>interpreted by other terms, these</w:t>
      </w:r>
      <w:r w:rsidRPr="0066103C">
        <w:t xml:space="preserve"> “explanatory” term</w:t>
      </w:r>
      <w:r w:rsidR="00F71344" w:rsidRPr="0066103C">
        <w:t xml:space="preserve">s may still not be </w:t>
      </w:r>
      <w:r w:rsidR="00D30E0D">
        <w:t>straightforward</w:t>
      </w:r>
      <w:r w:rsidRPr="0066103C">
        <w:t xml:space="preserve"> (e.g., “holy ones”). Allusiveness remains.</w:t>
      </w:r>
    </w:p>
    <w:p w:rsidR="004F0A02" w:rsidRPr="0066103C" w:rsidRDefault="004F0A02" w:rsidP="004F0A02">
      <w:r w:rsidRPr="0066103C">
        <w:t xml:space="preserve">Part of the symbols’ significance is that they function like similes. The entities described have features of the </w:t>
      </w:r>
      <w:r w:rsidR="00F71344" w:rsidRPr="0066103C">
        <w:t>symbol: t</w:t>
      </w:r>
      <w:r w:rsidRPr="0066103C">
        <w:t>hu</w:t>
      </w:r>
      <w:r w:rsidR="00F71344" w:rsidRPr="0066103C">
        <w:t>s a horn suggests strength. T</w:t>
      </w:r>
      <w:r w:rsidRPr="0066103C">
        <w:t>he</w:t>
      </w:r>
      <w:r w:rsidR="00F71344" w:rsidRPr="0066103C">
        <w:t xml:space="preserve">re may be significance in the </w:t>
      </w:r>
      <w:r w:rsidRPr="0066103C">
        <w:t>interrelationships o</w:t>
      </w:r>
      <w:r w:rsidR="00F71344" w:rsidRPr="0066103C">
        <w:t>f the symbols</w:t>
      </w:r>
      <w:r w:rsidRPr="0066103C">
        <w:t xml:space="preserve">: for example, </w:t>
      </w:r>
      <w:r w:rsidR="00AB01EC" w:rsidRPr="0066103C">
        <w:t xml:space="preserve">in </w:t>
      </w:r>
      <w:r w:rsidRPr="0066103C">
        <w:t>the movement between the a</w:t>
      </w:r>
      <w:r w:rsidR="00F71344" w:rsidRPr="0066103C">
        <w:t>nimal and the human. Beyond those features</w:t>
      </w:r>
      <w:r w:rsidRPr="0066103C">
        <w:t>, individual symbols belong to systems and thus call to mind “numerous ideas, images, sentiments, values and stereotypes” which are (selectively) proj</w:t>
      </w:r>
      <w:r w:rsidR="00F71344" w:rsidRPr="0066103C">
        <w:t>ected on the entity symbolized.</w:t>
      </w:r>
      <w:r w:rsidR="00F71344" w:rsidRPr="0066103C">
        <w:rPr>
          <w:rStyle w:val="FootnoteReference"/>
        </w:rPr>
        <w:footnoteReference w:id="9"/>
      </w:r>
      <w:r w:rsidR="00A60FC2" w:rsidRPr="0066103C">
        <w:t xml:space="preserve"> T</w:t>
      </w:r>
      <w:r w:rsidRPr="0066103C">
        <w:t>he</w:t>
      </w:r>
      <w:r w:rsidR="00C86BD4" w:rsidRPr="0066103C">
        <w:t>y are symbols</w:t>
      </w:r>
      <w:r w:rsidR="0062008F" w:rsidRPr="0066103C">
        <w:t xml:space="preserve"> not merely signs,</w:t>
      </w:r>
      <w:r w:rsidR="00A60FC2" w:rsidRPr="0066103C">
        <w:rPr>
          <w:rStyle w:val="FootnoteReference"/>
        </w:rPr>
        <w:footnoteReference w:id="10"/>
      </w:r>
      <w:r w:rsidR="0062008F" w:rsidRPr="0066103C">
        <w:t xml:space="preserve"> or</w:t>
      </w:r>
      <w:r w:rsidR="00C86BD4" w:rsidRPr="0066103C">
        <w:t xml:space="preserve"> </w:t>
      </w:r>
      <w:r w:rsidR="00AB01EC" w:rsidRPr="0066103C">
        <w:t xml:space="preserve">they are </w:t>
      </w:r>
      <w:r w:rsidR="00C86BD4" w:rsidRPr="0066103C">
        <w:t>tensive symbols</w:t>
      </w:r>
      <w:r w:rsidRPr="0066103C">
        <w:t xml:space="preserve"> not steno-symb</w:t>
      </w:r>
      <w:r w:rsidR="0062008F" w:rsidRPr="0066103C">
        <w:t>ols</w:t>
      </w:r>
      <w:r w:rsidR="0062008F" w:rsidRPr="0066103C">
        <w:rPr>
          <w:rStyle w:val="FootnoteReference"/>
        </w:rPr>
        <w:footnoteReference w:id="11"/>
      </w:r>
      <w:r w:rsidR="00134A2E">
        <w:t xml:space="preserve"> or ciphers.</w:t>
      </w:r>
      <w:r w:rsidR="00AB01EC" w:rsidRPr="0066103C">
        <w:t xml:space="preserve"> Further, they are</w:t>
      </w:r>
      <w:r w:rsidRPr="0066103C">
        <w:t xml:space="preserve"> symbol</w:t>
      </w:r>
      <w:r w:rsidR="00AB01EC" w:rsidRPr="0066103C">
        <w:t>s</w:t>
      </w:r>
      <w:r w:rsidRPr="0066103C">
        <w:t xml:space="preserve"> and not merely metaphor</w:t>
      </w:r>
      <w:r w:rsidR="00AB01EC" w:rsidRPr="0066103C">
        <w:t>s. T</w:t>
      </w:r>
      <w:r w:rsidRPr="0066103C">
        <w:t>he figu</w:t>
      </w:r>
      <w:r w:rsidR="00AB01EC" w:rsidRPr="0066103C">
        <w:t>res come from public usage rather than being</w:t>
      </w:r>
      <w:r w:rsidRPr="0066103C">
        <w:t xml:space="preserve"> an </w:t>
      </w:r>
      <w:r w:rsidR="00AB01EC" w:rsidRPr="0066103C">
        <w:t xml:space="preserve">individual poet’s new minting, so that they </w:t>
      </w:r>
      <w:r w:rsidRPr="0066103C">
        <w:t>bring with them the resonances and the hallowing of tradition, the more so where they come from the comm</w:t>
      </w:r>
      <w:r w:rsidR="00AB01EC" w:rsidRPr="0066103C">
        <w:t>unity’s sacred scriptures. They gain a further level of affect when they are</w:t>
      </w:r>
      <w:r w:rsidRPr="0066103C">
        <w:t xml:space="preserve"> mythic symbols that make it possible to refer to transcendent realities.</w:t>
      </w:r>
    </w:p>
    <w:p w:rsidR="004F0A02" w:rsidRPr="0066103C" w:rsidRDefault="00C86BD4" w:rsidP="004F0A02">
      <w:r w:rsidRPr="0066103C">
        <w:t xml:space="preserve">A number of influences and traditions </w:t>
      </w:r>
      <w:r w:rsidR="004F0A02" w:rsidRPr="0066103C">
        <w:t>may underlie the dream.</w:t>
      </w:r>
      <w:r w:rsidR="004254AC" w:rsidRPr="0066103C">
        <w:rPr>
          <w:rStyle w:val="FootnoteReference"/>
        </w:rPr>
        <w:footnoteReference w:id="12"/>
      </w:r>
    </w:p>
    <w:p w:rsidR="004F0A02" w:rsidRPr="0066103C" w:rsidRDefault="004F0A02" w:rsidP="004F0A02">
      <w:r w:rsidRPr="0066103C">
        <w:rPr>
          <w:i/>
        </w:rPr>
        <w:t>(a) Earlier chapters of Daniel</w:t>
      </w:r>
      <w:r w:rsidRPr="0066103C">
        <w:t>. The mot</w:t>
      </w:r>
      <w:r w:rsidR="006B730A" w:rsidRPr="0066103C">
        <w:t xml:space="preserve">if of the symbolic dream </w:t>
      </w:r>
      <w:r w:rsidRPr="0066103C">
        <w:t>goes back to Dan 2 and 4; the four kings/regimes motif takes up that of chap. 2. The description of the first animal parallels that of</w:t>
      </w:r>
      <w:r w:rsidR="00AB01EC" w:rsidRPr="0066103C">
        <w:t xml:space="preserve"> Nebuchadnezzar in chap. 4; th</w:t>
      </w:r>
      <w:r w:rsidRPr="0066103C">
        <w:t xml:space="preserve">e </w:t>
      </w:r>
      <w:r w:rsidR="00AB01EC" w:rsidRPr="0066103C">
        <w:t xml:space="preserve">descriptions </w:t>
      </w:r>
      <w:r w:rsidRPr="0066103C">
        <w:t xml:space="preserve">of the third and fourth animal parallel those of the corresponding regimes in chap. 2. Since the lion represents Babylon, the lion’s being the most “human” of the creatures corresponds to the Babylonian king’s position as world ruler in chaps. 2, 4, and 5, while the power given to the humanlike figure in relation to </w:t>
      </w:r>
      <w:r w:rsidR="006B730A" w:rsidRPr="0066103C">
        <w:t xml:space="preserve">the </w:t>
      </w:r>
      <w:r w:rsidRPr="0066103C">
        <w:t xml:space="preserve">power </w:t>
      </w:r>
      <w:r w:rsidR="00AB01EC" w:rsidRPr="0066103C">
        <w:t>exercised by the animals is the power</w:t>
      </w:r>
      <w:r w:rsidRPr="0066103C">
        <w:t xml:space="preserve"> ascribed to the Babylonian king over the animals in 2:37–38; cf. 5:18–19.</w:t>
      </w:r>
      <w:r w:rsidR="006B730A" w:rsidRPr="0066103C">
        <w:rPr>
          <w:rStyle w:val="FootnoteReference"/>
        </w:rPr>
        <w:footnoteReference w:id="13"/>
      </w:r>
      <w:r w:rsidRPr="0066103C">
        <w:t xml:space="preserve"> For particular phrases, see 2:1 (v</w:t>
      </w:r>
      <w:r w:rsidR="006B730A" w:rsidRPr="0066103C">
        <w:t xml:space="preserve"> 1,</w:t>
      </w:r>
      <w:r w:rsidR="00690B4E">
        <w:t xml:space="preserve"> the date formula); 2:28; 4:5</w:t>
      </w:r>
      <w:r w:rsidRPr="0066103C">
        <w:t xml:space="preserve"> (v 1); 5:19 (v 14, people of all nations, races, and languages); 2:44; </w:t>
      </w:r>
      <w:r w:rsidR="00690B4E">
        <w:t>4:3, 34; 6:26</w:t>
      </w:r>
      <w:r w:rsidRPr="0066103C">
        <w:t xml:space="preserve"> (vv 14, 26–27, the lasting reign); 2:1; 4:</w:t>
      </w:r>
      <w:r w:rsidR="00840858">
        <w:t>5, 19</w:t>
      </w:r>
      <w:r w:rsidRPr="0066103C">
        <w:t>; 5:6, 9, 10 (vv 15–16, 28); 2:9, 21 (v 25, times set by decree); 4:</w:t>
      </w:r>
      <w:r w:rsidR="00690B4E">
        <w:t>16, 23, 25</w:t>
      </w:r>
      <w:r w:rsidRPr="0066103C">
        <w:t xml:space="preserve"> (v 25, 3 1/2 periods).</w:t>
      </w:r>
    </w:p>
    <w:p w:rsidR="004F0A02" w:rsidRPr="0066103C" w:rsidRDefault="004F0A02" w:rsidP="004F0A02">
      <w:r w:rsidRPr="0066103C">
        <w:rPr>
          <w:i/>
        </w:rPr>
        <w:t>(b) Other parts of the OT</w:t>
      </w:r>
      <w:r w:rsidRPr="0066103C">
        <w:t>. Animals feature throughout the OT in metaphor, simile, and allegory, to portray God, Israel, leaders or nob</w:t>
      </w:r>
      <w:r w:rsidR="006B730A" w:rsidRPr="0066103C">
        <w:t xml:space="preserve">les, and other nations. The </w:t>
      </w:r>
      <w:r w:rsidRPr="0066103C">
        <w:t xml:space="preserve">particular sequence </w:t>
      </w:r>
      <w:r w:rsidR="006B730A" w:rsidRPr="0066103C">
        <w:t xml:space="preserve">in this chapter </w:t>
      </w:r>
      <w:r w:rsidRPr="0066103C">
        <w:t>recalls Hos 13:7–8 and Jer 5:6. The former likens Yahweh to a lion, a leopard, a bear, a lion (though see BHS), and finally “the creature of the wild”—unidentified, as in Dan 7.</w:t>
      </w:r>
      <w:r w:rsidR="00901851">
        <w:rPr>
          <w:rStyle w:val="FootnoteReference"/>
        </w:rPr>
        <w:footnoteReference w:id="14"/>
      </w:r>
      <w:r w:rsidRPr="0066103C">
        <w:t xml:space="preserve"> Jer 5:6 warns Judah of ravaging by a lion, a wolf (זאב, </w:t>
      </w:r>
      <w:r w:rsidR="00D01C09" w:rsidRPr="0066103C">
        <w:t>Aramaic</w:t>
      </w:r>
      <w:r w:rsidRPr="0066103C">
        <w:t xml:space="preserve"> </w:t>
      </w:r>
      <w:r w:rsidR="006B730A" w:rsidRPr="0066103C">
        <w:t xml:space="preserve"> </w:t>
      </w:r>
      <w:r w:rsidRPr="0066103C">
        <w:t xml:space="preserve">דב; “bear” in Dan 7:5 is דב, suggesting </w:t>
      </w:r>
      <w:r w:rsidR="006B730A" w:rsidRPr="0066103C">
        <w:t xml:space="preserve">a paronomasia to </w:t>
      </w:r>
      <w:r w:rsidR="006B730A" w:rsidRPr="00690B4E">
        <w:rPr>
          <w:i/>
        </w:rPr>
        <w:t>Gen Rabbah</w:t>
      </w:r>
      <w:r w:rsidR="006B730A" w:rsidRPr="0066103C">
        <w:t xml:space="preserve"> 99: </w:t>
      </w:r>
      <w:r w:rsidRPr="0066103C">
        <w:t xml:space="preserve">see </w:t>
      </w:r>
      <w:r w:rsidRPr="0066103C">
        <w:rPr>
          <w:i/>
        </w:rPr>
        <w:t>DTT</w:t>
      </w:r>
      <w:r w:rsidRPr="0066103C">
        <w:t>), and a leopard. The characterization of Babylon as lion-eagle recalls Jer</w:t>
      </w:r>
      <w:r w:rsidR="006B730A" w:rsidRPr="0066103C">
        <w:t xml:space="preserve"> 49:19–22</w:t>
      </w:r>
      <w:r w:rsidR="00690B4E">
        <w:t>, though lion-eagle-human beings</w:t>
      </w:r>
      <w:r w:rsidRPr="0066103C">
        <w:t xml:space="preserve"> also parallels three of the creatures supporting God’s throne in Ezek 1:10. More systematic anim</w:t>
      </w:r>
      <w:r w:rsidR="00AB01EC" w:rsidRPr="0066103C">
        <w:t xml:space="preserve">al allegories appear </w:t>
      </w:r>
      <w:r w:rsidR="00690B4E">
        <w:t xml:space="preserve">in Ezek 17; 19; 29; 32. Lion and </w:t>
      </w:r>
      <w:r w:rsidRPr="0066103C">
        <w:t xml:space="preserve">horn are common metaphors for violent and aggressive strength, exercised by Yahweh, by Israel, or </w:t>
      </w:r>
      <w:r w:rsidR="006B730A" w:rsidRPr="0066103C">
        <w:t>by their enemies: Dan 7 picture</w:t>
      </w:r>
      <w:r w:rsidRPr="0066103C">
        <w:t>s the gentile predat</w:t>
      </w:r>
      <w:r w:rsidR="006B730A" w:rsidRPr="0066103C">
        <w:t>ors attacking God’s flock in</w:t>
      </w:r>
      <w:r w:rsidRPr="0066103C">
        <w:t xml:space="preserve"> light of psalms t</w:t>
      </w:r>
      <w:r w:rsidR="00AB01EC" w:rsidRPr="0066103C">
        <w:t xml:space="preserve">hat protest </w:t>
      </w:r>
      <w:r w:rsidR="006B730A" w:rsidRPr="0066103C">
        <w:t xml:space="preserve">such attacks, and </w:t>
      </w:r>
      <w:r w:rsidR="00AB01EC" w:rsidRPr="0066103C">
        <w:t xml:space="preserve">it </w:t>
      </w:r>
      <w:r w:rsidR="006B730A" w:rsidRPr="0066103C">
        <w:t>envisage</w:t>
      </w:r>
      <w:r w:rsidRPr="0066103C">
        <w:t xml:space="preserve">s </w:t>
      </w:r>
      <w:r w:rsidR="006B730A" w:rsidRPr="0066103C">
        <w:t xml:space="preserve">the imminent fulfillment of </w:t>
      </w:r>
      <w:r w:rsidRPr="0066103C">
        <w:t>the promis</w:t>
      </w:r>
      <w:r w:rsidR="006B730A" w:rsidRPr="0066103C">
        <w:t>e of deliverance from these creatures</w:t>
      </w:r>
      <w:r w:rsidRPr="0066103C">
        <w:t xml:space="preserve"> that features in psalms and p</w:t>
      </w:r>
      <w:r w:rsidR="006B730A" w:rsidRPr="0066103C">
        <w:t>rophets</w:t>
      </w:r>
      <w:r w:rsidRPr="0066103C">
        <w:t xml:space="preserve">. The portrayal of the nations as hybrids, which transgress nature’s laws and threaten nature’s </w:t>
      </w:r>
      <w:r w:rsidRPr="0066103C">
        <w:lastRenderedPageBreak/>
        <w:t>harmony, and as predators who are as such unclean, has part of its background in the Torah’s categorization of the animal world and its concern with preserving distinctions between species.</w:t>
      </w:r>
      <w:r w:rsidR="006B730A" w:rsidRPr="0066103C">
        <w:rPr>
          <w:rStyle w:val="FootnoteReference"/>
        </w:rPr>
        <w:footnoteReference w:id="15"/>
      </w:r>
      <w:r w:rsidRPr="0066103C">
        <w:t xml:space="preserve"> </w:t>
      </w:r>
    </w:p>
    <w:p w:rsidR="004F0A02" w:rsidRPr="0066103C" w:rsidRDefault="004F0A02" w:rsidP="004F0A02">
      <w:r w:rsidRPr="0066103C">
        <w:t>The broadest OT paralle</w:t>
      </w:r>
      <w:r w:rsidR="006B730A" w:rsidRPr="0066103C">
        <w:t>ls to Dan 7 lie in Ps 2 with it</w:t>
      </w:r>
      <w:r w:rsidRPr="0066103C">
        <w:t xml:space="preserve">s account of nations and kings striving in rebellion against Yahweh and his anointed, </w:t>
      </w:r>
      <w:r w:rsidR="006B730A" w:rsidRPr="0066103C">
        <w:t xml:space="preserve">and </w:t>
      </w:r>
      <w:r w:rsidRPr="0066103C">
        <w:t>then of Yahweh calmly rebuking them and affirming the king’s destiny to crush them and/or rule over them (cf. Ps 110). Behind such psalms with their theology of kingship is an understanding of the king as one who represents the people as a whole, embodies their destiny, yet al</w:t>
      </w:r>
      <w:r w:rsidR="00C24B49" w:rsidRPr="0066103C">
        <w:t>so mediates God’s rule to them.</w:t>
      </w:r>
      <w:r w:rsidR="00C24B49" w:rsidRPr="0066103C">
        <w:rPr>
          <w:rStyle w:val="FootnoteReference"/>
        </w:rPr>
        <w:footnoteReference w:id="16"/>
      </w:r>
      <w:r w:rsidR="00C24B49" w:rsidRPr="0066103C">
        <w:t xml:space="preserve"> </w:t>
      </w:r>
      <w:r w:rsidRPr="0066103C">
        <w:t>Dan 7 has more general parallels with other psalms that describe the nations attacking Israel, their kings fla</w:t>
      </w:r>
      <w:r w:rsidR="00117190">
        <w:t>unting their power, their apparent</w:t>
      </w:r>
      <w:r w:rsidRPr="0066103C">
        <w:t xml:space="preserve"> certain</w:t>
      </w:r>
      <w:r w:rsidR="00117190">
        <w:t>ty</w:t>
      </w:r>
      <w:r w:rsidRPr="0066103C">
        <w:t xml:space="preserve"> of victory but then </w:t>
      </w:r>
      <w:r w:rsidR="00117190">
        <w:t>their defeat</w:t>
      </w:r>
      <w:r w:rsidRPr="0066103C">
        <w:t xml:space="preserve"> as God appears</w:t>
      </w:r>
      <w:r w:rsidR="00117190">
        <w:t>,</w:t>
      </w:r>
      <w:r w:rsidRPr="0066103C">
        <w:t xml:space="preserve"> to overthrow them (e.g., Ps 48); also with psalms calling for judgment on oppressors </w:t>
      </w:r>
      <w:r w:rsidR="0013315B" w:rsidRPr="0066103C">
        <w:t xml:space="preserve">that are </w:t>
      </w:r>
      <w:r w:rsidRPr="0066103C">
        <w:t>depicted as lions and horned animals (e.g., Ps 22; 75; 74</w:t>
      </w:r>
      <w:r w:rsidR="0013315B" w:rsidRPr="0066103C">
        <w:t>, which has in common with Daniel</w:t>
      </w:r>
      <w:r w:rsidRPr="0066103C">
        <w:t xml:space="preserve"> reference to a</w:t>
      </w:r>
      <w:r w:rsidR="00C24B49" w:rsidRPr="0066103C">
        <w:t xml:space="preserve"> </w:t>
      </w:r>
      <w:r w:rsidRPr="0066103C">
        <w:t xml:space="preserve"> חיה “animal,” </w:t>
      </w:r>
      <w:r w:rsidR="00117190">
        <w:t xml:space="preserve">to </w:t>
      </w:r>
      <w:r w:rsidRPr="0066103C">
        <w:t xml:space="preserve">the devastation of the sanctuary, </w:t>
      </w:r>
      <w:r w:rsidR="00117190">
        <w:t xml:space="preserve">to </w:t>
      </w:r>
      <w:r w:rsidRPr="0066103C">
        <w:t>blasphemy, and other motifs). Some of these psalms reassert affirmations of God’s victory</w:t>
      </w:r>
      <w:r w:rsidR="0013315B" w:rsidRPr="0066103C">
        <w:t xml:space="preserve"> over </w:t>
      </w:r>
      <w:r w:rsidR="00FE0581" w:rsidRPr="0066103C">
        <w:t xml:space="preserve">the </w:t>
      </w:r>
      <w:r w:rsidRPr="0066103C">
        <w:t>powers</w:t>
      </w:r>
      <w:r w:rsidR="00FE0581" w:rsidRPr="0066103C">
        <w:t xml:space="preserve"> of disorder</w:t>
      </w:r>
      <w:r w:rsidRPr="0066103C">
        <w:t xml:space="preserve"> represented by the sea or the sea monster, which God destroys (e.g., Ps 9; 29; 46; 93), or recall such affirmations in contexts like that of Dan 7 when the oppression of enemies made them questionable (e.g., Pss 74; 89).</w:t>
      </w:r>
      <w:r w:rsidR="006F6415">
        <w:rPr>
          <w:rStyle w:val="FootnoteReference"/>
        </w:rPr>
        <w:footnoteReference w:id="17"/>
      </w:r>
      <w:r w:rsidR="00117190">
        <w:t xml:space="preserve"> If the</w:t>
      </w:r>
      <w:r w:rsidRPr="0066103C">
        <w:t xml:space="preserve"> psalms reflect a festal celebration of Yahweh’s kingship and of the king’s triumph, then this festival lies further behin</w:t>
      </w:r>
      <w:r w:rsidR="00C24B49" w:rsidRPr="0066103C">
        <w:t>d Daniel’s vision. Nearer to its</w:t>
      </w:r>
      <w:r w:rsidRPr="0066103C">
        <w:t xml:space="preserve"> day and </w:t>
      </w:r>
      <w:r w:rsidR="00C24B49" w:rsidRPr="0066103C">
        <w:t>to its</w:t>
      </w:r>
      <w:r w:rsidRPr="0066103C">
        <w:t xml:space="preserve"> purpose, however, is the reappropriating of suc</w:t>
      </w:r>
      <w:r w:rsidR="00C24B49" w:rsidRPr="0066103C">
        <w:t xml:space="preserve">h motifs in Israelite prophecy. This reappropriation </w:t>
      </w:r>
      <w:r w:rsidRPr="0066103C">
        <w:t xml:space="preserve">sometimes </w:t>
      </w:r>
      <w:r w:rsidR="00C24B49" w:rsidRPr="0066103C">
        <w:t>explicitly addresses</w:t>
      </w:r>
      <w:r w:rsidRPr="0066103C">
        <w:t xml:space="preserve"> particular contexts where the chaotic sea (/monster) is </w:t>
      </w:r>
      <w:r w:rsidR="00C24B49" w:rsidRPr="0066103C">
        <w:t xml:space="preserve">embodied in historical realities; it </w:t>
      </w:r>
      <w:r w:rsidRPr="0066103C">
        <w:t>sometimes</w:t>
      </w:r>
      <w:r w:rsidR="00C24B49" w:rsidRPr="0066103C">
        <w:t xml:space="preserve"> more explicitly relates it to</w:t>
      </w:r>
      <w:r w:rsidRPr="0066103C">
        <w:t xml:space="preserve"> </w:t>
      </w:r>
      <w:r w:rsidR="00C24B49" w:rsidRPr="0066103C">
        <w:t xml:space="preserve">the day of Yahweh </w:t>
      </w:r>
      <w:r w:rsidRPr="0066103C">
        <w:t>(e.g., Isa 17:12–14; 27:1; 29; 51:9–10; Ezek 29:3; 38–39; J</w:t>
      </w:r>
      <w:r w:rsidR="00C24B49" w:rsidRPr="0066103C">
        <w:t>oel 3 [4</w:t>
      </w:r>
      <w:r w:rsidRPr="0066103C">
        <w:t xml:space="preserve">]; Zech 12–14; cf. also Job 26:12–13; </w:t>
      </w:r>
      <w:r w:rsidR="00C24B49" w:rsidRPr="0066103C">
        <w:t>41:1-34 [40:25–41:26</w:t>
      </w:r>
      <w:r w:rsidRPr="0066103C">
        <w:t>]; the rare verb</w:t>
      </w:r>
      <w:r w:rsidR="00C24B49" w:rsidRPr="0066103C">
        <w:t xml:space="preserve"> </w:t>
      </w:r>
      <w:r w:rsidRPr="0066103C">
        <w:t xml:space="preserve"> גוח/גיח</w:t>
      </w:r>
      <w:r w:rsidR="00C24B49" w:rsidRPr="0066103C">
        <w:t xml:space="preserve"> meaning </w:t>
      </w:r>
      <w:r w:rsidRPr="0066103C">
        <w:t xml:space="preserve">“stir up,” </w:t>
      </w:r>
      <w:r w:rsidR="00C24B49" w:rsidRPr="0066103C">
        <w:t>which appears in v 2,</w:t>
      </w:r>
      <w:r w:rsidRPr="0066103C">
        <w:t xml:space="preserve"> appears in related contexts in Ezek 32:2; Job 38:8; 40:23). Like some of these prophets, Dan 7 functions as an an</w:t>
      </w:r>
      <w:r w:rsidR="0013315B" w:rsidRPr="0066103C">
        <w:t>swer to the appeal in such</w:t>
      </w:r>
      <w:r w:rsidRPr="0066103C">
        <w:t xml:space="preserve"> psalms f</w:t>
      </w:r>
      <w:r w:rsidR="00C24B49" w:rsidRPr="0066103C">
        <w:t>or deliverance and vindication</w:t>
      </w:r>
      <w:r w:rsidRPr="0066103C">
        <w:t>.</w:t>
      </w:r>
      <w:r w:rsidR="00C24B49" w:rsidRPr="0066103C">
        <w:rPr>
          <w:rStyle w:val="FootnoteReference"/>
        </w:rPr>
        <w:footnoteReference w:id="18"/>
      </w:r>
      <w:r w:rsidRPr="0066103C">
        <w:t xml:space="preserve"> The mythic pattern of God’s victory in conflict with the powers of disorder, which had been used to interpret Israel’s experience at the exodus and in the exile, is appropriated once again in the context of an equivalent</w:t>
      </w:r>
      <w:r w:rsidR="006610BD" w:rsidRPr="0066103C">
        <w:t xml:space="preserve"> experience of order collapsing.</w:t>
      </w:r>
      <w:r w:rsidR="006610BD" w:rsidRPr="0066103C">
        <w:rPr>
          <w:rStyle w:val="FootnoteReference"/>
        </w:rPr>
        <w:footnoteReference w:id="19"/>
      </w:r>
    </w:p>
    <w:p w:rsidR="004F0A02" w:rsidRPr="0066103C" w:rsidRDefault="004F0A02" w:rsidP="004F0A02">
      <w:r w:rsidRPr="0066103C">
        <w:t>The vis</w:t>
      </w:r>
      <w:r w:rsidR="006610BD" w:rsidRPr="0066103C">
        <w:t xml:space="preserve">ion of God enthroned </w:t>
      </w:r>
      <w:r w:rsidRPr="0066103C">
        <w:t xml:space="preserve">parallels </w:t>
      </w:r>
      <w:r w:rsidR="006610BD" w:rsidRPr="0066103C">
        <w:t xml:space="preserve">especially </w:t>
      </w:r>
      <w:r w:rsidRPr="0066103C">
        <w:t>Ezek 1:</w:t>
      </w:r>
      <w:r w:rsidR="001C15A2" w:rsidRPr="0066103C">
        <w:rPr>
          <w:rStyle w:val="FootnoteReference"/>
        </w:rPr>
        <w:footnoteReference w:id="20"/>
      </w:r>
      <w:r w:rsidRPr="0066103C">
        <w:t xml:space="preserve"> the stormy wind, the cloud, the four animal-like creatures with four faces and four wings emerging from them alongside the wheels with rims full of eyes, a mighty sound (see also Deut 33:2; 1 Kgs 22:19; Isa 6; Jer 49:38; Ps 50; and for the background to the books that are opened, see </w:t>
      </w:r>
      <w:r w:rsidRPr="0066103C">
        <w:rPr>
          <w:i/>
        </w:rPr>
        <w:t>Comment</w:t>
      </w:r>
      <w:r w:rsidRPr="0066103C">
        <w:t>).</w:t>
      </w:r>
    </w:p>
    <w:p w:rsidR="004F0A02" w:rsidRPr="0066103C" w:rsidRDefault="004F0A02" w:rsidP="004F0A02">
      <w:r w:rsidRPr="0066103C">
        <w:t>The phrase used to denote the humanlike figure in v 13,</w:t>
      </w:r>
      <w:r w:rsidR="006610BD" w:rsidRPr="0066103C">
        <w:t xml:space="preserve"> </w:t>
      </w:r>
      <w:r w:rsidRPr="0066103C">
        <w:t xml:space="preserve"> אנש </w:t>
      </w:r>
      <w:r w:rsidR="006610BD" w:rsidRPr="0066103C">
        <w:rPr>
          <w:rFonts w:ascii="Arial" w:hAnsi="Arial" w:cs="Arial"/>
        </w:rPr>
        <w:t>בר</w:t>
      </w:r>
      <w:r w:rsidR="006610BD" w:rsidRPr="0066103C">
        <w:t xml:space="preserve"> </w:t>
      </w:r>
      <w:r w:rsidRPr="0066103C">
        <w:t xml:space="preserve">(BH </w:t>
      </w:r>
      <w:r w:rsidR="006610BD" w:rsidRPr="0066103C">
        <w:rPr>
          <w:rFonts w:ascii="Arial" w:hAnsi="Arial" w:cs="Arial"/>
        </w:rPr>
        <w:t>אדם</w:t>
      </w:r>
      <w:r w:rsidR="006610BD" w:rsidRPr="0066103C">
        <w:t xml:space="preserve">  </w:t>
      </w:r>
      <w:r w:rsidR="006610BD" w:rsidRPr="0066103C">
        <w:rPr>
          <w:rFonts w:ascii="Arial" w:hAnsi="Arial" w:cs="Arial"/>
        </w:rPr>
        <w:t>בן</w:t>
      </w:r>
      <w:r w:rsidR="006610BD" w:rsidRPr="0066103C">
        <w:t xml:space="preserve"> </w:t>
      </w:r>
      <w:r w:rsidRPr="0066103C">
        <w:t>‍) is familiar from various OT contexts. Most commonly, i</w:t>
      </w:r>
      <w:r w:rsidR="006610BD" w:rsidRPr="0066103C">
        <w:t xml:space="preserve">t simply denotes a human being, </w:t>
      </w:r>
      <w:r w:rsidR="0013315B" w:rsidRPr="0066103C">
        <w:t>especially when it is</w:t>
      </w:r>
      <w:r w:rsidRPr="0066103C">
        <w:t xml:space="preserve"> the term by which God addresses Ezekiel. In Ps 8 it suggests humanity as both we</w:t>
      </w:r>
      <w:r w:rsidR="006610BD" w:rsidRPr="0066103C">
        <w:t xml:space="preserve">ak and unimpressive, a common connotation, </w:t>
      </w:r>
      <w:r w:rsidRPr="0066103C">
        <w:t xml:space="preserve">yet </w:t>
      </w:r>
      <w:r w:rsidR="006610BD" w:rsidRPr="0066103C">
        <w:t xml:space="preserve">as </w:t>
      </w:r>
      <w:r w:rsidR="00D052F4" w:rsidRPr="0066103C">
        <w:t>endowed with splendor</w:t>
      </w:r>
      <w:r w:rsidRPr="0066103C">
        <w:t>, honor, and authority in relation to the animal creation (cf. Gen 1:27–28</w:t>
      </w:r>
      <w:r w:rsidR="00D052F4" w:rsidRPr="0066103C">
        <w:t>,</w:t>
      </w:r>
      <w:r w:rsidRPr="0066103C">
        <w:t xml:space="preserve"> and Gen 1–3 as a whole, though the term</w:t>
      </w:r>
      <w:r w:rsidR="00D052F4" w:rsidRPr="0066103C">
        <w:rPr>
          <w:rFonts w:ascii="Arial" w:hAnsi="Arial" w:cs="Arial"/>
        </w:rPr>
        <w:t xml:space="preserve"> אדם</w:t>
      </w:r>
      <w:r w:rsidR="00D052F4" w:rsidRPr="0066103C">
        <w:t xml:space="preserve">  </w:t>
      </w:r>
      <w:r w:rsidR="00D052F4" w:rsidRPr="0066103C">
        <w:rPr>
          <w:rFonts w:ascii="Arial" w:hAnsi="Arial" w:cs="Arial"/>
        </w:rPr>
        <w:t>בן</w:t>
      </w:r>
      <w:r w:rsidR="00D052F4" w:rsidRPr="0066103C">
        <w:t xml:space="preserve"> ‍</w:t>
      </w:r>
      <w:r w:rsidRPr="0066103C">
        <w:t>itself does</w:t>
      </w:r>
      <w:r w:rsidR="00D052F4" w:rsidRPr="0066103C">
        <w:t xml:space="preserve"> not appear). In Ps 80 it come</w:t>
      </w:r>
      <w:r w:rsidRPr="0066103C">
        <w:t>s in the context of a description of Yahweh’s people</w:t>
      </w:r>
      <w:r w:rsidR="00D669D1" w:rsidRPr="0066103C">
        <w:t xml:space="preserve"> as a vine ravaged by wild animal</w:t>
      </w:r>
      <w:r w:rsidRPr="0066103C">
        <w:t xml:space="preserve">s; it refers to Israel in general or to the king in particular (cf. Ps 146:3), who may be seen as the embodiment of humanity (as </w:t>
      </w:r>
      <w:r w:rsidRPr="0066103C">
        <w:lastRenderedPageBreak/>
        <w:t>also in Mic 5?).</w:t>
      </w:r>
      <w:r w:rsidR="00D052F4" w:rsidRPr="0066103C">
        <w:rPr>
          <w:rStyle w:val="FootnoteReference"/>
        </w:rPr>
        <w:footnoteReference w:id="21"/>
      </w:r>
      <w:r w:rsidRPr="0066103C">
        <w:t xml:space="preserve"> God himself is described as humanlike (</w:t>
      </w:r>
      <w:r w:rsidR="00D052F4" w:rsidRPr="0066103C">
        <w:rPr>
          <w:rFonts w:ascii="Arial" w:hAnsi="Arial" w:cs="Arial"/>
        </w:rPr>
        <w:t>אדם</w:t>
      </w:r>
      <w:r w:rsidR="00D052F4" w:rsidRPr="0066103C">
        <w:t xml:space="preserve"> </w:t>
      </w:r>
      <w:r w:rsidRPr="0066103C">
        <w:t xml:space="preserve"> כמראה</w:t>
      </w:r>
      <w:r w:rsidR="006610BD" w:rsidRPr="0066103C">
        <w:t xml:space="preserve"> </w:t>
      </w:r>
      <w:r w:rsidRPr="0066103C">
        <w:t xml:space="preserve"> </w:t>
      </w:r>
      <w:r w:rsidR="00D052F4" w:rsidRPr="0066103C">
        <w:rPr>
          <w:rFonts w:ascii="Arial" w:hAnsi="Arial" w:cs="Arial"/>
        </w:rPr>
        <w:t>דמות</w:t>
      </w:r>
      <w:r w:rsidRPr="0066103C">
        <w:t>) in Ezek 1:26; the manlike person in Ezek 8:2 (</w:t>
      </w:r>
      <w:r w:rsidR="00D052F4" w:rsidRPr="0066103C">
        <w:rPr>
          <w:rFonts w:ascii="Arial" w:hAnsi="Arial" w:cs="Arial"/>
        </w:rPr>
        <w:t>איש</w:t>
      </w:r>
      <w:r w:rsidR="00D052F4" w:rsidRPr="0066103C">
        <w:t xml:space="preserve"> </w:t>
      </w:r>
      <w:r w:rsidRPr="0066103C">
        <w:t>כמראה</w:t>
      </w:r>
      <w:r w:rsidR="00D052F4" w:rsidRPr="0066103C">
        <w:t xml:space="preserve"> </w:t>
      </w:r>
      <w:r w:rsidRPr="0066103C">
        <w:t xml:space="preserve"> </w:t>
      </w:r>
      <w:r w:rsidR="00D052F4" w:rsidRPr="0066103C">
        <w:rPr>
          <w:rFonts w:ascii="Arial" w:hAnsi="Arial" w:cs="Arial"/>
        </w:rPr>
        <w:t>דמות</w:t>
      </w:r>
      <w:r w:rsidR="00592CE2" w:rsidRPr="0066103C">
        <w:t>,</w:t>
      </w:r>
      <w:r w:rsidR="00592CE2" w:rsidRPr="0066103C">
        <w:rPr>
          <w:rStyle w:val="FootnoteReference"/>
        </w:rPr>
        <w:footnoteReference w:id="22"/>
      </w:r>
      <w:r w:rsidR="00592CE2" w:rsidRPr="0066103C">
        <w:t xml:space="preserve"> </w:t>
      </w:r>
      <w:r w:rsidRPr="0066103C">
        <w:t>however, may be a separate heavenly figure.</w:t>
      </w:r>
      <w:r w:rsidR="002D7B47" w:rsidRPr="0066103C">
        <w:rPr>
          <w:rStyle w:val="FootnoteReference"/>
        </w:rPr>
        <w:footnoteReference w:id="23"/>
      </w:r>
      <w:r w:rsidRPr="0066103C">
        <w:t xml:space="preserve"> The clouds that accompany the humanlike figure’s epiphany recall OT descriptions of God’s own coming (see BDB</w:t>
      </w:r>
      <w:r w:rsidR="002D7B47" w:rsidRPr="0066103C">
        <w:t xml:space="preserve"> on</w:t>
      </w:r>
      <w:r w:rsidRPr="0066103C">
        <w:t xml:space="preserve"> ענן). The nations’ acknowledgment of the humanlike figure and the holy ones corresponds to their acknowledgment of Israel in Isa 49:23; 60.</w:t>
      </w:r>
    </w:p>
    <w:p w:rsidR="004F0A02" w:rsidRPr="0066103C" w:rsidRDefault="001D3AC0" w:rsidP="004F0A02">
      <w:r w:rsidRPr="0066103C">
        <w:rPr>
          <w:i/>
        </w:rPr>
        <w:t>(c) Other Jewish writings</w:t>
      </w:r>
      <w:r w:rsidRPr="0066103C">
        <w:t xml:space="preserve">. </w:t>
      </w:r>
      <w:r w:rsidR="004F0A02" w:rsidRPr="0066103C">
        <w:t xml:space="preserve">The animal allegory in </w:t>
      </w:r>
      <w:r w:rsidRPr="0066103C">
        <w:rPr>
          <w:i/>
        </w:rPr>
        <w:t>1 Enoch</w:t>
      </w:r>
      <w:r w:rsidRPr="0066103C">
        <w:t xml:space="preserve"> </w:t>
      </w:r>
      <w:r w:rsidR="004F0A02" w:rsidRPr="0066103C">
        <w:t xml:space="preserve">85–90 also features predators symbolizing rulers or kingdoms, an animal transformed into a man, animals with horns of extraordinary size, a throne set up for God to sit in judgment as books are opened before him, and animals being destroyed by fire. In chap. 14, Enoch is carried by winds and clouds into </w:t>
      </w:r>
      <w:r w:rsidR="0013315B" w:rsidRPr="0066103C">
        <w:t xml:space="preserve">the </w:t>
      </w:r>
      <w:r w:rsidR="004F0A02" w:rsidRPr="0066103C">
        <w:t>heaven</w:t>
      </w:r>
      <w:r w:rsidR="0013315B" w:rsidRPr="0066103C">
        <w:t>s</w:t>
      </w:r>
      <w:r w:rsidR="004F0A02" w:rsidRPr="0066103C">
        <w:t>, where he sees a throne from which flaming fire issues and on which God sits in a gown whiter than snow, surrounded by myriad upon myriad of attendant</w:t>
      </w:r>
      <w:r w:rsidR="0013315B" w:rsidRPr="0066103C">
        <w:t>s. C</w:t>
      </w:r>
      <w:r w:rsidR="004F0A02" w:rsidRPr="0066103C">
        <w:t xml:space="preserve">haps. 46–48 and 71 </w:t>
      </w:r>
      <w:r w:rsidR="0013315B" w:rsidRPr="0066103C">
        <w:t xml:space="preserve">also have parallels </w:t>
      </w:r>
      <w:r w:rsidR="004F0A02" w:rsidRPr="0066103C">
        <w:t xml:space="preserve">with the throne scene and the humanlike figure in Dan 7. There is disagreement over whether different parallels suggest Dan 7 is dependent on </w:t>
      </w:r>
      <w:r w:rsidR="004F0A02" w:rsidRPr="0066103C">
        <w:rPr>
          <w:i/>
        </w:rPr>
        <w:t>1</w:t>
      </w:r>
      <w:r w:rsidR="004F0A02" w:rsidRPr="0066103C">
        <w:t xml:space="preserve"> </w:t>
      </w:r>
      <w:r w:rsidR="004F0A02" w:rsidRPr="0066103C">
        <w:rPr>
          <w:i/>
        </w:rPr>
        <w:t>Enoch</w:t>
      </w:r>
      <w:r w:rsidR="002D7B47" w:rsidRPr="0066103C">
        <w:rPr>
          <w:rStyle w:val="FootnoteReference"/>
        </w:rPr>
        <w:footnoteReference w:id="24"/>
      </w:r>
      <w:r w:rsidR="004F0A02" w:rsidRPr="0066103C">
        <w:t xml:space="preserve"> or vice versa,</w:t>
      </w:r>
      <w:r w:rsidR="003C6E50" w:rsidRPr="0066103C">
        <w:rPr>
          <w:rStyle w:val="FootnoteReference"/>
        </w:rPr>
        <w:footnoteReference w:id="25"/>
      </w:r>
      <w:r w:rsidR="004F0A02" w:rsidRPr="0066103C">
        <w:t xml:space="preserve"> or whether both</w:t>
      </w:r>
      <w:r w:rsidR="003C6E50" w:rsidRPr="0066103C">
        <w:t xml:space="preserve"> are dependent on other sources.</w:t>
      </w:r>
      <w:r w:rsidR="003C6E50" w:rsidRPr="0066103C">
        <w:rPr>
          <w:rStyle w:val="FootnoteReference"/>
        </w:rPr>
        <w:footnoteReference w:id="26"/>
      </w:r>
    </w:p>
    <w:p w:rsidR="00A20568" w:rsidRPr="0066103C" w:rsidRDefault="001D3AC0" w:rsidP="004F0A02">
      <w:r w:rsidRPr="0066103C">
        <w:rPr>
          <w:i/>
        </w:rPr>
        <w:t>(d) Other Middle</w:t>
      </w:r>
      <w:r w:rsidR="004F0A02" w:rsidRPr="0066103C">
        <w:rPr>
          <w:i/>
        </w:rPr>
        <w:t xml:space="preserve"> Eastern </w:t>
      </w:r>
      <w:r w:rsidRPr="0066103C">
        <w:rPr>
          <w:i/>
        </w:rPr>
        <w:t>religions</w:t>
      </w:r>
      <w:r w:rsidRPr="0066103C">
        <w:t>. The existence of a</w:t>
      </w:r>
      <w:r w:rsidR="004F0A02" w:rsidRPr="0066103C">
        <w:t xml:space="preserve"> wide and detailed Jewish background to Dan 7, near home for author and audience, makes appeal to</w:t>
      </w:r>
      <w:r w:rsidR="0013315B" w:rsidRPr="0066103C">
        <w:t xml:space="preserve"> foreign influence questionable</w:t>
      </w:r>
      <w:r w:rsidR="004F0A02" w:rsidRPr="0066103C">
        <w:t xml:space="preserve"> where the material has Jewish parallels. Nevertheless, over the past century, scholars have studied parallels between Dan 7 and material from Egypt, </w:t>
      </w:r>
      <w:r w:rsidR="00A20568" w:rsidRPr="0066103C">
        <w:t xml:space="preserve">Phoenicia, </w:t>
      </w:r>
      <w:r w:rsidR="004F0A02" w:rsidRPr="0066103C">
        <w:t>Iran, Babylon, and Canaan.</w:t>
      </w:r>
      <w:r w:rsidR="00A20568" w:rsidRPr="0066103C">
        <w:rPr>
          <w:vertAlign w:val="superscript"/>
        </w:rPr>
        <w:footnoteReference w:id="27"/>
      </w:r>
      <w:r w:rsidR="004F0A02" w:rsidRPr="0066103C">
        <w:t xml:space="preserve"> </w:t>
      </w:r>
    </w:p>
    <w:p w:rsidR="004F0A02" w:rsidRPr="0066103C" w:rsidRDefault="004F0A02" w:rsidP="004F0A02">
      <w:r w:rsidRPr="0066103C">
        <w:t xml:space="preserve">Egyptian influence has been seen in the parallels between the relationship of Atum and Re with that of the one advanced in years and the humanlike figure in Dan 7, and in the portrait of </w:t>
      </w:r>
      <w:r w:rsidR="001D3AC0" w:rsidRPr="0066103C">
        <w:t>Antiochus as foe of godly order,</w:t>
      </w:r>
      <w:r w:rsidR="001D3AC0" w:rsidRPr="0066103C">
        <w:rPr>
          <w:rStyle w:val="FootnoteReference"/>
        </w:rPr>
        <w:footnoteReference w:id="28"/>
      </w:r>
      <w:r w:rsidRPr="0066103C">
        <w:t xml:space="preserve"> but the evidence is hardly compelling. Nor is Morgenstern’s hypothesis of the influence of an equivalent Tyrian myth</w:t>
      </w:r>
      <w:r w:rsidR="00F035C7" w:rsidRPr="0066103C">
        <w:t xml:space="preserve">, </w:t>
      </w:r>
      <w:r w:rsidRPr="0066103C">
        <w:t>which even he later abandoned</w:t>
      </w:r>
      <w:r w:rsidR="00F035C7" w:rsidRPr="0066103C">
        <w:t>.</w:t>
      </w:r>
      <w:r w:rsidR="00F035C7" w:rsidRPr="0066103C">
        <w:rPr>
          <w:rStyle w:val="FootnoteReference"/>
        </w:rPr>
        <w:footnoteReference w:id="29"/>
      </w:r>
      <w:r w:rsidR="00F035C7" w:rsidRPr="0066103C">
        <w:t xml:space="preserve"> </w:t>
      </w:r>
      <w:r w:rsidRPr="0066103C">
        <w:t>Nor is the more common belief that there is a connection between Daniel’s humanlike figure and Iranian figures who are the embodiment of humanity, who form one root of Near Eastern kingship ideology and thus relate to OT ideas of humanity noted above.</w:t>
      </w:r>
      <w:r w:rsidR="00F035C7" w:rsidRPr="0066103C">
        <w:rPr>
          <w:rStyle w:val="FootnoteReference"/>
        </w:rPr>
        <w:footnoteReference w:id="30"/>
      </w:r>
      <w:r w:rsidRPr="0066103C">
        <w:t xml:space="preserve"> Daniel’s allusive reference to a humanlike figure hardly justifies or requires s</w:t>
      </w:r>
      <w:r w:rsidR="00F035C7" w:rsidRPr="0066103C">
        <w:t>uch connections</w:t>
      </w:r>
      <w:r w:rsidRPr="0066103C">
        <w:t xml:space="preserve">, and neither do parallels such as the stream of fire; it is in any case a problem </w:t>
      </w:r>
      <w:r w:rsidRPr="0066103C">
        <w:lastRenderedPageBreak/>
        <w:t>t</w:t>
      </w:r>
      <w:r w:rsidR="00F035C7" w:rsidRPr="0066103C">
        <w:t xml:space="preserve">hat the Persian material </w:t>
      </w:r>
      <w:r w:rsidRPr="0066103C">
        <w:t xml:space="preserve">is difficult to date, and parallels are rarely specific to Persia. The fourfold historical scheme (see chap. 2 </w:t>
      </w:r>
      <w:r w:rsidRPr="0066103C">
        <w:rPr>
          <w:i/>
        </w:rPr>
        <w:t>Form</w:t>
      </w:r>
      <w:r w:rsidRPr="0066103C">
        <w:t xml:space="preserve">) is the most plausible instance </w:t>
      </w:r>
      <w:r w:rsidR="00F035C7" w:rsidRPr="0066103C">
        <w:t>of Iranian influence on Dan 7.</w:t>
      </w:r>
      <w:r w:rsidR="00F035C7" w:rsidRPr="0066103C">
        <w:rPr>
          <w:rStyle w:val="FootnoteReference"/>
        </w:rPr>
        <w:footnoteReference w:id="31"/>
      </w:r>
    </w:p>
    <w:p w:rsidR="004F0A02" w:rsidRPr="0066103C" w:rsidRDefault="004F0A02" w:rsidP="004F0A02">
      <w:r w:rsidRPr="0066103C">
        <w:t>Parallels between the Babylonian Adapa myth and the humanlike figure</w:t>
      </w:r>
      <w:r w:rsidR="00F035C7" w:rsidRPr="0066103C">
        <w:rPr>
          <w:rStyle w:val="FootnoteReference"/>
        </w:rPr>
        <w:footnoteReference w:id="32"/>
      </w:r>
      <w:r w:rsidR="00945C8C">
        <w:t xml:space="preserve"> </w:t>
      </w:r>
      <w:r w:rsidR="00F035C7" w:rsidRPr="0066103C">
        <w:t>are again not</w:t>
      </w:r>
      <w:r w:rsidR="00A20568" w:rsidRPr="0066103C">
        <w:t xml:space="preserve"> compelling; nor</w:t>
      </w:r>
      <w:r w:rsidRPr="0066103C">
        <w:t xml:space="preserve"> are the incidental parallels between Dan 7 and an Akkadian dream-vision about hybrid beings</w:t>
      </w:r>
      <w:r w:rsidR="00F035C7" w:rsidRPr="0066103C">
        <w:t>.</w:t>
      </w:r>
      <w:r w:rsidR="00F035C7" w:rsidRPr="0066103C">
        <w:rPr>
          <w:rStyle w:val="FootnoteReference"/>
        </w:rPr>
        <w:footnoteReference w:id="33"/>
      </w:r>
      <w:r w:rsidR="00D82772" w:rsidRPr="0066103C">
        <w:t xml:space="preserve"> W</w:t>
      </w:r>
      <w:r w:rsidRPr="0066103C">
        <w:t xml:space="preserve">hen the Babylonian myth </w:t>
      </w:r>
      <w:r w:rsidRPr="0066103C">
        <w:rPr>
          <w:i/>
        </w:rPr>
        <w:t>Enuma Elish</w:t>
      </w:r>
      <w:r w:rsidRPr="0066103C">
        <w:t xml:space="preserve"> tells of rebellious monsters born from the primordial ocean, of the destruction of the sea monster, the embodiment of disorder, who is burst by the winds, and of the elevation of its destroyer as king and lord of heaven and earth,</w:t>
      </w:r>
      <w:r w:rsidR="00F1796A" w:rsidRPr="0066103C">
        <w:rPr>
          <w:rStyle w:val="FootnoteReference"/>
        </w:rPr>
        <w:footnoteReference w:id="34"/>
      </w:r>
      <w:r w:rsidR="00451843">
        <w:t xml:space="preserve"> the</w:t>
      </w:r>
      <w:r w:rsidR="00725A89" w:rsidRPr="0066103C">
        <w:t xml:space="preserve"> points of connection</w:t>
      </w:r>
      <w:r w:rsidRPr="0066103C">
        <w:t xml:space="preserve"> </w:t>
      </w:r>
      <w:r w:rsidR="00451843">
        <w:t>with Dan 7 look</w:t>
      </w:r>
      <w:r w:rsidR="00F1796A" w:rsidRPr="0066103C">
        <w:t xml:space="preserve"> </w:t>
      </w:r>
      <w:r w:rsidR="00A20568" w:rsidRPr="0066103C">
        <w:t xml:space="preserve">more than </w:t>
      </w:r>
      <w:r w:rsidR="00F1796A" w:rsidRPr="0066103C">
        <w:t>coinci</w:t>
      </w:r>
      <w:r w:rsidR="00451843">
        <w:t>dental. They</w:t>
      </w:r>
      <w:r w:rsidRPr="0066103C">
        <w:t xml:space="preserve"> are</w:t>
      </w:r>
      <w:r w:rsidR="00A20568" w:rsidRPr="0066103C">
        <w:t xml:space="preserve"> </w:t>
      </w:r>
      <w:r w:rsidR="00766E71" w:rsidRPr="0066103C">
        <w:t>paralleled</w:t>
      </w:r>
      <w:r w:rsidRPr="0066103C">
        <w:t xml:space="preserve"> in the equivalent Ugaritic combat myth </w:t>
      </w:r>
      <w:r w:rsidR="00E70E66">
        <w:rPr>
          <w:i/>
        </w:rPr>
        <w:t>Ba’al</w:t>
      </w:r>
      <w:r w:rsidRPr="0066103C">
        <w:t>, which has mor</w:t>
      </w:r>
      <w:r w:rsidR="00D82772" w:rsidRPr="0066103C">
        <w:t xml:space="preserve">e links with Dan 7 and may be </w:t>
      </w:r>
      <w:r w:rsidRPr="0066103C">
        <w:t>the less indirect background to it.</w:t>
      </w:r>
      <w:r w:rsidR="00766E71" w:rsidRPr="0066103C">
        <w:rPr>
          <w:rStyle w:val="FootnoteReference"/>
        </w:rPr>
        <w:footnoteReference w:id="35"/>
      </w:r>
      <w:r w:rsidRPr="0066103C">
        <w:t xml:space="preserve"> Here, similarly, Sea tries to usurp the place of </w:t>
      </w:r>
      <w:r w:rsidR="00223B05">
        <w:t>Ba’al</w:t>
      </w:r>
      <w:r w:rsidRPr="0066103C">
        <w:t xml:space="preserve">, the son of the highest god, the venerable, gray-headed, and gray-bearded El. One of his titles, </w:t>
      </w:r>
      <w:r w:rsidRPr="0066103C">
        <w:rPr>
          <w:i/>
        </w:rPr>
        <w:t>’b snm</w:t>
      </w:r>
      <w:r w:rsidRPr="0066103C">
        <w:t xml:space="preserve">, might mean “father of years” and correspond to יומין </w:t>
      </w:r>
      <w:r w:rsidR="00F1796A" w:rsidRPr="0066103C">
        <w:rPr>
          <w:rFonts w:ascii="Arial" w:hAnsi="Arial" w:cs="Arial"/>
        </w:rPr>
        <w:t>עתיק</w:t>
      </w:r>
      <w:r w:rsidR="00F1796A" w:rsidRPr="0066103C">
        <w:t xml:space="preserve"> </w:t>
      </w:r>
      <w:r w:rsidRPr="0066103C">
        <w:t>“one advanced in days</w:t>
      </w:r>
      <w:r w:rsidR="00F1796A" w:rsidRPr="0066103C">
        <w:t>.</w:t>
      </w:r>
      <w:r w:rsidRPr="0066103C">
        <w:t>”</w:t>
      </w:r>
      <w:r w:rsidR="00F1796A" w:rsidRPr="0066103C">
        <w:rPr>
          <w:rStyle w:val="FootnoteReference"/>
        </w:rPr>
        <w:footnoteReference w:id="36"/>
      </w:r>
      <w:r w:rsidRPr="0066103C">
        <w:t xml:space="preserve"> Before the assembly of the holy ones, </w:t>
      </w:r>
      <w:r w:rsidR="00E70E66">
        <w:t>Ba’al</w:t>
      </w:r>
      <w:r w:rsidRPr="0066103C">
        <w:t xml:space="preserve">, rider on the clouds, is declared </w:t>
      </w:r>
      <w:r w:rsidR="00F1796A" w:rsidRPr="0066103C">
        <w:t xml:space="preserve">to be </w:t>
      </w:r>
      <w:r w:rsidRPr="0066103C">
        <w:t xml:space="preserve">destined for an eternal kingship, and he duly kills Sea—later characterized as Leviathan, the seven-headed dragon. In due course El agrees to a temple being built as a palace for </w:t>
      </w:r>
      <w:r w:rsidR="00E70E66">
        <w:t>Ba’al</w:t>
      </w:r>
      <w:r w:rsidRPr="0066103C">
        <w:t xml:space="preserve">, where he takes his seat as king over the earth. He is then overcome by Death, but Death is eventually defeated. In the OT, Yahweh effectively combines the positions of El and </w:t>
      </w:r>
      <w:r w:rsidR="00E70E66">
        <w:t>Ba’al</w:t>
      </w:r>
      <w:r w:rsidRPr="0066103C">
        <w:t xml:space="preserve">, except in Dan 7, where the humanlike figure takes </w:t>
      </w:r>
      <w:r w:rsidR="00E70E66">
        <w:t>Ba’al</w:t>
      </w:r>
      <w:r w:rsidRPr="0066103C">
        <w:t>’s position. In</w:t>
      </w:r>
      <w:r w:rsidR="00A20568" w:rsidRPr="0066103C">
        <w:t xml:space="preserve"> recapitulating this old </w:t>
      </w:r>
      <w:r w:rsidR="00451843">
        <w:t xml:space="preserve">pattern, Dan 7 may </w:t>
      </w:r>
      <w:r w:rsidRPr="0066103C">
        <w:t xml:space="preserve">have its own links with these ancient myths, via learned circles in Judaism rather than because </w:t>
      </w:r>
      <w:r w:rsidR="00F1796A" w:rsidRPr="0066103C">
        <w:t>they lived on in the worship of the temple</w:t>
      </w:r>
      <w:r w:rsidRPr="0066103C">
        <w:t>.</w:t>
      </w:r>
      <w:r w:rsidR="00F1796A" w:rsidRPr="0066103C">
        <w:rPr>
          <w:rStyle w:val="FootnoteReference"/>
        </w:rPr>
        <w:footnoteReference w:id="37"/>
      </w:r>
      <w:r w:rsidRPr="0066103C">
        <w:t xml:space="preserve"> </w:t>
      </w:r>
    </w:p>
    <w:p w:rsidR="004F0A02" w:rsidRPr="0066103C" w:rsidRDefault="001D3AC0" w:rsidP="004F0A02">
      <w:r w:rsidRPr="0066103C">
        <w:rPr>
          <w:i/>
        </w:rPr>
        <w:t>(e) Other aspects of Middle</w:t>
      </w:r>
      <w:r w:rsidR="004F0A02" w:rsidRPr="0066103C">
        <w:rPr>
          <w:i/>
        </w:rPr>
        <w:t xml:space="preserve"> Eastern life</w:t>
      </w:r>
      <w:r w:rsidR="004F0A02" w:rsidRPr="0066103C">
        <w:t xml:space="preserve">. </w:t>
      </w:r>
      <w:r w:rsidR="00EF7541" w:rsidRPr="0066103C">
        <w:t xml:space="preserve">The animals in Dan 7 have </w:t>
      </w:r>
      <w:r w:rsidR="004F0A02" w:rsidRPr="0066103C">
        <w:t>been likened to Babylonian engravings, sculptures, and reliefs or to the sphinxes (s</w:t>
      </w:r>
      <w:r w:rsidR="00EF7541" w:rsidRPr="0066103C">
        <w:t xml:space="preserve">ee, e.g., </w:t>
      </w:r>
      <w:r w:rsidR="00EF7541" w:rsidRPr="0066103C">
        <w:rPr>
          <w:i/>
        </w:rPr>
        <w:t>ANEP</w:t>
      </w:r>
      <w:r w:rsidR="00EF7541" w:rsidRPr="0066103C">
        <w:t xml:space="preserve"> 644–53</w:t>
      </w:r>
      <w:r w:rsidR="004F0A02" w:rsidRPr="0066103C">
        <w:t>),</w:t>
      </w:r>
      <w:r w:rsidR="00E200AC" w:rsidRPr="0066103C">
        <w:rPr>
          <w:rStyle w:val="FootnoteReference"/>
        </w:rPr>
        <w:footnoteReference w:id="38"/>
      </w:r>
      <w:r w:rsidR="00EF7541" w:rsidRPr="0066103C">
        <w:t xml:space="preserve"> but the parallels are not </w:t>
      </w:r>
      <w:r w:rsidR="004F0A02" w:rsidRPr="0066103C">
        <w:t>close. The same applies to warnings in treaties of attacks by animals;</w:t>
      </w:r>
      <w:r w:rsidR="00EF7541" w:rsidRPr="0066103C">
        <w:rPr>
          <w:rStyle w:val="FootnoteReference"/>
        </w:rPr>
        <w:footnoteReference w:id="39"/>
      </w:r>
      <w:r w:rsidR="00EF7541" w:rsidRPr="0066103C">
        <w:t xml:space="preserve"> though in any case these </w:t>
      </w:r>
      <w:r w:rsidR="00451843">
        <w:t xml:space="preserve">documents </w:t>
      </w:r>
      <w:r w:rsidR="00EF7541" w:rsidRPr="0066103C">
        <w:t>would</w:t>
      </w:r>
      <w:r w:rsidR="004F0A02" w:rsidRPr="0066103C">
        <w:t xml:space="preserve"> surely have influenced Daniel only via passages such as Hos 13:7–8.</w:t>
      </w:r>
      <w:r w:rsidR="00EF7541" w:rsidRPr="0066103C">
        <w:rPr>
          <w:rStyle w:val="FootnoteReference"/>
        </w:rPr>
        <w:footnoteReference w:id="40"/>
      </w:r>
      <w:r w:rsidR="004F0A02" w:rsidRPr="0066103C">
        <w:t xml:space="preserve"> Parallels </w:t>
      </w:r>
      <w:r w:rsidR="0017464A" w:rsidRPr="0066103C">
        <w:t>with the animals in the zodiac</w:t>
      </w:r>
      <w:r w:rsidR="0017464A" w:rsidRPr="0066103C">
        <w:rPr>
          <w:rStyle w:val="FootnoteReference"/>
        </w:rPr>
        <w:footnoteReference w:id="41"/>
      </w:r>
      <w:r w:rsidR="0017464A" w:rsidRPr="0066103C">
        <w:t xml:space="preserve"> are also imprecise</w:t>
      </w:r>
      <w:r w:rsidR="004F0A02" w:rsidRPr="0066103C">
        <w:t>.</w:t>
      </w:r>
      <w:r w:rsidR="0017464A" w:rsidRPr="0066103C">
        <w:rPr>
          <w:rStyle w:val="FootnoteReference"/>
        </w:rPr>
        <w:footnoteReference w:id="42"/>
      </w:r>
    </w:p>
    <w:p w:rsidR="004F0A02" w:rsidRPr="0066103C" w:rsidRDefault="004F0A02" w:rsidP="004F0A02">
      <w:r w:rsidRPr="0066103C">
        <w:lastRenderedPageBreak/>
        <w:t>Mesopotamian divination offers more promising ba</w:t>
      </w:r>
      <w:r w:rsidR="00725A89" w:rsidRPr="0066103C">
        <w:t xml:space="preserve">ckground to vv 4–6. Divination was </w:t>
      </w:r>
      <w:r w:rsidRPr="0066103C">
        <w:t>interest</w:t>
      </w:r>
      <w:r w:rsidR="00725A89" w:rsidRPr="0066103C">
        <w:t>ed</w:t>
      </w:r>
      <w:r w:rsidRPr="0066103C">
        <w:t xml:space="preserve"> in anomalous human and animal birt</w:t>
      </w:r>
      <w:r w:rsidR="0017464A" w:rsidRPr="0066103C">
        <w:t xml:space="preserve">hs that might offer portents concerning </w:t>
      </w:r>
      <w:r w:rsidRPr="0066103C">
        <w:t xml:space="preserve">the future of individuals or the state. The series </w:t>
      </w:r>
      <w:r w:rsidRPr="0066103C">
        <w:rPr>
          <w:i/>
        </w:rPr>
        <w:t>Šumma izbu</w:t>
      </w:r>
      <w:r w:rsidR="0017464A" w:rsidRPr="0066103C">
        <w:rPr>
          <w:rStyle w:val="FootnoteReference"/>
          <w:i/>
        </w:rPr>
        <w:footnoteReference w:id="43"/>
      </w:r>
      <w:r w:rsidRPr="0066103C">
        <w:t xml:space="preserve"> includes sheep born with some resemblance to a wolf, a lion, a fox, a tiger, or a human being, and animals with deformations such as a raised shoulder, lungs in its mouth, extra horns, multiple heads, or displaced eyes. These portend events such as a royal d</w:t>
      </w:r>
      <w:r w:rsidR="0017464A" w:rsidRPr="0066103C">
        <w:t>eath, an enemy attack, conflict</w:t>
      </w:r>
      <w:r w:rsidRPr="0066103C">
        <w:t xml:space="preserve"> among rulers or a king enjoying a long and peaceful reign. Not all details in the omens are interpreted, and not all details in the interpretations connect with specific aspects of the omen. Also interesting is the custom of describing a king as having characteristics of various animals.</w:t>
      </w:r>
      <w:r w:rsidR="0017464A" w:rsidRPr="0066103C">
        <w:rPr>
          <w:rStyle w:val="FootnoteReference"/>
        </w:rPr>
        <w:footnoteReference w:id="44"/>
      </w:r>
      <w:r w:rsidRPr="0066103C">
        <w:t xml:space="preserve"> In the Hellenistic period, on his coins Alexander wears a headpiece much like an elephant head, Antiochus III uses the elephant as a state emblem, and Hellenistic monarchs generally are often pictured as possessing horns, a common Semitic symbol for power: all this may lie behind the figure of the fourth animal.</w:t>
      </w:r>
      <w:r w:rsidR="0017464A" w:rsidRPr="0066103C">
        <w:rPr>
          <w:rStyle w:val="FootnoteReference"/>
        </w:rPr>
        <w:footnoteReference w:id="45"/>
      </w:r>
      <w:r w:rsidRPr="0066103C">
        <w:t xml:space="preserve"> It is possible to link characteristics of individual creatures to those of empires they represent: for instance, the Medes might be seen as fierce and destructive (v 5; cf. Isa 13:17–18)—though it is not clear tha</w:t>
      </w:r>
      <w:r w:rsidR="0017464A" w:rsidRPr="0066103C">
        <w:t>t they were more so than others.</w:t>
      </w:r>
      <w:r w:rsidR="00B174B7">
        <w:t xml:space="preserve"> </w:t>
      </w:r>
    </w:p>
    <w:p w:rsidR="00B5790C" w:rsidRPr="00B5790C" w:rsidRDefault="001D3AC0" w:rsidP="004F0A02">
      <w:r w:rsidRPr="0066103C">
        <w:rPr>
          <w:i/>
        </w:rPr>
        <w:t>(f</w:t>
      </w:r>
      <w:r w:rsidR="004F0A02" w:rsidRPr="0066103C">
        <w:rPr>
          <w:i/>
        </w:rPr>
        <w:t xml:space="preserve">) </w:t>
      </w:r>
      <w:r w:rsidR="00B5790C">
        <w:rPr>
          <w:i/>
        </w:rPr>
        <w:t>Greek historiography</w:t>
      </w:r>
      <w:r w:rsidR="00B5790C">
        <w:t>. The notion of a succession of world empires a</w:t>
      </w:r>
      <w:r w:rsidR="00EA0B5E">
        <w:t>ppears in Herodotus and Ctesias, and t</w:t>
      </w:r>
      <w:r w:rsidR="00B5790C">
        <w:t>his feature ar</w:t>
      </w:r>
      <w:r w:rsidR="00B174B7">
        <w:t>guably has more substantial paralle</w:t>
      </w:r>
      <w:r w:rsidR="00B5790C">
        <w:t>l</w:t>
      </w:r>
      <w:r w:rsidR="00B174B7">
        <w:t>s</w:t>
      </w:r>
      <w:r w:rsidR="00B5790C">
        <w:t xml:space="preserve"> with the substance of the four-empire sch</w:t>
      </w:r>
      <w:r w:rsidR="00B174B7">
        <w:t>eme in Daniel than the links</w:t>
      </w:r>
      <w:r w:rsidR="00B5790C">
        <w:t xml:space="preserve"> in terms of symbolism which Daniel has in common with Middle Eastern material. The scheme sees the sequence of empires as Assyria, Media, Persia, and Greece, and thus in distinguishes between Media and Persia corresponds to Daniel’s scheme.</w:t>
      </w:r>
      <w:r w:rsidR="00323F0E">
        <w:rPr>
          <w:rStyle w:val="FootnoteReference"/>
        </w:rPr>
        <w:footnoteReference w:id="46"/>
      </w:r>
      <w:r w:rsidR="00EA0B5E">
        <w:t xml:space="preserve"> </w:t>
      </w:r>
    </w:p>
    <w:p w:rsidR="00CB4556" w:rsidRDefault="00B5790C" w:rsidP="00CB4556">
      <w:r>
        <w:rPr>
          <w:i/>
        </w:rPr>
        <w:t xml:space="preserve">(g) </w:t>
      </w:r>
      <w:r w:rsidR="004F0A02" w:rsidRPr="0066103C">
        <w:rPr>
          <w:i/>
        </w:rPr>
        <w:t>Conclusions</w:t>
      </w:r>
      <w:r w:rsidR="004F0A02" w:rsidRPr="0066103C">
        <w:t xml:space="preserve">. Tracing the development </w:t>
      </w:r>
      <w:r w:rsidR="009F1834" w:rsidRPr="0066103C">
        <w:t xml:space="preserve">of ideas and motifs </w:t>
      </w:r>
      <w:r w:rsidR="004F0A02" w:rsidRPr="0066103C">
        <w:t xml:space="preserve">in a text does not in itself explain their significance there, </w:t>
      </w:r>
      <w:r w:rsidR="00B174B7">
        <w:t xml:space="preserve">but </w:t>
      </w:r>
      <w:r w:rsidR="004F0A02" w:rsidRPr="0066103C">
        <w:t>it can add to our historical insight on the development of Israelite faith and thought, enable us to perceive more of the meaning and resonances that ideas and motifs had for author and audience, and explain tensions or other apparent problems in the text. Thus it is illuminating to imagine the author of Dan 7 combining the combat my</w:t>
      </w:r>
      <w:r w:rsidR="009F1834" w:rsidRPr="0066103C">
        <w:t>th as adopted in the OT and</w:t>
      </w:r>
      <w:r w:rsidR="004F0A02" w:rsidRPr="0066103C">
        <w:t xml:space="preserve"> as known in the learned tradition with the four-regimes scheme and the form of the dream from chap.</w:t>
      </w:r>
      <w:r w:rsidR="00FE0581" w:rsidRPr="0066103C">
        <w:t xml:space="preserve"> 2, and developing these in </w:t>
      </w:r>
      <w:r w:rsidR="004F0A02" w:rsidRPr="0066103C">
        <w:t>light of second-cen</w:t>
      </w:r>
      <w:r w:rsidR="009F1834" w:rsidRPr="0066103C">
        <w:t xml:space="preserve">tury experience into a </w:t>
      </w:r>
      <w:r w:rsidR="004F0A02" w:rsidRPr="0066103C">
        <w:t xml:space="preserve">portrayal of Antiochus as </w:t>
      </w:r>
      <w:r w:rsidR="00FE0581" w:rsidRPr="0066103C">
        <w:t>the doomed embodiment of disorder and rebellion</w:t>
      </w:r>
      <w:r w:rsidR="004F0A02" w:rsidRPr="0066103C">
        <w:t>.</w:t>
      </w:r>
      <w:r w:rsidR="009F1834" w:rsidRPr="0066103C">
        <w:rPr>
          <w:rStyle w:val="FootnoteReference"/>
        </w:rPr>
        <w:footnoteReference w:id="47"/>
      </w:r>
      <w:r w:rsidR="00B174B7">
        <w:t xml:space="preserve"> Ye</w:t>
      </w:r>
      <w:r w:rsidR="00725A89" w:rsidRPr="0066103C">
        <w:t xml:space="preserve">t </w:t>
      </w:r>
      <w:r w:rsidR="009F1834" w:rsidRPr="0066103C">
        <w:t>such pictures are</w:t>
      </w:r>
      <w:r w:rsidR="00B174B7">
        <w:t xml:space="preserve"> hypothetical, and i</w:t>
      </w:r>
      <w:r w:rsidR="004F0A02" w:rsidRPr="0066103C">
        <w:t>t remains difficult to evaluate t</w:t>
      </w:r>
      <w:r w:rsidR="009F1834" w:rsidRPr="0066103C">
        <w:t xml:space="preserve">he significance of parallels </w:t>
      </w:r>
      <w:r w:rsidR="00CB4556">
        <w:t xml:space="preserve">identified </w:t>
      </w:r>
      <w:r w:rsidR="009F1834" w:rsidRPr="0066103C">
        <w:t>in connection with</w:t>
      </w:r>
      <w:r w:rsidR="004F0A02" w:rsidRPr="0066103C">
        <w:t xml:space="preserve"> tracing the tradition-hist</w:t>
      </w:r>
      <w:r w:rsidR="00CB4556">
        <w:t>ory behind Dan 7. When</w:t>
      </w:r>
      <w:r w:rsidR="00725A89" w:rsidRPr="0066103C">
        <w:t xml:space="preserve"> the evidence cannot </w:t>
      </w:r>
      <w:r w:rsidR="00CB4556">
        <w:t xml:space="preserve">prove a direct link, </w:t>
      </w:r>
      <w:r w:rsidR="004F0A02" w:rsidRPr="0066103C">
        <w:t xml:space="preserve">this </w:t>
      </w:r>
      <w:r w:rsidR="009F1834" w:rsidRPr="0066103C">
        <w:t>shortfa</w:t>
      </w:r>
      <w:r w:rsidR="00CB4556">
        <w:t>ll does not mean there was no</w:t>
      </w:r>
      <w:r w:rsidR="009F1834" w:rsidRPr="0066103C">
        <w:t xml:space="preserve"> link</w:t>
      </w:r>
      <w:r w:rsidR="004F0A02" w:rsidRPr="0066103C">
        <w:t xml:space="preserve">. In other cases, the parallels are close enough to make a direct link seem likely, but coincidence is not impossible. Even where </w:t>
      </w:r>
      <w:r w:rsidR="009F1834" w:rsidRPr="0066103C">
        <w:t>there are historical links</w:t>
      </w:r>
      <w:r w:rsidR="004F0A02" w:rsidRPr="0066103C">
        <w:t xml:space="preserve">, it is difficult to know how far the author was aware of the material’s original meaning or was influenced by it: we must beware of reading into Daniel too much of what </w:t>
      </w:r>
      <w:r w:rsidR="009F1834" w:rsidRPr="0066103C">
        <w:t>went before or what came after</w:t>
      </w:r>
      <w:r w:rsidR="004F0A02" w:rsidRPr="0066103C">
        <w:t>.</w:t>
      </w:r>
      <w:r w:rsidR="009F1834" w:rsidRPr="0066103C">
        <w:rPr>
          <w:rStyle w:val="FootnoteReference"/>
        </w:rPr>
        <w:footnoteReference w:id="48"/>
      </w:r>
      <w:r w:rsidR="009F1834" w:rsidRPr="0066103C">
        <w:t xml:space="preserve"> Even when the author was aware of the</w:t>
      </w:r>
      <w:r w:rsidR="004F0A02" w:rsidRPr="0066103C">
        <w:t xml:space="preserve"> material’s background, the p</w:t>
      </w:r>
      <w:r w:rsidR="009F1834" w:rsidRPr="0066103C">
        <w:t xml:space="preserve">icture as a whole is not one </w:t>
      </w:r>
      <w:r w:rsidR="004F0A02" w:rsidRPr="0066103C">
        <w:t>received from existent sources; it is creat</w:t>
      </w:r>
      <w:r w:rsidR="009F1834" w:rsidRPr="0066103C">
        <w:t>ive, imaginative, and original.</w:t>
      </w:r>
      <w:r w:rsidR="009F1834" w:rsidRPr="0066103C">
        <w:rPr>
          <w:rStyle w:val="FootnoteReference"/>
        </w:rPr>
        <w:footnoteReference w:id="49"/>
      </w:r>
      <w:r w:rsidR="009F1834" w:rsidRPr="0066103C">
        <w:t xml:space="preserve"> </w:t>
      </w:r>
      <w:r w:rsidR="004F0A02" w:rsidRPr="0066103C">
        <w:t xml:space="preserve">Further, </w:t>
      </w:r>
      <w:r w:rsidR="004F0A02" w:rsidRPr="0066103C">
        <w:lastRenderedPageBreak/>
        <w:t>the significance of motifs in Dan</w:t>
      </w:r>
      <w:r w:rsidR="00CB4556">
        <w:t xml:space="preserve"> 7 is their significance in its</w:t>
      </w:r>
      <w:r w:rsidR="004F0A02" w:rsidRPr="0066103C">
        <w:t xml:space="preserve"> context, which may even contradict the significance they</w:t>
      </w:r>
      <w:r w:rsidR="00725A89" w:rsidRPr="0066103C">
        <w:t xml:space="preserve"> brought to it. </w:t>
      </w:r>
    </w:p>
    <w:p w:rsidR="00CB4556" w:rsidRPr="00CB4556" w:rsidRDefault="00725A89" w:rsidP="00CB4556">
      <w:r w:rsidRPr="0066103C">
        <w:t>I</w:t>
      </w:r>
      <w:r w:rsidR="004F0A02" w:rsidRPr="0066103C">
        <w:t>nvestigating the bac</w:t>
      </w:r>
      <w:r w:rsidRPr="0066103C">
        <w:t>kground to the chapter may</w:t>
      </w:r>
      <w:r w:rsidR="004F0A02" w:rsidRPr="0066103C">
        <w:t xml:space="preserve"> </w:t>
      </w:r>
      <w:r w:rsidRPr="0066103C">
        <w:t xml:space="preserve">chiefly help to draw attention to </w:t>
      </w:r>
      <w:r w:rsidR="004F0A02" w:rsidRPr="0066103C">
        <w:t>what is different about Dan 7 itself; this process may enable us to perceive important aspects of the chapter even if the hypotheses that lead to these perceptions turn out to be mistaken.</w:t>
      </w:r>
      <w:r w:rsidR="009F1834" w:rsidRPr="0066103C">
        <w:t xml:space="preserve"> The framework of intertextuality may thus contribute more than the framewo</w:t>
      </w:r>
      <w:r w:rsidRPr="0066103C">
        <w:t>r</w:t>
      </w:r>
      <w:r w:rsidR="009F1834" w:rsidRPr="0066103C">
        <w:t>k of background and development to the utilization of comparisons.</w:t>
      </w:r>
      <w:r w:rsidR="00CB4556">
        <w:t xml:space="preserve"> </w:t>
      </w:r>
      <w:r w:rsidR="00CB4556" w:rsidRPr="00CB4556">
        <w:t>The intertextual relationship between Daniel and the Middle Eastern texts is the kind of relationship that issues from readers putting texts together that may have had no direct link rather than the kind that issued from one author directly relating to the work of another.</w:t>
      </w:r>
      <w:r w:rsidR="00CB4556" w:rsidRPr="00CB4556">
        <w:rPr>
          <w:vertAlign w:val="superscript"/>
        </w:rPr>
        <w:footnoteReference w:id="50"/>
      </w:r>
      <w:r w:rsidR="00CB4556" w:rsidRPr="00CB4556">
        <w:t xml:space="preserve"> For us as readers, putting the texts alongside each other helps us to see the significance of the texts.</w:t>
      </w:r>
    </w:p>
    <w:p w:rsidR="004F0A02" w:rsidRPr="0066103C" w:rsidRDefault="004F0A02" w:rsidP="004F0A02">
      <w:r w:rsidRPr="0066103C">
        <w:t xml:space="preserve">Thus, in </w:t>
      </w:r>
      <w:r w:rsidRPr="0066103C">
        <w:rPr>
          <w:i/>
        </w:rPr>
        <w:t>Enuma Elish</w:t>
      </w:r>
      <w:r w:rsidRPr="0066103C">
        <w:t>, the winds restrain the sea and its monsters; here they churn it up and generate the sea-monsters. In Ezek 1 the animals support God’s throne and serve his kingship; here they serve t</w:t>
      </w:r>
      <w:r w:rsidR="009F1834" w:rsidRPr="0066103C">
        <w:t>hemselves and are judged</w:t>
      </w:r>
      <w:r w:rsidRPr="0066103C">
        <w:t>.</w:t>
      </w:r>
      <w:r w:rsidR="009F1834" w:rsidRPr="0066103C">
        <w:rPr>
          <w:rStyle w:val="FootnoteReference"/>
        </w:rPr>
        <w:footnoteReference w:id="51"/>
      </w:r>
      <w:r w:rsidRPr="0066103C">
        <w:t xml:space="preserve"> In Ps 2 the one enthroned is an actual king, whose people are unmentioned; here the bestowing of God’s rule is projected onto the future, and the one on whom it is bestowed expl</w:t>
      </w:r>
      <w:r w:rsidR="00CB4556">
        <w:t>icitly represents a people;</w:t>
      </w:r>
      <w:r w:rsidRPr="0066103C">
        <w:t xml:space="preserve"> the dethronement of evil belongs not to the Beginning or to ever-repeated ev</w:t>
      </w:r>
      <w:r w:rsidR="00FE0581" w:rsidRPr="0066103C">
        <w:t>ents in history but to the End</w:t>
      </w:r>
      <w:r w:rsidRPr="0066103C">
        <w:t>.</w:t>
      </w:r>
      <w:r w:rsidR="00FE0581" w:rsidRPr="0066103C">
        <w:rPr>
          <w:rStyle w:val="FootnoteReference"/>
        </w:rPr>
        <w:footnoteReference w:id="52"/>
      </w:r>
      <w:r w:rsidRPr="0066103C">
        <w:t xml:space="preserve"> Nevertheless, the sea and the animals stand here not for otherwor</w:t>
      </w:r>
      <w:r w:rsidR="00FE0581" w:rsidRPr="0066103C">
        <w:t xml:space="preserve">ldly cosmic or cosmogonic </w:t>
      </w:r>
      <w:r w:rsidRPr="0066103C">
        <w:t xml:space="preserve">forces </w:t>
      </w:r>
      <w:r w:rsidR="00FE0581" w:rsidRPr="0066103C">
        <w:t xml:space="preserve">of disorder </w:t>
      </w:r>
      <w:r w:rsidRPr="0066103C">
        <w:t xml:space="preserve">but for historical ones; yet the animals stand not for forces ruling through all history as in </w:t>
      </w:r>
      <w:r w:rsidRPr="0066103C">
        <w:rPr>
          <w:i/>
        </w:rPr>
        <w:t>1 Enoch</w:t>
      </w:r>
      <w:r w:rsidRPr="0066103C">
        <w:t xml:space="preserve">, but only </w:t>
      </w:r>
      <w:r w:rsidR="00FE0581" w:rsidRPr="0066103C">
        <w:t>for the rulers of the Second Temple</w:t>
      </w:r>
      <w:r w:rsidRPr="0066103C">
        <w:t xml:space="preserve"> period. Whereas Marduk fought and killed the beasts, as does the humanlike figure in 2 Esdras, here there is no battle—all is determin</w:t>
      </w:r>
      <w:r w:rsidR="00FE0581" w:rsidRPr="0066103C">
        <w:t>ed by the word of God;</w:t>
      </w:r>
      <w:r w:rsidR="00FE0581" w:rsidRPr="0066103C">
        <w:rPr>
          <w:rStyle w:val="FootnoteReference"/>
        </w:rPr>
        <w:footnoteReference w:id="53"/>
      </w:r>
      <w:r w:rsidR="00FE0581" w:rsidRPr="0066103C">
        <w:t xml:space="preserve"> </w:t>
      </w:r>
      <w:r w:rsidR="00CB4556">
        <w:t xml:space="preserve">the differences </w:t>
      </w:r>
      <w:r w:rsidR="00FE0581" w:rsidRPr="0066103C">
        <w:t>compare</w:t>
      </w:r>
      <w:r w:rsidR="00CB4556">
        <w:t>s with that between</w:t>
      </w:r>
      <w:r w:rsidRPr="0066103C">
        <w:t xml:space="preserve"> Gen</w:t>
      </w:r>
      <w:r w:rsidR="00CB4556">
        <w:t xml:space="preserve"> 1 and</w:t>
      </w:r>
      <w:r w:rsidR="00FE0581" w:rsidRPr="0066103C">
        <w:t xml:space="preserve"> earlier myths</w:t>
      </w:r>
      <w:r w:rsidRPr="0066103C">
        <w:t xml:space="preserve">. The humanlike figure has no explicit connection with creation, nor does he undergo suffering, or enter into conflict with the senior figure, or die, as </w:t>
      </w:r>
      <w:r w:rsidR="00E70E66">
        <w:t>Ba’al</w:t>
      </w:r>
      <w:r w:rsidRPr="0066103C">
        <w:t xml:space="preserve"> is commonly held to have done. Whatever temple background the chapter has, and despite the presence of the temple theme in </w:t>
      </w:r>
      <w:r w:rsidRPr="0066103C">
        <w:rPr>
          <w:i/>
        </w:rPr>
        <w:t>Enuma Elish</w:t>
      </w:r>
      <w:r w:rsidR="00FE0581" w:rsidRPr="0066103C">
        <w:t>, it is striking that chap. 7</w:t>
      </w:r>
      <w:r w:rsidRPr="0066103C">
        <w:t xml:space="preserve"> makes no mention of the temple.</w:t>
      </w:r>
    </w:p>
    <w:p w:rsidR="004F0A02" w:rsidRPr="0066103C" w:rsidRDefault="004F0A02" w:rsidP="00AF6220">
      <w:pPr>
        <w:pStyle w:val="Heading3"/>
      </w:pPr>
      <w:r w:rsidRPr="0066103C">
        <w:t>Structure</w:t>
      </w:r>
    </w:p>
    <w:p w:rsidR="00EF7541" w:rsidRPr="0066103C" w:rsidRDefault="00EF7541" w:rsidP="00EF7541"/>
    <w:p w:rsidR="00FE0581" w:rsidRPr="0066103C" w:rsidRDefault="00FE0581" w:rsidP="00EF7541">
      <w:r w:rsidRPr="0066103C">
        <w:t>The chapter may be outlined as follows:</w:t>
      </w:r>
      <w:r w:rsidRPr="0066103C">
        <w:rPr>
          <w:rStyle w:val="FootnoteReference"/>
        </w:rPr>
        <w:footnoteReference w:id="54"/>
      </w:r>
    </w:p>
    <w:p w:rsidR="00FE0581" w:rsidRPr="0066103C" w:rsidRDefault="00FE0581" w:rsidP="00EF7541"/>
    <w:p w:rsidR="004F0A02" w:rsidRPr="0066103C" w:rsidRDefault="004F0A02" w:rsidP="004F0A02">
      <w:r w:rsidRPr="0066103C">
        <w:t>1–2a introduction</w:t>
      </w:r>
    </w:p>
    <w:p w:rsidR="004F0A02" w:rsidRPr="0066103C" w:rsidRDefault="00EF7541" w:rsidP="004F0A02">
      <w:r w:rsidRPr="0066103C">
        <w:tab/>
      </w:r>
      <w:r w:rsidR="004F0A02" w:rsidRPr="0066103C">
        <w:t>1a narrative preface</w:t>
      </w:r>
    </w:p>
    <w:p w:rsidR="004F0A02" w:rsidRPr="0066103C" w:rsidRDefault="00EF7541" w:rsidP="004F0A02">
      <w:r w:rsidRPr="0066103C">
        <w:tab/>
      </w:r>
      <w:r w:rsidR="004F0A02" w:rsidRPr="0066103C">
        <w:t>1b commencing formula</w:t>
      </w:r>
    </w:p>
    <w:p w:rsidR="004F0A02" w:rsidRPr="0066103C" w:rsidRDefault="00EF7541" w:rsidP="004F0A02">
      <w:r w:rsidRPr="0066103C">
        <w:tab/>
      </w:r>
      <w:r w:rsidR="004F0A02" w:rsidRPr="0066103C">
        <w:t>2a narrative opening</w:t>
      </w:r>
    </w:p>
    <w:p w:rsidR="004F0A02" w:rsidRPr="0066103C" w:rsidRDefault="004F0A02" w:rsidP="004F0A02">
      <w:r w:rsidRPr="0066103C">
        <w:t>2b–14 vision report</w:t>
      </w:r>
    </w:p>
    <w:p w:rsidR="004F0A02" w:rsidRPr="0066103C" w:rsidRDefault="00EF7541" w:rsidP="004F0A02">
      <w:r w:rsidRPr="0066103C">
        <w:tab/>
      </w:r>
      <w:r w:rsidR="004F0A02" w:rsidRPr="0066103C">
        <w:t>2b–3 four creatures appear</w:t>
      </w:r>
    </w:p>
    <w:p w:rsidR="004F0A02" w:rsidRPr="0066103C" w:rsidRDefault="00EF7541" w:rsidP="004F0A02">
      <w:r w:rsidRPr="0066103C">
        <w:tab/>
      </w:r>
      <w:r w:rsidRPr="0066103C">
        <w:tab/>
      </w:r>
      <w:r w:rsidR="004F0A02" w:rsidRPr="0066103C">
        <w:t>4–6 the first three creatures</w:t>
      </w:r>
    </w:p>
    <w:p w:rsidR="004F0A02" w:rsidRPr="0066103C" w:rsidRDefault="00EF7541" w:rsidP="004F0A02">
      <w:r w:rsidRPr="0066103C">
        <w:tab/>
      </w:r>
      <w:r w:rsidRPr="0066103C">
        <w:tab/>
      </w:r>
      <w:r w:rsidRPr="0066103C">
        <w:tab/>
      </w:r>
      <w:r w:rsidR="004F0A02" w:rsidRPr="0066103C">
        <w:t>7 the fourth creature with its ten horns</w:t>
      </w:r>
    </w:p>
    <w:p w:rsidR="004F0A02" w:rsidRPr="0066103C" w:rsidRDefault="00EF7541" w:rsidP="004F0A02">
      <w:r w:rsidRPr="0066103C">
        <w:tab/>
      </w:r>
      <w:r w:rsidRPr="0066103C">
        <w:tab/>
      </w:r>
      <w:r w:rsidRPr="0066103C">
        <w:tab/>
      </w:r>
      <w:r w:rsidRPr="0066103C">
        <w:tab/>
      </w:r>
      <w:r w:rsidR="004F0A02" w:rsidRPr="0066103C">
        <w:t>8 a small horn on the fourth</w:t>
      </w:r>
    </w:p>
    <w:p w:rsidR="004F0A02" w:rsidRPr="0066103C" w:rsidRDefault="00EF7541" w:rsidP="004F0A02">
      <w:r w:rsidRPr="0066103C">
        <w:tab/>
      </w:r>
      <w:r w:rsidRPr="0066103C">
        <w:tab/>
      </w:r>
      <w:r w:rsidRPr="0066103C">
        <w:tab/>
      </w:r>
      <w:r w:rsidRPr="0066103C">
        <w:tab/>
      </w:r>
      <w:r w:rsidRPr="0066103C">
        <w:tab/>
      </w:r>
      <w:r w:rsidR="004F0A02" w:rsidRPr="0066103C">
        <w:t>9–10 a throne scene</w:t>
      </w:r>
    </w:p>
    <w:p w:rsidR="004F0A02" w:rsidRPr="0066103C" w:rsidRDefault="00EF7541" w:rsidP="004F0A02">
      <w:r w:rsidRPr="0066103C">
        <w:lastRenderedPageBreak/>
        <w:tab/>
      </w:r>
      <w:r w:rsidRPr="0066103C">
        <w:tab/>
      </w:r>
      <w:r w:rsidRPr="0066103C">
        <w:tab/>
      </w:r>
      <w:r w:rsidRPr="0066103C">
        <w:tab/>
      </w:r>
      <w:r w:rsidR="004F0A02" w:rsidRPr="0066103C">
        <w:t>11a the small horn</w:t>
      </w:r>
    </w:p>
    <w:p w:rsidR="004F0A02" w:rsidRPr="0066103C" w:rsidRDefault="00EF7541" w:rsidP="004F0A02">
      <w:r w:rsidRPr="0066103C">
        <w:tab/>
      </w:r>
      <w:r w:rsidRPr="0066103C">
        <w:tab/>
      </w:r>
      <w:r w:rsidRPr="0066103C">
        <w:tab/>
      </w:r>
      <w:r w:rsidR="004F0A02" w:rsidRPr="0066103C">
        <w:t>11b the fourth creature</w:t>
      </w:r>
    </w:p>
    <w:p w:rsidR="004F0A02" w:rsidRPr="0066103C" w:rsidRDefault="00EF7541" w:rsidP="004F0A02">
      <w:r w:rsidRPr="0066103C">
        <w:tab/>
      </w:r>
      <w:r w:rsidRPr="0066103C">
        <w:tab/>
      </w:r>
      <w:r w:rsidR="004F0A02" w:rsidRPr="0066103C">
        <w:t>12 the first three creatures</w:t>
      </w:r>
    </w:p>
    <w:p w:rsidR="004F0A02" w:rsidRPr="0066103C" w:rsidRDefault="00EF7541" w:rsidP="004F0A02">
      <w:r w:rsidRPr="0066103C">
        <w:tab/>
      </w:r>
      <w:r w:rsidR="004F0A02" w:rsidRPr="0066103C">
        <w:t>13–14 a manlike figure appears</w:t>
      </w:r>
    </w:p>
    <w:p w:rsidR="004F0A02" w:rsidRPr="0066103C" w:rsidRDefault="004F0A02" w:rsidP="004F0A02">
      <w:r w:rsidRPr="0066103C">
        <w:t>15 visionary’s response</w:t>
      </w:r>
    </w:p>
    <w:p w:rsidR="004F0A02" w:rsidRPr="0066103C" w:rsidRDefault="004F0A02" w:rsidP="004F0A02">
      <w:r w:rsidRPr="0066103C">
        <w:t>16–18 initial interpretation</w:t>
      </w:r>
    </w:p>
    <w:p w:rsidR="004F0A02" w:rsidRPr="0066103C" w:rsidRDefault="00EF7541" w:rsidP="004F0A02">
      <w:r w:rsidRPr="0066103C">
        <w:tab/>
      </w:r>
      <w:r w:rsidR="004F0A02" w:rsidRPr="0066103C">
        <w:t>16 visionary’s request for interpretation</w:t>
      </w:r>
    </w:p>
    <w:p w:rsidR="004F0A02" w:rsidRPr="0066103C" w:rsidRDefault="00EF7541" w:rsidP="004F0A02">
      <w:r w:rsidRPr="0066103C">
        <w:tab/>
      </w:r>
      <w:r w:rsidR="004F0A02" w:rsidRPr="0066103C">
        <w:t>17–18 framework for interpretation</w:t>
      </w:r>
    </w:p>
    <w:p w:rsidR="004F0A02" w:rsidRPr="0066103C" w:rsidRDefault="00EF7541" w:rsidP="004F0A02">
      <w:r w:rsidRPr="0066103C">
        <w:tab/>
      </w:r>
      <w:r w:rsidRPr="0066103C">
        <w:tab/>
      </w:r>
      <w:r w:rsidR="00D669D1" w:rsidRPr="0066103C">
        <w:t>17 the animal</w:t>
      </w:r>
      <w:r w:rsidR="004F0A02" w:rsidRPr="0066103C">
        <w:t>s are kings</w:t>
      </w:r>
    </w:p>
    <w:p w:rsidR="004F0A02" w:rsidRPr="0066103C" w:rsidRDefault="00EF7541" w:rsidP="004F0A02">
      <w:r w:rsidRPr="0066103C">
        <w:tab/>
      </w:r>
      <w:r w:rsidRPr="0066103C">
        <w:tab/>
      </w:r>
      <w:r w:rsidR="004F0A02" w:rsidRPr="0066103C">
        <w:t>18 the new kingship</w:t>
      </w:r>
    </w:p>
    <w:p w:rsidR="004F0A02" w:rsidRPr="0066103C" w:rsidRDefault="004F0A02" w:rsidP="004F0A02">
      <w:r w:rsidRPr="0066103C">
        <w:t>19–20 request for further interpretation</w:t>
      </w:r>
    </w:p>
    <w:p w:rsidR="004F0A02" w:rsidRPr="0066103C" w:rsidRDefault="00EF7541" w:rsidP="004F0A02">
      <w:r w:rsidRPr="0066103C">
        <w:tab/>
      </w:r>
      <w:r w:rsidR="004F0A02" w:rsidRPr="0066103C">
        <w:t>19 the fourth creature</w:t>
      </w:r>
    </w:p>
    <w:p w:rsidR="004F0A02" w:rsidRPr="0066103C" w:rsidRDefault="00EF7541" w:rsidP="004F0A02">
      <w:r w:rsidRPr="0066103C">
        <w:tab/>
      </w:r>
      <w:r w:rsidR="004F0A02" w:rsidRPr="0066103C">
        <w:t>20 the horns</w:t>
      </w:r>
    </w:p>
    <w:p w:rsidR="004F0A02" w:rsidRPr="0066103C" w:rsidRDefault="004F0A02" w:rsidP="004F0A02">
      <w:r w:rsidRPr="0066103C">
        <w:t>21–22 further vision report</w:t>
      </w:r>
    </w:p>
    <w:p w:rsidR="004F0A02" w:rsidRPr="0066103C" w:rsidRDefault="00EF7541" w:rsidP="004F0A02">
      <w:r w:rsidRPr="0066103C">
        <w:tab/>
      </w:r>
      <w:r w:rsidR="004F0A02" w:rsidRPr="0066103C">
        <w:t>21 the small horn’s behavior</w:t>
      </w:r>
    </w:p>
    <w:p w:rsidR="004F0A02" w:rsidRPr="0066103C" w:rsidRDefault="00EF7541" w:rsidP="004F0A02">
      <w:r w:rsidRPr="0066103C">
        <w:tab/>
      </w:r>
      <w:r w:rsidR="004F0A02" w:rsidRPr="0066103C">
        <w:t>22a the judgment</w:t>
      </w:r>
    </w:p>
    <w:p w:rsidR="004F0A02" w:rsidRPr="0066103C" w:rsidRDefault="00EF7541" w:rsidP="004F0A02">
      <w:r w:rsidRPr="0066103C">
        <w:tab/>
      </w:r>
      <w:r w:rsidR="004F0A02" w:rsidRPr="0066103C">
        <w:t>22b the new kingship</w:t>
      </w:r>
    </w:p>
    <w:p w:rsidR="004F0A02" w:rsidRPr="0066103C" w:rsidRDefault="004F0A02" w:rsidP="004F0A02">
      <w:r w:rsidRPr="0066103C">
        <w:t>23–27 detailed interpretation</w:t>
      </w:r>
    </w:p>
    <w:p w:rsidR="004F0A02" w:rsidRPr="0066103C" w:rsidRDefault="00EF7541" w:rsidP="004F0A02">
      <w:r w:rsidRPr="0066103C">
        <w:tab/>
      </w:r>
      <w:r w:rsidR="004F0A02" w:rsidRPr="0066103C">
        <w:t>23 the fourth kingship’s behavior</w:t>
      </w:r>
    </w:p>
    <w:p w:rsidR="004F0A02" w:rsidRPr="0066103C" w:rsidRDefault="00EF7541" w:rsidP="004F0A02">
      <w:r w:rsidRPr="0066103C">
        <w:tab/>
      </w:r>
      <w:r w:rsidR="004F0A02" w:rsidRPr="0066103C">
        <w:t>24–25 the new king’s behavior</w:t>
      </w:r>
    </w:p>
    <w:p w:rsidR="004F0A02" w:rsidRPr="0066103C" w:rsidRDefault="00EF7541" w:rsidP="004F0A02">
      <w:r w:rsidRPr="0066103C">
        <w:tab/>
      </w:r>
      <w:r w:rsidR="004F0A02" w:rsidRPr="0066103C">
        <w:t>26 his judgment</w:t>
      </w:r>
    </w:p>
    <w:p w:rsidR="004F0A02" w:rsidRPr="0066103C" w:rsidRDefault="00EF7541" w:rsidP="004F0A02">
      <w:r w:rsidRPr="0066103C">
        <w:tab/>
      </w:r>
      <w:r w:rsidR="004F0A02" w:rsidRPr="0066103C">
        <w:t>27 the new kingship</w:t>
      </w:r>
    </w:p>
    <w:p w:rsidR="004F0A02" w:rsidRPr="0066103C" w:rsidRDefault="004F0A02" w:rsidP="004F0A02">
      <w:r w:rsidRPr="0066103C">
        <w:t>28 conclusion</w:t>
      </w:r>
    </w:p>
    <w:p w:rsidR="004F0A02" w:rsidRPr="0066103C" w:rsidRDefault="00EF7541" w:rsidP="004F0A02">
      <w:r w:rsidRPr="0066103C">
        <w:tab/>
      </w:r>
      <w:r w:rsidR="004F0A02" w:rsidRPr="0066103C">
        <w:t>28a closing formula</w:t>
      </w:r>
    </w:p>
    <w:p w:rsidR="004F0A02" w:rsidRPr="0066103C" w:rsidRDefault="00EF7541" w:rsidP="004F0A02">
      <w:r w:rsidRPr="0066103C">
        <w:tab/>
      </w:r>
      <w:r w:rsidR="004F0A02" w:rsidRPr="0066103C">
        <w:t>28b the visionary’s response</w:t>
      </w:r>
    </w:p>
    <w:p w:rsidR="00FE0581" w:rsidRPr="0066103C" w:rsidRDefault="00FE0581" w:rsidP="004F0A02"/>
    <w:p w:rsidR="004F0A02" w:rsidRPr="0066103C" w:rsidRDefault="004F0A02" w:rsidP="004F0A02">
      <w:r w:rsidRPr="0066103C">
        <w:t>At a number of points, aspects of the vision are introduced by formulae:</w:t>
      </w:r>
    </w:p>
    <w:p w:rsidR="0041613B" w:rsidRPr="0066103C" w:rsidRDefault="0041613B" w:rsidP="004F0A02"/>
    <w:p w:rsidR="004F0A02" w:rsidRPr="0066103C" w:rsidRDefault="0041613B" w:rsidP="004F0A02">
      <w:r w:rsidRPr="0066103C">
        <w:t>v 2: </w:t>
      </w:r>
      <w:r w:rsidR="004F0A02" w:rsidRPr="0066103C">
        <w:t>“as I watched</w:t>
      </w:r>
      <w:r w:rsidRPr="0066103C">
        <w:t xml:space="preserve"> in my vision during the night, </w:t>
      </w:r>
      <w:r w:rsidR="004F0A02" w:rsidRPr="0066103C">
        <w:t>there before me . . .”</w:t>
      </w:r>
    </w:p>
    <w:p w:rsidR="004F0A02" w:rsidRPr="0066103C" w:rsidRDefault="0041613B" w:rsidP="004F0A02">
      <w:r w:rsidRPr="0066103C">
        <w:t xml:space="preserve">v 4b: </w:t>
      </w:r>
      <w:r w:rsidR="004F0A02" w:rsidRPr="0066103C">
        <w:t>“I watched as . . .” (cf. vv 9, 21–22; also 2:34)</w:t>
      </w:r>
    </w:p>
    <w:p w:rsidR="004F0A02" w:rsidRPr="0066103C" w:rsidRDefault="0041613B" w:rsidP="004F0A02">
      <w:r w:rsidRPr="0066103C">
        <w:t>v 5: </w:t>
      </w:r>
      <w:r w:rsidR="004F0A02" w:rsidRPr="0066103C">
        <w:t>“then there before me . . .” (cf. v 8b)</w:t>
      </w:r>
    </w:p>
    <w:p w:rsidR="004F0A02" w:rsidRPr="0066103C" w:rsidRDefault="0041613B" w:rsidP="004F0A02">
      <w:r w:rsidRPr="0066103C">
        <w:t>v 6: </w:t>
      </w:r>
      <w:r w:rsidR="004F0A02" w:rsidRPr="0066103C">
        <w:t>“after that I watched and there before me . . .”</w:t>
      </w:r>
    </w:p>
    <w:p w:rsidR="004F0A02" w:rsidRPr="0066103C" w:rsidRDefault="0041613B" w:rsidP="004F0A02">
      <w:r w:rsidRPr="0066103C">
        <w:t>v 7: </w:t>
      </w:r>
      <w:r w:rsidR="004F0A02" w:rsidRPr="0066103C">
        <w:t>“after that, as I watched in the vision by night, there before me . . .”</w:t>
      </w:r>
    </w:p>
    <w:p w:rsidR="004F0A02" w:rsidRPr="0066103C" w:rsidRDefault="0041613B" w:rsidP="004F0A02">
      <w:r w:rsidRPr="0066103C">
        <w:t>v 8: </w:t>
      </w:r>
      <w:r w:rsidR="004F0A02" w:rsidRPr="0066103C">
        <w:t>“as I looked . . . there before me . . .”</w:t>
      </w:r>
    </w:p>
    <w:p w:rsidR="004F0A02" w:rsidRPr="0066103C" w:rsidRDefault="0041613B" w:rsidP="004F0A02">
      <w:r w:rsidRPr="0066103C">
        <w:t>v 11: </w:t>
      </w:r>
      <w:r w:rsidR="004F0A02" w:rsidRPr="0066103C">
        <w:t>“I watched then . . . I watched as . . .”</w:t>
      </w:r>
    </w:p>
    <w:p w:rsidR="004F0A02" w:rsidRPr="0066103C" w:rsidRDefault="0041613B" w:rsidP="004F0A02">
      <w:r w:rsidRPr="0066103C">
        <w:t>v 13: </w:t>
      </w:r>
      <w:r w:rsidR="004F0A02" w:rsidRPr="0066103C">
        <w:t>“as I watched in the vision by night, there before me . . .”</w:t>
      </w:r>
    </w:p>
    <w:p w:rsidR="0041613B" w:rsidRPr="0066103C" w:rsidRDefault="0041613B" w:rsidP="004F0A02"/>
    <w:p w:rsidR="004F0A02" w:rsidRPr="0066103C" w:rsidRDefault="004F0A02" w:rsidP="004F0A02">
      <w:r w:rsidRPr="0066103C">
        <w:t>The formula</w:t>
      </w:r>
      <w:r w:rsidR="0041613B" w:rsidRPr="0066103C">
        <w:t>e comprise stock phrases</w:t>
      </w:r>
      <w:r w:rsidRPr="0066103C">
        <w:t xml:space="preserve"> used in varying combinations; further variants appear in 2:31 (= 4:</w:t>
      </w:r>
      <w:r w:rsidR="0041613B" w:rsidRPr="0066103C">
        <w:t>10 [7]); 4:13 [10</w:t>
      </w:r>
      <w:r w:rsidRPr="0066103C">
        <w:t xml:space="preserve">]; and </w:t>
      </w:r>
      <w:r w:rsidR="00340E4D" w:rsidRPr="0066103C">
        <w:t>(</w:t>
      </w:r>
      <w:r w:rsidRPr="0066103C">
        <w:t>in Hebr</w:t>
      </w:r>
      <w:r w:rsidR="0041613B" w:rsidRPr="0066103C">
        <w:t>ew</w:t>
      </w:r>
      <w:r w:rsidR="00340E4D" w:rsidRPr="0066103C">
        <w:t>)</w:t>
      </w:r>
      <w:r w:rsidR="0041613B" w:rsidRPr="0066103C">
        <w:t xml:space="preserve"> 8:3, 5, 15. The phrases </w:t>
      </w:r>
      <w:r w:rsidRPr="0066103C">
        <w:t>end</w:t>
      </w:r>
      <w:r w:rsidR="0041613B" w:rsidRPr="0066103C">
        <w:t>ing</w:t>
      </w:r>
      <w:r w:rsidRPr="0066103C">
        <w:t xml:space="preserve"> with the conjunctive expression די </w:t>
      </w:r>
      <w:r w:rsidR="0041613B" w:rsidRPr="0066103C">
        <w:rPr>
          <w:rFonts w:ascii="Arial" w:hAnsi="Arial" w:cs="Arial"/>
        </w:rPr>
        <w:t>עד</w:t>
      </w:r>
      <w:r w:rsidR="0041613B" w:rsidRPr="0066103C">
        <w:t xml:space="preserve"> </w:t>
      </w:r>
      <w:r w:rsidRPr="0066103C">
        <w:t>“as” are naturally followed by a verbal claus</w:t>
      </w:r>
      <w:r w:rsidR="0041613B" w:rsidRPr="0066103C">
        <w:t>e; they introduce an event. The phrases</w:t>
      </w:r>
      <w:r w:rsidRPr="0066103C">
        <w:t xml:space="preserve"> end</w:t>
      </w:r>
      <w:r w:rsidR="0041613B" w:rsidRPr="0066103C">
        <w:t>ing</w:t>
      </w:r>
      <w:r w:rsidRPr="0066103C">
        <w:t xml:space="preserve"> with the particles אלו/ארו “there before me” are generally followed by a noun claus</w:t>
      </w:r>
      <w:r w:rsidR="0041613B" w:rsidRPr="0066103C">
        <w:t>e; they introduce a new scene. There are partial exceptions</w:t>
      </w:r>
      <w:r w:rsidRPr="0066103C">
        <w:t xml:space="preserve"> in vv 8 and 13, where the particles introduce new scenes; but these involve events, expressed in verbal clauses (cf. the mixture of verbal and noun clauses in a comparable context after והנה “there before me” in Joseph’s dream report, Gen 37</w:t>
      </w:r>
      <w:r w:rsidR="00340E4D" w:rsidRPr="0066103C">
        <w:t xml:space="preserve">:6–9). The formulae </w:t>
      </w:r>
      <w:r w:rsidRPr="0066103C">
        <w:t>introduce each element in the vision report in vv 2b–14 (a</w:t>
      </w:r>
      <w:r w:rsidR="0041613B" w:rsidRPr="0066103C">
        <w:t>nd 21–22)</w:t>
      </w:r>
      <w:r w:rsidRPr="0066103C">
        <w:t xml:space="preserve">, except that vv 4 and 12 </w:t>
      </w:r>
      <w:r w:rsidR="0041613B" w:rsidRPr="0066103C">
        <w:t xml:space="preserve">(both </w:t>
      </w:r>
      <w:r w:rsidRPr="0066103C">
        <w:t>relati</w:t>
      </w:r>
      <w:r w:rsidR="0041613B" w:rsidRPr="0066103C">
        <w:t>ng to the first three creatures)</w:t>
      </w:r>
      <w:r w:rsidRPr="0066103C">
        <w:t xml:space="preserve"> lack formulae, while a formula </w:t>
      </w:r>
      <w:r w:rsidR="0041613B" w:rsidRPr="0066103C">
        <w:t>does appear in v 4b; s</w:t>
      </w:r>
      <w:r w:rsidRPr="0066103C">
        <w:t>o</w:t>
      </w:r>
      <w:r w:rsidR="00340E4D" w:rsidRPr="0066103C">
        <w:t xml:space="preserve">me of the variation </w:t>
      </w:r>
      <w:r w:rsidRPr="0066103C">
        <w:t xml:space="preserve">is of rhetorical significance. The vision report appropriately opens with a long formula, and the fourth creature is advertised to be of special significance by a particularly long and resumptive </w:t>
      </w:r>
      <w:r w:rsidRPr="0066103C">
        <w:lastRenderedPageBreak/>
        <w:t>formula (v 7). The same effect is achieved for the small horn by the use of a different and stronger verb and a different particle, which is repeated (v 8). As the judgment presaged by vv 9–10 is awaited, v 11 uses a complex repetitive/resumptive version of the formula to heighten suspense. The final climax of the vision is marked by a further long and resumptive formula (v 13).</w:t>
      </w:r>
    </w:p>
    <w:p w:rsidR="00FA4CAC" w:rsidRPr="0066103C" w:rsidRDefault="0041613B" w:rsidP="004F0A02">
      <w:r w:rsidRPr="0066103C">
        <w:t>T</w:t>
      </w:r>
      <w:r w:rsidR="004F0A02" w:rsidRPr="0066103C">
        <w:t>he variation in the use of formulae in vv 2–6 seems to be stylistic. Here and elsewhere the vision buil</w:t>
      </w:r>
      <w:r w:rsidR="00211681">
        <w:t>ds drama and impact through a number</w:t>
      </w:r>
      <w:r w:rsidR="004F0A02" w:rsidRPr="0066103C">
        <w:t xml:space="preserve"> of other devices. The description of the first three creatures is heightened by the use of simile and concrete characterization. To us it is allusive and mysterio</w:t>
      </w:r>
      <w:r w:rsidRPr="0066103C">
        <w:t xml:space="preserve">us, and it may </w:t>
      </w:r>
      <w:r w:rsidR="00211681">
        <w:t>have been so for its original listeners</w:t>
      </w:r>
      <w:r w:rsidR="004F0A02" w:rsidRPr="0066103C">
        <w:t>. The relatively less colorful description of the third creature is counterbalanced by the use of one of the longer formulae to introduce it. The centerpiece and the final climax of the symbolic vision are marked by the use of poetic parallelism and rhythm, repetition, assonance, and hendiadys</w:t>
      </w:r>
      <w:r w:rsidR="00D30879" w:rsidRPr="0066103C">
        <w:t xml:space="preserve"> (vv 9–10, 13–14; see esp.</w:t>
      </w:r>
      <w:r w:rsidR="004F0A02" w:rsidRPr="0066103C">
        <w:t xml:space="preserve"> the close parallelism in vv 9b, 9c, 10b, 10c, 14b). Considered in isolation, vv 9–10 </w:t>
      </w:r>
      <w:r w:rsidR="00C50FFC" w:rsidRPr="0066103C">
        <w:t>at least might be seen as a self-contained piece of</w:t>
      </w:r>
      <w:r w:rsidR="004F0A02" w:rsidRPr="0066103C">
        <w:t xml:space="preserve"> poetry,</w:t>
      </w:r>
      <w:r w:rsidRPr="0066103C">
        <w:rPr>
          <w:rStyle w:val="FootnoteReference"/>
        </w:rPr>
        <w:footnoteReference w:id="55"/>
      </w:r>
      <w:r w:rsidR="004F0A02" w:rsidRPr="0066103C">
        <w:t xml:space="preserve"> but in the context of Dan 7 as a whole with its movement into and out of a mor</w:t>
      </w:r>
      <w:r w:rsidR="00FA4CAC" w:rsidRPr="0066103C">
        <w:t>e rhythmic and poetic prosody, these verses represent</w:t>
      </w:r>
      <w:r w:rsidR="004F0A02" w:rsidRPr="0066103C">
        <w:t xml:space="preserve"> one end of a spectrum of more poetic and more prosaic language.</w:t>
      </w:r>
    </w:p>
    <w:p w:rsidR="004F0A02" w:rsidRPr="0066103C" w:rsidRDefault="004F0A02" w:rsidP="004F0A02">
      <w:r w:rsidRPr="0066103C">
        <w:t xml:space="preserve"> In vv 13–14, the creatures coming from the sea are balanced by the human figure coming with the clouds of heaven; the two correspond to the characteristic OT and ancient Near Ea</w:t>
      </w:r>
      <w:r w:rsidR="00FE0581" w:rsidRPr="0066103C">
        <w:t>stern antithesis between tumultuous</w:t>
      </w:r>
      <w:r w:rsidRPr="0066103C">
        <w:t xml:space="preserve"> waters/kings and heaven</w:t>
      </w:r>
      <w:r w:rsidR="00FA4CAC" w:rsidRPr="0066103C">
        <w:t>s</w:t>
      </w:r>
      <w:r w:rsidRPr="0066103C">
        <w:t>/Yahweh’s anointed. The gifts of humanness and authority (vv 4, 6) reach mature though transformed expression in the humanness and authority of the heavenly figure.</w:t>
      </w:r>
    </w:p>
    <w:p w:rsidR="004F0A02" w:rsidRPr="0066103C" w:rsidRDefault="004F0A02" w:rsidP="004F0A02">
      <w:r w:rsidRPr="0066103C">
        <w:t xml:space="preserve">After this high point, the account of Daniel’s reaction and his request for interpretation increases suspense and focuses attention on what follows. This effect is furthered first by the provision of the merest framework of interpretation, silent on the details that most concern people in the second century (vv 17–18), then by the request for more interpretation, which itself unexpectedly provides further information on the symbolic vision itself (the bronze claws, v 19; the small horn’s larger appearance, </w:t>
      </w:r>
      <w:r w:rsidR="00FA4CAC" w:rsidRPr="0066103C">
        <w:t xml:space="preserve">v 20), then by a further </w:t>
      </w:r>
      <w:r w:rsidRPr="0066103C">
        <w:t xml:space="preserve">vision report adding more such information (vv 21–22). The final section of the </w:t>
      </w:r>
      <w:r w:rsidR="00FA4CAC" w:rsidRPr="0066103C">
        <w:t xml:space="preserve">interpretive vision, vv 23–27, </w:t>
      </w:r>
      <w:r w:rsidRPr="0066103C">
        <w:t>brings another climax with its most detailed and explicit portrayal of Antiochus and of</w:t>
      </w:r>
      <w:r w:rsidR="00FA4CAC" w:rsidRPr="0066103C">
        <w:t xml:space="preserve"> the kingship of the holy ones</w:t>
      </w:r>
      <w:r w:rsidR="00211681">
        <w:t>,</w:t>
      </w:r>
      <w:r w:rsidR="00FA4CAC" w:rsidRPr="0066103C">
        <w:t xml:space="preserve"> and </w:t>
      </w:r>
      <w:r w:rsidR="00211681">
        <w:t xml:space="preserve">it </w:t>
      </w:r>
      <w:r w:rsidRPr="0066103C">
        <w:t>draws attention to its significance by using language elabor</w:t>
      </w:r>
      <w:r w:rsidR="00FA4CAC" w:rsidRPr="0066103C">
        <w:t>ately rather than economically. It employs</w:t>
      </w:r>
      <w:r w:rsidRPr="0066103C">
        <w:t xml:space="preserve"> strings of terms of synonymous or overlapping meaning, and partly rhyming verbs (v 23), nouns (v 27), and purpose clauses (v 26), and building up a rhythm by sequences of clauses of parallel imagery, sy</w:t>
      </w:r>
      <w:r w:rsidR="00FA4CAC" w:rsidRPr="0066103C">
        <w:t>ntax, or language (vv 25a, 27b).</w:t>
      </w:r>
      <w:r w:rsidR="00FA4CAC" w:rsidRPr="0066103C">
        <w:rPr>
          <w:rStyle w:val="FootnoteReference"/>
        </w:rPr>
        <w:footnoteReference w:id="56"/>
      </w:r>
      <w:r w:rsidR="00211681">
        <w:t xml:space="preserve"> Thus here, too, the lines can be laid out as poetry.</w:t>
      </w:r>
    </w:p>
    <w:p w:rsidR="004F0A02" w:rsidRPr="0066103C" w:rsidRDefault="004F0A02" w:rsidP="004F0A02">
      <w:r w:rsidRPr="0066103C">
        <w:t>The vision’s c</w:t>
      </w:r>
      <w:r w:rsidR="00FA4CAC" w:rsidRPr="0066103C">
        <w:t xml:space="preserve">ontents and meaning are </w:t>
      </w:r>
      <w:r w:rsidRPr="0066103C">
        <w:t>repeated four times, in vv 2–14 (symbolic vision), 17–18 (framework of interpretation), 19–22 (further symbolic vision material), and 23–27 (interpretation of that detail). Synoptically, they comprise the following elements:</w:t>
      </w:r>
    </w:p>
    <w:p w:rsidR="00FA4CAC" w:rsidRPr="0066103C" w:rsidRDefault="00FA4CAC" w:rsidP="00FA4CAC">
      <w:pPr>
        <w:ind w:firstLine="0"/>
      </w:pPr>
    </w:p>
    <w:tbl>
      <w:tblPr>
        <w:tblW w:w="10362" w:type="dxa"/>
        <w:tblLook w:val="04A0" w:firstRow="1" w:lastRow="0" w:firstColumn="1" w:lastColumn="0" w:noHBand="0" w:noVBand="1"/>
      </w:tblPr>
      <w:tblGrid>
        <w:gridCol w:w="828"/>
        <w:gridCol w:w="3150"/>
        <w:gridCol w:w="1596"/>
        <w:gridCol w:w="1596"/>
        <w:gridCol w:w="1596"/>
        <w:gridCol w:w="1596"/>
      </w:tblGrid>
      <w:tr w:rsidR="004F0A02" w:rsidRPr="0066103C" w:rsidTr="00FA4CAC">
        <w:tc>
          <w:tcPr>
            <w:tcW w:w="828" w:type="dxa"/>
          </w:tcPr>
          <w:p w:rsidR="004F0A02" w:rsidRPr="0066103C" w:rsidRDefault="004F0A02" w:rsidP="00FA4CAC">
            <w:pPr>
              <w:ind w:right="-60" w:firstLine="0"/>
            </w:pPr>
            <w:r w:rsidRPr="0066103C">
              <w:t>A</w:t>
            </w:r>
          </w:p>
        </w:tc>
        <w:tc>
          <w:tcPr>
            <w:tcW w:w="3150" w:type="dxa"/>
          </w:tcPr>
          <w:p w:rsidR="004F0A02" w:rsidRPr="0066103C" w:rsidRDefault="004F0A02" w:rsidP="00FA4CAC">
            <w:pPr>
              <w:ind w:right="-60" w:firstLine="0"/>
            </w:pPr>
            <w:r w:rsidRPr="0066103C">
              <w:t>four animals/kings</w:t>
            </w:r>
          </w:p>
        </w:tc>
        <w:tc>
          <w:tcPr>
            <w:tcW w:w="1596" w:type="dxa"/>
          </w:tcPr>
          <w:p w:rsidR="004F0A02" w:rsidRPr="0066103C" w:rsidRDefault="004F0A02" w:rsidP="00FA4CAC">
            <w:pPr>
              <w:ind w:firstLine="0"/>
            </w:pPr>
            <w:r w:rsidRPr="0066103C">
              <w:t>2b–3</w:t>
            </w:r>
          </w:p>
        </w:tc>
        <w:tc>
          <w:tcPr>
            <w:tcW w:w="1596" w:type="dxa"/>
          </w:tcPr>
          <w:p w:rsidR="004F0A02" w:rsidRPr="0066103C" w:rsidRDefault="004F0A02" w:rsidP="00FA4CAC">
            <w:pPr>
              <w:ind w:firstLine="0"/>
            </w:pPr>
            <w:r w:rsidRPr="0066103C">
              <w:t>17</w:t>
            </w:r>
          </w:p>
        </w:tc>
        <w:tc>
          <w:tcPr>
            <w:tcW w:w="1596" w:type="dxa"/>
          </w:tcPr>
          <w:p w:rsidR="004F0A02" w:rsidRPr="0066103C" w:rsidRDefault="004F0A02" w:rsidP="00FA4CAC">
            <w:pPr>
              <w:ind w:firstLine="0"/>
            </w:pPr>
            <w:r w:rsidRPr="0066103C">
              <w:t> </w:t>
            </w:r>
          </w:p>
        </w:tc>
        <w:tc>
          <w:tcPr>
            <w:tcW w:w="1596" w:type="dxa"/>
          </w:tcPr>
          <w:p w:rsidR="004F0A02" w:rsidRPr="0066103C" w:rsidRDefault="004F0A02" w:rsidP="00FA4CAC">
            <w:pPr>
              <w:ind w:firstLine="0"/>
            </w:pPr>
            <w:r w:rsidRPr="0066103C">
              <w:t> </w:t>
            </w:r>
          </w:p>
        </w:tc>
      </w:tr>
      <w:tr w:rsidR="004F0A02" w:rsidRPr="0066103C" w:rsidTr="00FA4CAC">
        <w:tc>
          <w:tcPr>
            <w:tcW w:w="828" w:type="dxa"/>
          </w:tcPr>
          <w:p w:rsidR="004F0A02" w:rsidRPr="0066103C" w:rsidRDefault="004F0A02" w:rsidP="00FA4CAC">
            <w:pPr>
              <w:ind w:right="-60" w:firstLine="0"/>
            </w:pPr>
            <w:r w:rsidRPr="0066103C">
              <w:t> </w:t>
            </w:r>
          </w:p>
        </w:tc>
        <w:tc>
          <w:tcPr>
            <w:tcW w:w="3150" w:type="dxa"/>
          </w:tcPr>
          <w:p w:rsidR="004F0A02" w:rsidRPr="0066103C" w:rsidRDefault="00FA4CAC" w:rsidP="00FA4CAC">
            <w:pPr>
              <w:ind w:right="-60" w:firstLine="0"/>
            </w:pPr>
            <w:r w:rsidRPr="0066103C">
              <w:t xml:space="preserve">   </w:t>
            </w:r>
            <w:r w:rsidR="004F0A02" w:rsidRPr="0066103C">
              <w:t>lion-eagle-man</w:t>
            </w:r>
          </w:p>
        </w:tc>
        <w:tc>
          <w:tcPr>
            <w:tcW w:w="1596" w:type="dxa"/>
          </w:tcPr>
          <w:p w:rsidR="004F0A02" w:rsidRPr="0066103C" w:rsidRDefault="004F0A02" w:rsidP="00FA4CAC">
            <w:pPr>
              <w:ind w:firstLine="0"/>
            </w:pPr>
            <w:r w:rsidRPr="0066103C">
              <w:t>4</w:t>
            </w:r>
          </w:p>
        </w:tc>
        <w:tc>
          <w:tcPr>
            <w:tcW w:w="1596" w:type="dxa"/>
          </w:tcPr>
          <w:p w:rsidR="004F0A02" w:rsidRPr="0066103C" w:rsidRDefault="004F0A02" w:rsidP="00FA4CAC">
            <w:pPr>
              <w:ind w:firstLine="0"/>
            </w:pPr>
            <w:r w:rsidRPr="0066103C">
              <w:t> </w:t>
            </w:r>
          </w:p>
        </w:tc>
        <w:tc>
          <w:tcPr>
            <w:tcW w:w="1596" w:type="dxa"/>
          </w:tcPr>
          <w:p w:rsidR="004F0A02" w:rsidRPr="0066103C" w:rsidRDefault="004F0A02" w:rsidP="00FA4CAC">
            <w:pPr>
              <w:ind w:firstLine="0"/>
            </w:pPr>
            <w:r w:rsidRPr="0066103C">
              <w:t> </w:t>
            </w:r>
          </w:p>
        </w:tc>
        <w:tc>
          <w:tcPr>
            <w:tcW w:w="1596" w:type="dxa"/>
          </w:tcPr>
          <w:p w:rsidR="004F0A02" w:rsidRPr="0066103C" w:rsidRDefault="004F0A02" w:rsidP="00FA4CAC">
            <w:pPr>
              <w:ind w:firstLine="0"/>
            </w:pPr>
            <w:r w:rsidRPr="0066103C">
              <w:t> </w:t>
            </w:r>
          </w:p>
        </w:tc>
      </w:tr>
      <w:tr w:rsidR="004F0A02" w:rsidRPr="0066103C" w:rsidTr="00FA4CAC">
        <w:tc>
          <w:tcPr>
            <w:tcW w:w="828" w:type="dxa"/>
          </w:tcPr>
          <w:p w:rsidR="004F0A02" w:rsidRPr="0066103C" w:rsidRDefault="004F0A02" w:rsidP="00FA4CAC">
            <w:pPr>
              <w:ind w:right="-60" w:firstLine="0"/>
            </w:pPr>
            <w:r w:rsidRPr="0066103C">
              <w:t> </w:t>
            </w:r>
          </w:p>
        </w:tc>
        <w:tc>
          <w:tcPr>
            <w:tcW w:w="3150" w:type="dxa"/>
          </w:tcPr>
          <w:p w:rsidR="004F0A02" w:rsidRPr="0066103C" w:rsidRDefault="00FA4CAC" w:rsidP="00FA4CAC">
            <w:pPr>
              <w:ind w:right="-60" w:firstLine="0"/>
            </w:pPr>
            <w:r w:rsidRPr="0066103C">
              <w:t xml:space="preserve">   </w:t>
            </w:r>
            <w:r w:rsidR="004F0A02" w:rsidRPr="0066103C">
              <w:t>bear</w:t>
            </w:r>
          </w:p>
        </w:tc>
        <w:tc>
          <w:tcPr>
            <w:tcW w:w="1596" w:type="dxa"/>
          </w:tcPr>
          <w:p w:rsidR="004F0A02" w:rsidRPr="0066103C" w:rsidRDefault="004F0A02" w:rsidP="00FA4CAC">
            <w:pPr>
              <w:ind w:firstLine="0"/>
            </w:pPr>
            <w:r w:rsidRPr="0066103C">
              <w:t>5</w:t>
            </w:r>
          </w:p>
        </w:tc>
        <w:tc>
          <w:tcPr>
            <w:tcW w:w="1596" w:type="dxa"/>
          </w:tcPr>
          <w:p w:rsidR="004F0A02" w:rsidRPr="0066103C" w:rsidRDefault="004F0A02" w:rsidP="00FA4CAC">
            <w:pPr>
              <w:ind w:firstLine="0"/>
            </w:pPr>
            <w:r w:rsidRPr="0066103C">
              <w:t> </w:t>
            </w:r>
          </w:p>
        </w:tc>
        <w:tc>
          <w:tcPr>
            <w:tcW w:w="1596" w:type="dxa"/>
          </w:tcPr>
          <w:p w:rsidR="004F0A02" w:rsidRPr="0066103C" w:rsidRDefault="004F0A02" w:rsidP="00FA4CAC">
            <w:pPr>
              <w:ind w:firstLine="0"/>
            </w:pPr>
            <w:r w:rsidRPr="0066103C">
              <w:t> </w:t>
            </w:r>
          </w:p>
        </w:tc>
        <w:tc>
          <w:tcPr>
            <w:tcW w:w="1596" w:type="dxa"/>
          </w:tcPr>
          <w:p w:rsidR="004F0A02" w:rsidRPr="0066103C" w:rsidRDefault="004F0A02" w:rsidP="00FA4CAC">
            <w:pPr>
              <w:ind w:firstLine="0"/>
            </w:pPr>
            <w:r w:rsidRPr="0066103C">
              <w:t> </w:t>
            </w:r>
          </w:p>
        </w:tc>
      </w:tr>
      <w:tr w:rsidR="004F0A02" w:rsidRPr="0066103C" w:rsidTr="00FA4CAC">
        <w:tc>
          <w:tcPr>
            <w:tcW w:w="828" w:type="dxa"/>
          </w:tcPr>
          <w:p w:rsidR="004F0A02" w:rsidRPr="0066103C" w:rsidRDefault="004F0A02" w:rsidP="00FA4CAC">
            <w:pPr>
              <w:ind w:right="-60" w:firstLine="0"/>
            </w:pPr>
            <w:r w:rsidRPr="0066103C">
              <w:t> </w:t>
            </w:r>
          </w:p>
        </w:tc>
        <w:tc>
          <w:tcPr>
            <w:tcW w:w="3150" w:type="dxa"/>
          </w:tcPr>
          <w:p w:rsidR="004F0A02" w:rsidRPr="0066103C" w:rsidRDefault="00FA4CAC" w:rsidP="00FA4CAC">
            <w:pPr>
              <w:ind w:right="-60" w:firstLine="0"/>
            </w:pPr>
            <w:r w:rsidRPr="0066103C">
              <w:t xml:space="preserve">   four-headed winged leopard</w:t>
            </w:r>
          </w:p>
        </w:tc>
        <w:tc>
          <w:tcPr>
            <w:tcW w:w="1596" w:type="dxa"/>
          </w:tcPr>
          <w:p w:rsidR="004F0A02" w:rsidRPr="0066103C" w:rsidRDefault="004F0A02" w:rsidP="00FA4CAC">
            <w:pPr>
              <w:ind w:firstLine="0"/>
            </w:pPr>
            <w:r w:rsidRPr="0066103C">
              <w:t>6</w:t>
            </w:r>
          </w:p>
        </w:tc>
        <w:tc>
          <w:tcPr>
            <w:tcW w:w="1596" w:type="dxa"/>
          </w:tcPr>
          <w:p w:rsidR="004F0A02" w:rsidRPr="0066103C" w:rsidRDefault="004F0A02" w:rsidP="00FA4CAC">
            <w:pPr>
              <w:ind w:firstLine="0"/>
            </w:pPr>
            <w:r w:rsidRPr="0066103C">
              <w:t> </w:t>
            </w:r>
          </w:p>
        </w:tc>
        <w:tc>
          <w:tcPr>
            <w:tcW w:w="1596" w:type="dxa"/>
          </w:tcPr>
          <w:p w:rsidR="004F0A02" w:rsidRPr="0066103C" w:rsidRDefault="004F0A02" w:rsidP="00FA4CAC">
            <w:pPr>
              <w:ind w:firstLine="0"/>
            </w:pPr>
            <w:r w:rsidRPr="0066103C">
              <w:t> </w:t>
            </w:r>
          </w:p>
        </w:tc>
        <w:tc>
          <w:tcPr>
            <w:tcW w:w="1596" w:type="dxa"/>
          </w:tcPr>
          <w:p w:rsidR="004F0A02" w:rsidRPr="0066103C" w:rsidRDefault="004F0A02" w:rsidP="00FA4CAC">
            <w:pPr>
              <w:ind w:firstLine="0"/>
            </w:pPr>
            <w:r w:rsidRPr="0066103C">
              <w:t> </w:t>
            </w:r>
          </w:p>
        </w:tc>
      </w:tr>
      <w:tr w:rsidR="004F0A02" w:rsidRPr="0066103C" w:rsidTr="00FA4CAC">
        <w:tc>
          <w:tcPr>
            <w:tcW w:w="828" w:type="dxa"/>
          </w:tcPr>
          <w:p w:rsidR="004F0A02" w:rsidRPr="0066103C" w:rsidRDefault="004F0A02" w:rsidP="00FA4CAC">
            <w:pPr>
              <w:ind w:right="-60" w:firstLine="0"/>
            </w:pPr>
            <w:r w:rsidRPr="0066103C">
              <w:t> </w:t>
            </w:r>
          </w:p>
        </w:tc>
        <w:tc>
          <w:tcPr>
            <w:tcW w:w="3150" w:type="dxa"/>
          </w:tcPr>
          <w:p w:rsidR="004F0A02" w:rsidRPr="0066103C" w:rsidRDefault="00FA4CAC" w:rsidP="00FA4CAC">
            <w:pPr>
              <w:ind w:right="-60" w:firstLine="0"/>
            </w:pPr>
            <w:r w:rsidRPr="0066103C">
              <w:t xml:space="preserve">   </w:t>
            </w:r>
            <w:r w:rsidR="004F0A02" w:rsidRPr="0066103C">
              <w:t>monster</w:t>
            </w:r>
          </w:p>
        </w:tc>
        <w:tc>
          <w:tcPr>
            <w:tcW w:w="1596" w:type="dxa"/>
          </w:tcPr>
          <w:p w:rsidR="004F0A02" w:rsidRPr="0066103C" w:rsidRDefault="004F0A02" w:rsidP="00FA4CAC">
            <w:pPr>
              <w:ind w:firstLine="0"/>
            </w:pPr>
            <w:r w:rsidRPr="0066103C">
              <w:t>7ab</w:t>
            </w:r>
          </w:p>
        </w:tc>
        <w:tc>
          <w:tcPr>
            <w:tcW w:w="1596" w:type="dxa"/>
          </w:tcPr>
          <w:p w:rsidR="004F0A02" w:rsidRPr="0066103C" w:rsidRDefault="004F0A02" w:rsidP="00FA4CAC">
            <w:pPr>
              <w:ind w:firstLine="0"/>
            </w:pPr>
            <w:r w:rsidRPr="0066103C">
              <w:t> </w:t>
            </w:r>
          </w:p>
        </w:tc>
        <w:tc>
          <w:tcPr>
            <w:tcW w:w="1596" w:type="dxa"/>
          </w:tcPr>
          <w:p w:rsidR="004F0A02" w:rsidRPr="0066103C" w:rsidRDefault="004F0A02" w:rsidP="00FA4CAC">
            <w:pPr>
              <w:ind w:firstLine="0"/>
            </w:pPr>
            <w:r w:rsidRPr="0066103C">
              <w:t>19</w:t>
            </w:r>
          </w:p>
        </w:tc>
        <w:tc>
          <w:tcPr>
            <w:tcW w:w="1596" w:type="dxa"/>
          </w:tcPr>
          <w:p w:rsidR="004F0A02" w:rsidRPr="0066103C" w:rsidRDefault="004F0A02" w:rsidP="00FA4CAC">
            <w:pPr>
              <w:ind w:firstLine="0"/>
            </w:pPr>
            <w:r w:rsidRPr="0066103C">
              <w:t>23</w:t>
            </w:r>
          </w:p>
        </w:tc>
      </w:tr>
      <w:tr w:rsidR="004F0A02" w:rsidRPr="0066103C" w:rsidTr="00FA4CAC">
        <w:tc>
          <w:tcPr>
            <w:tcW w:w="828" w:type="dxa"/>
          </w:tcPr>
          <w:p w:rsidR="004F0A02" w:rsidRPr="0066103C" w:rsidRDefault="004F0A02" w:rsidP="00FA4CAC">
            <w:pPr>
              <w:ind w:right="-60" w:firstLine="0"/>
            </w:pPr>
            <w:r w:rsidRPr="0066103C">
              <w:t>B</w:t>
            </w:r>
          </w:p>
        </w:tc>
        <w:tc>
          <w:tcPr>
            <w:tcW w:w="3150" w:type="dxa"/>
          </w:tcPr>
          <w:p w:rsidR="004F0A02" w:rsidRPr="0066103C" w:rsidRDefault="004F0A02" w:rsidP="00FA4CAC">
            <w:pPr>
              <w:ind w:right="-60" w:firstLine="0"/>
            </w:pPr>
            <w:r w:rsidRPr="0066103C">
              <w:t>ten horns/kings</w:t>
            </w:r>
          </w:p>
        </w:tc>
        <w:tc>
          <w:tcPr>
            <w:tcW w:w="1596" w:type="dxa"/>
          </w:tcPr>
          <w:p w:rsidR="004F0A02" w:rsidRPr="0066103C" w:rsidRDefault="004F0A02" w:rsidP="00FA4CAC">
            <w:pPr>
              <w:ind w:firstLine="0"/>
            </w:pPr>
            <w:r w:rsidRPr="0066103C">
              <w:t>7c</w:t>
            </w:r>
          </w:p>
        </w:tc>
        <w:tc>
          <w:tcPr>
            <w:tcW w:w="1596" w:type="dxa"/>
          </w:tcPr>
          <w:p w:rsidR="004F0A02" w:rsidRPr="0066103C" w:rsidRDefault="004F0A02" w:rsidP="00FA4CAC">
            <w:pPr>
              <w:ind w:firstLine="0"/>
            </w:pPr>
            <w:r w:rsidRPr="0066103C">
              <w:t> </w:t>
            </w:r>
          </w:p>
        </w:tc>
        <w:tc>
          <w:tcPr>
            <w:tcW w:w="1596" w:type="dxa"/>
          </w:tcPr>
          <w:p w:rsidR="004F0A02" w:rsidRPr="0066103C" w:rsidRDefault="004F0A02" w:rsidP="00FA4CAC">
            <w:pPr>
              <w:ind w:firstLine="0"/>
            </w:pPr>
            <w:r w:rsidRPr="0066103C">
              <w:t>20a</w:t>
            </w:r>
          </w:p>
        </w:tc>
        <w:tc>
          <w:tcPr>
            <w:tcW w:w="1596" w:type="dxa"/>
          </w:tcPr>
          <w:p w:rsidR="004F0A02" w:rsidRPr="0066103C" w:rsidRDefault="004F0A02" w:rsidP="00FA4CAC">
            <w:pPr>
              <w:ind w:firstLine="0"/>
            </w:pPr>
            <w:r w:rsidRPr="0066103C">
              <w:t>24a</w:t>
            </w:r>
          </w:p>
        </w:tc>
      </w:tr>
      <w:tr w:rsidR="004F0A02" w:rsidRPr="0066103C" w:rsidTr="00FA4CAC">
        <w:tc>
          <w:tcPr>
            <w:tcW w:w="828" w:type="dxa"/>
          </w:tcPr>
          <w:p w:rsidR="004F0A02" w:rsidRPr="0066103C" w:rsidRDefault="004F0A02" w:rsidP="00FA4CAC">
            <w:pPr>
              <w:ind w:right="-60" w:firstLine="0"/>
            </w:pPr>
            <w:r w:rsidRPr="0066103C">
              <w:t>C</w:t>
            </w:r>
          </w:p>
        </w:tc>
        <w:tc>
          <w:tcPr>
            <w:tcW w:w="3150" w:type="dxa"/>
          </w:tcPr>
          <w:p w:rsidR="004F0A02" w:rsidRPr="0066103C" w:rsidRDefault="004F0A02" w:rsidP="00FA4CAC">
            <w:pPr>
              <w:ind w:right="-60" w:firstLine="0"/>
            </w:pPr>
            <w:r w:rsidRPr="0066103C">
              <w:t>small horn/another king</w:t>
            </w:r>
          </w:p>
        </w:tc>
        <w:tc>
          <w:tcPr>
            <w:tcW w:w="1596" w:type="dxa"/>
          </w:tcPr>
          <w:p w:rsidR="004F0A02" w:rsidRPr="0066103C" w:rsidRDefault="004F0A02" w:rsidP="00FA4CAC">
            <w:pPr>
              <w:ind w:firstLine="0"/>
            </w:pPr>
            <w:r w:rsidRPr="0066103C">
              <w:t>8 (11a)</w:t>
            </w:r>
          </w:p>
        </w:tc>
        <w:tc>
          <w:tcPr>
            <w:tcW w:w="1596" w:type="dxa"/>
          </w:tcPr>
          <w:p w:rsidR="004F0A02" w:rsidRPr="0066103C" w:rsidRDefault="004F0A02" w:rsidP="00FA4CAC">
            <w:pPr>
              <w:ind w:firstLine="0"/>
            </w:pPr>
            <w:r w:rsidRPr="0066103C">
              <w:t> </w:t>
            </w:r>
          </w:p>
        </w:tc>
        <w:tc>
          <w:tcPr>
            <w:tcW w:w="1596" w:type="dxa"/>
          </w:tcPr>
          <w:p w:rsidR="004F0A02" w:rsidRPr="0066103C" w:rsidRDefault="004F0A02" w:rsidP="00FA4CAC">
            <w:pPr>
              <w:ind w:firstLine="0"/>
            </w:pPr>
            <w:r w:rsidRPr="0066103C">
              <w:t>20–21</w:t>
            </w:r>
          </w:p>
        </w:tc>
        <w:tc>
          <w:tcPr>
            <w:tcW w:w="1596" w:type="dxa"/>
          </w:tcPr>
          <w:p w:rsidR="004F0A02" w:rsidRPr="0066103C" w:rsidRDefault="004F0A02" w:rsidP="00FA4CAC">
            <w:pPr>
              <w:ind w:firstLine="0"/>
            </w:pPr>
            <w:r w:rsidRPr="0066103C">
              <w:t>24–25</w:t>
            </w:r>
          </w:p>
        </w:tc>
      </w:tr>
      <w:tr w:rsidR="004F0A02" w:rsidRPr="0066103C" w:rsidTr="00FA4CAC">
        <w:tc>
          <w:tcPr>
            <w:tcW w:w="828" w:type="dxa"/>
          </w:tcPr>
          <w:p w:rsidR="004F0A02" w:rsidRPr="0066103C" w:rsidRDefault="004F0A02" w:rsidP="00FA4CAC">
            <w:pPr>
              <w:ind w:right="-60" w:firstLine="0"/>
            </w:pPr>
            <w:r w:rsidRPr="0066103C">
              <w:t>D</w:t>
            </w:r>
          </w:p>
        </w:tc>
        <w:tc>
          <w:tcPr>
            <w:tcW w:w="3150" w:type="dxa"/>
          </w:tcPr>
          <w:p w:rsidR="004F0A02" w:rsidRPr="0066103C" w:rsidRDefault="004F0A02" w:rsidP="00FA4CAC">
            <w:pPr>
              <w:ind w:right="-60" w:firstLine="0"/>
            </w:pPr>
            <w:r w:rsidRPr="0066103C">
              <w:t>divine judgment</w:t>
            </w:r>
          </w:p>
        </w:tc>
        <w:tc>
          <w:tcPr>
            <w:tcW w:w="1596" w:type="dxa"/>
          </w:tcPr>
          <w:p w:rsidR="004F0A02" w:rsidRPr="0066103C" w:rsidRDefault="004F0A02" w:rsidP="00FA4CAC">
            <w:pPr>
              <w:ind w:firstLine="0"/>
            </w:pPr>
            <w:r w:rsidRPr="0066103C">
              <w:t>9–10</w:t>
            </w:r>
          </w:p>
        </w:tc>
        <w:tc>
          <w:tcPr>
            <w:tcW w:w="1596" w:type="dxa"/>
          </w:tcPr>
          <w:p w:rsidR="004F0A02" w:rsidRPr="0066103C" w:rsidRDefault="004F0A02" w:rsidP="00FA4CAC">
            <w:pPr>
              <w:ind w:firstLine="0"/>
            </w:pPr>
            <w:r w:rsidRPr="0066103C">
              <w:t> </w:t>
            </w:r>
          </w:p>
        </w:tc>
        <w:tc>
          <w:tcPr>
            <w:tcW w:w="1596" w:type="dxa"/>
          </w:tcPr>
          <w:p w:rsidR="004F0A02" w:rsidRPr="0066103C" w:rsidRDefault="004F0A02" w:rsidP="00FA4CAC">
            <w:pPr>
              <w:ind w:firstLine="0"/>
            </w:pPr>
            <w:r w:rsidRPr="0066103C">
              <w:t>22a</w:t>
            </w:r>
          </w:p>
        </w:tc>
        <w:tc>
          <w:tcPr>
            <w:tcW w:w="1596" w:type="dxa"/>
          </w:tcPr>
          <w:p w:rsidR="004F0A02" w:rsidRPr="0066103C" w:rsidRDefault="004F0A02" w:rsidP="00FA4CAC">
            <w:pPr>
              <w:ind w:firstLine="0"/>
            </w:pPr>
            <w:r w:rsidRPr="0066103C">
              <w:t>26a</w:t>
            </w:r>
          </w:p>
        </w:tc>
      </w:tr>
      <w:tr w:rsidR="004F0A02" w:rsidRPr="0066103C" w:rsidTr="00FA4CAC">
        <w:tc>
          <w:tcPr>
            <w:tcW w:w="828" w:type="dxa"/>
          </w:tcPr>
          <w:p w:rsidR="004F0A02" w:rsidRPr="0066103C" w:rsidRDefault="004F0A02" w:rsidP="00FA4CAC">
            <w:pPr>
              <w:ind w:right="-60" w:firstLine="0"/>
            </w:pPr>
            <w:r w:rsidRPr="0066103C">
              <w:t>E</w:t>
            </w:r>
          </w:p>
        </w:tc>
        <w:tc>
          <w:tcPr>
            <w:tcW w:w="3150" w:type="dxa"/>
          </w:tcPr>
          <w:p w:rsidR="004F0A02" w:rsidRPr="0066103C" w:rsidRDefault="004F0A02" w:rsidP="00FA4CAC">
            <w:pPr>
              <w:ind w:right="-60" w:firstLine="0"/>
            </w:pPr>
            <w:r w:rsidRPr="0066103C">
              <w:t>fourth animal destroyed</w:t>
            </w:r>
          </w:p>
        </w:tc>
        <w:tc>
          <w:tcPr>
            <w:tcW w:w="1596" w:type="dxa"/>
          </w:tcPr>
          <w:p w:rsidR="004F0A02" w:rsidRPr="0066103C" w:rsidRDefault="004F0A02" w:rsidP="00FA4CAC">
            <w:pPr>
              <w:ind w:firstLine="0"/>
            </w:pPr>
            <w:r w:rsidRPr="0066103C">
              <w:t>11b</w:t>
            </w:r>
          </w:p>
        </w:tc>
        <w:tc>
          <w:tcPr>
            <w:tcW w:w="1596" w:type="dxa"/>
          </w:tcPr>
          <w:p w:rsidR="004F0A02" w:rsidRPr="0066103C" w:rsidRDefault="004F0A02" w:rsidP="00FA4CAC">
            <w:pPr>
              <w:ind w:firstLine="0"/>
            </w:pPr>
            <w:r w:rsidRPr="0066103C">
              <w:t> </w:t>
            </w:r>
          </w:p>
        </w:tc>
        <w:tc>
          <w:tcPr>
            <w:tcW w:w="1596" w:type="dxa"/>
          </w:tcPr>
          <w:p w:rsidR="004F0A02" w:rsidRPr="0066103C" w:rsidRDefault="004F0A02" w:rsidP="00FA4CAC">
            <w:pPr>
              <w:ind w:firstLine="0"/>
            </w:pPr>
            <w:r w:rsidRPr="0066103C">
              <w:t> </w:t>
            </w:r>
          </w:p>
        </w:tc>
        <w:tc>
          <w:tcPr>
            <w:tcW w:w="1596" w:type="dxa"/>
          </w:tcPr>
          <w:p w:rsidR="004F0A02" w:rsidRPr="0066103C" w:rsidRDefault="004F0A02" w:rsidP="00FA4CAC">
            <w:pPr>
              <w:ind w:firstLine="0"/>
            </w:pPr>
            <w:r w:rsidRPr="0066103C">
              <w:t> </w:t>
            </w:r>
          </w:p>
        </w:tc>
      </w:tr>
      <w:tr w:rsidR="004F0A02" w:rsidRPr="0066103C" w:rsidTr="00FA4CAC">
        <w:tc>
          <w:tcPr>
            <w:tcW w:w="828" w:type="dxa"/>
          </w:tcPr>
          <w:p w:rsidR="004F0A02" w:rsidRPr="0066103C" w:rsidRDefault="004F0A02" w:rsidP="00FA4CAC">
            <w:pPr>
              <w:ind w:right="-60" w:firstLine="0"/>
            </w:pPr>
            <w:r w:rsidRPr="0066103C">
              <w:lastRenderedPageBreak/>
              <w:t>F</w:t>
            </w:r>
          </w:p>
        </w:tc>
        <w:tc>
          <w:tcPr>
            <w:tcW w:w="3150" w:type="dxa"/>
          </w:tcPr>
          <w:p w:rsidR="004F0A02" w:rsidRPr="0066103C" w:rsidRDefault="004F0A02" w:rsidP="00FA4CAC">
            <w:pPr>
              <w:ind w:right="-60" w:firstLine="0"/>
            </w:pPr>
            <w:r w:rsidRPr="0066103C">
              <w:t>small horn punished</w:t>
            </w:r>
          </w:p>
        </w:tc>
        <w:tc>
          <w:tcPr>
            <w:tcW w:w="1596" w:type="dxa"/>
          </w:tcPr>
          <w:p w:rsidR="004F0A02" w:rsidRPr="0066103C" w:rsidRDefault="004F0A02" w:rsidP="00FA4CAC">
            <w:pPr>
              <w:ind w:firstLine="0"/>
            </w:pPr>
            <w:r w:rsidRPr="0066103C">
              <w:t> </w:t>
            </w:r>
          </w:p>
        </w:tc>
        <w:tc>
          <w:tcPr>
            <w:tcW w:w="1596" w:type="dxa"/>
          </w:tcPr>
          <w:p w:rsidR="004F0A02" w:rsidRPr="0066103C" w:rsidRDefault="004F0A02" w:rsidP="00FA4CAC">
            <w:pPr>
              <w:ind w:firstLine="0"/>
            </w:pPr>
            <w:r w:rsidRPr="0066103C">
              <w:t> </w:t>
            </w:r>
          </w:p>
        </w:tc>
        <w:tc>
          <w:tcPr>
            <w:tcW w:w="1596" w:type="dxa"/>
          </w:tcPr>
          <w:p w:rsidR="004F0A02" w:rsidRPr="0066103C" w:rsidRDefault="004F0A02" w:rsidP="00FA4CAC">
            <w:pPr>
              <w:ind w:firstLine="0"/>
            </w:pPr>
            <w:r w:rsidRPr="0066103C">
              <w:t> </w:t>
            </w:r>
          </w:p>
        </w:tc>
        <w:tc>
          <w:tcPr>
            <w:tcW w:w="1596" w:type="dxa"/>
          </w:tcPr>
          <w:p w:rsidR="004F0A02" w:rsidRPr="0066103C" w:rsidRDefault="004F0A02" w:rsidP="00FA4CAC">
            <w:pPr>
              <w:ind w:firstLine="0"/>
            </w:pPr>
            <w:r w:rsidRPr="0066103C">
              <w:t>26</w:t>
            </w:r>
          </w:p>
        </w:tc>
      </w:tr>
      <w:tr w:rsidR="004F0A02" w:rsidRPr="0066103C" w:rsidTr="00FA4CAC">
        <w:tc>
          <w:tcPr>
            <w:tcW w:w="828" w:type="dxa"/>
          </w:tcPr>
          <w:p w:rsidR="004F0A02" w:rsidRPr="0066103C" w:rsidRDefault="004F0A02" w:rsidP="00FA4CAC">
            <w:pPr>
              <w:ind w:right="-60" w:firstLine="0"/>
            </w:pPr>
            <w:r w:rsidRPr="0066103C">
              <w:t>G</w:t>
            </w:r>
          </w:p>
        </w:tc>
        <w:tc>
          <w:tcPr>
            <w:tcW w:w="3150" w:type="dxa"/>
          </w:tcPr>
          <w:p w:rsidR="004F0A02" w:rsidRPr="0066103C" w:rsidRDefault="004F0A02" w:rsidP="00FA4CAC">
            <w:pPr>
              <w:ind w:right="-60" w:firstLine="0"/>
            </w:pPr>
            <w:r w:rsidRPr="0066103C">
              <w:t>first three animals deposed</w:t>
            </w:r>
          </w:p>
        </w:tc>
        <w:tc>
          <w:tcPr>
            <w:tcW w:w="1596" w:type="dxa"/>
          </w:tcPr>
          <w:p w:rsidR="004F0A02" w:rsidRPr="0066103C" w:rsidRDefault="004F0A02" w:rsidP="00FA4CAC">
            <w:pPr>
              <w:ind w:firstLine="0"/>
            </w:pPr>
            <w:r w:rsidRPr="0066103C">
              <w:t>12</w:t>
            </w:r>
          </w:p>
        </w:tc>
        <w:tc>
          <w:tcPr>
            <w:tcW w:w="1596" w:type="dxa"/>
          </w:tcPr>
          <w:p w:rsidR="004F0A02" w:rsidRPr="0066103C" w:rsidRDefault="004F0A02" w:rsidP="00FA4CAC">
            <w:pPr>
              <w:ind w:firstLine="0"/>
            </w:pPr>
            <w:r w:rsidRPr="0066103C">
              <w:t> </w:t>
            </w:r>
          </w:p>
        </w:tc>
        <w:tc>
          <w:tcPr>
            <w:tcW w:w="1596" w:type="dxa"/>
          </w:tcPr>
          <w:p w:rsidR="004F0A02" w:rsidRPr="0066103C" w:rsidRDefault="004F0A02" w:rsidP="00FA4CAC">
            <w:pPr>
              <w:ind w:firstLine="0"/>
            </w:pPr>
            <w:r w:rsidRPr="0066103C">
              <w:t> </w:t>
            </w:r>
          </w:p>
        </w:tc>
        <w:tc>
          <w:tcPr>
            <w:tcW w:w="1596" w:type="dxa"/>
          </w:tcPr>
          <w:p w:rsidR="004F0A02" w:rsidRPr="0066103C" w:rsidRDefault="004F0A02" w:rsidP="00FA4CAC">
            <w:pPr>
              <w:ind w:firstLine="0"/>
            </w:pPr>
            <w:r w:rsidRPr="0066103C">
              <w:t> </w:t>
            </w:r>
          </w:p>
        </w:tc>
      </w:tr>
      <w:tr w:rsidR="004F0A02" w:rsidRPr="0066103C" w:rsidTr="00FA4CAC">
        <w:tc>
          <w:tcPr>
            <w:tcW w:w="828" w:type="dxa"/>
          </w:tcPr>
          <w:p w:rsidR="004F0A02" w:rsidRPr="0066103C" w:rsidRDefault="004F0A02" w:rsidP="00FA4CAC">
            <w:pPr>
              <w:ind w:right="-60" w:firstLine="0"/>
            </w:pPr>
            <w:r w:rsidRPr="0066103C">
              <w:t>H</w:t>
            </w:r>
          </w:p>
        </w:tc>
        <w:tc>
          <w:tcPr>
            <w:tcW w:w="3150" w:type="dxa"/>
          </w:tcPr>
          <w:p w:rsidR="004F0A02" w:rsidRPr="0066103C" w:rsidRDefault="004F0A02" w:rsidP="00FA4CAC">
            <w:pPr>
              <w:ind w:right="-60" w:firstLine="0"/>
            </w:pPr>
            <w:r w:rsidRPr="0066103C">
              <w:t>human figure appears</w:t>
            </w:r>
          </w:p>
        </w:tc>
        <w:tc>
          <w:tcPr>
            <w:tcW w:w="1596" w:type="dxa"/>
          </w:tcPr>
          <w:p w:rsidR="004F0A02" w:rsidRPr="0066103C" w:rsidRDefault="004F0A02" w:rsidP="00FA4CAC">
            <w:pPr>
              <w:ind w:firstLine="0"/>
            </w:pPr>
            <w:r w:rsidRPr="0066103C">
              <w:t>13</w:t>
            </w:r>
          </w:p>
        </w:tc>
        <w:tc>
          <w:tcPr>
            <w:tcW w:w="1596" w:type="dxa"/>
          </w:tcPr>
          <w:p w:rsidR="004F0A02" w:rsidRPr="0066103C" w:rsidRDefault="004F0A02" w:rsidP="00FA4CAC">
            <w:pPr>
              <w:ind w:firstLine="0"/>
            </w:pPr>
            <w:r w:rsidRPr="0066103C">
              <w:t> </w:t>
            </w:r>
          </w:p>
        </w:tc>
        <w:tc>
          <w:tcPr>
            <w:tcW w:w="1596" w:type="dxa"/>
          </w:tcPr>
          <w:p w:rsidR="004F0A02" w:rsidRPr="0066103C" w:rsidRDefault="004F0A02" w:rsidP="00FA4CAC">
            <w:pPr>
              <w:ind w:firstLine="0"/>
            </w:pPr>
            <w:r w:rsidRPr="0066103C">
              <w:t> </w:t>
            </w:r>
          </w:p>
        </w:tc>
        <w:tc>
          <w:tcPr>
            <w:tcW w:w="1596" w:type="dxa"/>
          </w:tcPr>
          <w:p w:rsidR="004F0A02" w:rsidRPr="0066103C" w:rsidRDefault="004F0A02" w:rsidP="00FA4CAC">
            <w:pPr>
              <w:ind w:firstLine="0"/>
            </w:pPr>
            <w:r w:rsidRPr="0066103C">
              <w:t> </w:t>
            </w:r>
          </w:p>
        </w:tc>
      </w:tr>
      <w:tr w:rsidR="004F0A02" w:rsidRPr="0066103C" w:rsidTr="00FA4CAC">
        <w:tc>
          <w:tcPr>
            <w:tcW w:w="828" w:type="dxa"/>
          </w:tcPr>
          <w:p w:rsidR="004F0A02" w:rsidRPr="0066103C" w:rsidRDefault="004F0A02" w:rsidP="00FA4CAC">
            <w:pPr>
              <w:ind w:right="-60" w:firstLine="0"/>
            </w:pPr>
            <w:r w:rsidRPr="0066103C">
              <w:t>I</w:t>
            </w:r>
          </w:p>
        </w:tc>
        <w:tc>
          <w:tcPr>
            <w:tcW w:w="3150" w:type="dxa"/>
          </w:tcPr>
          <w:p w:rsidR="004F0A02" w:rsidRPr="0066103C" w:rsidRDefault="004F0A02" w:rsidP="00FA4CAC">
            <w:pPr>
              <w:ind w:right="-60" w:firstLine="0"/>
            </w:pPr>
            <w:r w:rsidRPr="0066103C">
              <w:t>new kingship of holy ones</w:t>
            </w:r>
          </w:p>
        </w:tc>
        <w:tc>
          <w:tcPr>
            <w:tcW w:w="1596" w:type="dxa"/>
          </w:tcPr>
          <w:p w:rsidR="004F0A02" w:rsidRPr="0066103C" w:rsidRDefault="004F0A02" w:rsidP="00FA4CAC">
            <w:pPr>
              <w:ind w:firstLine="0"/>
            </w:pPr>
            <w:r w:rsidRPr="0066103C">
              <w:t>14</w:t>
            </w:r>
          </w:p>
        </w:tc>
        <w:tc>
          <w:tcPr>
            <w:tcW w:w="1596" w:type="dxa"/>
          </w:tcPr>
          <w:p w:rsidR="004F0A02" w:rsidRPr="0066103C" w:rsidRDefault="004F0A02" w:rsidP="00FA4CAC">
            <w:pPr>
              <w:ind w:firstLine="0"/>
            </w:pPr>
            <w:r w:rsidRPr="0066103C">
              <w:t>18</w:t>
            </w:r>
          </w:p>
        </w:tc>
        <w:tc>
          <w:tcPr>
            <w:tcW w:w="1596" w:type="dxa"/>
          </w:tcPr>
          <w:p w:rsidR="004F0A02" w:rsidRPr="0066103C" w:rsidRDefault="004F0A02" w:rsidP="00FA4CAC">
            <w:pPr>
              <w:ind w:firstLine="0"/>
            </w:pPr>
            <w:r w:rsidRPr="0066103C">
              <w:t>22b</w:t>
            </w:r>
          </w:p>
        </w:tc>
        <w:tc>
          <w:tcPr>
            <w:tcW w:w="1596" w:type="dxa"/>
          </w:tcPr>
          <w:p w:rsidR="004F0A02" w:rsidRPr="0066103C" w:rsidRDefault="004F0A02" w:rsidP="00FA4CAC">
            <w:pPr>
              <w:ind w:firstLine="0"/>
            </w:pPr>
            <w:r w:rsidRPr="0066103C">
              <w:t>27</w:t>
            </w:r>
          </w:p>
        </w:tc>
      </w:tr>
    </w:tbl>
    <w:p w:rsidR="00FA4CAC" w:rsidRPr="0066103C" w:rsidRDefault="00FA4CAC" w:rsidP="004F0A02"/>
    <w:p w:rsidR="004F0A02" w:rsidRPr="0066103C" w:rsidRDefault="004F0A02" w:rsidP="004F0A02">
      <w:r w:rsidRPr="0066103C">
        <w:t>Despite the re</w:t>
      </w:r>
      <w:r w:rsidR="00FA4CAC" w:rsidRPr="0066103C">
        <w:t>petition, there is no interpre</w:t>
      </w:r>
      <w:r w:rsidRPr="0066103C">
        <w:t>tive comment on the first three animals, and no representation in the symbolic vision of the horn’s punishment. There is more symbolism than interpretation and more interpretation than symbolism; each stands on its own as a revelation. At the same time, the repetition and the elaboration show what the chapter regards as important, namely, the sufferin</w:t>
      </w:r>
      <w:r w:rsidR="004F6CE8" w:rsidRPr="0066103C">
        <w:t>g and triumph of the holy ones</w:t>
      </w:r>
      <w:r w:rsidRPr="0066103C">
        <w:t>:</w:t>
      </w:r>
      <w:r w:rsidR="004F6CE8" w:rsidRPr="0066103C">
        <w:rPr>
          <w:rStyle w:val="FootnoteReference"/>
        </w:rPr>
        <w:footnoteReference w:id="57"/>
      </w:r>
      <w:r w:rsidRPr="0066103C">
        <w:t xml:space="preserve"> the four-empire scheme is there because of its traditional importance, and it is omitted in chap. 8.</w:t>
      </w:r>
    </w:p>
    <w:p w:rsidR="004F0A02" w:rsidRPr="0066103C" w:rsidRDefault="004F0A02" w:rsidP="004F0A02">
      <w:r w:rsidRPr="0066103C">
        <w:t>A major tradition of scholarship, mainly European, has taken the view that the elements in the above pattern have accumulated through a more or less complex process of growth</w:t>
      </w:r>
      <w:r w:rsidR="004F6CE8" w:rsidRPr="0066103C">
        <w:t>.</w:t>
      </w:r>
      <w:r w:rsidR="004F6CE8" w:rsidRPr="0066103C">
        <w:rPr>
          <w:rStyle w:val="FootnoteReference"/>
        </w:rPr>
        <w:footnoteReference w:id="58"/>
      </w:r>
      <w:r w:rsidR="00C50FFC" w:rsidRPr="0066103C">
        <w:t xml:space="preserve"> While its representatives</w:t>
      </w:r>
      <w:r w:rsidRPr="0066103C">
        <w:t xml:space="preserve"> work out this approach in different ways, two tendencies characterize their work. One is to date material later the further right one moves a</w:t>
      </w:r>
      <w:r w:rsidR="00C50FFC" w:rsidRPr="0066103C">
        <w:t>cross the</w:t>
      </w:r>
      <w:r w:rsidR="003D0AC7" w:rsidRPr="0066103C">
        <w:t xml:space="preserve"> columns: most, if n</w:t>
      </w:r>
      <w:r w:rsidRPr="0066103C">
        <w:t>ot all, of the interpretation material is regarded as later than most of the vision material. The tendency is also (though less consistently) to date material later the further one moves down the columns, because dating follows the material’s historical reference. Thus A (vv 2b–7ab, at least) can be fourt</w:t>
      </w:r>
      <w:r w:rsidR="003D0AC7" w:rsidRPr="0066103C">
        <w:t>h century or earlier</w:t>
      </w:r>
      <w:r w:rsidRPr="0066103C">
        <w:t>.</w:t>
      </w:r>
      <w:r w:rsidR="003D0AC7" w:rsidRPr="0066103C">
        <w:rPr>
          <w:rStyle w:val="FootnoteReference"/>
        </w:rPr>
        <w:footnoteReference w:id="59"/>
      </w:r>
      <w:r w:rsidRPr="0066103C">
        <w:t xml:space="preserve"> BE (vv 7c, 11b) can be pre-Antiochene, and BE or ABE then handles the question of how long the f</w:t>
      </w:r>
      <w:r w:rsidR="003D0AC7" w:rsidRPr="0066103C">
        <w:t>ourth kingship will last. Vv</w:t>
      </w:r>
      <w:r w:rsidRPr="0066103C">
        <w:t xml:space="preserve"> 9–10, 13 (?14) may also belong to one of these stages, giving a more transcendent explanation of the expected act of judgment. C and the rest of the material in D, F, and I reflect the Antiochene crisis and may represent several stages in its development: e.g., vv 8,</w:t>
      </w:r>
      <w:r w:rsidR="003D0AC7" w:rsidRPr="0066103C">
        <w:t xml:space="preserve"> 11a its beginnings (c. 168 BC</w:t>
      </w:r>
      <w:r w:rsidRPr="0066103C">
        <w:t>); vv 21–22, increasing p</w:t>
      </w:r>
      <w:r w:rsidR="003D0AC7" w:rsidRPr="0066103C">
        <w:t>ressures and hopes (c. 166 BC</w:t>
      </w:r>
      <w:r w:rsidRPr="0066103C">
        <w:t xml:space="preserve">); vv 25–27, the depths of oppression and urgent need. Expressions used in the introduction and conclusion (vv 1–2a, 28) and within the vision (e.g., vv 4b, 14, 25) parallel expressions used in chaps. 1–6 and 8–12 (cf. </w:t>
      </w:r>
      <w:r w:rsidRPr="0066103C">
        <w:rPr>
          <w:i/>
        </w:rPr>
        <w:t>Form</w:t>
      </w:r>
      <w:r w:rsidR="00211681">
        <w:t>), and these links</w:t>
      </w:r>
      <w:r w:rsidRPr="0066103C">
        <w:t xml:space="preserve"> might suggest the further possibility of recensional work on the chapter d</w:t>
      </w:r>
      <w:r w:rsidR="00211681">
        <w:t>esigned to connect</w:t>
      </w:r>
      <w:r w:rsidRPr="0066103C">
        <w:t xml:space="preserve"> it with this broader context.</w:t>
      </w:r>
      <w:r w:rsidR="003D0AC7" w:rsidRPr="0066103C">
        <w:rPr>
          <w:rStyle w:val="FootnoteReference"/>
        </w:rPr>
        <w:footnoteReference w:id="60"/>
      </w:r>
      <w:r w:rsidRPr="0066103C">
        <w:t xml:space="preserve"> Scholars in this tradition ground their argument for the separate origin of different parts of the material on a number of literary, linguistic, and material features such as the varied introductory formulae and verbal forms, the movement into and out of more poetic form, and the chapter’s general lack of straightforwardness and its repetitions.</w:t>
      </w:r>
    </w:p>
    <w:p w:rsidR="004F0A02" w:rsidRPr="0066103C" w:rsidRDefault="004F0A02" w:rsidP="004F0A02">
      <w:r w:rsidRPr="0066103C">
        <w:t>An alternative tradition of approach maintains the chapter’s unity, except perhaps for seeing vv 21–22 as an addition from later in the Antiochene period.</w:t>
      </w:r>
      <w:r w:rsidR="003D0AC7" w:rsidRPr="0066103C">
        <w:rPr>
          <w:vertAlign w:val="superscript"/>
        </w:rPr>
        <w:footnoteReference w:id="61"/>
      </w:r>
      <w:r w:rsidR="00F17878">
        <w:t xml:space="preserve"> T</w:t>
      </w:r>
      <w:r w:rsidRPr="0066103C">
        <w:t>he chapter’s stylistic and rhetorical features with their variations and un</w:t>
      </w:r>
      <w:r w:rsidR="003D0AC7" w:rsidRPr="0066103C">
        <w:t>evennesses contribute</w:t>
      </w:r>
      <w:r w:rsidR="00F17878">
        <w:t xml:space="preserve"> to a coherent whole, and t</w:t>
      </w:r>
      <w:r w:rsidRPr="0066103C">
        <w:t>he view that repetition, unevenness, variation, a</w:t>
      </w:r>
      <w:r w:rsidR="003D0AC7" w:rsidRPr="0066103C">
        <w:t xml:space="preserve">nd clumsiness of expression likely </w:t>
      </w:r>
      <w:r w:rsidRPr="0066103C">
        <w:t>reflect the work of more than one h</w:t>
      </w:r>
      <w:r w:rsidR="003D0AC7" w:rsidRPr="0066103C">
        <w:t>and is unargued. Even where variation</w:t>
      </w:r>
      <w:r w:rsidRPr="0066103C">
        <w:t xml:space="preserve"> does not f</w:t>
      </w:r>
      <w:r w:rsidR="00BB036F" w:rsidRPr="0066103C">
        <w:t xml:space="preserve">unction rhetorically, it </w:t>
      </w:r>
      <w:r w:rsidR="00F17878">
        <w:t xml:space="preserve">may reflect </w:t>
      </w:r>
      <w:r w:rsidRPr="0066103C">
        <w:t>random variation or variation for literary e</w:t>
      </w:r>
      <w:r w:rsidR="00BB036F" w:rsidRPr="0066103C">
        <w:t>ffect on the part of one hand; i</w:t>
      </w:r>
      <w:r w:rsidRPr="0066103C">
        <w:t xml:space="preserve">t </w:t>
      </w:r>
      <w:r w:rsidR="00F17878">
        <w:t>is paralleled in other texts. A</w:t>
      </w:r>
      <w:r w:rsidR="00BB036F" w:rsidRPr="0066103C">
        <w:t xml:space="preserve"> single author may construct the</w:t>
      </w:r>
      <w:r w:rsidR="00F17878">
        <w:t xml:space="preserve"> work in an awkward, uneven, or jerky </w:t>
      </w:r>
      <w:r w:rsidRPr="0066103C">
        <w:t xml:space="preserve">way or </w:t>
      </w:r>
      <w:r w:rsidR="00BB036F" w:rsidRPr="0066103C">
        <w:t>may modify the</w:t>
      </w:r>
      <w:r w:rsidRPr="0066103C">
        <w:t xml:space="preserve"> presentation b</w:t>
      </w:r>
      <w:r w:rsidR="00BB036F" w:rsidRPr="0066103C">
        <w:t xml:space="preserve">y means of an </w:t>
      </w:r>
      <w:r w:rsidR="00BB036F" w:rsidRPr="0066103C">
        <w:lastRenderedPageBreak/>
        <w:t>afterthought in the course of proceeding</w:t>
      </w:r>
      <w:r w:rsidRPr="0066103C">
        <w:t>.</w:t>
      </w:r>
      <w:r w:rsidR="00554089" w:rsidRPr="0066103C">
        <w:rPr>
          <w:rStyle w:val="FootnoteReference"/>
        </w:rPr>
        <w:footnoteReference w:id="62"/>
      </w:r>
      <w:r w:rsidRPr="0066103C">
        <w:t xml:space="preserve"> In the history of forms, the simple often develop from the complex, and in the history of the text, emendations are usually designed to remove unevenness rather than to create it. So the simplified versions of a passage such as Dan 7 which source- and redaction-critics have offered are as likely to be secondary editions as to be primary ones.</w:t>
      </w:r>
    </w:p>
    <w:p w:rsidR="004F0A02" w:rsidRPr="0066103C" w:rsidRDefault="004F0A02" w:rsidP="00AF6220">
      <w:pPr>
        <w:pStyle w:val="Heading3"/>
      </w:pPr>
      <w:r w:rsidRPr="0066103C">
        <w:t>Setting</w:t>
      </w:r>
    </w:p>
    <w:p w:rsidR="004F6CE8" w:rsidRPr="0066103C" w:rsidRDefault="004F6CE8" w:rsidP="004F6CE8"/>
    <w:p w:rsidR="004F0A02" w:rsidRPr="0066103C" w:rsidRDefault="00F17878" w:rsidP="004F0A02">
      <w:r>
        <w:t xml:space="preserve">While </w:t>
      </w:r>
      <w:r w:rsidR="004F0A02" w:rsidRPr="0066103C">
        <w:t>Dan 7 presents itself as a dream e</w:t>
      </w:r>
      <w:r w:rsidR="00BB036F" w:rsidRPr="0066103C">
        <w:t>xperienced by Daniel</w:t>
      </w:r>
      <w:r>
        <w:t xml:space="preserve"> in about 550</w:t>
      </w:r>
      <w:r w:rsidR="004F0A02" w:rsidRPr="0066103C">
        <w:t>, the beginning of the co-regency of N</w:t>
      </w:r>
      <w:r w:rsidR="00BB036F" w:rsidRPr="0066103C">
        <w:t>abonidus and Bels</w:t>
      </w:r>
      <w:r>
        <w:t>hazzar, i</w:t>
      </w:r>
      <w:r w:rsidR="00D7519F" w:rsidRPr="0066103C">
        <w:t>ts</w:t>
      </w:r>
      <w:r w:rsidR="004F0A02" w:rsidRPr="0066103C">
        <w:t xml:space="preserve"> for</w:t>
      </w:r>
      <w:r w:rsidR="00D7519F" w:rsidRPr="0066103C">
        <w:t xml:space="preserve">mal characteristics </w:t>
      </w:r>
      <w:r w:rsidR="009E70F5">
        <w:t>suggest that it derives</w:t>
      </w:r>
      <w:r w:rsidR="004F0A02" w:rsidRPr="0066103C">
        <w:t xml:space="preserve"> from the period on which it focuses and to which</w:t>
      </w:r>
      <w:r w:rsidR="008D6427">
        <w:t xml:space="preserve"> it is especially relevant, </w:t>
      </w:r>
      <w:r w:rsidR="00D7519F" w:rsidRPr="0066103C">
        <w:t>the time</w:t>
      </w:r>
      <w:r w:rsidR="004F0A02" w:rsidRPr="0066103C">
        <w:t xml:space="preserve"> of the kin</w:t>
      </w:r>
      <w:r>
        <w:t>g symbolized by the small horn</w:t>
      </w:r>
      <w:r w:rsidR="00D7519F" w:rsidRPr="0066103C">
        <w:t>. It</w:t>
      </w:r>
      <w:r w:rsidR="004F0A02" w:rsidRPr="0066103C">
        <w:t xml:space="preserve"> presupposes actions by Antiochus IV against Jerusalem such as 1 Macc 1:29–40 describes, but it does not refer to the introduction of offensive forms of worship in the temple (contrast 8:13; 9:27; 11:31), and </w:t>
      </w:r>
      <w:r w:rsidR="00BB036F" w:rsidRPr="0066103C">
        <w:t xml:space="preserve">it </w:t>
      </w:r>
      <w:r w:rsidR="004F0A02" w:rsidRPr="0066103C">
        <w:t>implies that Jewish deliverance is still futu</w:t>
      </w:r>
      <w:r>
        <w:t>re. Its date is thus mid–167</w:t>
      </w:r>
      <w:r w:rsidR="004F0A02" w:rsidRPr="0066103C">
        <w:t>.</w:t>
      </w:r>
    </w:p>
    <w:p w:rsidR="004F0A02" w:rsidRPr="0066103C" w:rsidRDefault="00BB036F" w:rsidP="004F0A02">
      <w:r w:rsidRPr="0066103C">
        <w:t>Unlike earlier parts of the book, t</w:t>
      </w:r>
      <w:r w:rsidR="004F0A02" w:rsidRPr="0066103C">
        <w:t>he vision’s implicit social setting</w:t>
      </w:r>
      <w:r w:rsidRPr="0066103C">
        <w:t xml:space="preserve"> is not that of</w:t>
      </w:r>
      <w:r w:rsidR="004F0A02" w:rsidRPr="0066103C">
        <w:t xml:space="preserve"> a minority community in a foreign country tempted to surrender faith and commitment in order </w:t>
      </w:r>
      <w:r w:rsidRPr="0066103C">
        <w:t>to survive and succeed, but a</w:t>
      </w:r>
      <w:r w:rsidR="004F0A02" w:rsidRPr="0066103C">
        <w:t xml:space="preserve"> people religiously affronted, threatened, and oppressed in t</w:t>
      </w:r>
      <w:r w:rsidRPr="0066103C">
        <w:t xml:space="preserve">heir own land. Unlike groups that were open to </w:t>
      </w:r>
      <w:r w:rsidR="004F0A02" w:rsidRPr="0066103C">
        <w:t xml:space="preserve">cooperation with </w:t>
      </w:r>
      <w:r w:rsidR="00F17878">
        <w:t>the Hellenistic world of which Jerusalem was now part</w:t>
      </w:r>
      <w:r w:rsidR="004F0A02" w:rsidRPr="0066103C">
        <w:t>, the Danielic group was a sect in the sense of a “self-di</w:t>
      </w:r>
      <w:r w:rsidRPr="0066103C">
        <w:t>stinguishing protest movement,”</w:t>
      </w:r>
      <w:r w:rsidRPr="0066103C">
        <w:rPr>
          <w:rStyle w:val="FootnoteReference"/>
        </w:rPr>
        <w:footnoteReference w:id="63"/>
      </w:r>
      <w:r w:rsidR="004F0A02" w:rsidRPr="0066103C">
        <w:t xml:space="preserve">—though </w:t>
      </w:r>
      <w:r w:rsidRPr="0066103C">
        <w:t xml:space="preserve">it was </w:t>
      </w:r>
      <w:r w:rsidR="004F0A02" w:rsidRPr="0066103C">
        <w:t>protesting against Antiochus in particular, not against Hellenism as such.</w:t>
      </w:r>
      <w:r w:rsidR="00E25277">
        <w:rPr>
          <w:rStyle w:val="FootnoteReference"/>
        </w:rPr>
        <w:footnoteReference w:id="64"/>
      </w:r>
      <w:r w:rsidR="004F0A02" w:rsidRPr="0066103C">
        <w:t xml:space="preserve"> Such movements may take a variety of attit</w:t>
      </w:r>
      <w:r w:rsidR="00D7519F" w:rsidRPr="0066103C">
        <w:t xml:space="preserve">udes to what is required in </w:t>
      </w:r>
      <w:r w:rsidR="004F0A02" w:rsidRPr="0066103C">
        <w:t xml:space="preserve">light of the institutions they confront: a change in human hearts; a revolutionary, transforming act of God; </w:t>
      </w:r>
      <w:r w:rsidRPr="0066103C">
        <w:t xml:space="preserve">a </w:t>
      </w:r>
      <w:r w:rsidR="004F0A02" w:rsidRPr="0066103C">
        <w:t>withdrawal from the world (cf. Qumran); a new way of looking at the world; miraculous experiences; effort to reform the way the world works; revolutionary a</w:t>
      </w:r>
      <w:r w:rsidRPr="0066103C">
        <w:t>ction to establish a new order</w:t>
      </w:r>
      <w:r w:rsidR="004F0A02" w:rsidRPr="0066103C">
        <w:t>.</w:t>
      </w:r>
      <w:r w:rsidRPr="0066103C">
        <w:rPr>
          <w:rStyle w:val="FootnoteReference"/>
        </w:rPr>
        <w:footnoteReference w:id="65"/>
      </w:r>
      <w:r w:rsidR="004F0A02" w:rsidRPr="0066103C">
        <w:t xml:space="preserve"> The last is the response adopted wholeheartedly by the Maccabees; Daniel’s stance is closer to the supernaturali</w:t>
      </w:r>
      <w:r w:rsidR="004854E0" w:rsidRPr="0066103C">
        <w:t>st/</w:t>
      </w:r>
      <w:r w:rsidR="00054A7B" w:rsidRPr="0066103C">
        <w:t>revolutionary</w:t>
      </w:r>
      <w:r w:rsidRPr="0066103C">
        <w:t xml:space="preserve"> response</w:t>
      </w:r>
      <w:r w:rsidR="004F0A02" w:rsidRPr="0066103C">
        <w:t>.</w:t>
      </w:r>
      <w:r w:rsidRPr="0066103C">
        <w:rPr>
          <w:rStyle w:val="FootnoteReference"/>
        </w:rPr>
        <w:footnoteReference w:id="66"/>
      </w:r>
    </w:p>
    <w:p w:rsidR="004F0A02" w:rsidRPr="0066103C" w:rsidRDefault="003C78ED" w:rsidP="004F0A02">
      <w:r w:rsidRPr="0066103C">
        <w:t>The response</w:t>
      </w:r>
      <w:r w:rsidR="004F0A02" w:rsidRPr="0066103C">
        <w:t xml:space="preserve"> is one that looks to the somewhat distant past and to the hoped-for future as the conte</w:t>
      </w:r>
      <w:r w:rsidRPr="0066103C">
        <w:t>xts of meaningful revelation, of</w:t>
      </w:r>
      <w:r w:rsidR="004F0A02" w:rsidRPr="0066103C">
        <w:t xml:space="preserve"> experienced deliverance</w:t>
      </w:r>
      <w:r w:rsidRPr="0066103C">
        <w:t>,</w:t>
      </w:r>
      <w:r w:rsidR="004F0A02" w:rsidRPr="0066103C">
        <w:t xml:space="preserve"> and </w:t>
      </w:r>
      <w:r w:rsidRPr="0066103C">
        <w:t xml:space="preserve">of political power. Deliverance and power </w:t>
      </w:r>
      <w:r w:rsidR="004F0A02" w:rsidRPr="0066103C">
        <w:t xml:space="preserve">are not present realities, as </w:t>
      </w:r>
      <w:r w:rsidRPr="0066103C">
        <w:t xml:space="preserve">they are </w:t>
      </w:r>
      <w:r w:rsidR="004F0A02" w:rsidRPr="0066103C">
        <w:t>in the stories. We do not know what connection there was between the circles in which Dan 7 emerged and the circles that had generated the stories some time earlier. There is no specific reason to suppose that the connection is other than a literary one.</w:t>
      </w:r>
    </w:p>
    <w:p w:rsidR="004F0A02" w:rsidRPr="0066103C" w:rsidRDefault="00F17878" w:rsidP="004F0A02">
      <w:r>
        <w:t>The vision’s setting in the b</w:t>
      </w:r>
      <w:r w:rsidR="004F0A02" w:rsidRPr="0066103C">
        <w:t>ook of Daniel makes it the book’s central hinge.</w:t>
      </w:r>
      <w:r w:rsidR="00823E45" w:rsidRPr="0066103C">
        <w:rPr>
          <w:rStyle w:val="FootnoteReference"/>
        </w:rPr>
        <w:footnoteReference w:id="67"/>
      </w:r>
      <w:r w:rsidR="004F0A02" w:rsidRPr="0066103C">
        <w:t xml:space="preserve"> In language, it belongs with the preceding chapters, while structurally it rounds off a chiasm begun in chap. 2:</w:t>
      </w:r>
    </w:p>
    <w:p w:rsidR="003C78ED" w:rsidRPr="0066103C" w:rsidRDefault="003C78ED" w:rsidP="004F0A02"/>
    <w:p w:rsidR="004F0A02" w:rsidRPr="0066103C" w:rsidRDefault="004F0A02" w:rsidP="004F0A02">
      <w:r w:rsidRPr="0066103C">
        <w:t>2 A vision of four kingdoms and their end (Nebuchadnezzar)</w:t>
      </w:r>
    </w:p>
    <w:p w:rsidR="004F0A02" w:rsidRPr="0066103C" w:rsidRDefault="003C78ED" w:rsidP="004F0A02">
      <w:r w:rsidRPr="0066103C">
        <w:tab/>
      </w:r>
      <w:r w:rsidR="004F0A02" w:rsidRPr="0066103C">
        <w:t>3 Faithfulness and a miraculous rescue (the three friends)</w:t>
      </w:r>
    </w:p>
    <w:p w:rsidR="004F0A02" w:rsidRPr="0066103C" w:rsidRDefault="003C78ED" w:rsidP="004F0A02">
      <w:r w:rsidRPr="0066103C">
        <w:tab/>
      </w:r>
      <w:r w:rsidRPr="0066103C">
        <w:tab/>
      </w:r>
      <w:r w:rsidR="004F0A02" w:rsidRPr="0066103C">
        <w:t>4 Judgment presaged and experienced (Nebuchadnezzar)</w:t>
      </w:r>
    </w:p>
    <w:p w:rsidR="004F0A02" w:rsidRPr="0066103C" w:rsidRDefault="003C78ED" w:rsidP="004F0A02">
      <w:r w:rsidRPr="0066103C">
        <w:tab/>
      </w:r>
      <w:r w:rsidRPr="0066103C">
        <w:tab/>
      </w:r>
      <w:r w:rsidR="004F0A02" w:rsidRPr="0066103C">
        <w:t>5 Judgment presaged and experienced (Belshazzar)</w:t>
      </w:r>
    </w:p>
    <w:p w:rsidR="004F0A02" w:rsidRPr="0066103C" w:rsidRDefault="003C78ED" w:rsidP="004F0A02">
      <w:r w:rsidRPr="0066103C">
        <w:lastRenderedPageBreak/>
        <w:tab/>
      </w:r>
      <w:r w:rsidR="004F0A02" w:rsidRPr="0066103C">
        <w:t>6 Faithfulness and a miraculous rescue (Daniel)</w:t>
      </w:r>
    </w:p>
    <w:p w:rsidR="004F0A02" w:rsidRPr="0066103C" w:rsidRDefault="004F0A02" w:rsidP="004F0A02">
      <w:r w:rsidRPr="0066103C">
        <w:t>7 A vision of four kingdoms and their end (Daniel)</w:t>
      </w:r>
      <w:r w:rsidR="003C78ED" w:rsidRPr="0066103C">
        <w:rPr>
          <w:rStyle w:val="FootnoteReference"/>
        </w:rPr>
        <w:footnoteReference w:id="68"/>
      </w:r>
    </w:p>
    <w:p w:rsidR="004854E0" w:rsidRPr="0066103C" w:rsidRDefault="004854E0" w:rsidP="001659EA">
      <w:pPr>
        <w:pStyle w:val="ListParagraph"/>
        <w:rPr>
          <w:rFonts w:asciiTheme="minorHAnsi" w:eastAsiaTheme="minorEastAsia" w:hAnsiTheme="minorHAnsi" w:cstheme="minorBidi"/>
          <w:szCs w:val="22"/>
        </w:rPr>
      </w:pPr>
    </w:p>
    <w:p w:rsidR="002F213E" w:rsidRPr="0066103C" w:rsidRDefault="001659EA" w:rsidP="00D7519F">
      <w:pPr>
        <w:pStyle w:val="ListParagraph"/>
        <w:ind w:left="0" w:firstLine="0"/>
        <w:rPr>
          <w:rFonts w:asciiTheme="minorHAnsi" w:eastAsia="Times-Roman" w:hAnsiTheme="minorHAnsi"/>
          <w:szCs w:val="22"/>
        </w:rPr>
      </w:pPr>
      <w:r w:rsidRPr="0066103C">
        <w:rPr>
          <w:rFonts w:asciiTheme="minorHAnsi" w:eastAsia="Times-Roman" w:hAnsiTheme="minorHAnsi"/>
          <w:szCs w:val="22"/>
        </w:rPr>
        <w:t>This first vision of Daniel comes in a dream, which fits the</w:t>
      </w:r>
      <w:r w:rsidR="004854E0" w:rsidRPr="0066103C">
        <w:rPr>
          <w:rFonts w:asciiTheme="minorHAnsi" w:eastAsia="Times-Roman" w:hAnsiTheme="minorHAnsi"/>
          <w:szCs w:val="22"/>
        </w:rPr>
        <w:t xml:space="preserve"> chapter’s</w:t>
      </w:r>
      <w:r w:rsidRPr="0066103C">
        <w:rPr>
          <w:rFonts w:asciiTheme="minorHAnsi" w:eastAsia="Times-Roman" w:hAnsiTheme="minorHAnsi"/>
          <w:szCs w:val="22"/>
        </w:rPr>
        <w:t xml:space="preserve"> “pivotal position</w:t>
      </w:r>
      <w:r w:rsidR="004854E0" w:rsidRPr="0066103C">
        <w:rPr>
          <w:rFonts w:asciiTheme="minorHAnsi" w:eastAsia="Times-Roman" w:hAnsiTheme="minorHAnsi"/>
          <w:szCs w:val="22"/>
        </w:rPr>
        <w:t>.”</w:t>
      </w:r>
      <w:r w:rsidRPr="0066103C">
        <w:rPr>
          <w:rStyle w:val="FootnoteReference"/>
          <w:rFonts w:asciiTheme="minorHAnsi" w:eastAsia="Times-Roman" w:hAnsiTheme="minorHAnsi"/>
          <w:szCs w:val="22"/>
        </w:rPr>
        <w:footnoteReference w:id="69"/>
      </w:r>
      <w:r w:rsidR="004854E0" w:rsidRPr="0066103C">
        <w:rPr>
          <w:rFonts w:asciiTheme="minorHAnsi" w:eastAsia="Times-Roman" w:hAnsiTheme="minorHAnsi"/>
          <w:szCs w:val="22"/>
        </w:rPr>
        <w:t xml:space="preserve"> There are many Jewish works comprising stories or comprising visions; a work that combines the two is unique. So is a work that attributes visions to someone who is not a scriptural figure such as Enoch, Moses, Isaiah, or Ezra.</w:t>
      </w:r>
      <w:r w:rsidR="002F213E" w:rsidRPr="0066103C">
        <w:rPr>
          <w:rStyle w:val="FootnoteReference"/>
          <w:rFonts w:asciiTheme="minorHAnsi" w:eastAsia="Times-Roman" w:hAnsiTheme="minorHAnsi"/>
          <w:szCs w:val="22"/>
        </w:rPr>
        <w:footnoteReference w:id="70"/>
      </w:r>
      <w:r w:rsidR="004854E0" w:rsidRPr="0066103C">
        <w:rPr>
          <w:rFonts w:asciiTheme="minorHAnsi" w:eastAsia="Times-Roman" w:hAnsiTheme="minorHAnsi"/>
          <w:szCs w:val="22"/>
        </w:rPr>
        <w:t xml:space="preserve"> In the case of the book of Dan</w:t>
      </w:r>
      <w:r w:rsidR="002F213E" w:rsidRPr="0066103C">
        <w:rPr>
          <w:rFonts w:asciiTheme="minorHAnsi" w:eastAsia="Times-Roman" w:hAnsiTheme="minorHAnsi"/>
          <w:szCs w:val="22"/>
        </w:rPr>
        <w:t>iel, the starting point of the</w:t>
      </w:r>
      <w:r w:rsidR="004854E0" w:rsidRPr="0066103C">
        <w:rPr>
          <w:rFonts w:asciiTheme="minorHAnsi" w:eastAsia="Times-Roman" w:hAnsiTheme="minorHAnsi"/>
          <w:szCs w:val="22"/>
        </w:rPr>
        <w:t xml:space="preserve"> visions </w:t>
      </w:r>
      <w:r w:rsidR="002F213E" w:rsidRPr="0066103C">
        <w:rPr>
          <w:rFonts w:asciiTheme="minorHAnsi" w:eastAsia="Times-Roman" w:hAnsiTheme="minorHAnsi"/>
          <w:szCs w:val="22"/>
        </w:rPr>
        <w:t>in chaps. 7—12 is the vision attributed to Daniel in chap. 2—which might eas</w:t>
      </w:r>
      <w:r w:rsidR="00D7519F" w:rsidRPr="0066103C">
        <w:rPr>
          <w:rFonts w:asciiTheme="minorHAnsi" w:eastAsia="Times-Roman" w:hAnsiTheme="minorHAnsi"/>
          <w:szCs w:val="22"/>
        </w:rPr>
        <w:t xml:space="preserve">ily go back to a “real” Daniel. </w:t>
      </w:r>
      <w:r w:rsidR="002F213E" w:rsidRPr="0066103C">
        <w:rPr>
          <w:rFonts w:asciiTheme="minorHAnsi" w:eastAsia="Times-Roman" w:hAnsiTheme="minorHAnsi"/>
          <w:szCs w:val="22"/>
        </w:rPr>
        <w:t xml:space="preserve">Its rhetoric </w:t>
      </w:r>
      <w:r w:rsidR="001111E2" w:rsidRPr="0066103C">
        <w:rPr>
          <w:rFonts w:asciiTheme="minorHAnsi" w:eastAsia="Times-Roman" w:hAnsiTheme="minorHAnsi"/>
          <w:szCs w:val="22"/>
        </w:rPr>
        <w:t>continues to work</w:t>
      </w:r>
      <w:r w:rsidR="002F213E" w:rsidRPr="0066103C">
        <w:rPr>
          <w:rFonts w:asciiTheme="minorHAnsi" w:eastAsia="Times-Roman" w:hAnsiTheme="minorHAnsi"/>
          <w:szCs w:val="22"/>
        </w:rPr>
        <w:t xml:space="preserve"> not by argument but by revelation</w:t>
      </w:r>
      <w:r w:rsidR="009B7129" w:rsidRPr="0066103C">
        <w:rPr>
          <w:rFonts w:asciiTheme="minorHAnsi" w:eastAsia="Times-Roman" w:hAnsiTheme="minorHAnsi"/>
          <w:szCs w:val="22"/>
        </w:rPr>
        <w:t>, and by describing the seer’s response to the revel</w:t>
      </w:r>
      <w:r w:rsidR="00F6677E" w:rsidRPr="0066103C">
        <w:rPr>
          <w:rFonts w:asciiTheme="minorHAnsi" w:eastAsia="Times-Roman" w:hAnsiTheme="minorHAnsi"/>
          <w:szCs w:val="22"/>
        </w:rPr>
        <w:t>a</w:t>
      </w:r>
      <w:r w:rsidR="009B7129" w:rsidRPr="0066103C">
        <w:rPr>
          <w:rFonts w:asciiTheme="minorHAnsi" w:eastAsia="Times-Roman" w:hAnsiTheme="minorHAnsi"/>
          <w:szCs w:val="22"/>
        </w:rPr>
        <w:t>tion</w:t>
      </w:r>
      <w:r w:rsidR="002F213E" w:rsidRPr="0066103C">
        <w:rPr>
          <w:rFonts w:asciiTheme="minorHAnsi" w:eastAsia="Times-Roman" w:hAnsiTheme="minorHAnsi"/>
          <w:szCs w:val="22"/>
        </w:rPr>
        <w:t>.</w:t>
      </w:r>
      <w:r w:rsidR="002F213E" w:rsidRPr="0066103C">
        <w:rPr>
          <w:rFonts w:asciiTheme="minorHAnsi" w:eastAsia="Times-Roman" w:hAnsiTheme="minorHAnsi" w:cstheme="minorBidi"/>
          <w:szCs w:val="22"/>
          <w:vertAlign w:val="superscript"/>
        </w:rPr>
        <w:t xml:space="preserve"> </w:t>
      </w:r>
      <w:r w:rsidR="002F213E" w:rsidRPr="0066103C">
        <w:rPr>
          <w:rFonts w:asciiTheme="minorHAnsi" w:eastAsia="Times-Roman" w:hAnsiTheme="minorHAnsi"/>
          <w:szCs w:val="22"/>
          <w:vertAlign w:val="superscript"/>
        </w:rPr>
        <w:footnoteReference w:id="71"/>
      </w:r>
    </w:p>
    <w:p w:rsidR="004F0A02" w:rsidRPr="0066103C" w:rsidRDefault="004F0A02" w:rsidP="004F0A02">
      <w:r w:rsidRPr="0066103C">
        <w:t xml:space="preserve">Like chap. 2, chap. 7 </w:t>
      </w:r>
      <w:r w:rsidR="00F17878">
        <w:t>relates a symbolic dream and interprets it</w:t>
      </w:r>
      <w:r w:rsidRPr="0066103C">
        <w:t xml:space="preserve"> as referring to four diverse regimes. The first </w:t>
      </w:r>
      <w:r w:rsidR="003C78ED" w:rsidRPr="0066103C">
        <w:t xml:space="preserve">regime </w:t>
      </w:r>
      <w:r w:rsidRPr="0066103C">
        <w:t xml:space="preserve">is particularly impressive, the second is less so, the third has parallels to the first, being endowed with special authority. Most attention is given to the violent fourth regime. It has an ironlike strength (פרזל) and crushing power (דקק), though it suffers from division and conflict. It is destined to be destroyed from </w:t>
      </w:r>
      <w:r w:rsidR="003C78ED" w:rsidRPr="0066103C">
        <w:t xml:space="preserve">the </w:t>
      </w:r>
      <w:r w:rsidRPr="0066103C">
        <w:t>heaven</w:t>
      </w:r>
      <w:r w:rsidR="003C78ED" w:rsidRPr="0066103C">
        <w:t>s</w:t>
      </w:r>
      <w:r w:rsidRPr="0066103C">
        <w:t>; its power will be taken over by a r</w:t>
      </w:r>
      <w:r w:rsidR="003C78ED" w:rsidRPr="0066103C">
        <w:t xml:space="preserve">egime instituted by God </w:t>
      </w:r>
      <w:r w:rsidRPr="0066103C">
        <w:t>and destined to last forever.</w:t>
      </w:r>
    </w:p>
    <w:p w:rsidR="00D7519F" w:rsidRPr="0066103C" w:rsidRDefault="004F0A02" w:rsidP="00D7519F">
      <w:r w:rsidRPr="0066103C">
        <w:t>The chapters differ in that Dan 2 relates a dream of the foreign king (when the Babylonian empire is at its height) whose interest focuses on the regimes themselves, while Dan</w:t>
      </w:r>
      <w:r w:rsidR="003C78ED" w:rsidRPr="0066103C">
        <w:t xml:space="preserve"> 7 relates a dream of the Judahite counselor</w:t>
      </w:r>
      <w:r w:rsidRPr="0066103C">
        <w:t xml:space="preserve"> (when the Babylonian empire is declining) which is specifically interested in the suffering of his people and in their destiny to share God’s rule. In Dan 2 Daniel is actively involved as interpreter</w:t>
      </w:r>
      <w:r w:rsidR="003C78ED" w:rsidRPr="0066103C">
        <w:t>, providing his God-given insight</w:t>
      </w:r>
      <w:r w:rsidRPr="0066103C">
        <w:t xml:space="preserve">; in Dan 7 he is a mere passive recipient of revelation, needing to be given his symbolic dream’s interpretation. Dan 2 sees the fourth regime as weak, but not as wicked, </w:t>
      </w:r>
      <w:r w:rsidR="003C78ED" w:rsidRPr="0066103C">
        <w:t xml:space="preserve">so that </w:t>
      </w:r>
      <w:r w:rsidRPr="0066103C">
        <w:t xml:space="preserve">its destruction </w:t>
      </w:r>
      <w:r w:rsidR="003C78ED" w:rsidRPr="0066103C">
        <w:t>would be</w:t>
      </w:r>
      <w:r w:rsidRPr="0066103C">
        <w:t xml:space="preserve"> an act of judgment</w:t>
      </w:r>
      <w:r w:rsidR="003C78ED" w:rsidRPr="0066103C">
        <w:t>—as is the destruction in Dan 7. W</w:t>
      </w:r>
      <w:r w:rsidRPr="0066103C">
        <w:t>hereas Dan 2 implicitly stresses God’s power in replacing the regimes by his own, Dan 7 at this point implicitly stresses God’s justice. The imagery of Dan 2 is simpler and relatively stately, that of Dan 7 more complex and fantastic. The outward impressiveness of the humanlike statue contrasts with the dangerous yet merely animalic sequence of creatures; the unimpressive rock that destroys the statue contrasts with the stately figure whose word brings the creatures’ judgment and the humanlike being whose rule replaces theirs.</w:t>
      </w:r>
      <w:r w:rsidR="00D7519F" w:rsidRPr="0066103C">
        <w:t xml:space="preserve"> Fur</w:t>
      </w:r>
      <w:r w:rsidR="00F17878">
        <w:t>t</w:t>
      </w:r>
      <w:r w:rsidR="00D7519F" w:rsidRPr="0066103C">
        <w:t>her, Dan 7 has a different philosophy of empire. It thinks not in terms of one imperial reality but of a multiplicity of empires.</w:t>
      </w:r>
      <w:r w:rsidR="00D7519F" w:rsidRPr="0066103C">
        <w:rPr>
          <w:vertAlign w:val="superscript"/>
        </w:rPr>
        <w:footnoteReference w:id="72"/>
      </w:r>
    </w:p>
    <w:p w:rsidR="004F0A02" w:rsidRPr="0066103C" w:rsidRDefault="00D7519F" w:rsidP="004F0A02">
      <w:r w:rsidRPr="0066103C">
        <w:t xml:space="preserve">The features </w:t>
      </w:r>
      <w:r w:rsidR="004F0A02" w:rsidRPr="0066103C">
        <w:t>distinguish</w:t>
      </w:r>
      <w:r w:rsidRPr="0066103C">
        <w:t>ing</w:t>
      </w:r>
      <w:r w:rsidR="004F0A02" w:rsidRPr="0066103C">
        <w:t xml:space="preserve"> Dan 7 from Dan 2 reflect the portrayal of empires in the intervening chapters.</w:t>
      </w:r>
      <w:r w:rsidR="003C78ED" w:rsidRPr="0066103C">
        <w:rPr>
          <w:rStyle w:val="FootnoteReference"/>
        </w:rPr>
        <w:footnoteReference w:id="73"/>
      </w:r>
      <w:r w:rsidR="004F0A02" w:rsidRPr="0066103C">
        <w:t xml:space="preserve"> Dan 2 offered world rulers a vision of their position as a God-given calling. Dan 3–6 has portrayed them</w:t>
      </w:r>
      <w:r w:rsidR="00E369D6" w:rsidRPr="0066103C">
        <w:t xml:space="preserve"> as</w:t>
      </w:r>
      <w:r w:rsidR="004F0A02" w:rsidRPr="0066103C">
        <w:t xml:space="preserve"> inclined to make themselves into God; they are thus also inclined to put mortal pressure on those who are committed to God (chaps. 3; 6), but</w:t>
      </w:r>
      <w:r w:rsidR="00E369D6" w:rsidRPr="0066103C">
        <w:t xml:space="preserve"> they</w:t>
      </w:r>
      <w:r w:rsidR="004F0A02" w:rsidRPr="0066103C">
        <w:t xml:space="preserve"> are themselves on the way to catastrophe (chaps. 4; 5). These motifs are taken up and taken further in chap. 7. The tension between the human and the bestial that appeared in chaps. 4 and 6 becomes a key motif: bestiality is </w:t>
      </w:r>
      <w:r w:rsidR="00E369D6" w:rsidRPr="0066103C">
        <w:t>turned on God himself</w:t>
      </w:r>
      <w:r w:rsidR="004F0A02" w:rsidRPr="0066103C">
        <w:t>,</w:t>
      </w:r>
      <w:r w:rsidR="00E369D6" w:rsidRPr="0066103C">
        <w:rPr>
          <w:rStyle w:val="FootnoteReference"/>
        </w:rPr>
        <w:footnoteReference w:id="74"/>
      </w:r>
      <w:r w:rsidR="00E369D6" w:rsidRPr="0066103C">
        <w:t xml:space="preserve"> but God</w:t>
      </w:r>
      <w:r w:rsidR="004F0A02" w:rsidRPr="0066103C">
        <w:t xml:space="preserve"> puts </w:t>
      </w:r>
      <w:r w:rsidR="00D669D1" w:rsidRPr="0066103C">
        <w:t>an end to the reign of the creature</w:t>
      </w:r>
      <w:r w:rsidR="004F0A02" w:rsidRPr="0066103C">
        <w:t xml:space="preserve"> and gives authority to a humanlike figure.</w:t>
      </w:r>
      <w:r w:rsidR="00E369D6" w:rsidRPr="0066103C">
        <w:rPr>
          <w:rStyle w:val="FootnoteReference"/>
        </w:rPr>
        <w:footnoteReference w:id="75"/>
      </w:r>
      <w:r w:rsidR="004F0A02" w:rsidRPr="0066103C">
        <w:t xml:space="preserve"> As the real statue of chap. 3 follows on the dream statue of chap. 2, the dream animals of chap. 7 follow on the real animals of chap. 6. As people of all races, nations, and languages were called to bow before the statue (3:4; cf. 5:19), so now they honor the human figure of Daniel’s vision (7:14). Once </w:t>
      </w:r>
      <w:r w:rsidR="004F0A02" w:rsidRPr="0066103C">
        <w:lastRenderedPageBreak/>
        <w:t>Nebuchadnezzar testified to God’s lasting power (</w:t>
      </w:r>
      <w:r w:rsidR="00840858">
        <w:t>4:3, 34; cf. 6:26</w:t>
      </w:r>
      <w:r w:rsidR="004F0A02" w:rsidRPr="0066103C">
        <w:t>); now Daniel’s human figure has this power (7:14). Once Nebuchadnezzar’s humiliation was limite</w:t>
      </w:r>
      <w:r w:rsidR="00E369D6" w:rsidRPr="0066103C">
        <w:t>d to</w:t>
      </w:r>
      <w:r w:rsidR="00840858">
        <w:t xml:space="preserve"> seven periods of time (4:16</w:t>
      </w:r>
      <w:r w:rsidR="004F0A02" w:rsidRPr="0066103C">
        <w:t>); now the humiliation of the heavenly ones will be limited to 3 1/2 such periods (7:25). Once God demonstrated in history that as ruler in the earthly realm he could give royal authority to the mos</w:t>
      </w:r>
      <w:r w:rsidR="00E369D6" w:rsidRPr="0066103C">
        <w:t>t or</w:t>
      </w:r>
      <w:r w:rsidR="00840858">
        <w:t>dinary of human beings (4:17</w:t>
      </w:r>
      <w:r w:rsidR="004F0A02" w:rsidRPr="0066103C">
        <w:t>); now he gives it to a humanlike being at the end of the story of earthly kingdoms (7:13–14). Once Darius took hold of power (</w:t>
      </w:r>
      <w:r w:rsidR="00840858">
        <w:t>5:31</w:t>
      </w:r>
      <w:r w:rsidR="004F0A02" w:rsidRPr="0066103C">
        <w:t>); now the heavenly ones do so (7:18). Once Darius acknowledged that God’s rule would persist until the end (</w:t>
      </w:r>
      <w:r w:rsidR="00E369D6" w:rsidRPr="0066103C">
        <w:rPr>
          <w:rFonts w:ascii="Arial" w:hAnsi="Arial" w:cs="Arial"/>
        </w:rPr>
        <w:t>א</w:t>
      </w:r>
      <w:r w:rsidR="00E369D6" w:rsidRPr="0066103C">
        <w:t xml:space="preserve"> </w:t>
      </w:r>
      <w:r w:rsidR="004F0A02" w:rsidRPr="0066103C">
        <w:t>פ</w:t>
      </w:r>
      <w:r w:rsidR="00E369D6" w:rsidRPr="0066103C">
        <w:t xml:space="preserve"> </w:t>
      </w:r>
      <w:r w:rsidR="00E369D6" w:rsidRPr="0066103C">
        <w:rPr>
          <w:rFonts w:ascii="Arial" w:hAnsi="Arial" w:cs="Arial"/>
        </w:rPr>
        <w:t>ו</w:t>
      </w:r>
      <w:r w:rsidR="00E369D6" w:rsidRPr="0066103C">
        <w:t xml:space="preserve"> </w:t>
      </w:r>
      <w:r w:rsidR="00E369D6" w:rsidRPr="0066103C">
        <w:rPr>
          <w:rFonts w:ascii="Arial" w:hAnsi="Arial" w:cs="Arial"/>
        </w:rPr>
        <w:t>ס</w:t>
      </w:r>
      <w:r w:rsidR="00E369D6" w:rsidRPr="0066103C">
        <w:t xml:space="preserve"> </w:t>
      </w:r>
      <w:r w:rsidR="00E369D6" w:rsidRPr="0066103C">
        <w:rPr>
          <w:rFonts w:ascii="Arial" w:hAnsi="Arial" w:cs="Arial"/>
        </w:rPr>
        <w:t>עד</w:t>
      </w:r>
      <w:r w:rsidR="00840858">
        <w:t xml:space="preserve"> ) (6:26</w:t>
      </w:r>
      <w:r w:rsidR="004F0A02" w:rsidRPr="0066103C">
        <w:t>); now the king symbolized by the small horn has his authority destroyed permanently (</w:t>
      </w:r>
      <w:r w:rsidR="00E369D6" w:rsidRPr="0066103C">
        <w:t xml:space="preserve"> </w:t>
      </w:r>
      <w:r w:rsidR="004F0A02" w:rsidRPr="0066103C">
        <w:t>סופא</w:t>
      </w:r>
      <w:r w:rsidR="00E369D6" w:rsidRPr="0066103C">
        <w:t xml:space="preserve">  </w:t>
      </w:r>
      <w:r w:rsidR="00E369D6" w:rsidRPr="0066103C">
        <w:rPr>
          <w:rFonts w:ascii="Arial" w:hAnsi="Arial" w:cs="Arial"/>
        </w:rPr>
        <w:t>עד</w:t>
      </w:r>
      <w:r w:rsidR="004F0A02" w:rsidRPr="0066103C">
        <w:t>) (7:26). Dan 2–6 have affirmed that God controlled tim</w:t>
      </w:r>
      <w:r w:rsidR="00E369D6" w:rsidRPr="0066103C">
        <w:t xml:space="preserve">es and epochs, his decree being </w:t>
      </w:r>
      <w:r w:rsidR="004F0A02" w:rsidRPr="0066103C">
        <w:t>victorious over the decrees of kings (2:9, 13, 15, 21; 6:</w:t>
      </w:r>
      <w:r w:rsidR="00840858">
        <w:t>5, 8, 12, 15</w:t>
      </w:r>
      <w:r w:rsidR="004F0A02" w:rsidRPr="0066103C">
        <w:t xml:space="preserve">); now a king who thinks to control times set by decree will lose all power (7:25–26). Chaps. 3–6 indicate why the sequence of earthly regimes is destined to be brought to an end in the way chap. 2 describes. Chap. 7 combines the thrust of the preceding chapters as a whole, and puts them in a new perspective. Their theme of the history of the kingdoms and their appointed time and destiny is brought to its climax—though they still stand, and </w:t>
      </w:r>
      <w:r w:rsidR="00E369D6" w:rsidRPr="0066103C">
        <w:t xml:space="preserve">the chapters </w:t>
      </w:r>
      <w:r w:rsidR="004F0A02" w:rsidRPr="0066103C">
        <w:t>set before second-century readers implicit challenges and prom</w:t>
      </w:r>
      <w:r w:rsidR="00E369D6" w:rsidRPr="0066103C">
        <w:t>ises regarding their own lives</w:t>
      </w:r>
      <w:r w:rsidR="004F0A02" w:rsidRPr="0066103C">
        <w:t>.</w:t>
      </w:r>
      <w:r w:rsidR="00E369D6" w:rsidRPr="0066103C">
        <w:rPr>
          <w:rStyle w:val="FootnoteReference"/>
        </w:rPr>
        <w:footnoteReference w:id="76"/>
      </w:r>
      <w:r w:rsidR="004F0A02" w:rsidRPr="0066103C">
        <w:t xml:space="preserve"> They are </w:t>
      </w:r>
      <w:r w:rsidR="00840858">
        <w:t xml:space="preserve">called not just </w:t>
      </w:r>
      <w:r w:rsidR="004F0A02" w:rsidRPr="0066103C">
        <w:t>to a passive, secret waiting for the End, but to an active, courageous, expectant, faithful, direct self-application.</w:t>
      </w:r>
      <w:r w:rsidR="000F60C4" w:rsidRPr="0066103C">
        <w:rPr>
          <w:rStyle w:val="FootnoteReference"/>
        </w:rPr>
        <w:footnoteReference w:id="77"/>
      </w:r>
    </w:p>
    <w:p w:rsidR="00D55168" w:rsidRPr="0066103C" w:rsidRDefault="004F0A02" w:rsidP="00D55168">
      <w:r w:rsidRPr="0066103C">
        <w:t xml:space="preserve">As the hinge </w:t>
      </w:r>
      <w:r w:rsidR="00840858">
        <w:t>of the book of Daniel</w:t>
      </w:r>
      <w:r w:rsidRPr="0066103C">
        <w:t xml:space="preserve">, chap. 7 also opens the way to the following chapters. </w:t>
      </w:r>
      <w:r w:rsidR="001111E2" w:rsidRPr="0066103C">
        <w:t>With its concern for God’s reign it provides the broad context for the</w:t>
      </w:r>
      <w:r w:rsidR="00840858">
        <w:t>ir</w:t>
      </w:r>
      <w:r w:rsidR="001111E2" w:rsidRPr="0066103C">
        <w:t xml:space="preserve"> narrower</w:t>
      </w:r>
      <w:r w:rsidR="00840858">
        <w:t xml:space="preserve"> focus</w:t>
      </w:r>
      <w:r w:rsidR="001111E2" w:rsidRPr="0066103C">
        <w:t xml:space="preserve">; they provide further interpretation and detail in regard to its allusiveness and its broad brush strokes. </w:t>
      </w:r>
      <w:r w:rsidRPr="0066103C">
        <w:t>Its opening verse begins a new ch</w:t>
      </w:r>
      <w:r w:rsidR="00E369D6" w:rsidRPr="0066103C">
        <w:t>ronological sequence, which will run</w:t>
      </w:r>
      <w:r w:rsidRPr="0066103C">
        <w:t xml:space="preserve"> through the visions, as an earlier chronological sequence ran through chaps. 1–6. Its closing verse opens the way to further material, which will elaborate on </w:t>
      </w:r>
      <w:r w:rsidR="001111E2" w:rsidRPr="0066103C">
        <w:t xml:space="preserve">and clarify the sometimes mysterious </w:t>
      </w:r>
      <w:r w:rsidRPr="0066103C">
        <w:t>contents of chap. 7. This series of Daniel’s further first-person visions will in different ways focus more sharply on the crisis that the fourth creature and its small horn bring to th</w:t>
      </w:r>
      <w:r w:rsidR="00E369D6" w:rsidRPr="0066103C">
        <w:t>e people of God and their sanctuary</w:t>
      </w:r>
      <w:r w:rsidRPr="0066103C">
        <w:t xml:space="preserve">. </w:t>
      </w:r>
      <w:r w:rsidR="001111E2" w:rsidRPr="0066103C">
        <w:t>Chap. 7 brings not a change in attitudes to Gentiles</w:t>
      </w:r>
      <w:r w:rsidR="001111E2" w:rsidRPr="0066103C">
        <w:rPr>
          <w:vertAlign w:val="superscript"/>
        </w:rPr>
        <w:footnoteReference w:id="78"/>
      </w:r>
      <w:r w:rsidR="001111E2" w:rsidRPr="0066103C">
        <w:t xml:space="preserve"> but a change in attitudes to empires.</w:t>
      </w:r>
      <w:r w:rsidR="00945C8C">
        <w:t xml:space="preserve"> </w:t>
      </w:r>
      <w:r w:rsidR="001111E2" w:rsidRPr="0066103C">
        <w:t>It “turns the theological/ideological direction of the book as a whole in a dramatic, and darker, direction,” with its talk of struggle, warfare, and the exposure of the empires’ nature as beasts that arose out of chaos and evil.</w:t>
      </w:r>
      <w:r w:rsidR="001111E2" w:rsidRPr="0066103C">
        <w:rPr>
          <w:vertAlign w:val="superscript"/>
        </w:rPr>
        <w:footnoteReference w:id="79"/>
      </w:r>
      <w:r w:rsidR="001111E2" w:rsidRPr="0066103C">
        <w:t xml:space="preserve"> </w:t>
      </w:r>
      <w:r w:rsidR="00D55168" w:rsidRPr="0066103C">
        <w:t>“A</w:t>
      </w:r>
      <w:r w:rsidR="00D55168" w:rsidRPr="0066103C">
        <w:rPr>
          <w:rFonts w:eastAsiaTheme="minorHAnsi" w:cs="AGaramondPro-Regular"/>
        </w:rPr>
        <w:t>pocalyptic pulls away the façade of</w:t>
      </w:r>
      <w:r w:rsidR="00D55168" w:rsidRPr="0066103C">
        <w:t xml:space="preserve"> </w:t>
      </w:r>
      <w:r w:rsidR="00D55168" w:rsidRPr="0066103C">
        <w:rPr>
          <w:rFonts w:eastAsiaTheme="minorHAnsi" w:cs="AGaramondPro-Regular"/>
        </w:rPr>
        <w:t>apparent benevolence that human governments like to construct</w:t>
      </w:r>
      <w:r w:rsidR="00D55168" w:rsidRPr="0066103C">
        <w:t xml:space="preserve"> </w:t>
      </w:r>
      <w:r w:rsidR="00D55168" w:rsidRPr="0066103C">
        <w:rPr>
          <w:rFonts w:eastAsiaTheme="minorHAnsi" w:cs="AGaramondPro-Regular"/>
        </w:rPr>
        <w:t>and exposes the depths of evil, lies, corruption, and violence that lies</w:t>
      </w:r>
      <w:r w:rsidR="00D55168" w:rsidRPr="0066103C">
        <w:t xml:space="preserve"> </w:t>
      </w:r>
      <w:r w:rsidR="00D55168" w:rsidRPr="0066103C">
        <w:rPr>
          <w:rFonts w:eastAsiaTheme="minorHAnsi" w:cs="AGaramondPro-Regular"/>
        </w:rPr>
        <w:t>behind the façade.</w:t>
      </w:r>
      <w:r w:rsidR="001111E2" w:rsidRPr="0066103C">
        <w:rPr>
          <w:rFonts w:eastAsiaTheme="minorHAnsi" w:cs="AGaramondPro-Regular"/>
        </w:rPr>
        <w:t>”</w:t>
      </w:r>
      <w:r w:rsidR="00D55168" w:rsidRPr="0066103C">
        <w:rPr>
          <w:rStyle w:val="FootnoteReference"/>
          <w:rFonts w:eastAsiaTheme="minorHAnsi" w:cs="AGaramondPro-Regular"/>
        </w:rPr>
        <w:footnoteReference w:id="80"/>
      </w:r>
    </w:p>
    <w:p w:rsidR="004F0A02" w:rsidRPr="00CC1756" w:rsidRDefault="004F0A02" w:rsidP="00CC1756">
      <w:pPr>
        <w:pStyle w:val="Heading2"/>
      </w:pPr>
      <w:r w:rsidRPr="00CC1756">
        <w:t>Comment</w:t>
      </w:r>
    </w:p>
    <w:p w:rsidR="004F0A02" w:rsidRPr="0066103C" w:rsidRDefault="004F0A02" w:rsidP="004F0A02">
      <w:r w:rsidRPr="004C6F68">
        <w:rPr>
          <w:b/>
        </w:rPr>
        <w:t xml:space="preserve">1 </w:t>
      </w:r>
      <w:r w:rsidRPr="0066103C">
        <w:t>Historically, Belshazzar’s first year will</w:t>
      </w:r>
      <w:r w:rsidR="00B276FB" w:rsidRPr="0066103C">
        <w:t xml:space="preserve"> have been the first year of his regency </w:t>
      </w:r>
      <w:r w:rsidRPr="0066103C">
        <w:t xml:space="preserve">in Babylon during the ten years Nabonidus spent in Tema (see Nabonidus’s Harran stelae, </w:t>
      </w:r>
      <w:r w:rsidRPr="0066103C">
        <w:rPr>
          <w:i/>
        </w:rPr>
        <w:t>ANET</w:t>
      </w:r>
      <w:r w:rsidR="00EB1377" w:rsidRPr="0066103C">
        <w:t>,</w:t>
      </w:r>
      <w:r w:rsidRPr="0066103C">
        <w:t xml:space="preserve"> 562–63; cf. chap. 4 </w:t>
      </w:r>
      <w:r w:rsidRPr="0066103C">
        <w:rPr>
          <w:i/>
        </w:rPr>
        <w:t>Form</w:t>
      </w:r>
      <w:r w:rsidRPr="0066103C">
        <w:t xml:space="preserve">). This period </w:t>
      </w:r>
      <w:r w:rsidR="00840858">
        <w:t>would have begun in 550/549</w:t>
      </w:r>
      <w:r w:rsidRPr="0066103C">
        <w:t xml:space="preserve">, the year of </w:t>
      </w:r>
      <w:r w:rsidR="00EF2BBD">
        <w:t>Cyrus’</w:t>
      </w:r>
      <w:r w:rsidRPr="0066103C">
        <w:t xml:space="preserve"> decisive victor</w:t>
      </w:r>
      <w:r w:rsidR="00EB1377" w:rsidRPr="0066103C">
        <w:t>y over Astyages, king of Media</w:t>
      </w:r>
      <w:r w:rsidRPr="0066103C">
        <w:t>.</w:t>
      </w:r>
      <w:r w:rsidR="00EB1377" w:rsidRPr="0066103C">
        <w:rPr>
          <w:rStyle w:val="FootnoteReference"/>
        </w:rPr>
        <w:footnoteReference w:id="81"/>
      </w:r>
      <w:r w:rsidRPr="0066103C">
        <w:t xml:space="preserve"> Babylonian documents were not dated by Belshazzar’s reign but by Nabonidus’s, but Belshazzar had had the kingship in Babylon entrusted to him and it is natural enough for a Jewish story to b</w:t>
      </w:r>
      <w:r w:rsidR="00840858">
        <w:t>e dated by his years. S</w:t>
      </w:r>
      <w:r w:rsidR="00B276FB" w:rsidRPr="0066103C">
        <w:t>uggestive</w:t>
      </w:r>
      <w:r w:rsidR="00840858">
        <w:t>ly,</w:t>
      </w:r>
      <w:r w:rsidR="00B276FB" w:rsidRPr="0066103C">
        <w:t xml:space="preserve"> </w:t>
      </w:r>
      <w:r w:rsidRPr="0066103C">
        <w:t>the visions in chaps. 7 and 8 come from the b</w:t>
      </w:r>
      <w:r w:rsidR="00B276FB" w:rsidRPr="0066103C">
        <w:t>eginning of that ten-year rule which ends with the portent in</w:t>
      </w:r>
      <w:r w:rsidRPr="0066103C">
        <w:t xml:space="preserve"> chap</w:t>
      </w:r>
      <w:r w:rsidR="00EB1377" w:rsidRPr="0066103C">
        <w:t>.</w:t>
      </w:r>
      <w:r w:rsidR="00B276FB" w:rsidRPr="0066103C">
        <w:t xml:space="preserve"> 5;</w:t>
      </w:r>
      <w:r w:rsidR="00EC47A9" w:rsidRPr="0066103C">
        <w:t xml:space="preserve"> Belshazzar is a king whose judgment foreshadows that </w:t>
      </w:r>
      <w:r w:rsidR="00EC47A9" w:rsidRPr="0066103C">
        <w:lastRenderedPageBreak/>
        <w:t>of the fourth empire.</w:t>
      </w:r>
      <w:r w:rsidR="00EC47A9" w:rsidRPr="0066103C">
        <w:rPr>
          <w:vertAlign w:val="superscript"/>
        </w:rPr>
        <w:footnoteReference w:id="82"/>
      </w:r>
      <w:r w:rsidR="00EC47A9" w:rsidRPr="0066103C">
        <w:t xml:space="preserve"> But </w:t>
      </w:r>
      <w:r w:rsidRPr="0066103C">
        <w:t xml:space="preserve">the structure of the </w:t>
      </w:r>
      <w:r w:rsidR="00B276FB" w:rsidRPr="0066103C">
        <w:t>book emphasizes rather the link</w:t>
      </w:r>
      <w:r w:rsidRPr="0066103C">
        <w:t xml:space="preserve"> between ch</w:t>
      </w:r>
      <w:r w:rsidR="00EB1377" w:rsidRPr="0066103C">
        <w:t xml:space="preserve">ap. 5 and the other narratives and </w:t>
      </w:r>
      <w:r w:rsidR="00B276FB" w:rsidRPr="0066103C">
        <w:t xml:space="preserve">the link </w:t>
      </w:r>
      <w:r w:rsidR="00EB1377" w:rsidRPr="0066103C">
        <w:t xml:space="preserve">between </w:t>
      </w:r>
      <w:r w:rsidRPr="0066103C">
        <w:t>chaps. 7 and 8 and the other visions.</w:t>
      </w:r>
    </w:p>
    <w:p w:rsidR="004F0A02" w:rsidRPr="0066103C" w:rsidRDefault="004F0A02" w:rsidP="007C605F">
      <w:r w:rsidRPr="004C6F68">
        <w:rPr>
          <w:b/>
        </w:rPr>
        <w:t>2–3</w:t>
      </w:r>
      <w:r w:rsidRPr="0066103C">
        <w:t xml:space="preserve"> </w:t>
      </w:r>
      <w:r w:rsidR="007C605F" w:rsidRPr="0066103C">
        <w:t xml:space="preserve">Talk of four winds, heaving sea, and huge animals calls to mind mythic material from Babylon and Canaan reflected in earlier parts of the OT (see </w:t>
      </w:r>
      <w:r w:rsidR="007C605F" w:rsidRPr="0066103C">
        <w:rPr>
          <w:i/>
        </w:rPr>
        <w:t>Form</w:t>
      </w:r>
      <w:r w:rsidR="007C605F" w:rsidRPr="0066103C">
        <w:t>). For the mythic Sea, the OT elsewhere uses the more general term “the sea” (e.g., Isa 5:30; 27:1; Jer 51:42; Ps 74:13; 89:9 [10]; Job 26:12; Rev 21:1), or “the [Great] Deep” ([</w:t>
      </w:r>
      <w:r w:rsidR="007C605F" w:rsidRPr="0066103C">
        <w:rPr>
          <w:rFonts w:ascii="Arial" w:hAnsi="Arial" w:cs="Arial"/>
        </w:rPr>
        <w:t>רבה</w:t>
      </w:r>
      <w:r w:rsidR="007C605F" w:rsidRPr="0066103C">
        <w:t xml:space="preserve">] </w:t>
      </w:r>
      <w:r w:rsidR="007C605F" w:rsidRPr="0066103C">
        <w:rPr>
          <w:rFonts w:ascii="Arial" w:hAnsi="Arial" w:cs="Arial"/>
        </w:rPr>
        <w:t>תהום</w:t>
      </w:r>
      <w:r w:rsidR="007C605F" w:rsidRPr="0066103C">
        <w:t>) (e.g., Gen 7:11; Isa 51:10; Amos 7:4).</w:t>
      </w:r>
      <w:r w:rsidR="00945C8C">
        <w:t xml:space="preserve"> </w:t>
      </w:r>
      <w:r w:rsidR="007C605F" w:rsidRPr="0066103C">
        <w:t>“T</w:t>
      </w:r>
      <w:r w:rsidR="00FB297A" w:rsidRPr="0066103C">
        <w:t>he Great Sea” is a standard title for the Mediterranean</w:t>
      </w:r>
      <w:r w:rsidR="00AE2A5A">
        <w:t xml:space="preserve"> (see BDB, 410; in</w:t>
      </w:r>
      <w:r w:rsidR="007C605F" w:rsidRPr="0066103C">
        <w:t xml:space="preserve"> Aramaic</w:t>
      </w:r>
      <w:r w:rsidR="00FB297A" w:rsidRPr="0066103C">
        <w:t>, 1QapGen 21.16). But</w:t>
      </w:r>
      <w:r w:rsidR="007C605F" w:rsidRPr="0066103C">
        <w:t xml:space="preserve"> the Qumran </w:t>
      </w:r>
      <w:r w:rsidR="007C605F" w:rsidRPr="0066103C">
        <w:rPr>
          <w:i/>
        </w:rPr>
        <w:t>Levi Apocryphon</w:t>
      </w:r>
      <w:r w:rsidR="007C605F" w:rsidRPr="0066103C">
        <w:t xml:space="preserve"> </w:t>
      </w:r>
      <w:r w:rsidR="00FB297A" w:rsidRPr="0066103C">
        <w:t>is an exception,</w:t>
      </w:r>
      <w:r w:rsidR="007C605F" w:rsidRPr="0066103C">
        <w:rPr>
          <w:vertAlign w:val="superscript"/>
        </w:rPr>
        <w:footnoteReference w:id="83"/>
      </w:r>
      <w:r w:rsidR="00FB297A" w:rsidRPr="0066103C">
        <w:t xml:space="preserve"> and this vision trades on both possible significances: the Mediterranean becomes a symbol for the tumultuous mythic sea.</w:t>
      </w:r>
    </w:p>
    <w:p w:rsidR="004F0A02" w:rsidRPr="0066103C" w:rsidRDefault="004F0A02" w:rsidP="004F0A02">
      <w:r w:rsidRPr="004C6F68">
        <w:rPr>
          <w:b/>
        </w:rPr>
        <w:t>4–8</w:t>
      </w:r>
      <w:r w:rsidRPr="0066103C">
        <w:t xml:space="preserve"> The four creatures emerge from the ocean consecutively, not concurrently, though this in itself hardly excludes the possibility of understanding the kings they represent as contemporaries, </w:t>
      </w:r>
      <w:r w:rsidR="00AE2A5A">
        <w:t xml:space="preserve">with </w:t>
      </w:r>
      <w:r w:rsidRPr="0066103C">
        <w:t xml:space="preserve">the consecutiveness being merely </w:t>
      </w:r>
      <w:r w:rsidR="00FB297A" w:rsidRPr="0066103C">
        <w:t>a feature of the presentation. N</w:t>
      </w:r>
      <w:r w:rsidRPr="0066103C">
        <w:t xml:space="preserve">or </w:t>
      </w:r>
      <w:r w:rsidR="0042753A" w:rsidRPr="0066103C">
        <w:t xml:space="preserve">does it exclude </w:t>
      </w:r>
      <w:r w:rsidRPr="0066103C">
        <w:t>the possibility of associating one creature with each point of the compass.</w:t>
      </w:r>
    </w:p>
    <w:p w:rsidR="004F0A02" w:rsidRPr="0066103C" w:rsidRDefault="004F0A02" w:rsidP="004F0A02">
      <w:r w:rsidRPr="0066103C">
        <w:t xml:space="preserve">Each </w:t>
      </w:r>
      <w:r w:rsidR="0042753A" w:rsidRPr="0066103C">
        <w:t xml:space="preserve">animal </w:t>
      </w:r>
      <w:r w:rsidRPr="0066103C">
        <w:t>i</w:t>
      </w:r>
      <w:r w:rsidR="00FB297A" w:rsidRPr="0066103C">
        <w:t>s fierce and dangerous. Each is</w:t>
      </w:r>
      <w:r w:rsidRPr="0066103C">
        <w:t xml:space="preserve"> also ominous in a narrower sense. The first three, at least, are anomalous creature</w:t>
      </w:r>
      <w:r w:rsidR="0042753A" w:rsidRPr="0066103C">
        <w:t>s, resembling one species but also having features belonging to</w:t>
      </w:r>
      <w:r w:rsidRPr="0066103C">
        <w:t xml:space="preserve"> another or being deformed in some other way. In Babylonian lore such actual or theoretical anomalies were believed to port</w:t>
      </w:r>
      <w:r w:rsidR="0042753A" w:rsidRPr="0066103C">
        <w:t>end specific historical events</w:t>
      </w:r>
      <w:r w:rsidRPr="0066103C">
        <w:t>.</w:t>
      </w:r>
      <w:r w:rsidR="0042753A" w:rsidRPr="0066103C">
        <w:rPr>
          <w:rStyle w:val="FootnoteReference"/>
        </w:rPr>
        <w:footnoteReference w:id="84"/>
      </w:r>
      <w:r w:rsidR="00FB297A" w:rsidRPr="0066103C">
        <w:t xml:space="preserve"> In the context of the Torah, such hybrids imply</w:t>
      </w:r>
      <w:r w:rsidRPr="0066103C">
        <w:t xml:space="preserve"> a contravention of the prohibition on mating members of dif</w:t>
      </w:r>
      <w:r w:rsidR="00FB297A" w:rsidRPr="0066103C">
        <w:t>ferent species, behind which lies</w:t>
      </w:r>
      <w:r w:rsidRPr="0066103C">
        <w:t xml:space="preserve"> the emphasis </w:t>
      </w:r>
      <w:r w:rsidR="00FB297A" w:rsidRPr="0066103C">
        <w:t xml:space="preserve">in Gen 1 </w:t>
      </w:r>
      <w:r w:rsidRPr="0066103C">
        <w:t>on species being created “after their kind</w:t>
      </w:r>
      <w:r w:rsidR="00FB297A" w:rsidRPr="0066103C">
        <w:t xml:space="preserve">.” </w:t>
      </w:r>
      <w:r w:rsidRPr="0066103C">
        <w:t>In Hellenistic Palestine, hybrid creatures on charms and am</w:t>
      </w:r>
      <w:r w:rsidR="0042753A" w:rsidRPr="0066103C">
        <w:t>ulets symbolize demonic forces</w:t>
      </w:r>
      <w:r w:rsidRPr="0066103C">
        <w:t>.</w:t>
      </w:r>
      <w:r w:rsidR="0042753A" w:rsidRPr="0066103C">
        <w:rPr>
          <w:rStyle w:val="FootnoteReference"/>
        </w:rPr>
        <w:footnoteReference w:id="85"/>
      </w:r>
      <w:r w:rsidRPr="0066103C">
        <w:t xml:space="preserve"> While it is possible to link characteristics of each of the creatures with features of the kingdoms they</w:t>
      </w:r>
      <w:r w:rsidR="0042753A" w:rsidRPr="0066103C">
        <w:t xml:space="preserve"> may represent, the text does not point to</w:t>
      </w:r>
      <w:r w:rsidRPr="0066103C">
        <w:t xml:space="preserve"> such connections. It would make little difference to the vision’s meaning if bear and leopard exchanged positions in the vision or if the third creature were likened to a wolf rather than a leopard.</w:t>
      </w:r>
    </w:p>
    <w:p w:rsidR="004F0A02" w:rsidRPr="0066103C" w:rsidRDefault="004C6F68" w:rsidP="004F0A02">
      <w:r>
        <w:rPr>
          <w:b/>
        </w:rPr>
        <w:t xml:space="preserve">4 </w:t>
      </w:r>
      <w:r>
        <w:t xml:space="preserve">The features of a lion </w:t>
      </w:r>
      <w:r w:rsidR="004F0A02" w:rsidRPr="0066103C">
        <w:t xml:space="preserve">to which the OT appeals are ferocity, strength, destructiveness, courage, rapacity, and fearsomeness; it can be used as a simile or metaphor for any nation or individual with such characteristics, and in </w:t>
      </w:r>
      <w:r w:rsidR="002C24B8" w:rsidRPr="0066103C">
        <w:t>particular to suggest kingship</w:t>
      </w:r>
      <w:r w:rsidR="004F0A02" w:rsidRPr="0066103C">
        <w:t>.</w:t>
      </w:r>
      <w:r w:rsidR="002C24B8" w:rsidRPr="0066103C">
        <w:rPr>
          <w:rStyle w:val="FootnoteReference"/>
        </w:rPr>
        <w:footnoteReference w:id="86"/>
      </w:r>
      <w:r w:rsidR="004F0A02" w:rsidRPr="0066103C">
        <w:t xml:space="preserve"> The eagle’s key characteristics are speed and rapacity (Hab 1:8; Lam 4:19). The bird referred to is perhaps strictly the large and majestic, high-flyin</w:t>
      </w:r>
      <w:r w:rsidR="0042753A" w:rsidRPr="0066103C">
        <w:t>g and swooping griffon vulture</w:t>
      </w:r>
      <w:r w:rsidR="004F0A02" w:rsidRPr="0066103C">
        <w:t>.</w:t>
      </w:r>
      <w:r w:rsidR="0042753A" w:rsidRPr="0066103C">
        <w:rPr>
          <w:rStyle w:val="FootnoteReference"/>
        </w:rPr>
        <w:footnoteReference w:id="87"/>
      </w:r>
      <w:r w:rsidR="004F0A02" w:rsidRPr="0066103C">
        <w:t xml:space="preserve"> Lion and eagle appear together to characterize Saul and Jonathan in 2 Sam 1:23, the unnamed northern foe in Jer 4:7, 13, and Nebuchadnezzar i</w:t>
      </w:r>
      <w:r w:rsidR="00FB297A" w:rsidRPr="0066103C">
        <w:t>n particular in Jer 49:19, 22. N</w:t>
      </w:r>
      <w:r w:rsidR="004F0A02" w:rsidRPr="0066103C">
        <w:t xml:space="preserve">either has a distinctive association with Babylon or with Nebuchadnezzar, though winged lions in relief decorated </w:t>
      </w:r>
      <w:r w:rsidR="0042753A" w:rsidRPr="0066103C">
        <w:t>the Processional Way in Babylon.</w:t>
      </w:r>
      <w:r w:rsidR="0042753A" w:rsidRPr="0066103C">
        <w:rPr>
          <w:rStyle w:val="FootnoteReference"/>
        </w:rPr>
        <w:footnoteReference w:id="88"/>
      </w:r>
      <w:r w:rsidR="0042753A" w:rsidRPr="0066103C">
        <w:t xml:space="preserve"> </w:t>
      </w:r>
      <w:r w:rsidR="004F0A02" w:rsidRPr="0066103C">
        <w:t xml:space="preserve">Lions and eagles are the leading animals and birds symbolizing the nations in </w:t>
      </w:r>
      <w:r w:rsidR="004F0A02" w:rsidRPr="0066103C">
        <w:rPr>
          <w:i/>
        </w:rPr>
        <w:t>1 Enoch</w:t>
      </w:r>
      <w:r w:rsidR="00FB297A" w:rsidRPr="0066103C">
        <w:t xml:space="preserve"> 89–90. They</w:t>
      </w:r>
      <w:r w:rsidR="004F0A02" w:rsidRPr="0066103C">
        <w:t xml:space="preserve"> appropriately symbolize the first king, whoe</w:t>
      </w:r>
      <w:r w:rsidR="00F13B32" w:rsidRPr="0066103C">
        <w:t xml:space="preserve">ver is </w:t>
      </w:r>
      <w:r w:rsidR="00FB297A" w:rsidRPr="0066103C">
        <w:t>referred to, like the gold in chap. 2</w:t>
      </w:r>
      <w:r w:rsidR="004F0A02" w:rsidRPr="0066103C">
        <w:t>.</w:t>
      </w:r>
    </w:p>
    <w:p w:rsidR="0054000F" w:rsidRPr="0066103C" w:rsidRDefault="004F0A02" w:rsidP="004F0A02">
      <w:r w:rsidRPr="0066103C">
        <w:t xml:space="preserve">In isolation, what happens to the lion-eagle </w:t>
      </w:r>
      <w:r w:rsidR="00AE2A5A">
        <w:t>might be read negatively: i</w:t>
      </w:r>
      <w:r w:rsidRPr="0066103C">
        <w:t>t is reduced from being able to soar above the earth to experiencing the</w:t>
      </w:r>
      <w:r w:rsidR="00FB297A" w:rsidRPr="0066103C">
        <w:t xml:space="preserve"> limitations of mere humanness</w:t>
      </w:r>
      <w:r w:rsidR="00AE2A5A">
        <w:t>. T</w:t>
      </w:r>
      <w:r w:rsidRPr="0066103C">
        <w:t>he removal of the eagle’s wings,</w:t>
      </w:r>
      <w:r w:rsidR="00FB297A" w:rsidRPr="0066103C">
        <w:t xml:space="preserve"> reducing the creature to a</w:t>
      </w:r>
      <w:r w:rsidRPr="0066103C">
        <w:t xml:space="preserve"> four-legged animal, could be an act of judgment paralleling the one Nebuchadnezzar experienced in chap. 4. There, however, coming to share the a</w:t>
      </w:r>
      <w:r w:rsidR="0054000F" w:rsidRPr="0066103C">
        <w:t xml:space="preserve">ppearance of an eagle </w:t>
      </w:r>
      <w:r w:rsidR="00FB297A" w:rsidRPr="0066103C">
        <w:t xml:space="preserve">is </w:t>
      </w:r>
      <w:r w:rsidRPr="0066103C">
        <w:t>an act of judgment; it accompanies coming to sha</w:t>
      </w:r>
      <w:r w:rsidR="00FB297A" w:rsidRPr="0066103C">
        <w:t>re the life of an animal as an aspect</w:t>
      </w:r>
      <w:r w:rsidRPr="0066103C">
        <w:t xml:space="preserve"> of </w:t>
      </w:r>
      <w:r w:rsidRPr="0066103C">
        <w:lastRenderedPageBreak/>
        <w:t>Nebuchadnezzar’s being deprived of his humanity before he has his human sani</w:t>
      </w:r>
      <w:r w:rsidR="0054000F" w:rsidRPr="0066103C">
        <w:t xml:space="preserve">ty restored. More likely, </w:t>
      </w:r>
      <w:r w:rsidR="00442EB9" w:rsidRPr="0066103C">
        <w:t>having</w:t>
      </w:r>
      <w:r w:rsidRPr="0066103C">
        <w:t xml:space="preserve"> on</w:t>
      </w:r>
      <w:r w:rsidR="00442EB9" w:rsidRPr="0066103C">
        <w:t xml:space="preserve">e’s feathered wings removed, </w:t>
      </w:r>
      <w:r w:rsidRPr="0066103C">
        <w:t>be</w:t>
      </w:r>
      <w:r w:rsidR="00442EB9" w:rsidRPr="0066103C">
        <w:t>ing</w:t>
      </w:r>
      <w:r w:rsidRPr="0066103C">
        <w:t xml:space="preserve"> stood on one’s </w:t>
      </w:r>
      <w:r w:rsidR="00442EB9" w:rsidRPr="0066103C">
        <w:t xml:space="preserve">feet like a human being, and </w:t>
      </w:r>
      <w:r w:rsidRPr="0066103C">
        <w:t>be</w:t>
      </w:r>
      <w:r w:rsidR="00442EB9" w:rsidRPr="0066103C">
        <w:t>ing</w:t>
      </w:r>
      <w:r w:rsidRPr="0066103C">
        <w:t xml:space="preserve"> given a human mind, are all blessings not deprivations.</w:t>
      </w:r>
      <w:r w:rsidR="00442EB9" w:rsidRPr="0066103C">
        <w:t xml:space="preserve"> </w:t>
      </w:r>
      <w:r w:rsidR="00442EB9" w:rsidRPr="0066103C">
        <w:rPr>
          <w:bCs/>
        </w:rPr>
        <w:t>The movement from</w:t>
      </w:r>
      <w:r w:rsidR="00AE2A5A">
        <w:rPr>
          <w:bCs/>
        </w:rPr>
        <w:t xml:space="preserve"> animal to human in chap. 7</w:t>
      </w:r>
      <w:r w:rsidR="00442EB9" w:rsidRPr="0066103C">
        <w:rPr>
          <w:bCs/>
        </w:rPr>
        <w:t xml:space="preserve"> compares positively with the movement in the Nebuchadnezzar story from human to animal and back to human.</w:t>
      </w:r>
      <w:r w:rsidR="00E62BFF" w:rsidRPr="0066103C">
        <w:rPr>
          <w:rStyle w:val="FootnoteReference"/>
        </w:rPr>
        <w:footnoteReference w:id="89"/>
      </w:r>
      <w:r w:rsidRPr="0066103C">
        <w:t xml:space="preserve"> </w:t>
      </w:r>
      <w:r w:rsidR="00442EB9" w:rsidRPr="0066103C">
        <w:t>V 4 might then imply</w:t>
      </w:r>
      <w:r w:rsidRPr="0066103C">
        <w:t xml:space="preserve"> a positive </w:t>
      </w:r>
      <w:r w:rsidR="0042753A" w:rsidRPr="0066103C">
        <w:t xml:space="preserve">assessment of </w:t>
      </w:r>
      <w:r w:rsidRPr="0066103C">
        <w:t>the destroyer Nebuchadnezzar</w:t>
      </w:r>
      <w:r w:rsidR="0042753A" w:rsidRPr="0066103C">
        <w:t>’s being succeeded</w:t>
      </w:r>
      <w:r w:rsidRPr="0066103C">
        <w:t xml:space="preserve"> by Nabonidus: Babylonian rule is humanized.</w:t>
      </w:r>
      <w:r w:rsidR="0042753A" w:rsidRPr="0066103C">
        <w:rPr>
          <w:rStyle w:val="FootnoteReference"/>
        </w:rPr>
        <w:footnoteReference w:id="90"/>
      </w:r>
      <w:r w:rsidRPr="0066103C">
        <w:t xml:space="preserve"> The lion-eagle </w:t>
      </w:r>
      <w:r w:rsidR="0042753A" w:rsidRPr="0066103C">
        <w:t xml:space="preserve">that </w:t>
      </w:r>
      <w:r w:rsidRPr="0066103C">
        <w:t>become</w:t>
      </w:r>
      <w:r w:rsidR="0042753A" w:rsidRPr="0066103C">
        <w:t>s</w:t>
      </w:r>
      <w:r w:rsidRPr="0066103C">
        <w:t xml:space="preserve"> humanlike even anticipates or fores</w:t>
      </w:r>
      <w:r w:rsidR="00D669D1" w:rsidRPr="0066103C">
        <w:t>hadows the judgment of the creature</w:t>
      </w:r>
      <w:r w:rsidRPr="0066103C">
        <w:t>s and the bestowal of their authority on the humanli</w:t>
      </w:r>
      <w:r w:rsidR="0042753A" w:rsidRPr="0066103C">
        <w:t>ke figure of v 13.</w:t>
      </w:r>
      <w:r w:rsidR="0042753A" w:rsidRPr="0066103C">
        <w:rPr>
          <w:rStyle w:val="FootnoteReference"/>
        </w:rPr>
        <w:footnoteReference w:id="91"/>
      </w:r>
      <w:r w:rsidR="0042753A" w:rsidRPr="0066103C">
        <w:t xml:space="preserve"> </w:t>
      </w:r>
    </w:p>
    <w:p w:rsidR="004F0A02" w:rsidRPr="0066103C" w:rsidRDefault="004F0A02" w:rsidP="004F0A02">
      <w:r w:rsidRPr="0066103C">
        <w:t xml:space="preserve">The positive description of the </w:t>
      </w:r>
      <w:r w:rsidR="0042753A" w:rsidRPr="0066103C">
        <w:t>lion-eagle corresponds with th</w:t>
      </w:r>
      <w:r w:rsidRPr="0066103C">
        <w:t xml:space="preserve">e </w:t>
      </w:r>
      <w:r w:rsidR="0042753A" w:rsidRPr="0066103C">
        <w:t xml:space="preserve">descriptions </w:t>
      </w:r>
      <w:r w:rsidRPr="0066103C">
        <w:t>of the bear (which is encouraged to eat) and the leopa</w:t>
      </w:r>
      <w:r w:rsidR="00442EB9" w:rsidRPr="0066103C">
        <w:t>rd (which is given authority). But this</w:t>
      </w:r>
      <w:r w:rsidRPr="0066103C">
        <w:t xml:space="preserve"> first of the creatures is the </w:t>
      </w:r>
      <w:r w:rsidR="0054000F" w:rsidRPr="0066103C">
        <w:t xml:space="preserve">most human, </w:t>
      </w:r>
      <w:r w:rsidRPr="0066103C">
        <w:t>not necessari</w:t>
      </w:r>
      <w:r w:rsidR="0054000F" w:rsidRPr="0066103C">
        <w:t xml:space="preserve">ly m the sense that it </w:t>
      </w:r>
      <w:r w:rsidRPr="0066103C">
        <w:t>behaves in a more human way, but in the sense that God appoints it to a humanlike position of honor, autho</w:t>
      </w:r>
      <w:r w:rsidR="0042753A" w:rsidRPr="0066103C">
        <w:t>rity, responsibility, and care</w:t>
      </w:r>
      <w:r w:rsidRPr="0066103C">
        <w:t xml:space="preserve"> for the world (cf. 2:38; 4:</w:t>
      </w:r>
      <w:r w:rsidR="00AE2A5A">
        <w:t>20-22</w:t>
      </w:r>
      <w:r w:rsidRPr="0066103C">
        <w:t xml:space="preserve">). It is given a role in the world with a significance like that of a </w:t>
      </w:r>
      <w:r w:rsidRPr="0066103C">
        <w:rPr>
          <w:i/>
        </w:rPr>
        <w:t>symbolic</w:t>
      </w:r>
      <w:r w:rsidRPr="0066103C">
        <w:t xml:space="preserve"> human figure—</w:t>
      </w:r>
      <w:r w:rsidR="009E5801" w:rsidRPr="0066103C">
        <w:t xml:space="preserve"> which might imply a celestial being,</w:t>
      </w:r>
      <w:r w:rsidR="00945C8C">
        <w:t xml:space="preserve"> </w:t>
      </w:r>
      <w:r w:rsidR="00442EB9" w:rsidRPr="0066103C">
        <w:t xml:space="preserve">as </w:t>
      </w:r>
      <w:r w:rsidR="00442EB9" w:rsidRPr="0066103C">
        <w:rPr>
          <w:i/>
        </w:rPr>
        <w:t>1 Enoch</w:t>
      </w:r>
      <w:r w:rsidR="00442EB9" w:rsidRPr="0066103C">
        <w:t xml:space="preserve"> 89 portrays </w:t>
      </w:r>
      <w:r w:rsidRPr="0066103C">
        <w:t>Noah’s becoming a man</w:t>
      </w:r>
      <w:r w:rsidR="00AE2A5A">
        <w:t xml:space="preserve"> to undertake a</w:t>
      </w:r>
      <w:r w:rsidR="00FF4F3A">
        <w:t xml:space="preserve"> supernatural </w:t>
      </w:r>
      <w:r w:rsidR="009E5801" w:rsidRPr="0066103C">
        <w:t>task in building the ark</w:t>
      </w:r>
      <w:r w:rsidRPr="0066103C">
        <w:t>.</w:t>
      </w:r>
      <w:r w:rsidR="0042753A" w:rsidRPr="0066103C">
        <w:rPr>
          <w:rStyle w:val="FootnoteReference"/>
        </w:rPr>
        <w:footnoteReference w:id="92"/>
      </w:r>
    </w:p>
    <w:p w:rsidR="004F0A02" w:rsidRPr="0066103C" w:rsidRDefault="004F0A02" w:rsidP="004F0A02">
      <w:r w:rsidRPr="004C6F68">
        <w:rPr>
          <w:b/>
        </w:rPr>
        <w:t xml:space="preserve">5 </w:t>
      </w:r>
      <w:r w:rsidRPr="0066103C">
        <w:t>The second, bearlike, creature is introduced with the briefest of formulae (וארו</w:t>
      </w:r>
      <w:r w:rsidR="00AE2A5A">
        <w:t>, “and there</w:t>
      </w:r>
      <w:r w:rsidR="009E5801" w:rsidRPr="0066103C">
        <w:t>!”), which</w:t>
      </w:r>
      <w:r w:rsidRPr="0066103C">
        <w:t xml:space="preserve"> could point toward</w:t>
      </w:r>
      <w:r w:rsidR="009E5801" w:rsidRPr="0066103C">
        <w:t>s</w:t>
      </w:r>
      <w:r w:rsidRPr="0066103C">
        <w:t xml:space="preserve"> a close association with the first creature; but there is no other indication of close association, so it is best taken as a mere stylistic variation.</w:t>
      </w:r>
    </w:p>
    <w:p w:rsidR="004F0A02" w:rsidRPr="0066103C" w:rsidRDefault="004F0A02" w:rsidP="004F0A02">
      <w:r w:rsidRPr="0066103C">
        <w:t xml:space="preserve">Its size and strength make it a source of fear to human </w:t>
      </w:r>
      <w:r w:rsidR="0054000F" w:rsidRPr="0066103C">
        <w:t xml:space="preserve">beings second only to the lion: see </w:t>
      </w:r>
      <w:r w:rsidRPr="0066103C">
        <w:t xml:space="preserve">1 Sam </w:t>
      </w:r>
      <w:r w:rsidR="0054000F" w:rsidRPr="0066103C">
        <w:t>17:34–37; Amos 5:19; Prov 28:15.</w:t>
      </w:r>
      <w:r w:rsidRPr="0066103C">
        <w:t xml:space="preserve"> </w:t>
      </w:r>
      <w:r w:rsidR="0054000F" w:rsidRPr="0066103C">
        <w:t>I</w:t>
      </w:r>
      <w:r w:rsidR="00AE2A5A">
        <w:t>ndeed, i</w:t>
      </w:r>
      <w:r w:rsidR="0054000F" w:rsidRPr="0066103C">
        <w:t>t comes before the lion in</w:t>
      </w:r>
      <w:r w:rsidRPr="0066103C">
        <w:t xml:space="preserve"> Lam 3:10; see also 2 Sam 17:8; Isa 11:7; Hos 13:8; Prov 17:2; and for a vivid instance of its dangerousness, 2 Kgs 2:24</w:t>
      </w:r>
      <w:r w:rsidR="0054000F" w:rsidRPr="0066103C">
        <w:t>. T</w:t>
      </w:r>
      <w:r w:rsidRPr="0066103C">
        <w:t>he bear would be a fit</w:t>
      </w:r>
      <w:r w:rsidR="0054000F" w:rsidRPr="0066103C">
        <w:t xml:space="preserve"> simile for any king or empire; </w:t>
      </w:r>
      <w:r w:rsidRPr="0066103C">
        <w:t>nothing specific associates it with any particular king or empire.</w:t>
      </w:r>
    </w:p>
    <w:p w:rsidR="004F0A02" w:rsidRPr="0066103C" w:rsidRDefault="004F0A02" w:rsidP="004F0A02">
      <w:r w:rsidRPr="0066103C">
        <w:t xml:space="preserve">Both text and grammar (see </w:t>
      </w:r>
      <w:r w:rsidRPr="0066103C">
        <w:rPr>
          <w:i/>
        </w:rPr>
        <w:t>Notes</w:t>
      </w:r>
      <w:r w:rsidRPr="0066103C">
        <w:t xml:space="preserve">) </w:t>
      </w:r>
      <w:r w:rsidR="00FD3485" w:rsidRPr="0066103C">
        <w:t>and meaning and reference in its description</w:t>
      </w:r>
      <w:r w:rsidRPr="0066103C">
        <w:t xml:space="preserve"> are proble</w:t>
      </w:r>
      <w:r w:rsidR="00FD3485" w:rsidRPr="0066103C">
        <w:t>matic. Being</w:t>
      </w:r>
      <w:r w:rsidR="0054000F" w:rsidRPr="0066103C">
        <w:t xml:space="preserve"> lifted up on one side might</w:t>
      </w:r>
      <w:r w:rsidR="00FD3485" w:rsidRPr="0066103C">
        <w:t xml:space="preserve"> suggest</w:t>
      </w:r>
      <w:r w:rsidRPr="0066103C">
        <w:t xml:space="preserve"> that it was rearing up on its back legs</w:t>
      </w:r>
      <w:r w:rsidR="00FD3485" w:rsidRPr="0066103C">
        <w:t>, perhaps imply</w:t>
      </w:r>
      <w:r w:rsidR="00C242F3" w:rsidRPr="0066103C">
        <w:t>ing that it was half-human,</w:t>
      </w:r>
      <w:r w:rsidR="00AC714C" w:rsidRPr="0066103C">
        <w:rPr>
          <w:rStyle w:val="FootnoteReference"/>
        </w:rPr>
        <w:footnoteReference w:id="93"/>
      </w:r>
      <w:r w:rsidR="00945C8C">
        <w:t xml:space="preserve"> </w:t>
      </w:r>
      <w:r w:rsidRPr="0066103C">
        <w:t>or had one paw raised ready to strike</w:t>
      </w:r>
      <w:r w:rsidR="00AC714C" w:rsidRPr="0066103C">
        <w:t>,</w:t>
      </w:r>
      <w:r w:rsidRPr="0066103C">
        <w:t xml:space="preserve"> or was half-c</w:t>
      </w:r>
      <w:r w:rsidR="00FD3485" w:rsidRPr="0066103C">
        <w:t>rouching ready to spring. T</w:t>
      </w:r>
      <w:r w:rsidR="0054000F" w:rsidRPr="0066103C">
        <w:t>he language might refer to Media</w:t>
      </w:r>
      <w:r w:rsidR="00C242F3" w:rsidRPr="0066103C">
        <w:t xml:space="preserve"> </w:t>
      </w:r>
      <w:r w:rsidR="0054000F" w:rsidRPr="0066103C">
        <w:t xml:space="preserve">as the referent </w:t>
      </w:r>
      <w:r w:rsidR="00C242F3" w:rsidRPr="0066103C">
        <w:t>of the bear</w:t>
      </w:r>
      <w:r w:rsidR="00AC714C" w:rsidRPr="0066103C">
        <w:t xml:space="preserve">: </w:t>
      </w:r>
      <w:r w:rsidR="00C242F3" w:rsidRPr="0066103C">
        <w:t xml:space="preserve">perhaps Media’s remoteness or the Medes’ </w:t>
      </w:r>
      <w:r w:rsidR="00FD3485" w:rsidRPr="0066103C">
        <w:t xml:space="preserve">perceived </w:t>
      </w:r>
      <w:r w:rsidR="00C242F3" w:rsidRPr="0066103C">
        <w:t xml:space="preserve">lack of historical </w:t>
      </w:r>
      <w:r w:rsidR="00FD3485" w:rsidRPr="0066103C">
        <w:t>achievements</w:t>
      </w:r>
      <w:r w:rsidR="00C242F3" w:rsidRPr="0066103C">
        <w:t>, which could be suggested by the bear’</w:t>
      </w:r>
      <w:r w:rsidR="00AC714C" w:rsidRPr="0066103C">
        <w:t>s clumsiness.</w:t>
      </w:r>
      <w:r w:rsidR="00C242F3" w:rsidRPr="0066103C">
        <w:rPr>
          <w:rStyle w:val="FootnoteReference"/>
        </w:rPr>
        <w:footnoteReference w:id="94"/>
      </w:r>
      <w:r w:rsidR="00AC714C" w:rsidRPr="0066103C">
        <w:t xml:space="preserve"> M</w:t>
      </w:r>
      <w:r w:rsidR="00C242F3" w:rsidRPr="0066103C">
        <w:t xml:space="preserve">ore likely </w:t>
      </w:r>
      <w:r w:rsidR="00FD3485" w:rsidRPr="0066103C">
        <w:t>the description may point to</w:t>
      </w:r>
      <w:r w:rsidR="00C242F3" w:rsidRPr="0066103C">
        <w:t xml:space="preserve"> </w:t>
      </w:r>
      <w:r w:rsidR="00AC714C" w:rsidRPr="0066103C">
        <w:t>the bear</w:t>
      </w:r>
      <w:r w:rsidR="00FD3485" w:rsidRPr="0066103C">
        <w:t>’s possessing</w:t>
      </w:r>
      <w:r w:rsidR="00C242F3" w:rsidRPr="0066103C">
        <w:t xml:space="preserve"> a physical anomaly (cf. the parallels in </w:t>
      </w:r>
      <w:r w:rsidR="00C242F3" w:rsidRPr="0066103C">
        <w:rPr>
          <w:i/>
        </w:rPr>
        <w:t>Šumma izbu</w:t>
      </w:r>
      <w:r w:rsidR="00C242F3" w:rsidRPr="0066103C">
        <w:t xml:space="preserve"> 14.10–11).</w:t>
      </w:r>
      <w:r w:rsidR="00C242F3" w:rsidRPr="0066103C">
        <w:rPr>
          <w:vertAlign w:val="superscript"/>
        </w:rPr>
        <w:footnoteReference w:id="95"/>
      </w:r>
      <w:r w:rsidR="00C242F3" w:rsidRPr="0066103C">
        <w:t xml:space="preserve"> </w:t>
      </w:r>
      <w:r w:rsidR="00AE2A5A">
        <w:t>O</w:t>
      </w:r>
      <w:r w:rsidR="00FD3485" w:rsidRPr="0066103C">
        <w:t>ne might less speculatively</w:t>
      </w:r>
      <w:r w:rsidRPr="0066103C">
        <w:t xml:space="preserve"> explain details in the </w:t>
      </w:r>
      <w:r w:rsidR="00C242F3" w:rsidRPr="0066103C">
        <w:t xml:space="preserve">vision from within Daniel: </w:t>
      </w:r>
      <w:r w:rsidRPr="0066103C">
        <w:t>the one side (or ruler: see n. 5.c) could be Darius, the sol</w:t>
      </w:r>
      <w:r w:rsidR="00C242F3" w:rsidRPr="0066103C">
        <w:t>e Median mentioned in the book</w:t>
      </w:r>
      <w:r w:rsidRPr="0066103C">
        <w:t>.</w:t>
      </w:r>
      <w:r w:rsidR="00C242F3" w:rsidRPr="0066103C">
        <w:rPr>
          <w:rStyle w:val="FootnoteReference"/>
        </w:rPr>
        <w:footnoteReference w:id="96"/>
      </w:r>
      <w:r w:rsidRPr="0066103C">
        <w:t xml:space="preserve"> </w:t>
      </w:r>
      <w:r w:rsidR="00C242F3" w:rsidRPr="0066103C">
        <w:t>But the language is allusive.</w:t>
      </w:r>
    </w:p>
    <w:p w:rsidR="004F0A02" w:rsidRPr="0066103C" w:rsidRDefault="00270768" w:rsidP="004F0A02">
      <w:r w:rsidRPr="0066103C">
        <w:t>If the bear had</w:t>
      </w:r>
      <w:r w:rsidR="004F0A02" w:rsidRPr="0066103C">
        <w:t xml:space="preserve"> </w:t>
      </w:r>
      <w:r w:rsidRPr="0066103C">
        <w:t>a large mouthful of ribs through having bitten them from a victim,</w:t>
      </w:r>
      <w:r w:rsidR="00085CBF" w:rsidRPr="0066103C">
        <w:t xml:space="preserve"> </w:t>
      </w:r>
      <w:r w:rsidR="00FD3485" w:rsidRPr="0066103C">
        <w:t>o</w:t>
      </w:r>
      <w:r w:rsidR="00085CBF" w:rsidRPr="0066103C">
        <w:t xml:space="preserve">ne might expect it to be told to eat up and then take some </w:t>
      </w:r>
      <w:r w:rsidR="00FD3485" w:rsidRPr="0066103C">
        <w:t xml:space="preserve">more </w:t>
      </w:r>
      <w:r w:rsidR="00085CBF" w:rsidRPr="0066103C">
        <w:t xml:space="preserve">rather than simply </w:t>
      </w:r>
      <w:r w:rsidR="00FD3485" w:rsidRPr="0066103C">
        <w:t xml:space="preserve">being told </w:t>
      </w:r>
      <w:r w:rsidR="00085CBF" w:rsidRPr="0066103C">
        <w:t>to eat lots of meat</w:t>
      </w:r>
      <w:r w:rsidR="004F0A02" w:rsidRPr="0066103C">
        <w:t>. More likely this</w:t>
      </w:r>
      <w:r w:rsidRPr="0066103C">
        <w:t xml:space="preserve"> descripti</w:t>
      </w:r>
      <w:r w:rsidR="00FD3485" w:rsidRPr="0066103C">
        <w:t>on, too, refers to an anomaly: t</w:t>
      </w:r>
      <w:r w:rsidR="004F0A02" w:rsidRPr="0066103C">
        <w:t xml:space="preserve">he </w:t>
      </w:r>
      <w:r w:rsidRPr="0066103C">
        <w:t xml:space="preserve">ribs </w:t>
      </w:r>
      <w:r w:rsidR="004F0A02" w:rsidRPr="0066103C">
        <w:t xml:space="preserve">are growing in the bear’s mouth. </w:t>
      </w:r>
      <w:r w:rsidR="004F0A02" w:rsidRPr="0066103C">
        <w:rPr>
          <w:i/>
        </w:rPr>
        <w:t>Šumma izbu</w:t>
      </w:r>
      <w:r w:rsidRPr="0066103C">
        <w:t xml:space="preserve"> 17.16 is a near parallel, referring to lungs in the mouth</w:t>
      </w:r>
      <w:r w:rsidR="004F0A02" w:rsidRPr="0066103C">
        <w:t>.</w:t>
      </w:r>
      <w:r w:rsidRPr="0066103C">
        <w:rPr>
          <w:rStyle w:val="FootnoteReference"/>
        </w:rPr>
        <w:footnoteReference w:id="97"/>
      </w:r>
      <w:r w:rsidRPr="0066103C">
        <w:t xml:space="preserve"> The allusion to a deformity </w:t>
      </w:r>
      <w:r w:rsidR="00FD3485" w:rsidRPr="0066103C">
        <w:t>would</w:t>
      </w:r>
      <w:r w:rsidR="004F0A02" w:rsidRPr="0066103C">
        <w:t xml:space="preserve"> follow on from the description</w:t>
      </w:r>
      <w:r w:rsidR="00085CBF" w:rsidRPr="0066103C">
        <w:t xml:space="preserve"> of the bear’</w:t>
      </w:r>
      <w:r w:rsidRPr="0066103C">
        <w:t>s being distorted on one side. A</w:t>
      </w:r>
      <w:r w:rsidR="00FD3485" w:rsidRPr="0066103C">
        <w:t xml:space="preserve">lternatively or additionally, </w:t>
      </w:r>
      <w:r w:rsidRPr="0066103C">
        <w:t>t</w:t>
      </w:r>
      <w:r w:rsidR="004F0A02" w:rsidRPr="0066103C">
        <w:t>he three ribs could be Babylonian kings (e.g</w:t>
      </w:r>
      <w:r w:rsidRPr="0066103C">
        <w:t xml:space="preserve">., Nebuchadnezzar, </w:t>
      </w:r>
      <w:r w:rsidRPr="0066103C">
        <w:rPr>
          <w:iCs/>
        </w:rPr>
        <w:t>Ewil-merodak</w:t>
      </w:r>
      <w:r w:rsidR="004F0A02" w:rsidRPr="0066103C">
        <w:t xml:space="preserve">, and Belshazzar) </w:t>
      </w:r>
      <w:r w:rsidR="00ED0C67" w:rsidRPr="0066103C">
        <w:t xml:space="preserve">or other </w:t>
      </w:r>
      <w:r w:rsidR="00FD3485" w:rsidRPr="0066103C">
        <w:lastRenderedPageBreak/>
        <w:t>conquered kings</w:t>
      </w:r>
      <w:r w:rsidR="00ED0C67" w:rsidRPr="0066103C">
        <w:rPr>
          <w:vertAlign w:val="superscript"/>
        </w:rPr>
        <w:footnoteReference w:id="98"/>
      </w:r>
      <w:r w:rsidR="00ED0C67" w:rsidRPr="0066103C">
        <w:t xml:space="preserve"> </w:t>
      </w:r>
      <w:r w:rsidR="004F0A02" w:rsidRPr="0066103C">
        <w:t>or earlier empires</w:t>
      </w:r>
      <w:r w:rsidRPr="0066103C">
        <w:rPr>
          <w:rStyle w:val="FootnoteReference"/>
        </w:rPr>
        <w:footnoteReference w:id="99"/>
      </w:r>
      <w:r w:rsidR="004F0A02" w:rsidRPr="0066103C">
        <w:t xml:space="preserve"> or conquered cities</w:t>
      </w:r>
      <w:r w:rsidRPr="0066103C">
        <w:rPr>
          <w:rStyle w:val="FootnoteReference"/>
        </w:rPr>
        <w:footnoteReference w:id="100"/>
      </w:r>
      <w:r w:rsidR="004F0A02" w:rsidRPr="0066103C">
        <w:t xml:space="preserve"> </w:t>
      </w:r>
      <w:r w:rsidR="00427F4C" w:rsidRPr="0066103C">
        <w:t>or conquered peoples</w:t>
      </w:r>
      <w:r w:rsidR="00ED0C67" w:rsidRPr="0066103C">
        <w:t>.</w:t>
      </w:r>
      <w:r w:rsidR="00427F4C" w:rsidRPr="0066103C">
        <w:rPr>
          <w:rStyle w:val="FootnoteReference"/>
        </w:rPr>
        <w:footnoteReference w:id="101"/>
      </w:r>
      <w:r w:rsidR="00427F4C" w:rsidRPr="0066103C">
        <w:t xml:space="preserve"> </w:t>
      </w:r>
      <w:r w:rsidR="00ED0C67" w:rsidRPr="0066103C">
        <w:t>If</w:t>
      </w:r>
      <w:r w:rsidR="004F0A02" w:rsidRPr="0066103C">
        <w:t xml:space="preserve"> the three עלעין</w:t>
      </w:r>
      <w:r w:rsidR="00B05C32" w:rsidRPr="0066103C">
        <w:t xml:space="preserve"> are rather </w:t>
      </w:r>
      <w:r w:rsidR="004F0A02" w:rsidRPr="0066103C">
        <w:t>tusks or fangs</w:t>
      </w:r>
      <w:r w:rsidR="00B05C32" w:rsidRPr="0066103C">
        <w:t xml:space="preserve"> (see n. 5.e), the description would lead</w:t>
      </w:r>
      <w:r w:rsidR="004F0A02" w:rsidRPr="0066103C">
        <w:t xml:space="preserve"> well i</w:t>
      </w:r>
      <w:r w:rsidR="00ED0C67" w:rsidRPr="0066103C">
        <w:t>nto the exhortation to eat lots of meat</w:t>
      </w:r>
      <w:r w:rsidR="00B05C32" w:rsidRPr="0066103C">
        <w:t>, and the three could represent Median kings (e.g., Cyaxares I, Darius the Mede, and Cyaxares II).</w:t>
      </w:r>
      <w:r w:rsidR="00B05C32" w:rsidRPr="0066103C">
        <w:rPr>
          <w:vertAlign w:val="superscript"/>
        </w:rPr>
        <w:footnoteReference w:id="102"/>
      </w:r>
    </w:p>
    <w:p w:rsidR="004F0A02" w:rsidRPr="0066103C" w:rsidRDefault="004F0A02" w:rsidP="004F0A02">
      <w:r w:rsidRPr="004C6F68">
        <w:rPr>
          <w:b/>
        </w:rPr>
        <w:t xml:space="preserve">6 </w:t>
      </w:r>
      <w:r w:rsidRPr="0066103C">
        <w:t xml:space="preserve">The leopard appears with the lion and other animals as a fearsome predator (Isa 11:6; Jer 5:6; Hos 13:7; Cant 4:8). Its distinctive features are its spots (Jer 13:23) and its speed (Hab 1:8). The Persians and the Greeks had speedy armies (Isa 41:3; Dan 8:5), but the text does not specify such an allusion. The four wings </w:t>
      </w:r>
      <w:r w:rsidR="00B05C32" w:rsidRPr="0066103C">
        <w:t>and four heads indicate that this</w:t>
      </w:r>
      <w:r w:rsidRPr="0066103C">
        <w:t xml:space="preserve"> creature</w:t>
      </w:r>
      <w:r w:rsidR="00B05C32" w:rsidRPr="0066103C">
        <w:t>, too,</w:t>
      </w:r>
      <w:r w:rsidRPr="0066103C">
        <w:t xml:space="preserve"> is not a real or ordinary leopard but a heraldic fig</w:t>
      </w:r>
      <w:r w:rsidR="00B05C32" w:rsidRPr="0066103C">
        <w:t>ure</w:t>
      </w:r>
      <w:r w:rsidRPr="0066103C">
        <w:t xml:space="preserve"> or more likely an</w:t>
      </w:r>
      <w:r w:rsidR="00F34001" w:rsidRPr="0066103C">
        <w:t>other anomaly. A</w:t>
      </w:r>
      <w:r w:rsidRPr="0066103C">
        <w:t>s a winged predator, it resembles the first creature. While four wings or heads could denote the four Persian kings of 11:2 or the fourfold Greek empire of 8:8; 11:4, four is a frequent indicator of totality or universal activity and extension (cf. Ezek 1:5–6), and the point here may simply be that the leopard can see and move quickly in any direction.</w:t>
      </w:r>
    </w:p>
    <w:p w:rsidR="004F0A02" w:rsidRPr="0066103C" w:rsidRDefault="004F0A02" w:rsidP="004F0A02">
      <w:r w:rsidRPr="004C6F68">
        <w:rPr>
          <w:b/>
        </w:rPr>
        <w:t xml:space="preserve">7 </w:t>
      </w:r>
      <w:r w:rsidRPr="0066103C">
        <w:t xml:space="preserve">The fourth animal is described without being named, like many of the anomalies in </w:t>
      </w:r>
      <w:r w:rsidR="00F34001" w:rsidRPr="0066103C">
        <w:rPr>
          <w:i/>
        </w:rPr>
        <w:t>Šumma izbu</w:t>
      </w:r>
      <w:r w:rsidRPr="0066103C">
        <w:t>.</w:t>
      </w:r>
      <w:r w:rsidR="00F34001" w:rsidRPr="0066103C">
        <w:rPr>
          <w:rStyle w:val="FootnoteReference"/>
        </w:rPr>
        <w:footnoteReference w:id="103"/>
      </w:r>
      <w:r w:rsidRPr="0066103C">
        <w:t xml:space="preserve"> It has none of the dragon- or serpent-like attributes of Leviathan (the distinction between the dragon and the fourfold hybrid is still preserved in Rev 13:1–4). If it represents Greece (see v 17 </w:t>
      </w:r>
      <w:r w:rsidRPr="0066103C">
        <w:rPr>
          <w:i/>
        </w:rPr>
        <w:t>Comment</w:t>
      </w:r>
      <w:r w:rsidRPr="0066103C">
        <w:t>), then circumstantial factors suggest it is an elephant. The battle elephant was brought west by the Greeks and the e</w:t>
      </w:r>
      <w:r w:rsidR="00B05C32" w:rsidRPr="0066103C">
        <w:t xml:space="preserve">lephant came to be a </w:t>
      </w:r>
      <w:r w:rsidRPr="0066103C">
        <w:t xml:space="preserve">symbol for Alexander and for Antiochus III (see </w:t>
      </w:r>
      <w:r w:rsidRPr="0066103C">
        <w:rPr>
          <w:i/>
        </w:rPr>
        <w:t>Form</w:t>
      </w:r>
      <w:r w:rsidRPr="0066103C">
        <w:t>). Antiochus IV’s use of elephants was well known (e.g., 1 Macc 1:17; 3:34; cf. 6:28–47). The reason for its not being named is hardly to conceal the vision’s message from the authorities</w:t>
      </w:r>
      <w:r w:rsidR="001F4C7C" w:rsidRPr="0066103C">
        <w:t>:</w:t>
      </w:r>
      <w:r w:rsidR="001F4C7C" w:rsidRPr="0066103C">
        <w:rPr>
          <w:rStyle w:val="FootnoteReference"/>
        </w:rPr>
        <w:footnoteReference w:id="104"/>
      </w:r>
      <w:r w:rsidR="001F4C7C" w:rsidRPr="0066103C">
        <w:t xml:space="preserve"> it would hardly have done so</w:t>
      </w:r>
      <w:r w:rsidRPr="0066103C">
        <w:t xml:space="preserve">. Nor is it because this </w:t>
      </w:r>
      <w:r w:rsidR="001F4C7C" w:rsidRPr="0066103C">
        <w:t xml:space="preserve">withholding </w:t>
      </w:r>
      <w:r w:rsidRPr="0066103C">
        <w:t>would have made it difficult to introduce the ten horns:</w:t>
      </w:r>
      <w:r w:rsidR="001F4C7C" w:rsidRPr="0066103C">
        <w:rPr>
          <w:rStyle w:val="FootnoteReference"/>
        </w:rPr>
        <w:footnoteReference w:id="105"/>
      </w:r>
      <w:r w:rsidRPr="0066103C">
        <w:t xml:space="preserve"> the vision readily ascribes anomalous features to named animals. In not </w:t>
      </w:r>
      <w:r w:rsidR="001F4C7C" w:rsidRPr="0066103C">
        <w:t xml:space="preserve">identifying </w:t>
      </w:r>
      <w:r w:rsidR="00B05C32" w:rsidRPr="0066103C">
        <w:t>the fourth animal, Dan 7 compares with Hos 13:5–6,</w:t>
      </w:r>
      <w:r w:rsidR="001F4C7C" w:rsidRPr="0066103C">
        <w:rPr>
          <w:rStyle w:val="FootnoteReference"/>
        </w:rPr>
        <w:footnoteReference w:id="106"/>
      </w:r>
      <w:r w:rsidR="00B05C32" w:rsidRPr="0066103C">
        <w:t xml:space="preserve"> and </w:t>
      </w:r>
      <w:r w:rsidRPr="0066103C">
        <w:t>it is part of the difference in representation from that of</w:t>
      </w:r>
      <w:r w:rsidR="00B05C32" w:rsidRPr="0066103C">
        <w:t xml:space="preserve"> the first three. The dream report has described them</w:t>
      </w:r>
      <w:r w:rsidR="006F1701" w:rsidRPr="0066103C">
        <w:t>,</w:t>
      </w:r>
      <w:r w:rsidR="001F4C7C" w:rsidRPr="0066103C">
        <w:t xml:space="preserve"> </w:t>
      </w:r>
      <w:r w:rsidRPr="0066103C">
        <w:t>in terms of their form and appearance</w:t>
      </w:r>
      <w:r w:rsidR="00B05C32" w:rsidRPr="0066103C">
        <w:t>,</w:t>
      </w:r>
      <w:r w:rsidRPr="0066103C">
        <w:t xml:space="preserve"> and</w:t>
      </w:r>
      <w:r w:rsidR="00B05C32" w:rsidRPr="0066103C">
        <w:t xml:space="preserve"> it</w:t>
      </w:r>
      <w:r w:rsidRPr="0066103C">
        <w:t xml:space="preserve"> </w:t>
      </w:r>
      <w:r w:rsidR="00B05C32" w:rsidRPr="0066103C">
        <w:t>has reported what happens to them</w:t>
      </w:r>
      <w:r w:rsidR="006F1701" w:rsidRPr="0066103C">
        <w:t>,</w:t>
      </w:r>
      <w:r w:rsidR="00B05C32" w:rsidRPr="0066103C">
        <w:t xml:space="preserve"> </w:t>
      </w:r>
      <w:r w:rsidRPr="0066103C">
        <w:t xml:space="preserve">by </w:t>
      </w:r>
      <w:r w:rsidR="004903E0">
        <w:t>means of passive verbs. The use of these verbs</w:t>
      </w:r>
      <w:r w:rsidR="006F1701" w:rsidRPr="0066103C">
        <w:t xml:space="preserve"> implicitly</w:t>
      </w:r>
      <w:r w:rsidR="001F4C7C" w:rsidRPr="0066103C">
        <w:t xml:space="preserve"> </w:t>
      </w:r>
      <w:r w:rsidR="006F1701" w:rsidRPr="0066103C">
        <w:t xml:space="preserve">put </w:t>
      </w:r>
      <w:r w:rsidR="001F4C7C" w:rsidRPr="0066103C">
        <w:t>t</w:t>
      </w:r>
      <w:r w:rsidR="006F1701" w:rsidRPr="0066103C">
        <w:t xml:space="preserve">he emphasis </w:t>
      </w:r>
      <w:r w:rsidR="004903E0">
        <w:t>on what God does to the animals</w:t>
      </w:r>
      <w:r w:rsidRPr="0066103C">
        <w:t>, says to them, and gives</w:t>
      </w:r>
      <w:r w:rsidR="001F4C7C" w:rsidRPr="0066103C">
        <w:t xml:space="preserve"> them</w:t>
      </w:r>
      <w:r w:rsidR="004903E0">
        <w:t>, though it also “renders the divine grammatically invisible as the doer of the action and thus somehat elusive as an agent within human history</w:t>
      </w:r>
      <w:r w:rsidR="001F4C7C" w:rsidRPr="0066103C">
        <w:t>.</w:t>
      </w:r>
      <w:r w:rsidR="0012276A">
        <w:t>”</w:t>
      </w:r>
      <w:r w:rsidR="004903E0">
        <w:rPr>
          <w:rStyle w:val="FootnoteReference"/>
        </w:rPr>
        <w:footnoteReference w:id="107"/>
      </w:r>
      <w:r w:rsidR="001F4C7C" w:rsidRPr="0066103C">
        <w:t xml:space="preserve"> In </w:t>
      </w:r>
      <w:r w:rsidR="0012276A">
        <w:t xml:space="preserve">a double </w:t>
      </w:r>
      <w:r w:rsidR="001F4C7C" w:rsidRPr="0066103C">
        <w:t>contrast</w:t>
      </w:r>
      <w:r w:rsidR="0012276A">
        <w:t xml:space="preserve"> with the first three animals, </w:t>
      </w:r>
      <w:r w:rsidR="006F1701" w:rsidRPr="0066103C">
        <w:t xml:space="preserve">the report does not describe </w:t>
      </w:r>
      <w:r w:rsidR="001F4C7C" w:rsidRPr="0066103C">
        <w:t>t</w:t>
      </w:r>
      <w:r w:rsidRPr="0066103C">
        <w:t>he fourth animal’s form a</w:t>
      </w:r>
      <w:r w:rsidR="006F1701" w:rsidRPr="0066103C">
        <w:t>nd appearance</w:t>
      </w:r>
      <w:r w:rsidRPr="0066103C">
        <w:t xml:space="preserve">, </w:t>
      </w:r>
      <w:r w:rsidR="006F1701" w:rsidRPr="0066103C">
        <w:t>which has the effect of giving it a touch of mystery and of</w:t>
      </w:r>
      <w:r w:rsidRPr="0066103C">
        <w:t xml:space="preserve"> suggest</w:t>
      </w:r>
      <w:r w:rsidR="006F1701" w:rsidRPr="0066103C">
        <w:t>ing</w:t>
      </w:r>
      <w:r w:rsidRPr="0066103C">
        <w:t xml:space="preserve"> that it is even less a mere earthly creature than its lionlike, bearlike,</w:t>
      </w:r>
      <w:r w:rsidR="001F4C7C" w:rsidRPr="0066103C">
        <w:t xml:space="preserve"> and leopardlike</w:t>
      </w:r>
      <w:r w:rsidR="0012276A">
        <w:t xml:space="preserve"> predecessors. And</w:t>
      </w:r>
      <w:r w:rsidR="001F4C7C" w:rsidRPr="0066103C">
        <w:t xml:space="preserve"> i</w:t>
      </w:r>
      <w:r w:rsidR="006F1701" w:rsidRPr="0066103C">
        <w:t>t characterizes the animal</w:t>
      </w:r>
      <w:r w:rsidRPr="0066103C">
        <w:t xml:space="preserve"> by means of acti</w:t>
      </w:r>
      <w:r w:rsidR="001F4C7C" w:rsidRPr="0066103C">
        <w:t xml:space="preserve">ve </w:t>
      </w:r>
      <w:r w:rsidR="006F1701" w:rsidRPr="0066103C">
        <w:t xml:space="preserve">verbs, putting the emphasis </w:t>
      </w:r>
      <w:r w:rsidR="00774065" w:rsidRPr="0066103C">
        <w:t>on its own deeds; t</w:t>
      </w:r>
      <w:r w:rsidRPr="0066103C">
        <w:t xml:space="preserve">he </w:t>
      </w:r>
      <w:r w:rsidR="006F1701" w:rsidRPr="0066103C">
        <w:t>report thus prepares the way</w:t>
      </w:r>
      <w:r w:rsidRPr="0066103C">
        <w:t xml:space="preserve"> for the action of</w:t>
      </w:r>
      <w:r w:rsidR="00774065" w:rsidRPr="0066103C">
        <w:t xml:space="preserve"> God that directly confronts its</w:t>
      </w:r>
      <w:r w:rsidRPr="0066103C">
        <w:t xml:space="preserve"> self</w:t>
      </w:r>
      <w:r w:rsidR="00774065" w:rsidRPr="0066103C">
        <w:t>-</w:t>
      </w:r>
      <w:r w:rsidRPr="0066103C">
        <w:t>initiat</w:t>
      </w:r>
      <w:r w:rsidR="00774065" w:rsidRPr="0066103C">
        <w:t>ed action</w:t>
      </w:r>
      <w:r w:rsidRPr="0066103C">
        <w:t>.</w:t>
      </w:r>
    </w:p>
    <w:p w:rsidR="004F0A02" w:rsidRPr="0066103C" w:rsidRDefault="004F0A02" w:rsidP="004F0A02">
      <w:r w:rsidRPr="0066103C">
        <w:t>The bear’s one side and three ribs</w:t>
      </w:r>
      <w:r w:rsidR="00774065" w:rsidRPr="0066103C">
        <w:t>/tusks</w:t>
      </w:r>
      <w:r w:rsidRPr="0066103C">
        <w:t xml:space="preserve"> and the leopard’s four wings and four heads are capped by the fourth creature’s ten horns. While there was a violent and destr</w:t>
      </w:r>
      <w:r w:rsidR="006F1701" w:rsidRPr="0066103C">
        <w:t>uctive aspect to Alexander’s</w:t>
      </w:r>
      <w:r w:rsidRPr="0066103C">
        <w:t xml:space="preserve"> achievemen</w:t>
      </w:r>
      <w:r w:rsidR="00774065" w:rsidRPr="0066103C">
        <w:t>ts, the portrayal here r</w:t>
      </w:r>
      <w:r w:rsidRPr="0066103C">
        <w:t>eflects the oppressiveness of subsequent Hellenistic rulers. Horns suggest strength for defense or attack; they are a symbol for a king, who needs to hav</w:t>
      </w:r>
      <w:r w:rsidR="006F1701" w:rsidRPr="0066103C">
        <w:t xml:space="preserve">e strength in both </w:t>
      </w:r>
      <w:r w:rsidR="006F1701" w:rsidRPr="0066103C">
        <w:lastRenderedPageBreak/>
        <w:t>connections</w:t>
      </w:r>
      <w:r w:rsidRPr="0066103C">
        <w:t xml:space="preserve"> (cf. v 24). Ten is a standard round number, here suggesting fullness.</w:t>
      </w:r>
      <w:r w:rsidR="00774065" w:rsidRPr="0066103C">
        <w:rPr>
          <w:rStyle w:val="FootnoteReference"/>
        </w:rPr>
        <w:footnoteReference w:id="108"/>
      </w:r>
      <w:r w:rsidRPr="0066103C">
        <w:t xml:space="preserve"> While the number m</w:t>
      </w:r>
      <w:r w:rsidR="0012276A">
        <w:t xml:space="preserve">ight also take up </w:t>
      </w:r>
      <w:r w:rsidRPr="0066103C">
        <w:t>the toes of Nebuchadnezzar’s dream statue (2</w:t>
      </w:r>
      <w:r w:rsidR="00774065" w:rsidRPr="0066103C">
        <w:t>:41–42), its having ten toes</w:t>
      </w:r>
      <w:r w:rsidRPr="0066103C">
        <w:t xml:space="preserve"> is not mentioned there. As likely is a connection with the ten generations/kings mentioned in other apocalypses in connecti</w:t>
      </w:r>
      <w:r w:rsidR="00774065" w:rsidRPr="0066103C">
        <w:t xml:space="preserve">on with four empires (e.g., </w:t>
      </w:r>
      <w:r w:rsidR="00774065" w:rsidRPr="0066103C">
        <w:rPr>
          <w:i/>
        </w:rPr>
        <w:t>Sibylline Oracles</w:t>
      </w:r>
      <w:r w:rsidR="00774065" w:rsidRPr="0066103C">
        <w:t xml:space="preserve"> 4).</w:t>
      </w:r>
      <w:r w:rsidR="00774065" w:rsidRPr="0066103C">
        <w:rPr>
          <w:rStyle w:val="FootnoteReference"/>
        </w:rPr>
        <w:footnoteReference w:id="109"/>
      </w:r>
    </w:p>
    <w:p w:rsidR="004F0A02" w:rsidRPr="0066103C" w:rsidRDefault="004F0A02" w:rsidP="004F0A02">
      <w:r w:rsidRPr="004C6F68">
        <w:rPr>
          <w:b/>
        </w:rPr>
        <w:t>8</w:t>
      </w:r>
      <w:r w:rsidR="006F1701" w:rsidRPr="004C6F68">
        <w:rPr>
          <w:b/>
        </w:rPr>
        <w:t xml:space="preserve"> </w:t>
      </w:r>
      <w:r w:rsidR="006F1701" w:rsidRPr="0066103C">
        <w:t>While ten horns thus might not imply a literal number, t</w:t>
      </w:r>
      <w:r w:rsidR="00774065" w:rsidRPr="0066103C">
        <w:t xml:space="preserve">here is less </w:t>
      </w:r>
      <w:r w:rsidR="0012276A">
        <w:t>grounds</w:t>
      </w:r>
      <w:r w:rsidRPr="0066103C">
        <w:t xml:space="preserve"> for taking “three horns” non</w:t>
      </w:r>
      <w:r w:rsidR="00774065" w:rsidRPr="0066103C">
        <w:t>-</w:t>
      </w:r>
      <w:r w:rsidR="006F1701" w:rsidRPr="0066103C">
        <w:t xml:space="preserve">literally. Their being uprooted before it does not imply </w:t>
      </w:r>
      <w:r w:rsidR="00774065" w:rsidRPr="0066103C">
        <w:t>that the small horn</w:t>
      </w:r>
      <w:r w:rsidR="006F1701" w:rsidRPr="0066103C">
        <w:t xml:space="preserve"> uprooted them; </w:t>
      </w:r>
      <w:r w:rsidRPr="0066103C">
        <w:t xml:space="preserve">the passive </w:t>
      </w:r>
      <w:r w:rsidR="006F1701" w:rsidRPr="0066103C">
        <w:t xml:space="preserve">again </w:t>
      </w:r>
      <w:r w:rsidRPr="0066103C">
        <w:t>suggests the action of God (as in vv 4, 5, 6), who clears the way for the small horn by removing three others.</w:t>
      </w:r>
    </w:p>
    <w:p w:rsidR="004F0A02" w:rsidRPr="0066103C" w:rsidRDefault="004F0A02" w:rsidP="004F0A02">
      <w:r w:rsidRPr="0066103C">
        <w:t>Like the first animal, the fourth animal’s sm</w:t>
      </w:r>
      <w:r w:rsidR="006F1701" w:rsidRPr="0066103C">
        <w:t>all horn has an appearance suggesting</w:t>
      </w:r>
      <w:r w:rsidRPr="0066103C">
        <w:t xml:space="preserve"> it is more than a mere animal</w:t>
      </w:r>
      <w:r w:rsidR="00774065" w:rsidRPr="0066103C">
        <w:t>. Its human features</w:t>
      </w:r>
      <w:r w:rsidRPr="0066103C">
        <w:t xml:space="preserve"> point </w:t>
      </w:r>
      <w:r w:rsidR="009E5801" w:rsidRPr="0066103C">
        <w:t xml:space="preserve">towards </w:t>
      </w:r>
      <w:r w:rsidRPr="0066103C">
        <w:t xml:space="preserve">the right and responsibility to rule over God’s creation (see v 4 </w:t>
      </w:r>
      <w:r w:rsidRPr="0012276A">
        <w:rPr>
          <w:i/>
        </w:rPr>
        <w:t>Comment</w:t>
      </w:r>
      <w:r w:rsidRPr="0066103C">
        <w:t>). Reference to the look of the eyes can suggest people’s desires, their generosity or meanness, or their awareness (see BDB</w:t>
      </w:r>
      <w:r w:rsidR="00774065" w:rsidRPr="0066103C">
        <w:t>,</w:t>
      </w:r>
      <w:r w:rsidRPr="0066103C">
        <w:t xml:space="preserve"> 744). The most suggestive paralle</w:t>
      </w:r>
      <w:r w:rsidR="00774065" w:rsidRPr="0066103C">
        <w:t>ls are passages where</w:t>
      </w:r>
      <w:r w:rsidRPr="0066103C">
        <w:t xml:space="preserve"> the look of the eyes reveals a person’s self-estimate, the pride and arrogance (or humility) located in the inner person (in the “heart</w:t>
      </w:r>
      <w:r w:rsidR="004939AA" w:rsidRPr="0066103C">
        <w:t>”): see Isa 2:11; 5:15; Ps 18:27 [28</w:t>
      </w:r>
      <w:r w:rsidRPr="0066103C">
        <w:t>]; 101:5; 131:1; Job 22:29; Prov 21:4; 30:13, 17</w:t>
      </w:r>
      <w:r w:rsidR="004939AA" w:rsidRPr="0066103C">
        <w:t>)</w:t>
      </w:r>
      <w:r w:rsidRPr="0066103C">
        <w:t xml:space="preserve">. People’s talk also reveals </w:t>
      </w:r>
      <w:r w:rsidR="004939AA" w:rsidRPr="0066103C">
        <w:t xml:space="preserve">the pride and arrogance (or </w:t>
      </w:r>
      <w:r w:rsidRPr="0066103C">
        <w:t>humility) located in the inner person (1 Sam 2:3; Ezek 35:1; Obad 12; Ps 17:10). Pride and arr</w:t>
      </w:r>
      <w:r w:rsidR="006F1701" w:rsidRPr="0066103C">
        <w:t>ogance express themselves in</w:t>
      </w:r>
      <w:r w:rsidRPr="0066103C">
        <w:t xml:space="preserve"> deceit and flattery: so in Ps 12:</w:t>
      </w:r>
      <w:r w:rsidR="004939AA" w:rsidRPr="0066103C">
        <w:t>3-4 [4–5</w:t>
      </w:r>
      <w:r w:rsidRPr="0066103C">
        <w:t>], where the phrase</w:t>
      </w:r>
      <w:r w:rsidR="004939AA" w:rsidRPr="0066103C">
        <w:t xml:space="preserve">  </w:t>
      </w:r>
      <w:r w:rsidRPr="0066103C">
        <w:t xml:space="preserve">גדלות </w:t>
      </w:r>
      <w:r w:rsidR="004939AA" w:rsidRPr="0066103C">
        <w:rPr>
          <w:rFonts w:ascii="Arial" w:hAnsi="Arial" w:cs="Arial"/>
        </w:rPr>
        <w:t>מדברת</w:t>
      </w:r>
      <w:r w:rsidR="004939AA" w:rsidRPr="0066103C">
        <w:t xml:space="preserve">  </w:t>
      </w:r>
      <w:r w:rsidRPr="0066103C">
        <w:t xml:space="preserve">“making great </w:t>
      </w:r>
      <w:r w:rsidR="004939AA" w:rsidRPr="0066103C">
        <w:t>statements” occurs (cf. Ps 31:18 [19</w:t>
      </w:r>
      <w:r w:rsidRPr="0066103C">
        <w:t>]). An a</w:t>
      </w:r>
      <w:r w:rsidR="004939AA" w:rsidRPr="0066103C">
        <w:t xml:space="preserve">rrogant look and a lying tongue </w:t>
      </w:r>
      <w:r w:rsidRPr="0066103C">
        <w:t>head the list of Yahweh’s seven hates in Prov 6:16–19. More significantly, arrogance of look and word characterized the king of Assyria (Isa 10:12–13),</w:t>
      </w:r>
      <w:r w:rsidR="00DC1077">
        <w:rPr>
          <w:rStyle w:val="FootnoteReference"/>
        </w:rPr>
        <w:footnoteReference w:id="110"/>
      </w:r>
      <w:r w:rsidRPr="0066103C">
        <w:t xml:space="preserve"> who had raised his voice and eyes against the Holy One of Israel (Isa 37:23), and who is also Daniel’s model for the northern king in 11:36–45.</w:t>
      </w:r>
      <w:r w:rsidR="004939AA" w:rsidRPr="0066103C">
        <w:t xml:space="preserve"> But the small horn is not </w:t>
      </w:r>
      <w:r w:rsidR="006F1701" w:rsidRPr="0066103C">
        <w:t xml:space="preserve">here </w:t>
      </w:r>
      <w:r w:rsidRPr="0066103C">
        <w:t>said to be ar</w:t>
      </w:r>
      <w:r w:rsidR="004939AA" w:rsidRPr="0066103C">
        <w:t xml:space="preserve">rogant in look and word, </w:t>
      </w:r>
      <w:r w:rsidRPr="0066103C">
        <w:t>only to look like a man and to speak impr</w:t>
      </w:r>
      <w:r w:rsidR="004939AA" w:rsidRPr="0066103C">
        <w:t>essively. The wickedn</w:t>
      </w:r>
      <w:r w:rsidR="0012276A">
        <w:t>ess of the looks and words</w:t>
      </w:r>
      <w:r w:rsidRPr="0066103C">
        <w:t xml:space="preserve"> will become explicit only in v 25 (cf. 8:23; 11:36; 1 Macc 1:24; Rev 13:5–6).</w:t>
      </w:r>
    </w:p>
    <w:p w:rsidR="004F0A02" w:rsidRPr="0066103C" w:rsidRDefault="004F0A02" w:rsidP="004F0A02">
      <w:r w:rsidRPr="004C6F68">
        <w:rPr>
          <w:b/>
        </w:rPr>
        <w:t>9–10</w:t>
      </w:r>
      <w:r w:rsidRPr="0066103C">
        <w:t xml:space="preserve"> A number of descriptions of God on his throne of fire surrounded by numerous attendants locate the scene in </w:t>
      </w:r>
      <w:r w:rsidR="0027254B" w:rsidRPr="0066103C">
        <w:t xml:space="preserve">the </w:t>
      </w:r>
      <w:r w:rsidRPr="0066103C">
        <w:t>heaven</w:t>
      </w:r>
      <w:r w:rsidR="0027254B" w:rsidRPr="0066103C">
        <w:t>s</w:t>
      </w:r>
      <w:r w:rsidRPr="0066103C">
        <w:t>: see 1</w:t>
      </w:r>
      <w:r w:rsidR="002F785A">
        <w:t xml:space="preserve"> Kgs 22:19–22; </w:t>
      </w:r>
      <w:r w:rsidRPr="0066103C">
        <w:t xml:space="preserve">Ps 82; </w:t>
      </w:r>
      <w:r w:rsidRPr="0066103C">
        <w:rPr>
          <w:i/>
        </w:rPr>
        <w:t>1 Enoch</w:t>
      </w:r>
      <w:r w:rsidRPr="0066103C">
        <w:t xml:space="preserve"> 14.18–22; 40.1; 60.1–2; 71; 91.15–16; Rev 4–5. Where it is specifically a matter of God judging, however, the scene is normally</w:t>
      </w:r>
      <w:r w:rsidR="0027254B" w:rsidRPr="0066103C">
        <w:t xml:space="preserve"> on earth: see Jer 49:38; Joel 3 [4</w:t>
      </w:r>
      <w:r w:rsidRPr="0066103C">
        <w:t xml:space="preserve">]:1–2, 12; Zech 14:1–5; Ps 50; 96:10–13; </w:t>
      </w:r>
      <w:r w:rsidRPr="0066103C">
        <w:rPr>
          <w:i/>
        </w:rPr>
        <w:t>1 Enoch</w:t>
      </w:r>
      <w:r w:rsidRPr="0066103C">
        <w:t xml:space="preserve"> 1.3–9; 25.3; 90.20–27.</w:t>
      </w:r>
      <w:r w:rsidR="00C75280" w:rsidRPr="0066103C">
        <w:rPr>
          <w:rStyle w:val="FootnoteReference"/>
        </w:rPr>
        <w:footnoteReference w:id="111"/>
      </w:r>
      <w:r w:rsidRPr="0066103C">
        <w:t xml:space="preserve"> In Dan 7, </w:t>
      </w:r>
      <w:r w:rsidR="0027254B" w:rsidRPr="0066103C">
        <w:t>Daniel has been watching a scene on earth, and the account gives</w:t>
      </w:r>
      <w:r w:rsidRPr="0066103C">
        <w:t xml:space="preserve"> no </w:t>
      </w:r>
      <w:r w:rsidR="0027254B" w:rsidRPr="0066103C">
        <w:t xml:space="preserve">indication </w:t>
      </w:r>
      <w:r w:rsidRPr="0066103C">
        <w:t>th</w:t>
      </w:r>
      <w:r w:rsidR="0027254B" w:rsidRPr="0066103C">
        <w:t>at the scene has changed. Rather</w:t>
      </w:r>
      <w:r w:rsidRPr="0066103C">
        <w:t>, the opening phrase of v 9 implies a continuity of perspective: Daniel continues to look in the direction he had been looki</w:t>
      </w:r>
      <w:r w:rsidR="00556D16" w:rsidRPr="0066103C">
        <w:t>ng. Setting up the thrones suggests an</w:t>
      </w:r>
      <w:r w:rsidR="0027254B" w:rsidRPr="0066103C">
        <w:t xml:space="preserve"> earth</w:t>
      </w:r>
      <w:r w:rsidR="00556D16" w:rsidRPr="0066103C">
        <w:t>ly location (</w:t>
      </w:r>
      <w:r w:rsidR="00044F80" w:rsidRPr="0066103C">
        <w:t>in the heavens</w:t>
      </w:r>
      <w:r w:rsidR="00556D16" w:rsidRPr="0066103C">
        <w:t xml:space="preserve"> they are already set up</w:t>
      </w:r>
      <w:r w:rsidR="00161D46" w:rsidRPr="0066103C">
        <w:t>), as does</w:t>
      </w:r>
      <w:r w:rsidR="00044F80" w:rsidRPr="0066103C">
        <w:t xml:space="preserve"> the later talk of the one </w:t>
      </w:r>
      <w:r w:rsidR="0027254B" w:rsidRPr="0066103C">
        <w:t>advanced in years coming</w:t>
      </w:r>
      <w:r w:rsidR="00044F80" w:rsidRPr="0066103C">
        <w:t xml:space="preserve"> (</w:t>
      </w:r>
      <w:r w:rsidR="000C1456" w:rsidRPr="0066103C">
        <w:t>v</w:t>
      </w:r>
      <w:r w:rsidR="00044F80" w:rsidRPr="0066103C">
        <w:t xml:space="preserve"> 22)</w:t>
      </w:r>
      <w:r w:rsidR="0027254B" w:rsidRPr="0066103C">
        <w:t>.</w:t>
      </w:r>
      <w:r w:rsidR="0027254B" w:rsidRPr="0066103C">
        <w:rPr>
          <w:rStyle w:val="FootnoteReference"/>
        </w:rPr>
        <w:footnoteReference w:id="112"/>
      </w:r>
    </w:p>
    <w:p w:rsidR="004F0A02" w:rsidRPr="0066103C" w:rsidRDefault="005D0D1F" w:rsidP="004F0A02">
      <w:r w:rsidRPr="0066103C">
        <w:t xml:space="preserve">Plural </w:t>
      </w:r>
      <w:r w:rsidR="00161D46" w:rsidRPr="0066103C">
        <w:t>“</w:t>
      </w:r>
      <w:r w:rsidRPr="0066103C">
        <w:t>t</w:t>
      </w:r>
      <w:r w:rsidR="00161D46" w:rsidRPr="0066103C">
        <w:t xml:space="preserve">hrones” </w:t>
      </w:r>
      <w:r w:rsidRPr="0066103C">
        <w:t>is unusual in the OT unless there are a number of kings to sit on them (Isa 14:9; Ezek 26:16)</w:t>
      </w:r>
      <w:r w:rsidR="0011589E" w:rsidRPr="0066103C">
        <w:t>.</w:t>
      </w:r>
      <w:r w:rsidRPr="0066103C">
        <w:t xml:space="preserve"> Ps 122:5 may use the plural for emphasis (see GKC 124def), to suggest David’s exalted, glorious throne</w:t>
      </w:r>
      <w:r w:rsidR="000A7038" w:rsidRPr="0066103C">
        <w:t xml:space="preserve">, </w:t>
      </w:r>
      <w:r w:rsidR="0011589E" w:rsidRPr="0066103C">
        <w:t xml:space="preserve">and </w:t>
      </w:r>
      <w:r w:rsidR="00212475" w:rsidRPr="0066103C">
        <w:t xml:space="preserve">here </w:t>
      </w:r>
      <w:r w:rsidR="000A7038" w:rsidRPr="0066103C">
        <w:t>the pl</w:t>
      </w:r>
      <w:r w:rsidR="0011589E" w:rsidRPr="0066103C">
        <w:t>ura</w:t>
      </w:r>
      <w:r w:rsidR="00212475" w:rsidRPr="0066103C">
        <w:t>l could</w:t>
      </w:r>
      <w:r w:rsidR="0011589E" w:rsidRPr="0066103C">
        <w:t xml:space="preserve"> suggest</w:t>
      </w:r>
      <w:r w:rsidR="000A7038" w:rsidRPr="0066103C">
        <w:t xml:space="preserve"> “a huge throne</w:t>
      </w:r>
      <w:r w:rsidR="00212475" w:rsidRPr="0066103C">
        <w:t>.</w:t>
      </w:r>
      <w:r w:rsidR="000A7038" w:rsidRPr="0066103C">
        <w:t>”</w:t>
      </w:r>
      <w:r w:rsidR="000A7038" w:rsidRPr="0066103C">
        <w:rPr>
          <w:vertAlign w:val="superscript"/>
        </w:rPr>
        <w:footnoteReference w:id="113"/>
      </w:r>
      <w:r w:rsidR="000A7038" w:rsidRPr="0066103C">
        <w:t xml:space="preserve"> </w:t>
      </w:r>
      <w:r w:rsidR="00212475" w:rsidRPr="0066103C">
        <w:t>Ye</w:t>
      </w:r>
      <w:r w:rsidRPr="0066103C">
        <w:t xml:space="preserve">t throne scenes in Middle Eastern myths portray a number of gods seated in counsel to make decisions about future events (e.g., </w:t>
      </w:r>
      <w:r w:rsidRPr="0066103C">
        <w:rPr>
          <w:i/>
        </w:rPr>
        <w:t>Enuma Elish</w:t>
      </w:r>
      <w:r w:rsidRPr="0066103C">
        <w:t xml:space="preserve"> 1.33–34, 151–57; 2.126–27; 3.8–10 [</w:t>
      </w:r>
      <w:r w:rsidRPr="0066103C">
        <w:rPr>
          <w:i/>
        </w:rPr>
        <w:t>ANET</w:t>
      </w:r>
      <w:r w:rsidRPr="0066103C">
        <w:t>,</w:t>
      </w:r>
      <w:r w:rsidR="000A7038" w:rsidRPr="0066103C">
        <w:t xml:space="preserve"> 61–64]), and the NT makes a number of </w:t>
      </w:r>
      <w:r w:rsidR="000A7038" w:rsidRPr="0066103C">
        <w:lastRenderedPageBreak/>
        <w:t>reference to thrones (Matt 19:28; Col 1:16; Rev 4:2; 20:4).</w:t>
      </w:r>
      <w:r w:rsidR="000A7038" w:rsidRPr="0066103C">
        <w:rPr>
          <w:vertAlign w:val="superscript"/>
        </w:rPr>
        <w:footnoteReference w:id="114"/>
      </w:r>
      <w:r w:rsidR="000A7038" w:rsidRPr="0066103C">
        <w:t xml:space="preserve"> </w:t>
      </w:r>
      <w:r w:rsidR="00212475" w:rsidRPr="0066103C">
        <w:t>Nevertheles</w:t>
      </w:r>
      <w:r w:rsidR="002F785A">
        <w:t>s, here plural thrones</w:t>
      </w:r>
      <w:r w:rsidR="00212475" w:rsidRPr="0066103C">
        <w:t xml:space="preserve"> seem to be merely part of the furniture of the scene. </w:t>
      </w:r>
      <w:r w:rsidR="00DD6415" w:rsidRPr="0066103C">
        <w:t xml:space="preserve">When the court sits, </w:t>
      </w:r>
      <w:r w:rsidR="004F0A02" w:rsidRPr="0066103C">
        <w:t xml:space="preserve">it is only the one advanced in </w:t>
      </w:r>
      <w:r w:rsidR="00212475" w:rsidRPr="0066103C">
        <w:t>years who sits enthroned</w:t>
      </w:r>
      <w:r w:rsidR="004F0A02" w:rsidRPr="0066103C">
        <w:t>. Al</w:t>
      </w:r>
      <w:r w:rsidR="00212475" w:rsidRPr="0066103C">
        <w:t>l the focus is on him</w:t>
      </w:r>
      <w:r w:rsidR="004F0A02" w:rsidRPr="0066103C">
        <w:t>.</w:t>
      </w:r>
      <w:r w:rsidR="00212475" w:rsidRPr="0066103C">
        <w:t xml:space="preserve"> His heavenly attendants stand; they do not sit on thrones.</w:t>
      </w:r>
    </w:p>
    <w:p w:rsidR="00977D36" w:rsidRPr="0066103C" w:rsidRDefault="004F0A02" w:rsidP="004F0A02">
      <w:r w:rsidRPr="0066103C">
        <w:t>The creatur</w:t>
      </w:r>
      <w:r w:rsidR="002F785A">
        <w:t>es a</w:t>
      </w:r>
      <w:r w:rsidRPr="0066103C">
        <w:t xml:space="preserve">re visually animals, but </w:t>
      </w:r>
      <w:r w:rsidR="004F1515" w:rsidRPr="0066103C">
        <w:t>it will be explained to Daniel that they stan</w:t>
      </w:r>
      <w:r w:rsidRPr="0066103C">
        <w:t>d for kings and their domains</w:t>
      </w:r>
      <w:r w:rsidR="004F1515" w:rsidRPr="0066103C">
        <w:t xml:space="preserve"> (v 17)</w:t>
      </w:r>
      <w:r w:rsidR="00212475" w:rsidRPr="0066103C">
        <w:t xml:space="preserve">, and this significance has </w:t>
      </w:r>
      <w:r w:rsidRPr="0066103C">
        <w:t>exercise</w:t>
      </w:r>
      <w:r w:rsidR="00212475" w:rsidRPr="0066103C">
        <w:t>d</w:t>
      </w:r>
      <w:r w:rsidRPr="0066103C">
        <w:t xml:space="preserve"> a retroactive influence on their portrayal as animals (e.g., vv 4b, 8). Similarly, the one advanced in years is visually a human being, but he stands for God; this significance, too, exercises a retroactive influence on the portrayal in the vision. Picturing him as an old man suggests someone august, venerable and respected, judicious and wise. There is perhaps an allusion to the notion of God’s existing from eternity </w:t>
      </w:r>
      <w:r w:rsidR="004F1515" w:rsidRPr="0066103C">
        <w:t>(Isa 41:4; Ps 90:2; 93:2; 102:24–27 [25–28</w:t>
      </w:r>
      <w:r w:rsidR="007A67CE" w:rsidRPr="0066103C">
        <w:t>]; Job 36:26). The description of God as a senior figure, almost grandfatherly rather than fatherly, also fits the descr</w:t>
      </w:r>
      <w:r w:rsidR="002F785A">
        <w:t xml:space="preserve">iption of God in chap. 1—6 as </w:t>
      </w:r>
      <w:r w:rsidR="007A67CE" w:rsidRPr="0066103C">
        <w:t>wise as well as authoritative.</w:t>
      </w:r>
      <w:r w:rsidR="007A67CE" w:rsidRPr="0066103C">
        <w:rPr>
          <w:rStyle w:val="FootnoteReference"/>
        </w:rPr>
        <w:footnoteReference w:id="115"/>
      </w:r>
      <w:r w:rsidR="00212475" w:rsidRPr="0066103C">
        <w:t xml:space="preserve"> </w:t>
      </w:r>
      <w:r w:rsidR="00977D36" w:rsidRPr="0066103C">
        <w:t xml:space="preserve">Whereas it is sometimes said that ideas of God become more spiritualized during the OT period, the particularly explicit picturing of God in human fashion comes </w:t>
      </w:r>
      <w:r w:rsidR="00212475" w:rsidRPr="0066103C">
        <w:t xml:space="preserve">here </w:t>
      </w:r>
      <w:r w:rsidR="00977D36" w:rsidRPr="0066103C">
        <w:t>i</w:t>
      </w:r>
      <w:r w:rsidR="00212475" w:rsidRPr="0066103C">
        <w:t>n the latest work within the OT, and p</w:t>
      </w:r>
      <w:r w:rsidR="000D1196" w:rsidRPr="0066103C">
        <w:t xml:space="preserve">aradoxically, </w:t>
      </w:r>
      <w:r w:rsidR="00212475" w:rsidRPr="0066103C">
        <w:t xml:space="preserve">it is </w:t>
      </w:r>
      <w:r w:rsidR="000D1196" w:rsidRPr="0066103C">
        <w:t xml:space="preserve">the human portrayal of God </w:t>
      </w:r>
      <w:r w:rsidR="00212475" w:rsidRPr="0066103C">
        <w:t xml:space="preserve">that </w:t>
      </w:r>
      <w:r w:rsidR="000D1196" w:rsidRPr="0066103C">
        <w:t>captures God’s divine incomparability as a just and absolute ruler in contrast to the animal forms of the earthly kings/kingdoms.</w:t>
      </w:r>
      <w:r w:rsidR="000D1196" w:rsidRPr="0066103C">
        <w:rPr>
          <w:vertAlign w:val="superscript"/>
        </w:rPr>
        <w:footnoteReference w:id="116"/>
      </w:r>
    </w:p>
    <w:p w:rsidR="004F0A02" w:rsidRPr="0066103C" w:rsidRDefault="004F0A02" w:rsidP="004F0A02">
      <w:r w:rsidRPr="0066103C">
        <w:t>W</w:t>
      </w:r>
      <w:r w:rsidR="004F1515" w:rsidRPr="0066103C">
        <w:t>hereas w</w:t>
      </w:r>
      <w:r w:rsidRPr="0066103C">
        <w:t xml:space="preserve">hite clothing (and hair) could suggest purity (cf. 11:35; 12:10; Isa 1:18; Ps </w:t>
      </w:r>
      <w:r w:rsidR="004F1515" w:rsidRPr="0066103C">
        <w:t>51:7 [9]),</w:t>
      </w:r>
      <w:r w:rsidR="00622A75">
        <w:rPr>
          <w:rStyle w:val="FootnoteReference"/>
        </w:rPr>
        <w:footnoteReference w:id="117"/>
      </w:r>
      <w:r w:rsidR="004F1515" w:rsidRPr="0066103C">
        <w:t xml:space="preserve"> </w:t>
      </w:r>
      <w:r w:rsidRPr="0066103C">
        <w:t xml:space="preserve">in the context, with its description of the flaming throne, more likely חור has its more basic meaning of brightness and luminosity, thus nobility and splendor (cf. the related description in </w:t>
      </w:r>
      <w:r w:rsidRPr="0066103C">
        <w:rPr>
          <w:i/>
        </w:rPr>
        <w:t>1 Enoch</w:t>
      </w:r>
      <w:r w:rsidRPr="0066103C">
        <w:t xml:space="preserve"> 14.20; the use of חור in connection with royal clothing in Esth 1:6; 8:15; also Dan 10:5–6; Ps 104:1–2; 2 E</w:t>
      </w:r>
      <w:r w:rsidR="004F1515" w:rsidRPr="0066103C">
        <w:t>sd 2:39–40; Matt 28:3; Mark 9:3</w:t>
      </w:r>
      <w:r w:rsidRPr="0066103C">
        <w:t>.</w:t>
      </w:r>
      <w:r w:rsidR="004F1515" w:rsidRPr="0066103C">
        <w:rPr>
          <w:rStyle w:val="FootnoteReference"/>
        </w:rPr>
        <w:footnoteReference w:id="118"/>
      </w:r>
    </w:p>
    <w:p w:rsidR="004F0A02" w:rsidRPr="0066103C" w:rsidRDefault="004F0A02" w:rsidP="004F0A02">
      <w:r w:rsidRPr="0066103C">
        <w:t>There is an ambiguity about the OT’s frequent association of fire with God.</w:t>
      </w:r>
      <w:r w:rsidR="009418D0" w:rsidRPr="0066103C">
        <w:rPr>
          <w:rStyle w:val="FootnoteReference"/>
        </w:rPr>
        <w:footnoteReference w:id="119"/>
      </w:r>
      <w:r w:rsidR="00212475" w:rsidRPr="0066103C">
        <w:t xml:space="preserve"> While fire can be a</w:t>
      </w:r>
      <w:r w:rsidR="00A534F7" w:rsidRPr="0066103C">
        <w:t>n</w:t>
      </w:r>
      <w:r w:rsidR="00212475" w:rsidRPr="0066103C">
        <w:t xml:space="preserve"> </w:t>
      </w:r>
      <w:r w:rsidR="00A534F7" w:rsidRPr="0066103C">
        <w:t xml:space="preserve">encouraging </w:t>
      </w:r>
      <w:r w:rsidRPr="0066103C">
        <w:t>image, associated with li</w:t>
      </w:r>
      <w:r w:rsidR="00212475" w:rsidRPr="0066103C">
        <w:t>ght, protection, and guidance, more commonly</w:t>
      </w:r>
      <w:r w:rsidRPr="0066103C">
        <w:t xml:space="preserve"> it suggests something transcendent and absolute, awesome and dangerous, mysterious and destructive. </w:t>
      </w:r>
      <w:r w:rsidR="00A534F7" w:rsidRPr="0066103C">
        <w:t xml:space="preserve">The imagery derived from a violent storm which can be used to describe God’s appearing </w:t>
      </w:r>
      <w:r w:rsidRPr="0066103C">
        <w:t>often</w:t>
      </w:r>
      <w:r w:rsidR="00A534F7" w:rsidRPr="0066103C">
        <w:t xml:space="preserve"> includes </w:t>
      </w:r>
      <w:r w:rsidRPr="0066103C">
        <w:t xml:space="preserve">lightning </w:t>
      </w:r>
      <w:r w:rsidR="00A534F7" w:rsidRPr="0066103C">
        <w:t>that flashes with fire from the</w:t>
      </w:r>
      <w:r w:rsidRPr="0066103C">
        <w:t xml:space="preserve"> heaven</w:t>
      </w:r>
      <w:r w:rsidR="00A534F7" w:rsidRPr="0066103C">
        <w:t>s</w:t>
      </w:r>
      <w:r w:rsidRPr="0066103C">
        <w:t xml:space="preserve">: so </w:t>
      </w:r>
      <w:r w:rsidR="00A534F7" w:rsidRPr="0066103C">
        <w:t xml:space="preserve">in </w:t>
      </w:r>
      <w:r w:rsidRPr="0066103C">
        <w:t>the Sinai story (Exod 19:16–</w:t>
      </w:r>
      <w:r w:rsidR="009418D0" w:rsidRPr="0066103C">
        <w:t>18; 20:18; 24:17; Deut 4:36), and</w:t>
      </w:r>
      <w:r w:rsidRPr="0066103C">
        <w:t xml:space="preserve"> more generally in the apprehension of nature (Ps 104:4; 148:8). God’s splendor can also naturally be expressed by the fiery brightness of the sun: so the visions of Ezekiel (1:4, 13, 27; 8:2; 10:2, </w:t>
      </w:r>
      <w:r w:rsidR="009418D0" w:rsidRPr="0066103C">
        <w:t xml:space="preserve">6, 7) and </w:t>
      </w:r>
      <w:r w:rsidR="009418D0" w:rsidRPr="0066103C">
        <w:rPr>
          <w:i/>
        </w:rPr>
        <w:t>1 Enoch</w:t>
      </w:r>
      <w:r w:rsidR="009418D0" w:rsidRPr="0066103C">
        <w:t xml:space="preserve"> (14.8–22); compare</w:t>
      </w:r>
      <w:r w:rsidRPr="0066103C">
        <w:t xml:space="preserve"> also Dan 10:5–6. </w:t>
      </w:r>
      <w:r w:rsidR="009418D0" w:rsidRPr="0066103C">
        <w:t>T</w:t>
      </w:r>
      <w:r w:rsidRPr="0066103C">
        <w:t xml:space="preserve">he sensation of dazzling </w:t>
      </w:r>
      <w:r w:rsidR="009418D0" w:rsidRPr="0066103C">
        <w:t>light or fire is a frequent aspect</w:t>
      </w:r>
      <w:r w:rsidRPr="0066103C">
        <w:t xml:space="preserve"> of visionary experience</w:t>
      </w:r>
      <w:r w:rsidR="009418D0" w:rsidRPr="0066103C">
        <w:t>, which will have encouraged this more worrisome association</w:t>
      </w:r>
      <w:r w:rsidRPr="0066103C">
        <w:t>. T</w:t>
      </w:r>
      <w:r w:rsidR="00A534F7" w:rsidRPr="0066103C">
        <w:t xml:space="preserve">he destructiveness of fire </w:t>
      </w:r>
      <w:r w:rsidRPr="0066103C">
        <w:t>makes it a natural symbol of judgment (Deut 4:24; Ps 18:</w:t>
      </w:r>
      <w:r w:rsidR="009418D0" w:rsidRPr="0066103C">
        <w:t>8-13 [9–14]; 21:9 [10</w:t>
      </w:r>
      <w:r w:rsidRPr="0066103C">
        <w:t>]; 50:3; 97:3). “The unapproachable holiness and terrifying power” of God made Israel see “as the appropriate symbol and speaking likeness of the divine nature that element distinguished above all others for the suddenness of its outbreaks and for the mockery which it makes of all human defences.</w:t>
      </w:r>
      <w:r w:rsidR="009418D0" w:rsidRPr="0066103C">
        <w:t>”</w:t>
      </w:r>
      <w:r w:rsidR="009418D0" w:rsidRPr="0066103C">
        <w:rPr>
          <w:rStyle w:val="FootnoteReference"/>
        </w:rPr>
        <w:footnoteReference w:id="120"/>
      </w:r>
    </w:p>
    <w:p w:rsidR="00503FAF" w:rsidRPr="0066103C" w:rsidRDefault="004F0A02" w:rsidP="004F0A02">
      <w:r w:rsidRPr="0066103C">
        <w:t xml:space="preserve">The thousands and myriads of courtiers attend upon the one advanced in years (cf. </w:t>
      </w:r>
      <w:r w:rsidR="009418D0" w:rsidRPr="0066103C">
        <w:t>Deut 33:2; 1 Kgs 22:19; Ps 68:17 [18</w:t>
      </w:r>
      <w:r w:rsidRPr="0066103C">
        <w:t>]</w:t>
      </w:r>
      <w:r w:rsidR="00A534F7" w:rsidRPr="0066103C">
        <w:t>).</w:t>
      </w:r>
      <w:r w:rsidR="00A83E93" w:rsidRPr="0066103C">
        <w:rPr>
          <w:rStyle w:val="FootnoteReference"/>
        </w:rPr>
        <w:footnoteReference w:id="121"/>
      </w:r>
      <w:r w:rsidRPr="0066103C">
        <w:t xml:space="preserve"> </w:t>
      </w:r>
      <w:r w:rsidR="00A534F7" w:rsidRPr="0066103C">
        <w:t>I</w:t>
      </w:r>
      <w:r w:rsidRPr="0066103C">
        <w:t>t is</w:t>
      </w:r>
      <w:r w:rsidR="009418D0" w:rsidRPr="0066103C">
        <w:t xml:space="preserve"> not they who are to be judged</w:t>
      </w:r>
      <w:r w:rsidR="00A534F7" w:rsidRPr="0066103C">
        <w:t xml:space="preserve"> (cf. also </w:t>
      </w:r>
      <w:r w:rsidR="00A534F7" w:rsidRPr="0066103C">
        <w:rPr>
          <w:i/>
        </w:rPr>
        <w:t xml:space="preserve">1 Enoch </w:t>
      </w:r>
      <w:r w:rsidR="00A534F7" w:rsidRPr="0066103C">
        <w:t>1.9)</w:t>
      </w:r>
      <w:r w:rsidR="009418D0" w:rsidRPr="0066103C">
        <w:t>.</w:t>
      </w:r>
      <w:r w:rsidR="009418D0" w:rsidRPr="0066103C">
        <w:rPr>
          <w:rStyle w:val="FootnoteReference"/>
        </w:rPr>
        <w:footnoteReference w:id="122"/>
      </w:r>
      <w:r w:rsidR="009418D0" w:rsidRPr="0066103C">
        <w:t xml:space="preserve"> </w:t>
      </w:r>
      <w:r w:rsidRPr="0066103C">
        <w:t>They are God’s heavenly army, though their military role is not in focus here.</w:t>
      </w:r>
      <w:r w:rsidR="009418D0" w:rsidRPr="0066103C">
        <w:t xml:space="preserve"> </w:t>
      </w:r>
      <w:r w:rsidRPr="0066103C">
        <w:t>The notion of books being consulted again has its background in the life of the royal court, which necessarily ke</w:t>
      </w:r>
      <w:r w:rsidR="00A534F7" w:rsidRPr="0066103C">
        <w:t>eps</w:t>
      </w:r>
      <w:r w:rsidRPr="0066103C">
        <w:t xml:space="preserve"> records of events and decisions </w:t>
      </w:r>
      <w:r w:rsidRPr="0066103C">
        <w:lastRenderedPageBreak/>
        <w:t>(Ezra 4:15; Esth 6:1). T</w:t>
      </w:r>
      <w:r w:rsidR="00A534F7" w:rsidRPr="0066103C">
        <w:t>his feature of court practice i</w:t>
      </w:r>
      <w:r w:rsidRPr="0066103C">
        <w:t>s naturally includ</w:t>
      </w:r>
      <w:r w:rsidR="00A534F7" w:rsidRPr="0066103C">
        <w:t>ed when the royal court image i</w:t>
      </w:r>
      <w:r w:rsidRPr="0066103C">
        <w:t xml:space="preserve">s used to </w:t>
      </w:r>
      <w:r w:rsidR="009418D0" w:rsidRPr="0066103C">
        <w:t>picture the workings of heaven</w:t>
      </w:r>
      <w:r w:rsidRPr="0066103C">
        <w:t>.</w:t>
      </w:r>
      <w:r w:rsidR="009418D0" w:rsidRPr="0066103C">
        <w:rPr>
          <w:rStyle w:val="FootnoteReference"/>
        </w:rPr>
        <w:footnoteReference w:id="123"/>
      </w:r>
      <w:r w:rsidRPr="0066103C">
        <w:t xml:space="preserve"> God’s books sometimes record God’s purposes regarding the final issues of history or regarding particular segments of history (cf. the sealed books o</w:t>
      </w:r>
      <w:r w:rsidR="009418D0" w:rsidRPr="0066103C">
        <w:t xml:space="preserve">f 8:26; 9:24; 10:21; 12:4, 9). They sometimes </w:t>
      </w:r>
      <w:r w:rsidR="002F785A">
        <w:t>record God’</w:t>
      </w:r>
      <w:r w:rsidRPr="0066103C">
        <w:t xml:space="preserve">s expectations of human conduct and his intentions regarding the judgment of humanity </w:t>
      </w:r>
      <w:r w:rsidR="006234C4" w:rsidRPr="0066103C">
        <w:t>in light</w:t>
      </w:r>
      <w:r w:rsidRPr="0066103C">
        <w:t xml:space="preserve"> of how far they fulfill these expectations, or fail to do so (e.g., </w:t>
      </w:r>
      <w:r w:rsidRPr="0066103C">
        <w:rPr>
          <w:i/>
        </w:rPr>
        <w:t>1 En</w:t>
      </w:r>
      <w:r w:rsidR="009418D0" w:rsidRPr="0066103C">
        <w:rPr>
          <w:i/>
        </w:rPr>
        <w:t xml:space="preserve">och </w:t>
      </w:r>
      <w:r w:rsidR="009418D0" w:rsidRPr="0066103C">
        <w:t xml:space="preserve">81; 93.1–3; 103.2; </w:t>
      </w:r>
      <w:r w:rsidR="009418D0" w:rsidRPr="0066103C">
        <w:rPr>
          <w:i/>
        </w:rPr>
        <w:t>Ju</w:t>
      </w:r>
      <w:r w:rsidR="00522D97" w:rsidRPr="0066103C">
        <w:rPr>
          <w:i/>
        </w:rPr>
        <w:t>bilees</w:t>
      </w:r>
      <w:r w:rsidRPr="0066103C">
        <w:t xml:space="preserve"> 5.12–19; 16.9; 23.32). Any of these </w:t>
      </w:r>
      <w:r w:rsidR="009418D0" w:rsidRPr="0066103C">
        <w:t xml:space="preserve">significances </w:t>
      </w:r>
      <w:r w:rsidRPr="0066103C">
        <w:t>might be re</w:t>
      </w:r>
      <w:r w:rsidR="00A534F7" w:rsidRPr="0066103C">
        <w:t>levant in the present context; t</w:t>
      </w:r>
      <w:r w:rsidRPr="0066103C">
        <w:t xml:space="preserve">he idea of books that </w:t>
      </w:r>
      <w:r w:rsidR="00A534F7" w:rsidRPr="0066103C">
        <w:t xml:space="preserve">contain a citizen </w:t>
      </w:r>
      <w:r w:rsidRPr="0066103C">
        <w:t>list</w:t>
      </w:r>
      <w:r w:rsidR="00A534F7" w:rsidRPr="0066103C">
        <w:t>, a list of</w:t>
      </w:r>
      <w:r w:rsidRPr="0066103C">
        <w:t xml:space="preserve"> the people who belong to God (12:1)</w:t>
      </w:r>
      <w:r w:rsidR="002F785A">
        <w:t>,</w:t>
      </w:r>
      <w:r w:rsidRPr="0066103C">
        <w:t xml:space="preserve"> or that record people’s deeds and afflict</w:t>
      </w:r>
      <w:r w:rsidR="009418D0" w:rsidRPr="0066103C">
        <w:t>ions seems less relevant here. T</w:t>
      </w:r>
      <w:r w:rsidRPr="0066103C">
        <w:t>he people whose names would be in God’s book have not yet come into focus in the vision, while the deed</w:t>
      </w:r>
      <w:r w:rsidR="009418D0" w:rsidRPr="0066103C">
        <w:t>s that are to be judged are th</w:t>
      </w:r>
      <w:r w:rsidRPr="0066103C">
        <w:t xml:space="preserve">e </w:t>
      </w:r>
      <w:r w:rsidR="009418D0" w:rsidRPr="0066103C">
        <w:t xml:space="preserve">ones </w:t>
      </w:r>
      <w:r w:rsidRPr="0066103C">
        <w:t>before our eyes in the vision, not ones recorded in books. The scene is not a “great assize” when judgment is passed on all human beings individually</w:t>
      </w:r>
      <w:r w:rsidR="00503FAF" w:rsidRPr="0066103C">
        <w:t>.</w:t>
      </w:r>
      <w:r w:rsidR="00503FAF" w:rsidRPr="0066103C">
        <w:rPr>
          <w:rStyle w:val="FootnoteReference"/>
        </w:rPr>
        <w:footnoteReference w:id="124"/>
      </w:r>
      <w:r w:rsidRPr="0066103C">
        <w:t xml:space="preserve"> </w:t>
      </w:r>
    </w:p>
    <w:p w:rsidR="004F0A02" w:rsidRPr="0066103C" w:rsidRDefault="004F0A02" w:rsidP="004F0A02">
      <w:r w:rsidRPr="00625E8E">
        <w:rPr>
          <w:b/>
        </w:rPr>
        <w:t>11–12</w:t>
      </w:r>
      <w:r w:rsidRPr="0066103C">
        <w:t xml:space="preserve"> Execution by burning was a familiar idea (Gen 38:24; Lev 20:14; 21:9; Josh 7:15, 25</w:t>
      </w:r>
      <w:r w:rsidR="00503FAF" w:rsidRPr="0066103C">
        <w:t>; also Dan 3</w:t>
      </w:r>
      <w:r w:rsidRPr="0066103C">
        <w:t>) and a common way of speaking of divine punishment (e.g., Isa 30:33; Ezek 28:18; 38:22; Ps 11:6). Other passages that speak of victory over the sea/drago</w:t>
      </w:r>
      <w:r w:rsidR="00A534F7" w:rsidRPr="0066103C">
        <w:t>n (e.g., Isa 27:1; 51:9–10) use</w:t>
      </w:r>
      <w:r w:rsidRPr="0066103C">
        <w:t xml:space="preserve"> different imagery to speak of the same judgment as is executed here. The destructive fire seems not to be identified with the theophanic flame of vv 9–10: the words are different, the stress there </w:t>
      </w:r>
      <w:r w:rsidR="00503FAF" w:rsidRPr="0066103C">
        <w:t>being on brightness. More signific</w:t>
      </w:r>
      <w:r w:rsidRPr="0066103C">
        <w:t xml:space="preserve">ant is a more detailed judgment scene in </w:t>
      </w:r>
      <w:r w:rsidRPr="0066103C">
        <w:rPr>
          <w:i/>
        </w:rPr>
        <w:t>1 Enoch</w:t>
      </w:r>
      <w:r w:rsidRPr="0066103C">
        <w:t xml:space="preserve"> 90.20–27, of pa</w:t>
      </w:r>
      <w:r w:rsidR="00503FAF" w:rsidRPr="0066103C">
        <w:t>rallel significance to Dan 7; it</w:t>
      </w:r>
      <w:r w:rsidRPr="0066103C">
        <w:t xml:space="preserve"> describes wicked stars, shepherds, and sheep being thrown into a fiery abyss. As with the books of v 10, a motif in Daniel is thus worked out in mor</w:t>
      </w:r>
      <w:r w:rsidR="00503FAF" w:rsidRPr="0066103C">
        <w:t xml:space="preserve">e detail </w:t>
      </w:r>
      <w:r w:rsidR="008373F3" w:rsidRPr="0066103C">
        <w:t xml:space="preserve">in other apocalypses. While these parallels may help to illumine the allusion, </w:t>
      </w:r>
      <w:r w:rsidRPr="0066103C">
        <w:t>the</w:t>
      </w:r>
      <w:r w:rsidR="008373F3" w:rsidRPr="0066103C">
        <w:t>ir detail should not be read into it</w:t>
      </w:r>
      <w:r w:rsidRPr="0066103C">
        <w:t xml:space="preserve">. </w:t>
      </w:r>
    </w:p>
    <w:p w:rsidR="004F0A02" w:rsidRPr="0066103C" w:rsidRDefault="006D1858" w:rsidP="004F0A02">
      <w:r>
        <w:t xml:space="preserve">As </w:t>
      </w:r>
      <w:r w:rsidR="004F0A02" w:rsidRPr="0066103C">
        <w:t>the whole stat</w:t>
      </w:r>
      <w:r>
        <w:t>ue is destroyed at once in chap. 2</w:t>
      </w:r>
      <w:r w:rsidR="004F0A02" w:rsidRPr="0066103C">
        <w:t xml:space="preserve">, all four creatures lose authority together, though v </w:t>
      </w:r>
      <w:r w:rsidR="00503FAF" w:rsidRPr="0066103C">
        <w:t>12b adds a nuance. It has</w:t>
      </w:r>
      <w:r w:rsidR="004F0A02" w:rsidRPr="0066103C">
        <w:t xml:space="preserve"> been interpreted historically, of Babylonia, Media, and Persia keeping their identity within succeeding empires down to the Greek period, or being expected to regain independence on the dissolution of the Greek empire.</w:t>
      </w:r>
      <w:r w:rsidR="00503FAF" w:rsidRPr="0066103C">
        <w:rPr>
          <w:rStyle w:val="FootnoteReference"/>
        </w:rPr>
        <w:footnoteReference w:id="125"/>
      </w:r>
      <w:r w:rsidR="00503FAF" w:rsidRPr="0066103C">
        <w:t xml:space="preserve"> But interpreting the words in this way</w:t>
      </w:r>
      <w:r>
        <w:t xml:space="preserve"> is </w:t>
      </w:r>
      <w:r w:rsidR="004F0A02" w:rsidRPr="0066103C">
        <w:t xml:space="preserve">to allegorize. More likely, the vision is making a theological point, taken up in vv 14 and 27: the kingdoms submit to God and his people either in receiving judgment or in doing honor. </w:t>
      </w:r>
      <w:r w:rsidR="00DD7972" w:rsidRPr="0066103C">
        <w:t>It would be in keeping with vv 26–27 if the three ar</w:t>
      </w:r>
      <w:r w:rsidR="00503FAF" w:rsidRPr="0066103C">
        <w:t>e</w:t>
      </w:r>
      <w:r w:rsidR="004F0A02" w:rsidRPr="0066103C">
        <w:t xml:space="preserve"> allowed to survive in order to serve the peopl</w:t>
      </w:r>
      <w:r>
        <w:t>e of God, in accordance with</w:t>
      </w:r>
      <w:r w:rsidR="004F0A02" w:rsidRPr="0066103C">
        <w:t xml:space="preserve"> promises</w:t>
      </w:r>
      <w:r w:rsidR="00DD7972" w:rsidRPr="0066103C">
        <w:t xml:space="preserve"> in Isa 14:1–2; 49:22–23; 60:12,</w:t>
      </w:r>
      <w:r w:rsidR="00503FAF" w:rsidRPr="0066103C">
        <w:rPr>
          <w:rStyle w:val="FootnoteReference"/>
        </w:rPr>
        <w:footnoteReference w:id="126"/>
      </w:r>
      <w:r w:rsidR="00DD7972" w:rsidRPr="0066103C">
        <w:t xml:space="preserve"> but the point is not explicit</w:t>
      </w:r>
      <w:r w:rsidR="004F0A02" w:rsidRPr="0066103C">
        <w:t>.</w:t>
      </w:r>
    </w:p>
    <w:p w:rsidR="004F0A02" w:rsidRPr="0066103C" w:rsidRDefault="004F0A02" w:rsidP="004F0A02">
      <w:r w:rsidRPr="00625E8E">
        <w:rPr>
          <w:b/>
        </w:rPr>
        <w:t>13–14</w:t>
      </w:r>
      <w:r w:rsidRPr="0066103C">
        <w:t xml:space="preserve"> The lengthy </w:t>
      </w:r>
      <w:r w:rsidR="008373F3" w:rsidRPr="0066103C">
        <w:t xml:space="preserve">opening formula </w:t>
      </w:r>
      <w:r w:rsidRPr="0066103C">
        <w:t xml:space="preserve">advertises that we are by no means yet through the awesome scenes </w:t>
      </w:r>
      <w:r w:rsidR="006D1858">
        <w:t>in the vision</w:t>
      </w:r>
      <w:r w:rsidR="00DD7972" w:rsidRPr="0066103C">
        <w:t>. The formula resembles th</w:t>
      </w:r>
      <w:r w:rsidRPr="0066103C">
        <w:t>e</w:t>
      </w:r>
      <w:r w:rsidR="00DD7972" w:rsidRPr="0066103C">
        <w:t xml:space="preserve"> ones</w:t>
      </w:r>
      <w:r w:rsidRPr="0066103C">
        <w:t xml:space="preserve"> in vv 2 and 7, which introduced the four animals and then the fourth in particular; the scene we are about to witness balances both.</w:t>
      </w:r>
      <w:r w:rsidR="00DD7972" w:rsidRPr="0066103C">
        <w:rPr>
          <w:rStyle w:val="FootnoteReference"/>
        </w:rPr>
        <w:footnoteReference w:id="127"/>
      </w:r>
    </w:p>
    <w:p w:rsidR="00E775A5" w:rsidRDefault="006D1858" w:rsidP="004F0A02">
      <w:r w:rsidRPr="0066103C">
        <w:t xml:space="preserve">Independently of their context in Dan 7, vv 13–14 might describe an ascent from earth to heaven, as in </w:t>
      </w:r>
      <w:r w:rsidRPr="0066103C">
        <w:rPr>
          <w:i/>
        </w:rPr>
        <w:t>1 Enoch</w:t>
      </w:r>
      <w:r w:rsidRPr="0066103C">
        <w:t xml:space="preserve"> 14; 4 Ezra 13, or a movement within the heavens in which the whole scene is then set, as in the </w:t>
      </w:r>
      <w:r w:rsidR="00E70E66">
        <w:t>Ba’al</w:t>
      </w:r>
      <w:r w:rsidRPr="0066103C">
        <w:t xml:space="preserve"> myth; but in their context in Dan 7, they describe a movement from the heavens to the earth.</w:t>
      </w:r>
      <w:r>
        <w:t xml:space="preserve"> </w:t>
      </w:r>
      <w:r w:rsidR="00E775A5">
        <w:t>T</w:t>
      </w:r>
      <w:r w:rsidR="00E775A5" w:rsidRPr="00E775A5">
        <w:t>he phrase “among the clouds of the heavens</w:t>
      </w:r>
      <w:r w:rsidR="00E775A5">
        <w:t>,</w:t>
      </w:r>
      <w:r w:rsidR="00E775A5" w:rsidRPr="00E775A5">
        <w:t xml:space="preserve">” </w:t>
      </w:r>
      <w:r w:rsidR="00E775A5">
        <w:t>b</w:t>
      </w:r>
      <w:r w:rsidR="004F0A02" w:rsidRPr="0066103C">
        <w:t>ro</w:t>
      </w:r>
      <w:r>
        <w:t>ught to the front of its clause</w:t>
      </w:r>
      <w:r w:rsidR="004F0A02" w:rsidRPr="0066103C">
        <w:t xml:space="preserve"> despite its thereby separating ארו from </w:t>
      </w:r>
      <w:r>
        <w:t xml:space="preserve">its predicate, </w:t>
      </w:r>
      <w:r w:rsidRPr="006D1858">
        <w:t>draws our attention away from earth</w:t>
      </w:r>
      <w:r>
        <w:t xml:space="preserve"> where the vision has been located so far</w:t>
      </w:r>
      <w:r w:rsidR="00DD7972" w:rsidRPr="0066103C">
        <w:rPr>
          <w:rStyle w:val="FootnoteReference"/>
        </w:rPr>
        <w:footnoteReference w:id="128"/>
      </w:r>
      <w:r w:rsidR="004F0A02" w:rsidRPr="0066103C">
        <w:t xml:space="preserve"> </w:t>
      </w:r>
      <w:r w:rsidR="00E775A5">
        <w:t>and towards the heavens,</w:t>
      </w:r>
      <w:r w:rsidR="004F0A02" w:rsidRPr="0066103C">
        <w:t xml:space="preserve"> the position of the figure </w:t>
      </w:r>
      <w:r w:rsidR="00B97F22" w:rsidRPr="0066103C">
        <w:t xml:space="preserve">who is </w:t>
      </w:r>
      <w:r w:rsidR="004F0A02" w:rsidRPr="0066103C">
        <w:t>about t</w:t>
      </w:r>
      <w:r w:rsidR="00B97F22" w:rsidRPr="0066103C">
        <w:t>o be described</w:t>
      </w:r>
      <w:r w:rsidR="00E775A5">
        <w:t xml:space="preserve"> and who now </w:t>
      </w:r>
      <w:r w:rsidR="004F0A02" w:rsidRPr="0066103C">
        <w:t xml:space="preserve">moves </w:t>
      </w:r>
      <w:r w:rsidR="009E5801" w:rsidRPr="0066103C">
        <w:t xml:space="preserve">towards </w:t>
      </w:r>
      <w:r>
        <w:t>the</w:t>
      </w:r>
      <w:r w:rsidR="004F0A02" w:rsidRPr="0066103C">
        <w:t xml:space="preserve"> court</w:t>
      </w:r>
      <w:r>
        <w:t xml:space="preserve">. The description </w:t>
      </w:r>
      <w:r w:rsidR="004F0A02" w:rsidRPr="0066103C">
        <w:t xml:space="preserve">compares with the coming of God to earth in, </w:t>
      </w:r>
      <w:r w:rsidR="004F0A02" w:rsidRPr="0066103C">
        <w:lastRenderedPageBreak/>
        <w:t>e.g., Isa 19:1; Ps 18:</w:t>
      </w:r>
      <w:r w:rsidR="00B97F22" w:rsidRPr="0066103C">
        <w:t>9-12 [10–13</w:t>
      </w:r>
      <w:r w:rsidR="004F0A02" w:rsidRPr="0066103C">
        <w:t>].</w:t>
      </w:r>
      <w:r w:rsidR="00B97F22" w:rsidRPr="0066103C">
        <w:rPr>
          <w:rStyle w:val="FootnoteReference"/>
        </w:rPr>
        <w:footnoteReference w:id="129"/>
      </w:r>
      <w:r w:rsidR="004F0A02" w:rsidRPr="0066103C">
        <w:t xml:space="preserve"> </w:t>
      </w:r>
      <w:r w:rsidR="00E775A5">
        <w:t>But t</w:t>
      </w:r>
      <w:r w:rsidR="004F0A02" w:rsidRPr="0066103C">
        <w:t xml:space="preserve">he figure who comes is “one in human likeness.” </w:t>
      </w:r>
      <w:r w:rsidR="00121C54" w:rsidRPr="0066103C">
        <w:t xml:space="preserve">As </w:t>
      </w:r>
      <w:r w:rsidR="00A537DE" w:rsidRPr="0066103C">
        <w:rPr>
          <w:rFonts w:ascii="Arial" w:hAnsi="Arial" w:cs="Arial"/>
        </w:rPr>
        <w:t>אדם</w:t>
      </w:r>
      <w:r w:rsidR="00A537DE" w:rsidRPr="0066103C">
        <w:t xml:space="preserve"> </w:t>
      </w:r>
      <w:r w:rsidR="00A537DE" w:rsidRPr="0066103C">
        <w:rPr>
          <w:rFonts w:ascii="Arial" w:hAnsi="Arial" w:cs="Arial"/>
        </w:rPr>
        <w:t>בן</w:t>
      </w:r>
      <w:r w:rsidR="00A537DE" w:rsidRPr="0066103C">
        <w:t xml:space="preserve"> </w:t>
      </w:r>
      <w:r w:rsidR="00121C54" w:rsidRPr="0066103C">
        <w:t>literally means</w:t>
      </w:r>
      <w:r w:rsidR="00A537DE" w:rsidRPr="0066103C">
        <w:t xml:space="preserve"> “a hu</w:t>
      </w:r>
      <w:r w:rsidR="005108CE" w:rsidRPr="0066103C">
        <w:t>man being</w:t>
      </w:r>
      <w:r w:rsidR="00A537DE" w:rsidRPr="0066103C">
        <w:t>”</w:t>
      </w:r>
      <w:r w:rsidR="005108CE" w:rsidRPr="0066103C">
        <w:t xml:space="preserve"> (cf. 8:17)</w:t>
      </w:r>
      <w:r w:rsidR="00E775A5">
        <w:t xml:space="preserve">, </w:t>
      </w:r>
      <w:r w:rsidR="00A537DE" w:rsidRPr="0066103C">
        <w:rPr>
          <w:rFonts w:ascii="Arial" w:hAnsi="Arial" w:cs="Arial"/>
        </w:rPr>
        <w:t>עולה</w:t>
      </w:r>
      <w:r w:rsidR="00A537DE" w:rsidRPr="0066103C">
        <w:t xml:space="preserve"> </w:t>
      </w:r>
      <w:r w:rsidR="00A537DE" w:rsidRPr="0066103C">
        <w:rPr>
          <w:rFonts w:ascii="Arial" w:hAnsi="Arial" w:cs="Arial"/>
        </w:rPr>
        <w:t>בן</w:t>
      </w:r>
      <w:r w:rsidR="00A537DE" w:rsidRPr="0066103C">
        <w:t xml:space="preserve"> “a wicked person,” </w:t>
      </w:r>
      <w:r w:rsidR="00121C54" w:rsidRPr="0066103C">
        <w:t xml:space="preserve">and </w:t>
      </w:r>
      <w:r w:rsidR="00A537DE" w:rsidRPr="0066103C">
        <w:rPr>
          <w:rFonts w:ascii="Arial" w:hAnsi="Arial" w:cs="Arial"/>
        </w:rPr>
        <w:t>אנש</w:t>
      </w:r>
      <w:r w:rsidR="00A537DE" w:rsidRPr="0066103C">
        <w:t xml:space="preserve"> </w:t>
      </w:r>
      <w:r w:rsidR="00A537DE" w:rsidRPr="0066103C">
        <w:rPr>
          <w:rFonts w:ascii="Arial" w:hAnsi="Arial" w:cs="Arial"/>
        </w:rPr>
        <w:t>יד</w:t>
      </w:r>
      <w:r w:rsidR="00A537DE" w:rsidRPr="0066103C">
        <w:t xml:space="preserve"> </w:t>
      </w:r>
      <w:r w:rsidR="00121C54" w:rsidRPr="0066103C">
        <w:t xml:space="preserve">“a human hand,” </w:t>
      </w:r>
    </w:p>
    <w:p w:rsidR="004F0A02" w:rsidRPr="0066103C" w:rsidRDefault="004F0A02" w:rsidP="00E775A5">
      <w:pPr>
        <w:ind w:firstLine="0"/>
      </w:pPr>
      <w:r w:rsidRPr="0066103C">
        <w:t xml:space="preserve"> אנש </w:t>
      </w:r>
      <w:r w:rsidR="00A537DE" w:rsidRPr="0066103C">
        <w:rPr>
          <w:rFonts w:ascii="Arial" w:hAnsi="Arial" w:cs="Arial"/>
        </w:rPr>
        <w:t>בר</w:t>
      </w:r>
      <w:r w:rsidR="00A537DE" w:rsidRPr="0066103C">
        <w:t xml:space="preserve"> </w:t>
      </w:r>
      <w:r w:rsidR="00121C54" w:rsidRPr="0066103C">
        <w:t>literally means</w:t>
      </w:r>
      <w:r w:rsidRPr="0066103C">
        <w:t xml:space="preserve"> “a human being</w:t>
      </w:r>
      <w:r w:rsidR="008546B1" w:rsidRPr="0066103C">
        <w:t>.”</w:t>
      </w:r>
      <w:r w:rsidR="008546B1" w:rsidRPr="0066103C">
        <w:rPr>
          <w:rStyle w:val="FootnoteReference"/>
        </w:rPr>
        <w:footnoteReference w:id="130"/>
      </w:r>
      <w:r w:rsidRPr="0066103C">
        <w:t xml:space="preserve"> “Son of man” is a literalistic Semitism.</w:t>
      </w:r>
      <w:r w:rsidR="00251FF8">
        <w:rPr>
          <w:rStyle w:val="FootnoteReference"/>
        </w:rPr>
        <w:footnoteReference w:id="131"/>
      </w:r>
    </w:p>
    <w:p w:rsidR="004F0A02" w:rsidRPr="0066103C" w:rsidRDefault="004F0A02" w:rsidP="004F0A02">
      <w:r w:rsidRPr="0066103C">
        <w:t>אנש</w:t>
      </w:r>
      <w:r w:rsidR="00BF330F" w:rsidRPr="0066103C">
        <w:t xml:space="preserve"> </w:t>
      </w:r>
      <w:r w:rsidR="00BF330F" w:rsidRPr="0066103C">
        <w:rPr>
          <w:rFonts w:ascii="Arial" w:hAnsi="Arial" w:cs="Arial"/>
        </w:rPr>
        <w:t>בר</w:t>
      </w:r>
      <w:r w:rsidR="00BF330F" w:rsidRPr="0066103C">
        <w:t xml:space="preserve"> </w:t>
      </w:r>
      <w:r w:rsidRPr="0066103C">
        <w:t>and</w:t>
      </w:r>
      <w:r w:rsidR="00BF330F" w:rsidRPr="0066103C">
        <w:t xml:space="preserve"> </w:t>
      </w:r>
      <w:r w:rsidRPr="0066103C">
        <w:t xml:space="preserve"> אדם </w:t>
      </w:r>
      <w:r w:rsidR="00BF330F" w:rsidRPr="0066103C">
        <w:rPr>
          <w:rFonts w:ascii="Arial" w:hAnsi="Arial" w:cs="Arial"/>
        </w:rPr>
        <w:t>בן</w:t>
      </w:r>
      <w:r w:rsidR="00BF330F" w:rsidRPr="0066103C">
        <w:t xml:space="preserve"> </w:t>
      </w:r>
      <w:r w:rsidRPr="0066103C">
        <w:t xml:space="preserve">are always anarthrous in the OT: </w:t>
      </w:r>
      <w:r w:rsidR="00BF330F" w:rsidRPr="0066103C">
        <w:t xml:space="preserve">in other words, </w:t>
      </w:r>
      <w:r w:rsidRPr="0066103C">
        <w:t xml:space="preserve">the term “the human being” (the son-of-man) does not occur. It </w:t>
      </w:r>
      <w:r w:rsidR="00BF330F" w:rsidRPr="0066103C">
        <w:t>does come to be a title for a particular</w:t>
      </w:r>
      <w:r w:rsidRPr="0066103C">
        <w:t xml:space="preserve"> individual in </w:t>
      </w:r>
      <w:r w:rsidRPr="0066103C">
        <w:rPr>
          <w:i/>
        </w:rPr>
        <w:t>1 Enoch</w:t>
      </w:r>
      <w:r w:rsidRPr="0066103C">
        <w:t xml:space="preserve"> 37–71, 4 Ezra 13, the </w:t>
      </w:r>
      <w:r w:rsidR="00BF330F" w:rsidRPr="0066103C">
        <w:t>NT, and rabbinic writings. T</w:t>
      </w:r>
      <w:r w:rsidR="00121C54" w:rsidRPr="0066103C">
        <w:t>hese work</w:t>
      </w:r>
      <w:r w:rsidRPr="0066103C">
        <w:t>s use the motif in varying way</w:t>
      </w:r>
      <w:r w:rsidR="00BF330F" w:rsidRPr="0066103C">
        <w:t>s, and</w:t>
      </w:r>
      <w:r w:rsidRPr="0066103C">
        <w:t xml:space="preserve"> even </w:t>
      </w:r>
      <w:r w:rsidR="00E775A5">
        <w:t>t</w:t>
      </w:r>
      <w:r w:rsidRPr="0066103C">
        <w:t>here it is doubtful whether we shou</w:t>
      </w:r>
      <w:r w:rsidR="00121C54" w:rsidRPr="0066103C">
        <w:t>ld think in terms of a “Son of M</w:t>
      </w:r>
      <w:r w:rsidRPr="0066103C">
        <w:t>an concept” in Judaism. Still less is there evidence</w:t>
      </w:r>
      <w:r w:rsidR="00BF330F" w:rsidRPr="0066103C">
        <w:t xml:space="preserve"> that in the second century BC</w:t>
      </w:r>
      <w:r w:rsidRPr="0066103C">
        <w:t xml:space="preserve"> the phrase is used as a title or alludes to a well-known concept.</w:t>
      </w:r>
      <w:r w:rsidR="00FA7F53" w:rsidRPr="0066103C">
        <w:rPr>
          <w:rStyle w:val="FootnoteReference"/>
        </w:rPr>
        <w:footnoteReference w:id="132"/>
      </w:r>
      <w:r w:rsidRPr="0066103C">
        <w:t xml:space="preserve"> Nor is there indication of this </w:t>
      </w:r>
      <w:r w:rsidR="00121C54" w:rsidRPr="0066103C">
        <w:t xml:space="preserve">idea </w:t>
      </w:r>
      <w:r w:rsidRPr="0066103C">
        <w:t xml:space="preserve">in Dan 7:13–14, any more than is the case with expressions such as “a lion”—or “a man”—in v 4, “a leopard” in v 6, or even “one advanced in years” in v 9. In each case the terms are anarthrous; contrast “the Great Sea” in v 2, </w:t>
      </w:r>
      <w:r w:rsidR="00BF330F" w:rsidRPr="0066103C">
        <w:t xml:space="preserve">and </w:t>
      </w:r>
      <w:r w:rsidRPr="0066103C">
        <w:t xml:space="preserve">“the </w:t>
      </w:r>
      <w:r w:rsidR="0054365E" w:rsidRPr="0066103C">
        <w:t>On</w:t>
      </w:r>
      <w:r w:rsidR="00BF330F" w:rsidRPr="0066103C">
        <w:t>e</w:t>
      </w:r>
      <w:r w:rsidR="0054365E" w:rsidRPr="0066103C">
        <w:t xml:space="preserve"> On High</w:t>
      </w:r>
      <w:r w:rsidRPr="0066103C">
        <w:t>” in v 25.</w:t>
      </w:r>
    </w:p>
    <w:p w:rsidR="004F0A02" w:rsidRPr="0066103C" w:rsidRDefault="00BF330F" w:rsidP="004F0A02">
      <w:r w:rsidRPr="0066103C">
        <w:t xml:space="preserve"> </w:t>
      </w:r>
      <w:r w:rsidR="004F0A02" w:rsidRPr="0066103C">
        <w:t xml:space="preserve"> אנש </w:t>
      </w:r>
      <w:r w:rsidRPr="0066103C">
        <w:t xml:space="preserve"> </w:t>
      </w:r>
      <w:r w:rsidRPr="0066103C">
        <w:rPr>
          <w:rFonts w:ascii="Arial" w:hAnsi="Arial" w:cs="Arial"/>
        </w:rPr>
        <w:t>בר</w:t>
      </w:r>
      <w:r w:rsidRPr="0066103C">
        <w:t xml:space="preserve"> i</w:t>
      </w:r>
      <w:r w:rsidR="004F0A02" w:rsidRPr="0066103C">
        <w:t>s qualified by כ‍ “like”: hence “one in human likeness,” or more literally “one like a human being.” The phrase “like a human being” formally compares with the earlier phrases “like a lion,” “resembling a bear,” and “like a leopard” (vv 4, 5, 6). Each of those phrases, however, was followed by a clause that qualified the description and explained how the creatures were “like” but not identical with these animals. In the case of the “one like a human being” there is no such qualification, unless it lies in the preceding phrase “among the clouds of the heavens.” The expression rather parallels the varied, though more complex, כ‍ phrases in 8:15; 10:16, 18. Like the figures who appear there, the one here entirely resembles a human being; it is not partl</w:t>
      </w:r>
      <w:r w:rsidRPr="0066103C">
        <w:t>y animal, like the sphinxe</w:t>
      </w:r>
      <w:r w:rsidR="004F0A02" w:rsidRPr="0066103C">
        <w:t>s in Ezek 1.</w:t>
      </w:r>
      <w:r w:rsidRPr="0066103C">
        <w:rPr>
          <w:rStyle w:val="FootnoteReference"/>
        </w:rPr>
        <w:footnoteReference w:id="133"/>
      </w:r>
      <w:r w:rsidR="004F0A02" w:rsidRPr="0066103C">
        <w:t xml:space="preserve"> The כ‍ </w:t>
      </w:r>
      <w:r w:rsidR="00E775A5">
        <w:t>does add</w:t>
      </w:r>
      <w:r w:rsidR="004F0A02" w:rsidRPr="0066103C">
        <w:t xml:space="preserve"> mystery to the description, in a way appropriate to a vision.</w:t>
      </w:r>
      <w:r w:rsidRPr="0066103C">
        <w:rPr>
          <w:rStyle w:val="FootnoteReference"/>
        </w:rPr>
        <w:footnoteReference w:id="134"/>
      </w:r>
      <w:r w:rsidR="004F0A02" w:rsidRPr="0066103C">
        <w:t xml:space="preserve"> In Dan 7, the four creatures together, the fourth creature, and the one advanced in years are described without כ‍; there is comparable variation within Ezek 1, and it would be hazardous to infer that this was more than a mat</w:t>
      </w:r>
      <w:r w:rsidR="00121C54" w:rsidRPr="0066103C">
        <w:t>ter of stylistic flexibility. The idea</w:t>
      </w:r>
      <w:r w:rsidR="004F0A02" w:rsidRPr="0066103C">
        <w:t xml:space="preserve"> is not that the creatures and the one advanced in years exist, in a sense in which the human being doe</w:t>
      </w:r>
      <w:r w:rsidR="00121C54" w:rsidRPr="0066103C">
        <w:t>s not, though it might be that the preposition clarified</w:t>
      </w:r>
      <w:r w:rsidR="004F0A02" w:rsidRPr="0066103C">
        <w:t xml:space="preserve"> that the “human being” is not actually human.</w:t>
      </w:r>
      <w:r w:rsidRPr="0066103C">
        <w:rPr>
          <w:rStyle w:val="FootnoteReference"/>
        </w:rPr>
        <w:footnoteReference w:id="135"/>
      </w:r>
    </w:p>
    <w:p w:rsidR="00192923" w:rsidRPr="00192923" w:rsidRDefault="004F0A02" w:rsidP="00192923">
      <w:r w:rsidRPr="0066103C">
        <w:t>What are the implications of describing the figure as humanlike? Earlier verses in Dan 7 have used the motif of being human over against</w:t>
      </w:r>
      <w:r w:rsidR="00121C54" w:rsidRPr="0066103C">
        <w:t xml:space="preserve"> being animal to denote having</w:t>
      </w:r>
      <w:r w:rsidRPr="0066103C">
        <w:t xml:space="preserve"> a p</w:t>
      </w:r>
      <w:r w:rsidR="00C103C0" w:rsidRPr="0066103C">
        <w:t>osition of authority. T</w:t>
      </w:r>
      <w:r w:rsidR="00D724E1" w:rsidRPr="0066103C">
        <w:t>hat</w:t>
      </w:r>
      <w:r w:rsidRPr="0066103C">
        <w:t xml:space="preserve"> </w:t>
      </w:r>
      <w:r w:rsidR="00D724E1" w:rsidRPr="0066103C">
        <w:t xml:space="preserve">position </w:t>
      </w:r>
      <w:r w:rsidRPr="0066103C">
        <w:t>was granted to the first animal and grasped for by the small horn (vv 4, 8).</w:t>
      </w:r>
      <w:r w:rsidR="00D724E1" w:rsidRPr="0066103C">
        <w:t xml:space="preserve"> This connotation </w:t>
      </w:r>
      <w:r w:rsidRPr="0066103C">
        <w:t>continue</w:t>
      </w:r>
      <w:r w:rsidR="00D724E1" w:rsidRPr="0066103C">
        <w:t>s</w:t>
      </w:r>
      <w:r w:rsidRPr="0066103C">
        <w:t xml:space="preserve"> in vv 13–14. If there is a link with extrab</w:t>
      </w:r>
      <w:r w:rsidR="00D724E1" w:rsidRPr="0066103C">
        <w:t>iblical connotations of the description</w:t>
      </w:r>
      <w:r w:rsidRPr="0066103C">
        <w:t>, it is that in some contexts both</w:t>
      </w:r>
      <w:r w:rsidR="00192923">
        <w:t xml:space="preserve"> </w:t>
      </w:r>
      <w:r w:rsidR="00D724E1" w:rsidRPr="0066103C">
        <w:t xml:space="preserve"> </w:t>
      </w:r>
      <w:r w:rsidRPr="0066103C">
        <w:t xml:space="preserve"> אנש </w:t>
      </w:r>
      <w:r w:rsidR="00D724E1" w:rsidRPr="0066103C">
        <w:rPr>
          <w:rFonts w:ascii="Arial" w:hAnsi="Arial" w:cs="Arial"/>
        </w:rPr>
        <w:t>בר</w:t>
      </w:r>
      <w:r w:rsidR="00D724E1" w:rsidRPr="0066103C">
        <w:t xml:space="preserve"> </w:t>
      </w:r>
      <w:r w:rsidRPr="0066103C">
        <w:t>and</w:t>
      </w:r>
      <w:r w:rsidR="00D724E1" w:rsidRPr="0066103C">
        <w:t xml:space="preserve"> </w:t>
      </w:r>
      <w:r w:rsidRPr="0066103C">
        <w:t xml:space="preserve"> אדם </w:t>
      </w:r>
      <w:r w:rsidR="00D724E1" w:rsidRPr="0066103C">
        <w:rPr>
          <w:rFonts w:ascii="Arial" w:hAnsi="Arial" w:cs="Arial"/>
        </w:rPr>
        <w:t>בן</w:t>
      </w:r>
      <w:r w:rsidR="00D724E1" w:rsidRPr="0066103C">
        <w:t xml:space="preserve"> can be lofty terms, to mean a “Somebody</w:t>
      </w:r>
      <w:r w:rsidRPr="0066103C">
        <w:t>.</w:t>
      </w:r>
      <w:r w:rsidR="00D724E1" w:rsidRPr="0066103C">
        <w:t>”</w:t>
      </w:r>
      <w:r w:rsidR="00D724E1" w:rsidRPr="0066103C">
        <w:rPr>
          <w:rStyle w:val="FootnoteReference"/>
        </w:rPr>
        <w:footnoteReference w:id="136"/>
      </w:r>
      <w:r w:rsidR="00B3156F">
        <w:t xml:space="preserve"> T</w:t>
      </w:r>
      <w:r w:rsidR="00192923" w:rsidRPr="0066103C">
        <w:t>here</w:t>
      </w:r>
      <w:r w:rsidR="00192923">
        <w:t xml:space="preserve"> are no</w:t>
      </w:r>
      <w:r w:rsidR="00192923" w:rsidRPr="0066103C">
        <w:t xml:space="preserve"> grounds within Dan 7 for linking the humanlike figure with primal humanity concepts known from elsewhere (see </w:t>
      </w:r>
      <w:r w:rsidR="00192923" w:rsidRPr="0066103C">
        <w:rPr>
          <w:i/>
        </w:rPr>
        <w:t>Form</w:t>
      </w:r>
      <w:r w:rsidR="00192923" w:rsidRPr="0066103C">
        <w:t>).</w:t>
      </w:r>
      <w:r w:rsidR="00B3156F">
        <w:t xml:space="preserve"> But </w:t>
      </w:r>
      <w:r w:rsidR="00192923" w:rsidRPr="0066103C">
        <w:t xml:space="preserve">  אנש </w:t>
      </w:r>
      <w:r w:rsidR="00192923" w:rsidRPr="0066103C">
        <w:rPr>
          <w:rFonts w:ascii="Arial" w:hAnsi="Arial" w:cs="Arial"/>
        </w:rPr>
        <w:t>בר</w:t>
      </w:r>
      <w:r w:rsidR="00192923" w:rsidRPr="0066103C">
        <w:t xml:space="preserve"> may—perhaps subconsciously—reflect the אדם בן of Ps 8:4-6 [5–7]; 80:17 [18]; Job 25:6, texts which overlap theological</w:t>
      </w:r>
      <w:r w:rsidR="00B3156F">
        <w:t xml:space="preserve">ly with Dan 7:13–14, though </w:t>
      </w:r>
      <w:r w:rsidR="00192923" w:rsidRPr="0066103C">
        <w:t xml:space="preserve">the evidence is not compelling. Describing the figure as humanlike does not in itself indicate that it is </w:t>
      </w:r>
      <w:r w:rsidR="00192923">
        <w:t xml:space="preserve">a figure representing </w:t>
      </w:r>
      <w:r w:rsidR="00192923">
        <w:lastRenderedPageBreak/>
        <w:t>Humanity com</w:t>
      </w:r>
      <w:r w:rsidR="00192923" w:rsidRPr="0066103C">
        <w:t>ing to be en</w:t>
      </w:r>
      <w:r w:rsidR="00B3156F">
        <w:t>throned as king of the universe. Yet t</w:t>
      </w:r>
      <w:r w:rsidR="00192923" w:rsidRPr="00192923">
        <w:t>he humanlike figure does come in order to be invested as king (v 14). The sovereignty he is given is like God’s own (cf. 4:3; 6:26), the rule described in the first symbolic dream (2:44–45). He is given the power Nebuchadnezzar once exercised (2:37; 5:19; cf. 6:25). In serving him, people indirectly serve God, like the foreigners pictured as serving Israel in Isa 60:7, 10; 61:6.</w:t>
      </w:r>
      <w:r w:rsidR="00192923" w:rsidRPr="00192923">
        <w:rPr>
          <w:vertAlign w:val="superscript"/>
        </w:rPr>
        <w:footnoteReference w:id="137"/>
      </w:r>
    </w:p>
    <w:p w:rsidR="00192923" w:rsidRDefault="00C103C0" w:rsidP="004F0A02">
      <w:r w:rsidRPr="0066103C">
        <w:t>I</w:t>
      </w:r>
      <w:r w:rsidR="00192923">
        <w:t xml:space="preserve">n </w:t>
      </w:r>
      <w:r w:rsidR="004F0A02" w:rsidRPr="0066103C">
        <w:t xml:space="preserve">other contexts “a humanlike figure” could </w:t>
      </w:r>
      <w:r w:rsidR="00B3156F">
        <w:t xml:space="preserve">rather </w:t>
      </w:r>
      <w:r w:rsidR="004F0A02" w:rsidRPr="0066103C">
        <w:t>suggest the frailty of mere human</w:t>
      </w:r>
      <w:r w:rsidR="00D724E1" w:rsidRPr="0066103C">
        <w:t>ity (e.g., Ps 144:3–4; 146:3). A</w:t>
      </w:r>
      <w:r w:rsidR="004F0A02" w:rsidRPr="0066103C">
        <w:t xml:space="preserve"> feeble human </w:t>
      </w:r>
      <w:r w:rsidR="00D724E1" w:rsidRPr="0066103C">
        <w:t>then stands</w:t>
      </w:r>
      <w:r w:rsidR="00D669D1" w:rsidRPr="0066103C">
        <w:t xml:space="preserve"> over against the horned creature</w:t>
      </w:r>
      <w:r w:rsidR="002F5B6A" w:rsidRPr="0066103C">
        <w:t>.</w:t>
      </w:r>
      <w:r w:rsidR="004F0A02" w:rsidRPr="0066103C">
        <w:t xml:space="preserve"> </w:t>
      </w:r>
      <w:r w:rsidR="00192923">
        <w:t>The</w:t>
      </w:r>
      <w:r w:rsidR="00957348" w:rsidRPr="00957348">
        <w:t xml:space="preserve"> </w:t>
      </w:r>
      <w:r w:rsidR="00192923">
        <w:t xml:space="preserve">NT may have drawn the </w:t>
      </w:r>
      <w:r w:rsidR="00957348" w:rsidRPr="00957348">
        <w:t>infer</w:t>
      </w:r>
      <w:r w:rsidR="00192923">
        <w:t>ence</w:t>
      </w:r>
      <w:r w:rsidR="00957348" w:rsidRPr="00957348">
        <w:t xml:space="preserve"> that the humanlike figure is himself </w:t>
      </w:r>
      <w:r w:rsidR="00192923">
        <w:t>someone who suffers</w:t>
      </w:r>
      <w:r w:rsidR="00957348" w:rsidRPr="00957348">
        <w:t>,</w:t>
      </w:r>
      <w:r w:rsidR="00192923">
        <w:t xml:space="preserve"> partly by associating</w:t>
      </w:r>
      <w:r w:rsidR="00957348" w:rsidRPr="00957348">
        <w:t xml:space="preserve"> the humanlike figure with t</w:t>
      </w:r>
      <w:r w:rsidR="00262BE8">
        <w:t>he servant of Isa 52:13–53:12, b</w:t>
      </w:r>
      <w:r w:rsidR="00957348" w:rsidRPr="00957348">
        <w:t>ut the inference is not drawn in Dan 7. The four creatures do not attack the humanlike figure, and the logic that has them do so is the logic of allegory. The picture is of conflict and victory rather than affliction and deliverance.</w:t>
      </w:r>
      <w:r w:rsidR="00957348" w:rsidRPr="00957348">
        <w:rPr>
          <w:vertAlign w:val="superscript"/>
        </w:rPr>
        <w:footnoteReference w:id="138"/>
      </w:r>
      <w:r w:rsidR="00957348" w:rsidRPr="00957348">
        <w:t xml:space="preserve"> The verses describe the appearing, presentation, and investiture of someone notable and imposing, not the exaltatio</w:t>
      </w:r>
      <w:r w:rsidR="00192923">
        <w:t xml:space="preserve">n of a previously lowly figure. </w:t>
      </w:r>
    </w:p>
    <w:p w:rsidR="000F1689" w:rsidRDefault="00C103C0" w:rsidP="004F0A02">
      <w:r w:rsidRPr="0066103C">
        <w:t>So t</w:t>
      </w:r>
      <w:r w:rsidR="002F5B6A" w:rsidRPr="0066103C">
        <w:t>he humanlike figure is</w:t>
      </w:r>
      <w:r w:rsidR="004F0A02" w:rsidRPr="0066103C">
        <w:t xml:space="preserve"> a symbol for some entity given authority by God. But whom do</w:t>
      </w:r>
      <w:r w:rsidR="002E3065">
        <w:t>es he represent</w:t>
      </w:r>
      <w:r w:rsidR="004F0A02" w:rsidRPr="0066103C">
        <w:t>? What is the referent of the symbol? The sym</w:t>
      </w:r>
      <w:r w:rsidR="002F5B6A" w:rsidRPr="0066103C">
        <w:t xml:space="preserve">bolic vision does not make the answer </w:t>
      </w:r>
      <w:r w:rsidR="004F0A02" w:rsidRPr="0066103C">
        <w:t xml:space="preserve">explicit. This </w:t>
      </w:r>
      <w:r w:rsidR="002F5B6A" w:rsidRPr="0066103C">
        <w:t xml:space="preserve">lack </w:t>
      </w:r>
      <w:r w:rsidR="004F0A02" w:rsidRPr="0066103C">
        <w:t>arises partly from the nature o</w:t>
      </w:r>
      <w:r w:rsidR="002F5B6A" w:rsidRPr="0066103C">
        <w:t>f such a vision. It will be</w:t>
      </w:r>
      <w:r w:rsidR="004F0A02" w:rsidRPr="0066103C">
        <w:t xml:space="preserve"> the </w:t>
      </w:r>
      <w:r w:rsidR="00FA4CAC" w:rsidRPr="0066103C">
        <w:t>interpretiv</w:t>
      </w:r>
      <w:r w:rsidR="004F0A02" w:rsidRPr="0066103C">
        <w:t xml:space="preserve">e vision that reveals the referents of the symbols. Part of the point about a symbolic vision is to </w:t>
      </w:r>
      <w:r w:rsidRPr="0066103C">
        <w:t>engage its recipients so as to draw them</w:t>
      </w:r>
      <w:r w:rsidR="004F0A02" w:rsidRPr="0066103C">
        <w:t xml:space="preserve"> into the significances and value judgments it attaches to the referents while being discouraged from overtly foc</w:t>
      </w:r>
      <w:r w:rsidRPr="0066103C">
        <w:t>using on what the referents are</w:t>
      </w:r>
      <w:r w:rsidR="002F5B6A" w:rsidRPr="0066103C">
        <w:t xml:space="preserve"> and therefore</w:t>
      </w:r>
      <w:r w:rsidR="004F0A02" w:rsidRPr="0066103C">
        <w:t xml:space="preserve"> perhaps resisting</w:t>
      </w:r>
      <w:r w:rsidRPr="0066103C">
        <w:t xml:space="preserve"> the vision’s message. In</w:t>
      </w:r>
      <w:r w:rsidR="002F5B6A" w:rsidRPr="0066103C">
        <w:t xml:space="preserve"> studying the symbolic vision, a preoccupation</w:t>
      </w:r>
      <w:r w:rsidR="004F0A02" w:rsidRPr="0066103C">
        <w:t xml:space="preserve"> with identifying the refere</w:t>
      </w:r>
      <w:r w:rsidRPr="0066103C">
        <w:t>nt of the symbols is to miss its point</w:t>
      </w:r>
      <w:r w:rsidR="004F0A02" w:rsidRPr="0066103C">
        <w:t>.</w:t>
      </w:r>
      <w:r w:rsidR="000F1689" w:rsidRPr="0066103C">
        <w:t xml:space="preserve"> </w:t>
      </w:r>
      <w:r w:rsidR="004F0A02" w:rsidRPr="0066103C">
        <w:t xml:space="preserve">Nevertheless, a wide range of suggestions has been offered regarding the figure’s identity. </w:t>
      </w:r>
    </w:p>
    <w:p w:rsidR="004F0A02" w:rsidRPr="0066103C" w:rsidRDefault="004F0A02" w:rsidP="004F0A02">
      <w:r w:rsidRPr="0066103C">
        <w:t>The expression</w:t>
      </w:r>
      <w:r w:rsidR="00C103C0" w:rsidRPr="0066103C">
        <w:t xml:space="preserve"> “a human being” can</w:t>
      </w:r>
      <w:r w:rsidRPr="0066103C">
        <w:t xml:space="preserve"> denote a person such as Ezekiel or Daniel. Like Ezekiel, Daniel is addressed as אדם </w:t>
      </w:r>
      <w:r w:rsidR="00D669D1" w:rsidRPr="0066103C">
        <w:rPr>
          <w:rFonts w:ascii="Arial" w:hAnsi="Arial" w:cs="Arial"/>
        </w:rPr>
        <w:t>בן</w:t>
      </w:r>
      <w:r w:rsidR="00D669D1" w:rsidRPr="0066103C">
        <w:t xml:space="preserve"> </w:t>
      </w:r>
      <w:r w:rsidRPr="0066103C">
        <w:t xml:space="preserve">in 8:17, and in </w:t>
      </w:r>
      <w:r w:rsidRPr="0066103C">
        <w:rPr>
          <w:i/>
        </w:rPr>
        <w:t>1 Enoch</w:t>
      </w:r>
      <w:r w:rsidRPr="0066103C">
        <w:t xml:space="preserve"> the visionary is identified by an equiv</w:t>
      </w:r>
      <w:r w:rsidR="000F1689" w:rsidRPr="0066103C">
        <w:t xml:space="preserve">alent to this phrase. </w:t>
      </w:r>
      <w:r w:rsidR="00D669D1" w:rsidRPr="0066103C">
        <w:t>Yet these data are</w:t>
      </w:r>
      <w:r w:rsidRPr="0066103C">
        <w:t xml:space="preserve"> hardly enough to make it natural to read </w:t>
      </w:r>
      <w:r w:rsidR="00D669D1" w:rsidRPr="0066103C">
        <w:t>7:13–14 as referring to Daniel</w:t>
      </w:r>
      <w:r w:rsidRPr="0066103C">
        <w:t>.</w:t>
      </w:r>
      <w:r w:rsidR="00D669D1" w:rsidRPr="0066103C">
        <w:rPr>
          <w:rStyle w:val="FootnoteReference"/>
        </w:rPr>
        <w:footnoteReference w:id="139"/>
      </w:r>
    </w:p>
    <w:p w:rsidR="004F0A02" w:rsidRPr="0066103C" w:rsidRDefault="004F0A02" w:rsidP="004F0A02">
      <w:r w:rsidRPr="0066103C">
        <w:t xml:space="preserve">As the animals stand for gentile kings who also represent their peoples, the humanlike figure could refer to a leader of Israel who at the same time represents Israel as a whole, as </w:t>
      </w:r>
      <w:r w:rsidR="00C103C0" w:rsidRPr="0066103C">
        <w:t xml:space="preserve">happens </w:t>
      </w:r>
      <w:r w:rsidRPr="0066103C">
        <w:t xml:space="preserve">in some other OT passages (see </w:t>
      </w:r>
      <w:r w:rsidRPr="0066103C">
        <w:rPr>
          <w:i/>
        </w:rPr>
        <w:t>Form</w:t>
      </w:r>
      <w:r w:rsidRPr="0066103C">
        <w:t xml:space="preserve">). On the basis of Deut 32:1–4, the humanlike figure has been identified as </w:t>
      </w:r>
      <w:r w:rsidR="00D669D1" w:rsidRPr="0066103C">
        <w:t xml:space="preserve">Moses, implying </w:t>
      </w:r>
      <w:r w:rsidRPr="0066103C">
        <w:t>a promise that Moses will return to redeem I</w:t>
      </w:r>
      <w:r w:rsidR="002E3065">
        <w:t xml:space="preserve">srael; but the pointers are </w:t>
      </w:r>
      <w:r w:rsidRPr="0066103C">
        <w:t>scanty.</w:t>
      </w:r>
      <w:r w:rsidR="00D669D1" w:rsidRPr="0066103C">
        <w:rPr>
          <w:rStyle w:val="FootnoteReference"/>
        </w:rPr>
        <w:footnoteReference w:id="140"/>
      </w:r>
      <w:r w:rsidRPr="0066103C">
        <w:t xml:space="preserve"> It has been seen as a symbol for the Maccabean leaders on th</w:t>
      </w:r>
      <w:r w:rsidR="00F64DAA" w:rsidRPr="0066103C">
        <w:t>e way to the Davidic throne: compare</w:t>
      </w:r>
      <w:r w:rsidRPr="0066103C">
        <w:t xml:space="preserve"> the association of God’s kingship and those who are committed to him (חסידים) in </w:t>
      </w:r>
      <w:r w:rsidR="00F64DAA" w:rsidRPr="0066103C">
        <w:t>Pss 145; 149 (cf. 1 Macc 2:42).</w:t>
      </w:r>
      <w:r w:rsidR="00F64DAA" w:rsidRPr="0066103C">
        <w:rPr>
          <w:rStyle w:val="FootnoteReference"/>
        </w:rPr>
        <w:footnoteReference w:id="141"/>
      </w:r>
      <w:r w:rsidR="00F64DAA" w:rsidRPr="0066103C">
        <w:t xml:space="preserve"> </w:t>
      </w:r>
      <w:r w:rsidRPr="0066103C">
        <w:t>More specificall</w:t>
      </w:r>
      <w:r w:rsidR="00957348">
        <w:t xml:space="preserve">y, it has been identified as Israel’s actual leader </w:t>
      </w:r>
      <w:r w:rsidRPr="0066103C">
        <w:t xml:space="preserve">whose rule followed that of Antiochus, Judas Maccabeus; the vision </w:t>
      </w:r>
      <w:r w:rsidR="00F64DAA" w:rsidRPr="0066103C">
        <w:t>would thus mark</w:t>
      </w:r>
      <w:r w:rsidRPr="0066103C">
        <w:t xml:space="preserve"> God’s approval of the Maccabean victory.</w:t>
      </w:r>
      <w:r w:rsidR="00F64DAA" w:rsidRPr="0066103C">
        <w:rPr>
          <w:rStyle w:val="FootnoteReference"/>
        </w:rPr>
        <w:footnoteReference w:id="142"/>
      </w:r>
      <w:r w:rsidR="00F64DAA" w:rsidRPr="0066103C">
        <w:t xml:space="preserve"> But t</w:t>
      </w:r>
      <w:r w:rsidRPr="0066103C">
        <w:t>his view presupposes that Daniel was written after the temp</w:t>
      </w:r>
      <w:r w:rsidR="00F64DAA" w:rsidRPr="0066103C">
        <w:t>le restoration; and</w:t>
      </w:r>
      <w:r w:rsidRPr="0066103C">
        <w:t xml:space="preserve"> there are no specific pointers to Judas, while in general the book’s sympathies within loyal Judaism are usually thought</w:t>
      </w:r>
      <w:r w:rsidR="00F64DAA" w:rsidRPr="0066103C">
        <w:t xml:space="preserve"> to be more with the </w:t>
      </w:r>
      <w:r w:rsidRPr="0066103C">
        <w:t xml:space="preserve">strand that was looking for </w:t>
      </w:r>
      <w:r w:rsidR="00F64DAA" w:rsidRPr="0066103C">
        <w:t>God to act than with the active</w:t>
      </w:r>
      <w:r w:rsidRPr="0066103C">
        <w:t xml:space="preserve"> resistance</w:t>
      </w:r>
      <w:r w:rsidR="00F64DAA" w:rsidRPr="0066103C">
        <w:t xml:space="preserve"> of the Maccabees (cf. 11:34?).</w:t>
      </w:r>
    </w:p>
    <w:p w:rsidR="004F0A02" w:rsidRPr="0066103C" w:rsidRDefault="00F64DAA" w:rsidP="004F0A02">
      <w:r w:rsidRPr="0066103C">
        <w:lastRenderedPageBreak/>
        <w:t>Jewish and Christian t</w:t>
      </w:r>
      <w:r w:rsidR="004F0A02" w:rsidRPr="0066103C">
        <w:t>raditio</w:t>
      </w:r>
      <w:r w:rsidRPr="0066103C">
        <w:t>n</w:t>
      </w:r>
      <w:r w:rsidR="004F0A02" w:rsidRPr="0066103C">
        <w:t xml:space="preserve"> has commonly understood the humanlike figure to be the hoped-for future </w:t>
      </w:r>
      <w:r w:rsidR="00B3156F">
        <w:t xml:space="preserve">Davidic </w:t>
      </w:r>
      <w:r w:rsidR="004F0A02" w:rsidRPr="0066103C">
        <w:t>king of Israel who would fulfill</w:t>
      </w:r>
      <w:r w:rsidR="00957348">
        <w:t xml:space="preserve"> the hopes </w:t>
      </w:r>
      <w:r w:rsidR="00C103C0" w:rsidRPr="0066103C">
        <w:t>expressed in OT prophecy—</w:t>
      </w:r>
      <w:r w:rsidR="00F53133" w:rsidRPr="0066103C">
        <w:t>the “M</w:t>
      </w:r>
      <w:r w:rsidR="004F0A02" w:rsidRPr="0066103C">
        <w:t>essiah</w:t>
      </w:r>
      <w:r w:rsidR="00C103C0" w:rsidRPr="0066103C">
        <w:t>.”</w:t>
      </w:r>
      <w:r w:rsidR="00547E28" w:rsidRPr="0066103C">
        <w:rPr>
          <w:rStyle w:val="FootnoteReference"/>
        </w:rPr>
        <w:footnoteReference w:id="143"/>
      </w:r>
      <w:r w:rsidR="004F0A02" w:rsidRPr="0066103C">
        <w:t xml:space="preserve"> One of the thrones mentioned in v 9 might then be meant for him, so that the sce</w:t>
      </w:r>
      <w:r w:rsidRPr="0066103C">
        <w:t>ne parallels Ps 110:1; cf. 80:17 [18</w:t>
      </w:r>
      <w:r w:rsidR="004F0A02" w:rsidRPr="0066103C">
        <w:t>].</w:t>
      </w:r>
      <w:r w:rsidRPr="0066103C">
        <w:rPr>
          <w:rStyle w:val="FootnoteReference"/>
        </w:rPr>
        <w:footnoteReference w:id="144"/>
      </w:r>
      <w:r w:rsidR="004F0A02" w:rsidRPr="0066103C">
        <w:t xml:space="preserve"> </w:t>
      </w:r>
      <w:r w:rsidR="00F53133" w:rsidRPr="0066103C">
        <w:t>For the Messiah</w:t>
      </w:r>
      <w:r w:rsidR="004F0A02" w:rsidRPr="0066103C">
        <w:t xml:space="preserve"> to be a heavenly figure would be a novel idea;</w:t>
      </w:r>
      <w:r w:rsidR="00F53133" w:rsidRPr="0066103C">
        <w:t xml:space="preserve"> by definition, he</w:t>
      </w:r>
      <w:r w:rsidR="004F0A02" w:rsidRPr="0066103C">
        <w:t xml:space="preserve"> is a</w:t>
      </w:r>
      <w:r w:rsidR="00957348">
        <w:t xml:space="preserve">n earthly descendant of David. But the </w:t>
      </w:r>
      <w:r w:rsidR="004F0A02" w:rsidRPr="0066103C">
        <w:t xml:space="preserve">portrayal of him coming with the clouds of the heavens might simply signify that he comes by God’s initiative and as his gift, without </w:t>
      </w:r>
      <w:r w:rsidR="00F53133" w:rsidRPr="0066103C">
        <w:t>suggesting that he is</w:t>
      </w:r>
      <w:r w:rsidR="004F0A02" w:rsidRPr="0066103C">
        <w:t xml:space="preserve"> other than human. </w:t>
      </w:r>
      <w:r w:rsidR="00F53133" w:rsidRPr="0066103C">
        <w:t>Ps 2</w:t>
      </w:r>
      <w:r w:rsidR="004F0A02" w:rsidRPr="0066103C">
        <w:t xml:space="preserve"> describes the anointed king as begotten by God and installed by God, without implying he is other than human. Nevertheless, if the hu</w:t>
      </w:r>
      <w:r w:rsidR="00F53133" w:rsidRPr="0066103C">
        <w:t>manlike fi</w:t>
      </w:r>
      <w:r w:rsidR="00CB59EE" w:rsidRPr="0066103C">
        <w:t xml:space="preserve">gure is the Messiah, he has a </w:t>
      </w:r>
      <w:r w:rsidR="004F0A02" w:rsidRPr="0066103C">
        <w:t>transcendent dimens</w:t>
      </w:r>
      <w:r w:rsidR="00F53133" w:rsidRPr="0066103C">
        <w:t>ion. If the idea of the Messiah</w:t>
      </w:r>
      <w:r w:rsidR="004F0A02" w:rsidRPr="0066103C">
        <w:t xml:space="preserve"> moves between a God pole and a human pole, this humanlike figure is at the former.</w:t>
      </w:r>
      <w:r w:rsidR="00F53133" w:rsidRPr="0066103C">
        <w:rPr>
          <w:rStyle w:val="FootnoteReference"/>
        </w:rPr>
        <w:footnoteReference w:id="145"/>
      </w:r>
      <w:r w:rsidR="000F1689" w:rsidRPr="0066103C">
        <w:t xml:space="preserve"> </w:t>
      </w:r>
      <w:r w:rsidR="00CB59EE" w:rsidRPr="0066103C">
        <w:t>Seeing the humanlike figure as the fulfillment of Israel’s hopes of a coming king draws attention to links between Dan 7 and Dan 1–6 in the latter’s focus on God’s reign. As the one whom God commissions to exercise his kingly authority, the humanlike figure fulfills the role of the anointed one, whether or not he is an earthly Davidide. Dan 7 is concerned wi</w:t>
      </w:r>
      <w:r w:rsidR="00957348">
        <w:t>th God’s reign in the world rather than</w:t>
      </w:r>
      <w:r w:rsidR="00CB59EE" w:rsidRPr="0066103C">
        <w:t xml:space="preserve"> with God’s temple in Jerusalem—a</w:t>
      </w:r>
      <w:r w:rsidR="00957348">
        <w:t xml:space="preserve"> concern of chaps. 8–9</w:t>
      </w:r>
      <w:r w:rsidR="00CB59EE" w:rsidRPr="0066103C">
        <w:t>. Whether or not the human figure is royal, he is not priestly.</w:t>
      </w:r>
      <w:r w:rsidR="00CB59EE" w:rsidRPr="0066103C">
        <w:rPr>
          <w:vertAlign w:val="superscript"/>
        </w:rPr>
        <w:footnoteReference w:id="146"/>
      </w:r>
      <w:r w:rsidR="00CB59EE" w:rsidRPr="0066103C">
        <w:t xml:space="preserve"> </w:t>
      </w:r>
      <w:r w:rsidR="00F53133" w:rsidRPr="0066103C">
        <w:t>But t</w:t>
      </w:r>
      <w:r w:rsidR="004F0A02" w:rsidRPr="0066103C">
        <w:t xml:space="preserve">he grounds for identifying the humanlike figure as the Davidic </w:t>
      </w:r>
      <w:r w:rsidR="00F53133" w:rsidRPr="0066103C">
        <w:t>anointed are circumstantial</w:t>
      </w:r>
      <w:r w:rsidR="004F0A02" w:rsidRPr="0066103C">
        <w:t xml:space="preserve">. There are no direct pointers to this </w:t>
      </w:r>
      <w:r w:rsidR="00CB59EE" w:rsidRPr="0066103C">
        <w:t>idea in the text.</w:t>
      </w:r>
      <w:r w:rsidR="004F0A02" w:rsidRPr="0066103C">
        <w:t xml:space="preserve"> </w:t>
      </w:r>
      <w:r w:rsidR="00CB59EE" w:rsidRPr="0066103C">
        <w:t>While Daniel later</w:t>
      </w:r>
      <w:r w:rsidR="00957348">
        <w:t xml:space="preserve"> refers to an anointed leader (</w:t>
      </w:r>
      <w:r w:rsidR="00CB59EE" w:rsidRPr="0066103C">
        <w:rPr>
          <w:rFonts w:ascii="Arial" w:hAnsi="Arial" w:cs="Arial"/>
        </w:rPr>
        <w:t>נגיד</w:t>
      </w:r>
      <w:r w:rsidR="00CB59EE" w:rsidRPr="0066103C">
        <w:t xml:space="preserve"> </w:t>
      </w:r>
      <w:r w:rsidR="00CB59EE" w:rsidRPr="0066103C">
        <w:rPr>
          <w:rFonts w:ascii="Arial" w:hAnsi="Arial" w:cs="Arial"/>
        </w:rPr>
        <w:t>משיח</w:t>
      </w:r>
      <w:r w:rsidR="00CB59EE" w:rsidRPr="0066103C">
        <w:t xml:space="preserve">, 9:25, cf. 26), that anointed leader is not a “Messiah” (see </w:t>
      </w:r>
      <w:r w:rsidR="00CB59EE" w:rsidRPr="0066103C">
        <w:rPr>
          <w:i/>
        </w:rPr>
        <w:t>Comment</w:t>
      </w:r>
      <w:r w:rsidR="00CB59EE" w:rsidRPr="0066103C">
        <w:t xml:space="preserve">). </w:t>
      </w:r>
    </w:p>
    <w:p w:rsidR="004F0A02" w:rsidRPr="0066103C" w:rsidRDefault="004F0A02" w:rsidP="004F0A02">
      <w:r w:rsidRPr="0066103C">
        <w:t xml:space="preserve">The </w:t>
      </w:r>
      <w:r w:rsidR="007529CE" w:rsidRPr="0066103C">
        <w:t xml:space="preserve">subsequent </w:t>
      </w:r>
      <w:r w:rsidRPr="0066103C">
        <w:t>implied identification of the humanlike figure with t</w:t>
      </w:r>
      <w:r w:rsidR="00957348">
        <w:t xml:space="preserve">he holy ones on high (v 18) </w:t>
      </w:r>
      <w:r w:rsidRPr="0066103C">
        <w:t>le</w:t>
      </w:r>
      <w:r w:rsidR="00957348">
        <w:t>a</w:t>
      </w:r>
      <w:r w:rsidRPr="0066103C">
        <w:t>d</w:t>
      </w:r>
      <w:r w:rsidR="00957348">
        <w:t>s</w:t>
      </w:r>
      <w:r w:rsidRPr="0066103C">
        <w:t xml:space="preserve"> to the alternative proposal that the humanlike figure denotes not the Davidic ruler in particular but th</w:t>
      </w:r>
      <w:r w:rsidR="007529CE" w:rsidRPr="0066103C">
        <w:t xml:space="preserve">e Israelite people as a whole. </w:t>
      </w:r>
      <w:r w:rsidR="00262BE8" w:rsidRPr="00262BE8">
        <w:t xml:space="preserve">A British tradition of approach to Dan 7, chiefly among NT scholars, </w:t>
      </w:r>
      <w:r w:rsidR="00262BE8">
        <w:t xml:space="preserve">then </w:t>
      </w:r>
      <w:r w:rsidR="00262BE8" w:rsidRPr="00262BE8">
        <w:t>associates this possibility with the motif of th</w:t>
      </w:r>
      <w:r w:rsidR="00497F78">
        <w:t>e attacks on</w:t>
      </w:r>
      <w:r w:rsidR="00262BE8" w:rsidRPr="00262BE8">
        <w:t xml:space="preserve"> the holy beings in vv 21–2</w:t>
      </w:r>
      <w:r w:rsidR="00262BE8">
        <w:t xml:space="preserve">2, 25. </w:t>
      </w:r>
      <w:r w:rsidR="00497F78">
        <w:t>These attacks signify</w:t>
      </w:r>
      <w:r w:rsidR="00497F78" w:rsidRPr="00497F78">
        <w:t xml:space="preserve"> the persecution of co</w:t>
      </w:r>
      <w:r w:rsidR="00497F78">
        <w:t>nservative Jews by Antiochus</w:t>
      </w:r>
      <w:r w:rsidR="00497F78" w:rsidRPr="00497F78">
        <w:t xml:space="preserve">. </w:t>
      </w:r>
      <w:r w:rsidR="00262BE8">
        <w:t xml:space="preserve">The humanlike figure </w:t>
      </w:r>
      <w:r w:rsidR="00497F78">
        <w:t xml:space="preserve">thus </w:t>
      </w:r>
      <w:r w:rsidR="00262BE8" w:rsidRPr="00262BE8">
        <w:t>stands for the frail, afflicted, but faithful element within Israel, to be vindicated and given lasting kingly power.</w:t>
      </w:r>
      <w:r w:rsidR="00262BE8" w:rsidRPr="00262BE8">
        <w:rPr>
          <w:vertAlign w:val="superscript"/>
        </w:rPr>
        <w:footnoteReference w:id="147"/>
      </w:r>
      <w:r w:rsidR="00262BE8" w:rsidRPr="00262BE8">
        <w:t xml:space="preserve"> </w:t>
      </w:r>
      <w:r w:rsidR="007529CE" w:rsidRPr="0066103C">
        <w:t>This people</w:t>
      </w:r>
      <w:r w:rsidR="00262BE8">
        <w:t>’s</w:t>
      </w:r>
      <w:r w:rsidRPr="0066103C">
        <w:t xml:space="preserve"> coming among the clouds</w:t>
      </w:r>
      <w:r w:rsidR="00262BE8">
        <w:t xml:space="preserve"> would</w:t>
      </w:r>
      <w:r w:rsidRPr="0066103C">
        <w:t xml:space="preserve"> </w:t>
      </w:r>
      <w:r w:rsidR="00497F78">
        <w:t xml:space="preserve">then </w:t>
      </w:r>
      <w:r w:rsidRPr="0066103C">
        <w:t>suggest its coming by God’s initiative. The humanlike figure</w:t>
      </w:r>
      <w:r w:rsidR="00497F78">
        <w:t xml:space="preserve"> is </w:t>
      </w:r>
      <w:r w:rsidR="00F53133" w:rsidRPr="0066103C">
        <w:t>a symbolic abstraction, like</w:t>
      </w:r>
      <w:r w:rsidRPr="0066103C">
        <w:t xml:space="preserve"> John Bull as a symbol of the Englis</w:t>
      </w:r>
      <w:r w:rsidR="00F53133" w:rsidRPr="0066103C">
        <w:t>h people</w:t>
      </w:r>
      <w:r w:rsidRPr="0066103C">
        <w:t>.</w:t>
      </w:r>
      <w:r w:rsidR="00F53133" w:rsidRPr="0066103C">
        <w:rPr>
          <w:rStyle w:val="FootnoteReference"/>
        </w:rPr>
        <w:footnoteReference w:id="148"/>
      </w:r>
      <w:r w:rsidRPr="0066103C">
        <w:t xml:space="preserve"> Some OT references to a human figure (אדם</w:t>
      </w:r>
      <w:r w:rsidR="00BD3922" w:rsidRPr="0066103C">
        <w:t xml:space="preserve"> </w:t>
      </w:r>
      <w:r w:rsidR="00BD3922" w:rsidRPr="0066103C">
        <w:rPr>
          <w:rFonts w:ascii="Arial" w:hAnsi="Arial" w:cs="Arial"/>
        </w:rPr>
        <w:t>בן</w:t>
      </w:r>
      <w:r w:rsidRPr="0066103C">
        <w:t>) may refer either to Israel or to</w:t>
      </w:r>
      <w:r w:rsidR="000F1689" w:rsidRPr="0066103C">
        <w:t xml:space="preserve"> the Israelite king: Ps 80 </w:t>
      </w:r>
      <w:r w:rsidRPr="0066103C">
        <w:t xml:space="preserve">pictures the nations behaving like animals and prays for God to support </w:t>
      </w:r>
      <w:r w:rsidR="00BD3922" w:rsidRPr="0066103C">
        <w:t>and restore the human figure at God’s right hand</w:t>
      </w:r>
      <w:r w:rsidRPr="0066103C">
        <w:t>.</w:t>
      </w:r>
      <w:r w:rsidR="00BD3922" w:rsidRPr="0066103C">
        <w:rPr>
          <w:rStyle w:val="FootnoteReference"/>
        </w:rPr>
        <w:footnoteReference w:id="149"/>
      </w:r>
      <w:r w:rsidR="000F1689" w:rsidRPr="0066103C">
        <w:t xml:space="preserve"> In Dan 7, where</w:t>
      </w:r>
      <w:r w:rsidRPr="0066103C">
        <w:t xml:space="preserve"> the humanlike figure balances the creatures,</w:t>
      </w:r>
      <w:r w:rsidR="00BD3922" w:rsidRPr="0066103C">
        <w:t xml:space="preserve"> it would not be surprising if </w:t>
      </w:r>
      <w:r w:rsidR="000F1689" w:rsidRPr="0066103C">
        <w:t>it had</w:t>
      </w:r>
      <w:r w:rsidRPr="0066103C">
        <w:t xml:space="preserve"> both individual and corporate reference</w:t>
      </w:r>
      <w:r w:rsidR="00BD3922" w:rsidRPr="0066103C">
        <w:t>, like them</w:t>
      </w:r>
      <w:r w:rsidR="00957348">
        <w:t xml:space="preserve"> (in connection with a vision</w:t>
      </w:r>
      <w:r w:rsidRPr="0066103C">
        <w:t xml:space="preserve">, there is </w:t>
      </w:r>
      <w:r w:rsidR="007529CE" w:rsidRPr="0066103C">
        <w:t>no need for appeal to the idea</w:t>
      </w:r>
      <w:r w:rsidRPr="0066103C">
        <w:t xml:space="preserve"> of corporate personality</w:t>
      </w:r>
      <w:r w:rsidR="000F1689" w:rsidRPr="0066103C">
        <w:t xml:space="preserve"> in this connection</w:t>
      </w:r>
      <w:r w:rsidR="007529CE" w:rsidRPr="0066103C">
        <w:t>)</w:t>
      </w:r>
      <w:r w:rsidR="00BD3922" w:rsidRPr="0066103C">
        <w:t>.</w:t>
      </w:r>
      <w:r w:rsidR="00BD3922" w:rsidRPr="0066103C">
        <w:rPr>
          <w:rStyle w:val="FootnoteReference"/>
        </w:rPr>
        <w:footnoteReference w:id="150"/>
      </w:r>
      <w:r w:rsidRPr="0066103C">
        <w:t xml:space="preserve"> </w:t>
      </w:r>
    </w:p>
    <w:p w:rsidR="004F0A02" w:rsidRPr="0066103C" w:rsidRDefault="00305838" w:rsidP="004F0A02">
      <w:r w:rsidRPr="0066103C">
        <w:t>Describing</w:t>
      </w:r>
      <w:r w:rsidR="004F0A02" w:rsidRPr="0066103C">
        <w:t xml:space="preserve"> the fi</w:t>
      </w:r>
      <w:r w:rsidR="000F1689" w:rsidRPr="0066103C">
        <w:t xml:space="preserve">gure as humanlike implies </w:t>
      </w:r>
      <w:r w:rsidRPr="0066103C">
        <w:t>a contrast over against</w:t>
      </w:r>
      <w:r w:rsidR="00BD3922" w:rsidRPr="0066103C">
        <w:t xml:space="preserve"> t</w:t>
      </w:r>
      <w:r w:rsidR="000F1689" w:rsidRPr="0066103C">
        <w:t>he four animals, but it</w:t>
      </w:r>
      <w:r w:rsidR="00BD3922" w:rsidRPr="0066103C">
        <w:t xml:space="preserve"> need not imply that the </w:t>
      </w:r>
      <w:r w:rsidR="00B3156F">
        <w:t>figure is human, still less</w:t>
      </w:r>
      <w:r w:rsidR="004F0A02" w:rsidRPr="0066103C">
        <w:t xml:space="preserve"> that its extra-vision</w:t>
      </w:r>
      <w:r w:rsidR="00BD3922" w:rsidRPr="0066103C">
        <w:t>ary referent is human</w:t>
      </w:r>
      <w:r w:rsidR="00B3156F">
        <w:t>, any more than the animal figures</w:t>
      </w:r>
      <w:r w:rsidR="000F1689" w:rsidRPr="0066103C">
        <w:t xml:space="preserve"> refer to animals</w:t>
      </w:r>
      <w:r w:rsidR="00BD3922" w:rsidRPr="0066103C">
        <w:t>. I</w:t>
      </w:r>
      <w:r w:rsidR="004F0A02" w:rsidRPr="0066103C">
        <w:t xml:space="preserve">n isolation from the context, v 13a would most </w:t>
      </w:r>
      <w:r w:rsidR="00564F94" w:rsidRPr="0066103C">
        <w:t xml:space="preserve">naturally denote God himself: he </w:t>
      </w:r>
      <w:r w:rsidR="004F0A02" w:rsidRPr="0066103C">
        <w:t>characteristically appears with the clouds of the heavens</w:t>
      </w:r>
      <w:r w:rsidR="00564F94" w:rsidRPr="0066103C">
        <w:t xml:space="preserve"> (</w:t>
      </w:r>
      <w:r w:rsidR="00E70E66">
        <w:t>Ba’al</w:t>
      </w:r>
      <w:r w:rsidR="00564F94" w:rsidRPr="0066103C">
        <w:t>’s entourage in myths) and</w:t>
      </w:r>
      <w:r w:rsidR="004F0A02" w:rsidRPr="0066103C">
        <w:t xml:space="preserve"> characteristically appears humanlike (cf. Ezek 1:26). Thus the human</w:t>
      </w:r>
      <w:r w:rsidR="00BD3922" w:rsidRPr="0066103C">
        <w:t>like</w:t>
      </w:r>
      <w:r w:rsidR="004F0A02" w:rsidRPr="0066103C">
        <w:t xml:space="preserve"> figure </w:t>
      </w:r>
      <w:r w:rsidR="009B290E" w:rsidRPr="0066103C">
        <w:t>has</w:t>
      </w:r>
      <w:r w:rsidR="00BD3922" w:rsidRPr="0066103C">
        <w:t xml:space="preserve"> be</w:t>
      </w:r>
      <w:r w:rsidR="009B290E" w:rsidRPr="0066103C">
        <w:t>en</w:t>
      </w:r>
      <w:r w:rsidR="00BD3922" w:rsidRPr="0066103C">
        <w:t xml:space="preserve"> taken </w:t>
      </w:r>
      <w:r w:rsidR="004F0A02" w:rsidRPr="0066103C">
        <w:t xml:space="preserve">as a </w:t>
      </w:r>
      <w:r w:rsidR="004F0A02" w:rsidRPr="0066103C">
        <w:lastRenderedPageBreak/>
        <w:t>hy</w:t>
      </w:r>
      <w:r w:rsidR="009B290E" w:rsidRPr="0066103C">
        <w:t>postatized manifestation of God</w:t>
      </w:r>
      <w:r w:rsidR="004F0A02" w:rsidRPr="0066103C">
        <w:t xml:space="preserve"> like </w:t>
      </w:r>
      <w:r w:rsidR="009B290E" w:rsidRPr="0066103C">
        <w:t>the figure of Wisdom in Prov 8,</w:t>
      </w:r>
      <w:r w:rsidR="009B290E" w:rsidRPr="0066103C">
        <w:rPr>
          <w:rStyle w:val="FootnoteReference"/>
        </w:rPr>
        <w:footnoteReference w:id="151"/>
      </w:r>
      <w:r w:rsidR="004F0A02" w:rsidRPr="0066103C">
        <w:t xml:space="preserve"> </w:t>
      </w:r>
      <w:r w:rsidR="009B290E" w:rsidRPr="0066103C">
        <w:t xml:space="preserve">or </w:t>
      </w:r>
      <w:r w:rsidR="004F0A02" w:rsidRPr="0066103C">
        <w:t xml:space="preserve">as taking up the portrayal </w:t>
      </w:r>
      <w:r w:rsidR="009B290E" w:rsidRPr="0066103C">
        <w:t xml:space="preserve">of God as </w:t>
      </w:r>
      <w:r w:rsidR="00B3156F">
        <w:t>hu</w:t>
      </w:r>
      <w:r w:rsidR="009B290E" w:rsidRPr="0066103C">
        <w:t xml:space="preserve">manlike in Ezek 1, </w:t>
      </w:r>
      <w:r w:rsidR="004F0A02" w:rsidRPr="0066103C">
        <w:t>a hypostatized image of God, embodying his lordship</w:t>
      </w:r>
      <w:r w:rsidR="009B290E" w:rsidRPr="0066103C">
        <w:t>,</w:t>
      </w:r>
      <w:r w:rsidR="009B290E" w:rsidRPr="0066103C">
        <w:rPr>
          <w:rStyle w:val="FootnoteReference"/>
        </w:rPr>
        <w:footnoteReference w:id="152"/>
      </w:r>
      <w:r w:rsidR="004F0A02" w:rsidRPr="0066103C">
        <w:t xml:space="preserve"> </w:t>
      </w:r>
      <w:r w:rsidR="009B290E" w:rsidRPr="0066103C">
        <w:t xml:space="preserve">or </w:t>
      </w:r>
      <w:r w:rsidR="004F0A02" w:rsidRPr="0066103C">
        <w:t>as a heavenly being with honors and po</w:t>
      </w:r>
      <w:r w:rsidR="009B290E" w:rsidRPr="0066103C">
        <w:t>wers normally predicated of God,</w:t>
      </w:r>
      <w:r w:rsidR="009B290E" w:rsidRPr="0066103C">
        <w:rPr>
          <w:rStyle w:val="FootnoteReference"/>
        </w:rPr>
        <w:footnoteReference w:id="153"/>
      </w:r>
      <w:r w:rsidR="004F0A02" w:rsidRPr="0066103C">
        <w:t xml:space="preserve"> </w:t>
      </w:r>
      <w:r w:rsidR="009B290E" w:rsidRPr="0066103C">
        <w:t xml:space="preserve">or </w:t>
      </w:r>
      <w:r w:rsidR="004F0A02" w:rsidRPr="0066103C">
        <w:t>as standing</w:t>
      </w:r>
      <w:r w:rsidR="009B290E" w:rsidRPr="0066103C">
        <w:t xml:space="preserve"> for a divine figure</w:t>
      </w:r>
      <w:r w:rsidR="004F0A02" w:rsidRPr="0066103C">
        <w:t xml:space="preserve"> </w:t>
      </w:r>
      <w:r w:rsidRPr="0066103C">
        <w:t xml:space="preserve">who </w:t>
      </w:r>
      <w:r w:rsidR="004F0A02" w:rsidRPr="0066103C">
        <w:t>suggest</w:t>
      </w:r>
      <w:r w:rsidRPr="0066103C">
        <w:t>s</w:t>
      </w:r>
      <w:r w:rsidR="004F0A02" w:rsidRPr="0066103C">
        <w:t xml:space="preserve"> the deification of Israel at the End</w:t>
      </w:r>
      <w:r w:rsidRPr="0066103C">
        <w:t>.</w:t>
      </w:r>
      <w:r w:rsidR="009B290E" w:rsidRPr="0066103C">
        <w:rPr>
          <w:rStyle w:val="FootnoteReference"/>
        </w:rPr>
        <w:footnoteReference w:id="154"/>
      </w:r>
      <w:r w:rsidRPr="0066103C">
        <w:t xml:space="preserve"> B</w:t>
      </w:r>
      <w:r w:rsidR="00CB7EDB" w:rsidRPr="0066103C">
        <w:t>ut it is a long step</w:t>
      </w:r>
      <w:r w:rsidR="00564F94" w:rsidRPr="0066103C">
        <w:t xml:space="preserve"> from a belief in a renewed and </w:t>
      </w:r>
      <w:r w:rsidR="004F0A02" w:rsidRPr="0066103C">
        <w:t>celestial Israel</w:t>
      </w:r>
      <w:r w:rsidR="00564F94" w:rsidRPr="0066103C">
        <w:t>,</w:t>
      </w:r>
      <w:r w:rsidR="004F0A02" w:rsidRPr="0066103C">
        <w:t xml:space="preserve"> such as the </w:t>
      </w:r>
      <w:r w:rsidR="00FA4CAC" w:rsidRPr="0066103C">
        <w:t>interpretiv</w:t>
      </w:r>
      <w:r w:rsidR="004F0A02" w:rsidRPr="0066103C">
        <w:t>e vision may envisage, to the deification of Israel</w:t>
      </w:r>
      <w:r w:rsidRPr="0066103C">
        <w:t>, and g</w:t>
      </w:r>
      <w:r w:rsidR="00CB7EDB" w:rsidRPr="0066103C">
        <w:t>iven that</w:t>
      </w:r>
      <w:r w:rsidR="004F0A02" w:rsidRPr="0066103C">
        <w:t xml:space="preserve"> the one ad</w:t>
      </w:r>
      <w:r w:rsidRPr="0066103C">
        <w:t>vanced in years stands for God</w:t>
      </w:r>
      <w:r w:rsidR="00CB7EDB" w:rsidRPr="0066103C">
        <w:t xml:space="preserve">, </w:t>
      </w:r>
      <w:r w:rsidR="004F0A02" w:rsidRPr="0066103C">
        <w:t>it i</w:t>
      </w:r>
      <w:r w:rsidR="00CB7EDB" w:rsidRPr="0066103C">
        <w:t>s difficult to attribute divin</w:t>
      </w:r>
      <w:r w:rsidR="004F0A02" w:rsidRPr="0066103C">
        <w:t>e significance to this second figure.</w:t>
      </w:r>
    </w:p>
    <w:p w:rsidR="004F0A02" w:rsidRPr="0066103C" w:rsidRDefault="004F0A02" w:rsidP="004F0A02">
      <w:r w:rsidRPr="0066103C">
        <w:t xml:space="preserve">The scene’s pointers </w:t>
      </w:r>
      <w:r w:rsidR="009E5801" w:rsidRPr="0066103C">
        <w:t xml:space="preserve">towards </w:t>
      </w:r>
      <w:r w:rsidRPr="0066103C">
        <w:t>the unlikely conclusion that it envisages two divine beings</w:t>
      </w:r>
      <w:r w:rsidR="00AD0DEA" w:rsidRPr="0066103C">
        <w:rPr>
          <w:vertAlign w:val="superscript"/>
        </w:rPr>
        <w:footnoteReference w:id="155"/>
      </w:r>
      <w:r w:rsidR="00CB7EDB" w:rsidRPr="0066103C">
        <w:t xml:space="preserve"> </w:t>
      </w:r>
      <w:r w:rsidRPr="0066103C">
        <w:t>reflect its background in mythic material concerning the installation of a junior g</w:t>
      </w:r>
      <w:r w:rsidR="00AD0DEA" w:rsidRPr="0066103C">
        <w:t>od by a senior god,</w:t>
      </w:r>
      <w:r w:rsidR="00CB7EDB" w:rsidRPr="0066103C">
        <w:rPr>
          <w:rStyle w:val="FootnoteReference"/>
        </w:rPr>
        <w:footnoteReference w:id="156"/>
      </w:r>
      <w:r w:rsidR="00AD0DEA" w:rsidRPr="0066103C">
        <w:t xml:space="preserve"> and</w:t>
      </w:r>
      <w:r w:rsidR="00CB7EDB" w:rsidRPr="0066103C">
        <w:t xml:space="preserve"> the OT often pictures the</w:t>
      </w:r>
      <w:r w:rsidRPr="0066103C">
        <w:t xml:space="preserve"> heaven</w:t>
      </w:r>
      <w:r w:rsidR="00CB7EDB" w:rsidRPr="0066103C">
        <w:t>s as having the same hierarchy as th</w:t>
      </w:r>
      <w:r w:rsidR="00AD0DEA" w:rsidRPr="0066103C">
        <w:t>e ancient Near Eastern material</w:t>
      </w:r>
      <w:r w:rsidR="00CB7EDB" w:rsidRPr="0066103C">
        <w:t xml:space="preserve"> </w:t>
      </w:r>
      <w:r w:rsidR="00564F94" w:rsidRPr="0066103C">
        <w:t xml:space="preserve">but </w:t>
      </w:r>
      <w:r w:rsidRPr="0066103C">
        <w:t>with the place of lesser gods being taken by the one God’s</w:t>
      </w:r>
      <w:r w:rsidR="00CB7EDB" w:rsidRPr="0066103C">
        <w:t xml:space="preserve"> h</w:t>
      </w:r>
      <w:r w:rsidR="00AD0DEA" w:rsidRPr="0066103C">
        <w:t>eavenly but nondivine aides. Further,</w:t>
      </w:r>
      <w:r w:rsidR="00CB7EDB" w:rsidRPr="0066103C">
        <w:t xml:space="preserve"> </w:t>
      </w:r>
      <w:r w:rsidRPr="0066103C">
        <w:t>humanlike figures are regularly celestial beings</w:t>
      </w:r>
      <w:r w:rsidR="00AD0DEA" w:rsidRPr="0066103C">
        <w:t xml:space="preserve"> in subsequent visions in Daniel </w:t>
      </w:r>
      <w:r w:rsidRPr="0066103C">
        <w:t>(8:15–16; 9</w:t>
      </w:r>
      <w:r w:rsidR="00AD0DEA" w:rsidRPr="0066103C">
        <w:t xml:space="preserve">:21; 10:5 [?], 16, 18; 12:6–7). </w:t>
      </w:r>
      <w:r w:rsidRPr="0066103C">
        <w:t xml:space="preserve">Human beings over against animals in apocalypses such as </w:t>
      </w:r>
      <w:r w:rsidRPr="0066103C">
        <w:rPr>
          <w:i/>
        </w:rPr>
        <w:t>1 Enoch</w:t>
      </w:r>
      <w:r w:rsidRPr="0066103C">
        <w:t xml:space="preserve"> 89–90, too, suggest supernatural </w:t>
      </w:r>
      <w:r w:rsidR="00CB7EDB" w:rsidRPr="0066103C">
        <w:t xml:space="preserve">(but not divine) </w:t>
      </w:r>
      <w:r w:rsidRPr="0066103C">
        <w:t>beings over against human beings. To speak of a scheme of symbolism in the apocalypses, whereby God is represent</w:t>
      </w:r>
      <w:r w:rsidR="00CB7EDB" w:rsidRPr="0066103C">
        <w:t>ed b</w:t>
      </w:r>
      <w:r w:rsidR="00FF4F3A">
        <w:t>y light, fire, and cloud, celestial beings</w:t>
      </w:r>
      <w:r w:rsidR="00CB7EDB" w:rsidRPr="0066103C">
        <w:t xml:space="preserve"> by stars or human beings</w:t>
      </w:r>
      <w:r w:rsidRPr="0066103C">
        <w:t>, the righteous by clean animals, the wicked by unclean animals and predators, demons by hybrids,</w:t>
      </w:r>
      <w:r w:rsidR="00CB7EDB" w:rsidRPr="0066103C">
        <w:rPr>
          <w:rStyle w:val="FootnoteReference"/>
        </w:rPr>
        <w:footnoteReference w:id="157"/>
      </w:r>
      <w:r w:rsidRPr="0066103C">
        <w:t xml:space="preserve"> is to overschema</w:t>
      </w:r>
      <w:r w:rsidR="00CB7EDB" w:rsidRPr="0066103C">
        <w:t>tize the presentation</w:t>
      </w:r>
      <w:r w:rsidR="00AD0DEA" w:rsidRPr="0066103C">
        <w:t>.</w:t>
      </w:r>
      <w:r w:rsidR="00CB7EDB" w:rsidRPr="0066103C">
        <w:rPr>
          <w:rStyle w:val="FootnoteReference"/>
        </w:rPr>
        <w:footnoteReference w:id="158"/>
      </w:r>
      <w:r w:rsidR="00AD0DEA" w:rsidRPr="0066103C">
        <w:t xml:space="preserve"> B</w:t>
      </w:r>
      <w:r w:rsidRPr="0066103C">
        <w:t xml:space="preserve">ut the parallels are suggestive, and </w:t>
      </w:r>
      <w:r w:rsidR="00F3325C" w:rsidRPr="0066103C">
        <w:t xml:space="preserve">they </w:t>
      </w:r>
      <w:r w:rsidRPr="0066103C">
        <w:t>add to hints that the humanlike figure has a celestial rather tha</w:t>
      </w:r>
      <w:r w:rsidR="00564F94" w:rsidRPr="0066103C">
        <w:t>n a human referent. C</w:t>
      </w:r>
      <w:r w:rsidRPr="0066103C">
        <w:t>elestial beings other than God do not appear in or on the clouds of th</w:t>
      </w:r>
      <w:r w:rsidR="00564F94" w:rsidRPr="0066103C">
        <w:t>e heavens elsewhere in the OT; o</w:t>
      </w:r>
      <w:r w:rsidRPr="0066103C">
        <w:t>nly God comes on th</w:t>
      </w:r>
      <w:r w:rsidR="00564F94" w:rsidRPr="0066103C">
        <w:t>e clouds (Isa 19:1; Ps 104:3). B</w:t>
      </w:r>
      <w:r w:rsidRPr="0066103C">
        <w:t xml:space="preserve">ut it may then be significant that the humanlike figure comes with/among them, not on them. </w:t>
      </w:r>
      <w:r w:rsidR="00262BE8" w:rsidRPr="00262BE8">
        <w:t>Moses enters the theophanic cloud in Ex</w:t>
      </w:r>
      <w:r w:rsidR="00262BE8">
        <w:t>od 24:18, and t</w:t>
      </w:r>
      <w:r w:rsidRPr="0066103C">
        <w:t>he cloud com</w:t>
      </w:r>
      <w:r w:rsidR="00262BE8">
        <w:t>es to collect Moses in Josephus</w:t>
      </w:r>
      <w:r w:rsidRPr="0066103C">
        <w:t xml:space="preserve"> </w:t>
      </w:r>
      <w:r w:rsidR="00262BE8">
        <w:t>(</w:t>
      </w:r>
      <w:r w:rsidR="00884655">
        <w:rPr>
          <w:i/>
        </w:rPr>
        <w:t>Antiquities</w:t>
      </w:r>
      <w:r w:rsidR="00262BE8">
        <w:t xml:space="preserve"> 4.4.48 [4.326]; </w:t>
      </w:r>
      <w:r w:rsidRPr="0066103C">
        <w:t xml:space="preserve">cf. </w:t>
      </w:r>
      <w:r w:rsidRPr="00262BE8">
        <w:rPr>
          <w:i/>
        </w:rPr>
        <w:t>b. Yoma</w:t>
      </w:r>
      <w:r w:rsidRPr="0066103C">
        <w:t xml:space="preserve"> 4a; </w:t>
      </w:r>
      <w:r w:rsidRPr="00AE2A5A">
        <w:rPr>
          <w:i/>
        </w:rPr>
        <w:t>Pes</w:t>
      </w:r>
      <w:r w:rsidR="00F3325C" w:rsidRPr="00AE2A5A">
        <w:rPr>
          <w:i/>
        </w:rPr>
        <w:t xml:space="preserve">iqta </w:t>
      </w:r>
      <w:r w:rsidRPr="00AE2A5A">
        <w:rPr>
          <w:i/>
        </w:rPr>
        <w:t>Rabbah</w:t>
      </w:r>
      <w:r w:rsidRPr="0066103C">
        <w:t xml:space="preserve"> 20:4), to collect Jesus in</w:t>
      </w:r>
      <w:r w:rsidR="00F3325C" w:rsidRPr="0066103C">
        <w:t xml:space="preserve"> Acts 1:9, to collect believers</w:t>
      </w:r>
      <w:r w:rsidRPr="0066103C">
        <w:t xml:space="preserve"> in 1 Thess 4:17, and to carry Israel in targums to Exod 19:4.</w:t>
      </w:r>
      <w:r w:rsidR="00F3325C" w:rsidRPr="0066103C">
        <w:rPr>
          <w:rStyle w:val="FootnoteReference"/>
        </w:rPr>
        <w:footnoteReference w:id="159"/>
      </w:r>
    </w:p>
    <w:p w:rsidR="004F0A02" w:rsidRPr="0066103C" w:rsidRDefault="00564F94" w:rsidP="004F0A02">
      <w:r w:rsidRPr="0066103C">
        <w:t>The humanlike figure might thus be</w:t>
      </w:r>
      <w:r w:rsidR="004F0A02" w:rsidRPr="0066103C">
        <w:t xml:space="preserve"> a celestial be</w:t>
      </w:r>
      <w:r w:rsidRPr="0066103C">
        <w:t>ing</w:t>
      </w:r>
      <w:r w:rsidR="004F0A02" w:rsidRPr="0066103C">
        <w:t xml:space="preserve"> who represents Israel in </w:t>
      </w:r>
      <w:r w:rsidRPr="0066103C">
        <w:t xml:space="preserve">the </w:t>
      </w:r>
      <w:r w:rsidR="004F0A02" w:rsidRPr="0066103C">
        <w:t>heaven</w:t>
      </w:r>
      <w:r w:rsidRPr="0066103C">
        <w:t>s</w:t>
      </w:r>
      <w:r w:rsidR="004F0A02" w:rsidRPr="0066103C">
        <w:t>.</w:t>
      </w:r>
      <w:r w:rsidR="00681D41" w:rsidRPr="0066103C">
        <w:rPr>
          <w:vertAlign w:val="superscript"/>
        </w:rPr>
        <w:footnoteReference w:id="160"/>
      </w:r>
      <w:r w:rsidR="004F0A02" w:rsidRPr="0066103C">
        <w:t xml:space="preserve"> </w:t>
      </w:r>
      <w:r w:rsidRPr="0066103C">
        <w:t>Elsewhere in Dan 7</w:t>
      </w:r>
      <w:r w:rsidR="004F0A02" w:rsidRPr="0066103C">
        <w:t xml:space="preserve"> </w:t>
      </w:r>
      <w:r w:rsidRPr="0066103C">
        <w:t xml:space="preserve">celestial beings appear simply </w:t>
      </w:r>
      <w:r w:rsidR="004F0A02" w:rsidRPr="0066103C">
        <w:t>as attendants and interpreters (vv 10, 16)</w:t>
      </w:r>
      <w:r w:rsidR="00497F78">
        <w:t xml:space="preserve">, but </w:t>
      </w:r>
      <w:r w:rsidR="004F0A02" w:rsidRPr="0066103C">
        <w:t xml:space="preserve">in v 13 one </w:t>
      </w:r>
      <w:r w:rsidR="00F3325C" w:rsidRPr="0066103C">
        <w:t xml:space="preserve">of them </w:t>
      </w:r>
      <w:r w:rsidR="00497F78">
        <w:t>might have</w:t>
      </w:r>
      <w:r w:rsidR="00681D41" w:rsidRPr="0066103C">
        <w:t xml:space="preserve"> a more substantial function</w:t>
      </w:r>
      <w:r w:rsidR="004F0A02" w:rsidRPr="0066103C">
        <w:t xml:space="preserve">. Chaps. 8–12 portray celestial </w:t>
      </w:r>
      <w:r w:rsidR="00681D41" w:rsidRPr="0066103C">
        <w:t>beings fulfilling various roles</w:t>
      </w:r>
      <w:r w:rsidR="00497F78">
        <w:t>,</w:t>
      </w:r>
      <w:r w:rsidR="004F0A02" w:rsidRPr="0066103C">
        <w:t xml:space="preserve"> and </w:t>
      </w:r>
      <w:r w:rsidRPr="0066103C">
        <w:t xml:space="preserve">they </w:t>
      </w:r>
      <w:r w:rsidR="00497F78">
        <w:t xml:space="preserve">offer several </w:t>
      </w:r>
      <w:r w:rsidR="004F0A02" w:rsidRPr="0066103C">
        <w:t>possibilities regarding the identification of the</w:t>
      </w:r>
      <w:r w:rsidR="00497F78">
        <w:t xml:space="preserve"> humanlike figure</w:t>
      </w:r>
      <w:r w:rsidR="00681D41" w:rsidRPr="0066103C">
        <w:t>. He</w:t>
      </w:r>
      <w:r w:rsidR="004F0A02" w:rsidRPr="0066103C">
        <w:t xml:space="preserve"> might be </w:t>
      </w:r>
      <w:r w:rsidR="00F3325C" w:rsidRPr="0066103C">
        <w:t xml:space="preserve">equated </w:t>
      </w:r>
      <w:r w:rsidR="004F0A02" w:rsidRPr="0066103C">
        <w:t>with the further unnamed awesome and mysterious man dressed in linen of 10:5–12:13, who is also described in quasi-divine terms, linking him with Micha</w:t>
      </w:r>
      <w:r w:rsidR="00F3325C" w:rsidRPr="0066103C">
        <w:t xml:space="preserve">el and the Metatron of </w:t>
      </w:r>
      <w:r w:rsidR="00F3325C" w:rsidRPr="0066103C">
        <w:rPr>
          <w:i/>
        </w:rPr>
        <w:t>1 Enoch</w:t>
      </w:r>
      <w:r w:rsidR="00681D41" w:rsidRPr="0066103C">
        <w:t>,</w:t>
      </w:r>
      <w:r w:rsidR="00F3325C" w:rsidRPr="0066103C">
        <w:rPr>
          <w:rStyle w:val="FootnoteReference"/>
        </w:rPr>
        <w:footnoteReference w:id="161"/>
      </w:r>
      <w:r w:rsidR="00681D41" w:rsidRPr="0066103C">
        <w:t xml:space="preserve"> though</w:t>
      </w:r>
      <w:r w:rsidR="003478B9" w:rsidRPr="0066103C">
        <w:t xml:space="preserve"> t</w:t>
      </w:r>
      <w:r w:rsidR="004F0A02" w:rsidRPr="0066103C">
        <w:t>his</w:t>
      </w:r>
      <w:r w:rsidR="003478B9" w:rsidRPr="0066103C">
        <w:t xml:space="preserve"> identification</w:t>
      </w:r>
      <w:r w:rsidR="004F0A02" w:rsidRPr="0066103C">
        <w:t xml:space="preserve"> seems to explain one enigma by another. A less op</w:t>
      </w:r>
      <w:r w:rsidR="00681D41" w:rsidRPr="0066103C">
        <w:t>aque possibility is Gabriel, though</w:t>
      </w:r>
      <w:r w:rsidR="004F0A02" w:rsidRPr="0066103C">
        <w:t xml:space="preserve"> he is supremely the heavenly in</w:t>
      </w:r>
      <w:r w:rsidR="00681D41" w:rsidRPr="0066103C">
        <w:t>terpreter (8:16–26; 9:21–27), and if</w:t>
      </w:r>
      <w:r w:rsidR="004F0A02" w:rsidRPr="0066103C">
        <w:t xml:space="preserve"> he appears in chap. </w:t>
      </w:r>
      <w:r w:rsidR="004F0A02" w:rsidRPr="0066103C">
        <w:lastRenderedPageBreak/>
        <w:t>7, it is as the one who fulfills this role in vv 16–23.</w:t>
      </w:r>
      <w:r w:rsidR="003478B9" w:rsidRPr="0066103C">
        <w:rPr>
          <w:rStyle w:val="FootnoteReference"/>
        </w:rPr>
        <w:footnoteReference w:id="162"/>
      </w:r>
      <w:r w:rsidR="004F0A02" w:rsidRPr="0066103C">
        <w:t xml:space="preserve"> </w:t>
      </w:r>
      <w:r w:rsidR="00CB61A6" w:rsidRPr="0066103C">
        <w:t>T</w:t>
      </w:r>
      <w:r w:rsidR="004F0A02" w:rsidRPr="0066103C">
        <w:t xml:space="preserve">he “coming” (אתה) of the humanlike figure </w:t>
      </w:r>
      <w:r w:rsidR="00CB61A6" w:rsidRPr="0066103C">
        <w:t xml:space="preserve">might be compared </w:t>
      </w:r>
      <w:r w:rsidR="004F0A02" w:rsidRPr="0066103C">
        <w:t>wi</w:t>
      </w:r>
      <w:r w:rsidR="00CB61A6" w:rsidRPr="0066103C">
        <w:t>th that of the heavenly lookout</w:t>
      </w:r>
      <w:r w:rsidR="004F0A02" w:rsidRPr="0066103C">
        <w:t xml:space="preserve"> in 4:</w:t>
      </w:r>
      <w:r w:rsidR="00CB61A6" w:rsidRPr="0066103C">
        <w:t>13-17 [10–14</w:t>
      </w:r>
      <w:r w:rsidR="004F0A02" w:rsidRPr="0066103C">
        <w:t>],</w:t>
      </w:r>
      <w:r w:rsidR="00CB61A6" w:rsidRPr="0066103C">
        <w:rPr>
          <w:rStyle w:val="FootnoteReference"/>
        </w:rPr>
        <w:footnoteReference w:id="163"/>
      </w:r>
      <w:r w:rsidR="004F0A02" w:rsidRPr="0066103C">
        <w:t xml:space="preserve"> though again the significance of the</w:t>
      </w:r>
      <w:r w:rsidR="00BE5DE0" w:rsidRPr="0066103C">
        <w:t xml:space="preserve"> two comings—in the </w:t>
      </w:r>
      <w:r w:rsidR="004F0A02" w:rsidRPr="0066103C">
        <w:t>chapters as we know them—is rather different.</w:t>
      </w:r>
    </w:p>
    <w:p w:rsidR="004F0A02" w:rsidRPr="0066103C" w:rsidRDefault="00BE5DE0" w:rsidP="004F0A02">
      <w:r w:rsidRPr="0066103C">
        <w:t>The role of the humanlike figure</w:t>
      </w:r>
      <w:r w:rsidR="004F0A02" w:rsidRPr="0066103C">
        <w:t xml:space="preserve"> is closer to that of Michael </w:t>
      </w:r>
      <w:r w:rsidR="00564F94" w:rsidRPr="0066103C">
        <w:t xml:space="preserve">himself </w:t>
      </w:r>
      <w:r w:rsidR="00625E8E">
        <w:t xml:space="preserve">in 10:13, 21; 12:1. Michael </w:t>
      </w:r>
      <w:r w:rsidR="00625E8E" w:rsidRPr="00625E8E">
        <w:t>(</w:t>
      </w:r>
      <w:r w:rsidR="00625E8E" w:rsidRPr="00625E8E">
        <w:rPr>
          <w:rFonts w:ascii="Arial" w:hAnsi="Arial" w:cs="Arial"/>
        </w:rPr>
        <w:t>מיכאל</w:t>
      </w:r>
      <w:r w:rsidR="00625E8E" w:rsidRPr="00625E8E">
        <w:t>, “who is like God”) is an ordinary OT na</w:t>
      </w:r>
      <w:r w:rsidR="00625E8E">
        <w:t>me (e.g., Ezra 8:8), but</w:t>
      </w:r>
      <w:r w:rsidR="00625E8E" w:rsidRPr="00625E8E">
        <w:t xml:space="preserve"> Michael, like Gab</w:t>
      </w:r>
      <w:r w:rsidR="00FF4F3A">
        <w:t>riel, is one of the senior celestial being</w:t>
      </w:r>
      <w:r w:rsidR="00625E8E" w:rsidRPr="00625E8E">
        <w:t xml:space="preserve">s in </w:t>
      </w:r>
      <w:r w:rsidR="00625E8E" w:rsidRPr="00497F78">
        <w:rPr>
          <w:i/>
        </w:rPr>
        <w:t>1 Enoch</w:t>
      </w:r>
      <w:r w:rsidR="00625E8E" w:rsidRPr="00625E8E">
        <w:t xml:space="preserve"> (e.g., 9.1; 20.5; 71.9).</w:t>
      </w:r>
      <w:r w:rsidR="00625E8E">
        <w:t xml:space="preserve"> In Dan 10—12 he is </w:t>
      </w:r>
      <w:r w:rsidR="004F0A02" w:rsidRPr="0066103C">
        <w:t>one of the supreme celestial leaders who is especially identified with Israel and is committed to standing by them and standing firm on their behalf against celestial leaders identified w</w:t>
      </w:r>
      <w:r w:rsidRPr="0066103C">
        <w:t>ith other peoples</w:t>
      </w:r>
      <w:r w:rsidR="004F0A02" w:rsidRPr="0066103C">
        <w:t>.</w:t>
      </w:r>
      <w:r w:rsidRPr="0066103C">
        <w:rPr>
          <w:rStyle w:val="FootnoteReference"/>
        </w:rPr>
        <w:footnoteReference w:id="164"/>
      </w:r>
      <w:r w:rsidR="004F0A02" w:rsidRPr="0066103C">
        <w:t xml:space="preserve"> The authority he exercises in </w:t>
      </w:r>
      <w:r w:rsidR="00681D41" w:rsidRPr="0066103C">
        <w:t xml:space="preserve">the </w:t>
      </w:r>
      <w:r w:rsidR="004F0A02" w:rsidRPr="0066103C">
        <w:t>heaven</w:t>
      </w:r>
      <w:r w:rsidR="00681D41" w:rsidRPr="0066103C">
        <w:t>s</w:t>
      </w:r>
      <w:r w:rsidR="004F0A02" w:rsidRPr="0066103C">
        <w:t xml:space="preserve"> parallels that bestowed on the humanlike figure in 7:14, w</w:t>
      </w:r>
      <w:r w:rsidRPr="0066103C">
        <w:t xml:space="preserve">ho appears at a similar moment </w:t>
      </w:r>
      <w:r w:rsidR="004F0A02" w:rsidRPr="0066103C">
        <w:t>to the one when Michael appears in chap. 12</w:t>
      </w:r>
      <w:r w:rsidRPr="0066103C">
        <w:t>, the moment when evil power overreaches itself and God’s final intervention comes</w:t>
      </w:r>
      <w:r w:rsidR="004F0A02" w:rsidRPr="0066103C">
        <w:t>.</w:t>
      </w:r>
      <w:r w:rsidRPr="0066103C">
        <w:rPr>
          <w:vertAlign w:val="superscript"/>
        </w:rPr>
        <w:footnoteReference w:id="165"/>
      </w:r>
      <w:r w:rsidR="004F0A02" w:rsidRPr="0066103C">
        <w:t xml:space="preserve"> The Qumran War Scroll (1QM 17.5–8) promises the overthrow of the </w:t>
      </w:r>
      <w:r w:rsidR="00B13647">
        <w:t>leader</w:t>
      </w:r>
      <w:r w:rsidR="004F0A02" w:rsidRPr="0066103C">
        <w:t xml:space="preserve"> of the wicked kingdom as the kingdom of Michael is exalted in the midst of the gods, and the realm of </w:t>
      </w:r>
      <w:r w:rsidR="00681D41" w:rsidRPr="0066103C">
        <w:t>Israel in the midst of all flesh,</w:t>
      </w:r>
      <w:r w:rsidRPr="0066103C">
        <w:rPr>
          <w:rStyle w:val="FootnoteReference"/>
        </w:rPr>
        <w:footnoteReference w:id="166"/>
      </w:r>
      <w:r w:rsidR="00681D41" w:rsidRPr="0066103C">
        <w:t xml:space="preserve"> though</w:t>
      </w:r>
      <w:r w:rsidR="004F0A02" w:rsidRPr="0066103C">
        <w:t xml:space="preserve"> the humanlike figure is not a comb</w:t>
      </w:r>
      <w:r w:rsidR="00681D41" w:rsidRPr="0066103C">
        <w:t>atant in Dan 7</w:t>
      </w:r>
      <w:r w:rsidR="004F0A02" w:rsidRPr="0066103C">
        <w:t xml:space="preserve"> as Michael is in chaps. 10–12.</w:t>
      </w:r>
      <w:r w:rsidRPr="0066103C">
        <w:rPr>
          <w:rStyle w:val="FootnoteReference"/>
        </w:rPr>
        <w:footnoteReference w:id="167"/>
      </w:r>
      <w:r w:rsidR="00681D41" w:rsidRPr="0066103C">
        <w:t xml:space="preserve"> But t</w:t>
      </w:r>
      <w:r w:rsidR="004F0A02" w:rsidRPr="0066103C">
        <w:t xml:space="preserve">his </w:t>
      </w:r>
      <w:r w:rsidRPr="0066103C">
        <w:t xml:space="preserve">difference may </w:t>
      </w:r>
      <w:r w:rsidR="004F0A02" w:rsidRPr="0066103C">
        <w:t>reflect the fact that the</w:t>
      </w:r>
      <w:r w:rsidR="00681D41" w:rsidRPr="0066103C">
        <w:t xml:space="preserve"> </w:t>
      </w:r>
      <w:r w:rsidR="00564F94" w:rsidRPr="0066103C">
        <w:t xml:space="preserve">present </w:t>
      </w:r>
      <w:r w:rsidR="00681D41" w:rsidRPr="0066103C">
        <w:t xml:space="preserve">scene takes place on earth; Michael’s battles </w:t>
      </w:r>
      <w:r w:rsidR="004F0A02" w:rsidRPr="0066103C">
        <w:t xml:space="preserve">take place in </w:t>
      </w:r>
      <w:r w:rsidR="00681D41" w:rsidRPr="0066103C">
        <w:t xml:space="preserve">the </w:t>
      </w:r>
      <w:r w:rsidR="004F0A02" w:rsidRPr="0066103C">
        <w:t>heaven</w:t>
      </w:r>
      <w:r w:rsidR="00681D41" w:rsidRPr="0066103C">
        <w:t>s</w:t>
      </w:r>
      <w:r w:rsidR="004F0A02" w:rsidRPr="0066103C">
        <w:t>. That the same celestial person could have different rol</w:t>
      </w:r>
      <w:r w:rsidRPr="0066103C">
        <w:t xml:space="preserve">es in different contexts, as </w:t>
      </w:r>
      <w:r w:rsidR="00564F94" w:rsidRPr="0066103C">
        <w:t xml:space="preserve">would </w:t>
      </w:r>
      <w:r w:rsidRPr="0066103C">
        <w:t>be envisaged for Michael</w:t>
      </w:r>
      <w:r w:rsidR="004F0A02" w:rsidRPr="0066103C">
        <w:t>, is indicate</w:t>
      </w:r>
      <w:r w:rsidRPr="0066103C">
        <w:t>d by the portrait of Melchizedeq</w:t>
      </w:r>
      <w:r w:rsidR="004F0A02" w:rsidRPr="0066103C">
        <w:t xml:space="preserve"> in 11Q Melc</w:t>
      </w:r>
      <w:r w:rsidRPr="0066103C">
        <w:t>hizedeq</w:t>
      </w:r>
      <w:r w:rsidR="004F0A02" w:rsidRPr="0066103C">
        <w:t>.</w:t>
      </w:r>
      <w:r w:rsidRPr="0066103C">
        <w:rPr>
          <w:rStyle w:val="FootnoteReference"/>
        </w:rPr>
        <w:footnoteReference w:id="168"/>
      </w:r>
    </w:p>
    <w:p w:rsidR="006C655D" w:rsidRPr="0066103C" w:rsidRDefault="004F0A02" w:rsidP="004F0A02">
      <w:r w:rsidRPr="0066103C">
        <w:t>If the figure is Michael, or Gabriel, or any other specific individual, it is odd that he appears only here and not in vv 18, 22, and</w:t>
      </w:r>
      <w:r w:rsidR="00823FDE" w:rsidRPr="0066103C">
        <w:t xml:space="preserve"> 27. </w:t>
      </w:r>
      <w:r w:rsidR="00564F94" w:rsidRPr="0066103C">
        <w:t>Indeed, the humanlike figure’s failure to appear in the interpretive section of the vision might indicate that it is not a particularly important feature of the chapter.</w:t>
      </w:r>
      <w:r w:rsidR="00564F94" w:rsidRPr="0066103C">
        <w:rPr>
          <w:vertAlign w:val="superscript"/>
        </w:rPr>
        <w:footnoteReference w:id="169"/>
      </w:r>
      <w:r w:rsidR="00564F94" w:rsidRPr="0066103C">
        <w:t xml:space="preserve"> </w:t>
      </w:r>
      <w:r w:rsidR="00823FDE" w:rsidRPr="0066103C">
        <w:t>The</w:t>
      </w:r>
      <w:r w:rsidRPr="0066103C">
        <w:t xml:space="preserve"> </w:t>
      </w:r>
      <w:r w:rsidR="00823FDE" w:rsidRPr="0066103C">
        <w:t xml:space="preserve">suggestion that </w:t>
      </w:r>
      <w:r w:rsidRPr="0066103C">
        <w:t xml:space="preserve">an earlier form </w:t>
      </w:r>
      <w:r w:rsidR="00823FDE" w:rsidRPr="0066103C">
        <w:t xml:space="preserve">of </w:t>
      </w:r>
      <w:r w:rsidRPr="0066103C">
        <w:t xml:space="preserve">v 13 </w:t>
      </w:r>
      <w:r w:rsidR="00564F94" w:rsidRPr="0066103C">
        <w:t xml:space="preserve">did </w:t>
      </w:r>
      <w:r w:rsidR="00823FDE" w:rsidRPr="0066103C">
        <w:t>name</w:t>
      </w:r>
      <w:r w:rsidRPr="0066103C">
        <w:t xml:space="preserve"> a particular celestial being</w:t>
      </w:r>
      <w:r w:rsidR="00D2148F" w:rsidRPr="0066103C">
        <w:rPr>
          <w:rStyle w:val="FootnoteReference"/>
        </w:rPr>
        <w:footnoteReference w:id="170"/>
      </w:r>
      <w:r w:rsidR="00564F94" w:rsidRPr="0066103C">
        <w:t xml:space="preserve"> highlights the lack</w:t>
      </w:r>
      <w:r w:rsidR="00681D41" w:rsidRPr="0066103C">
        <w:t xml:space="preserve"> of</w:t>
      </w:r>
      <w:r w:rsidRPr="0066103C">
        <w:t xml:space="preserve"> </w:t>
      </w:r>
      <w:r w:rsidR="00564F94" w:rsidRPr="0066103C">
        <w:t>a name in chap. 7 as we know it</w:t>
      </w:r>
      <w:r w:rsidRPr="0066103C">
        <w:t>. The figure (like the i</w:t>
      </w:r>
      <w:r w:rsidR="00823FDE" w:rsidRPr="0066103C">
        <w:t xml:space="preserve">nterpreter of v 16) is </w:t>
      </w:r>
      <w:r w:rsidRPr="0066103C">
        <w:t>unidentifi</w:t>
      </w:r>
      <w:r w:rsidR="00823FDE" w:rsidRPr="0066103C">
        <w:t xml:space="preserve">ed; this </w:t>
      </w:r>
      <w:r w:rsidRPr="0066103C">
        <w:t xml:space="preserve">facet of the chapter </w:t>
      </w:r>
      <w:r w:rsidR="00823FDE" w:rsidRPr="0066103C">
        <w:t xml:space="preserve">is one </w:t>
      </w:r>
      <w:r w:rsidRPr="0066103C">
        <w:t>which i</w:t>
      </w:r>
      <w:r w:rsidR="00564F94" w:rsidRPr="0066103C">
        <w:t>nterpretation has to preserve. Here, too, l</w:t>
      </w:r>
      <w:r w:rsidRPr="0066103C">
        <w:t xml:space="preserve">ater chapters must </w:t>
      </w:r>
      <w:r w:rsidR="00823FDE" w:rsidRPr="0066103C">
        <w:t>not be read back into this one</w:t>
      </w:r>
      <w:r w:rsidRPr="0066103C">
        <w:t>.</w:t>
      </w:r>
      <w:r w:rsidR="00823FDE" w:rsidRPr="0066103C">
        <w:rPr>
          <w:rStyle w:val="FootnoteReference"/>
        </w:rPr>
        <w:footnoteReference w:id="171"/>
      </w:r>
      <w:r w:rsidRPr="0066103C">
        <w:t xml:space="preserve"> </w:t>
      </w:r>
      <w:r w:rsidR="006C655D" w:rsidRPr="0066103C">
        <w:t>“The interpreting angel … does not show any interest in identifying the humanlike one with any specific leader of the holy one</w:t>
      </w:r>
      <w:r w:rsidR="00231985">
        <w:t>s” (or with anyone else). “E</w:t>
      </w:r>
      <w:r w:rsidR="006C655D" w:rsidRPr="0066103C">
        <w:t xml:space="preserve">ven if the humanlike one is originally a collective symbol for the angels, the subsequent visions in Daniel reinterpret this figure with increasing specificity, as </w:t>
      </w:r>
      <w:r w:rsidR="00B13647">
        <w:t>leader</w:t>
      </w:r>
      <w:r w:rsidR="006C655D" w:rsidRPr="0066103C">
        <w:t xml:space="preserve"> of the host (8:11) and as Michael (10:21; 12:1).</w:t>
      </w:r>
      <w:r w:rsidR="0084515C" w:rsidRPr="0066103C">
        <w:t>”</w:t>
      </w:r>
      <w:r w:rsidR="006C655D" w:rsidRPr="0066103C">
        <w:rPr>
          <w:rStyle w:val="FootnoteReference"/>
        </w:rPr>
        <w:footnoteReference w:id="172"/>
      </w:r>
      <w:r w:rsidR="00231985">
        <w:t xml:space="preserve"> Perhaps </w:t>
      </w:r>
      <w:r w:rsidR="00231985" w:rsidRPr="00231985">
        <w:t xml:space="preserve">the people with whom the vision was shared had information </w:t>
      </w:r>
      <w:r w:rsidR="00231985">
        <w:t>that enabled them to discern this (or some other)</w:t>
      </w:r>
      <w:r w:rsidR="00231985" w:rsidRPr="00231985">
        <w:t xml:space="preserve"> reference</w:t>
      </w:r>
      <w:r w:rsidR="00231985">
        <w:t xml:space="preserve"> of the image. Neverthless, c</w:t>
      </w:r>
      <w:r w:rsidR="00231985" w:rsidRPr="00231985">
        <w:t>hap. 7 invites them to focus on the humanlike figure’s role rather than its identity.</w:t>
      </w:r>
    </w:p>
    <w:p w:rsidR="00E2519E" w:rsidRPr="00E2519E" w:rsidRDefault="004F0A02" w:rsidP="00E2519E">
      <w:r w:rsidRPr="00625E8E">
        <w:rPr>
          <w:b/>
        </w:rPr>
        <w:t>15–16</w:t>
      </w:r>
      <w:r w:rsidR="0084515C" w:rsidRPr="0066103C">
        <w:t xml:space="preserve"> While troubled perplexity is a response</w:t>
      </w:r>
      <w:r w:rsidRPr="0066103C">
        <w:t xml:space="preserve"> to which the chapter genuinely invites its audience, accounts of a sym</w:t>
      </w:r>
      <w:r w:rsidR="00823FDE" w:rsidRPr="0066103C">
        <w:t>bolic vi</w:t>
      </w:r>
      <w:r w:rsidR="00E2519E">
        <w:t>sion common</w:t>
      </w:r>
      <w:r w:rsidR="00823FDE" w:rsidRPr="0066103C">
        <w:t>ly involve another being who explains the</w:t>
      </w:r>
      <w:r w:rsidRPr="0066103C">
        <w:t xml:space="preserve"> vision</w:t>
      </w:r>
      <w:r w:rsidR="00823FDE" w:rsidRPr="0066103C">
        <w:t>, as well as the visionary himself. This was so in</w:t>
      </w:r>
      <w:r w:rsidRPr="0066103C">
        <w:t xml:space="preserve"> chap. 2, where Nebuchadnezzar’s response on waking after his </w:t>
      </w:r>
      <w:r w:rsidRPr="0066103C">
        <w:lastRenderedPageBreak/>
        <w:t>symbolic dream was described in terms similar to the</w:t>
      </w:r>
      <w:r w:rsidR="0084515C" w:rsidRPr="0066103C">
        <w:t xml:space="preserve"> ones used here of Daniel. Relating </w:t>
      </w:r>
      <w:r w:rsidRPr="0066103C">
        <w:t xml:space="preserve">a mysterious vision which combines ominous and encouraging features yet which is not of wholly patent meaning creates a suspense that is heightened by the separation of symbolic vision and explanation. Alarm and encouragement are invited, but the basis for them is </w:t>
      </w:r>
      <w:r w:rsidR="0084515C" w:rsidRPr="0066103C">
        <w:t xml:space="preserve">withheld. It will come with </w:t>
      </w:r>
      <w:r w:rsidRPr="0066103C">
        <w:t>more force when revealed.</w:t>
      </w:r>
      <w:r w:rsidR="00E2519E">
        <w:t xml:space="preserve"> So rhetorically, it is not so strange that</w:t>
      </w:r>
      <w:r w:rsidR="00E2519E" w:rsidRPr="00E2519E">
        <w:t xml:space="preserve"> the expert reader has become the baffled reader.</w:t>
      </w:r>
      <w:r w:rsidR="00E2519E" w:rsidRPr="00E2519E">
        <w:rPr>
          <w:vertAlign w:val="superscript"/>
        </w:rPr>
        <w:footnoteReference w:id="173"/>
      </w:r>
    </w:p>
    <w:p w:rsidR="004F0A02" w:rsidRPr="0066103C" w:rsidRDefault="004F0A02" w:rsidP="004F0A02">
      <w:r w:rsidRPr="0066103C">
        <w:t xml:space="preserve">Chap. 7 resumes the </w:t>
      </w:r>
      <w:r w:rsidR="00823FDE" w:rsidRPr="0066103C">
        <w:t xml:space="preserve">pattern </w:t>
      </w:r>
      <w:r w:rsidRPr="0066103C">
        <w:t xml:space="preserve">of symbolic visions elsewhere in the OT, </w:t>
      </w:r>
      <w:r w:rsidR="00823FDE" w:rsidRPr="0066103C">
        <w:t xml:space="preserve">the </w:t>
      </w:r>
      <w:r w:rsidRPr="0066103C">
        <w:t>pat</w:t>
      </w:r>
      <w:r w:rsidR="0084515C" w:rsidRPr="0066103C">
        <w:t>tern where the interpretation i</w:t>
      </w:r>
      <w:r w:rsidRPr="0066103C">
        <w:t>s given within the vision. For pre-exilic prophets, God was the interpreter (Amos 7–8; Jer 1). In Ezek 40</w:t>
      </w:r>
      <w:r w:rsidR="0084515C" w:rsidRPr="0066103C">
        <w:t>–48; Zech 1–6 God again appears</w:t>
      </w:r>
      <w:r w:rsidR="00FF4F3A">
        <w:t>, but his aides</w:t>
      </w:r>
      <w:r w:rsidRPr="0066103C">
        <w:t xml:space="preserve"> played the major </w:t>
      </w:r>
      <w:r w:rsidR="00FA4CAC" w:rsidRPr="0066103C">
        <w:t>interpretiv</w:t>
      </w:r>
      <w:r w:rsidRPr="0066103C">
        <w:t xml:space="preserve">e role. In Dan 7, Daniel instinctively turns to one of the celestial attendants </w:t>
      </w:r>
      <w:r w:rsidR="00823FDE" w:rsidRPr="0066103C">
        <w:t xml:space="preserve">within his </w:t>
      </w:r>
      <w:r w:rsidRPr="0066103C">
        <w:t>visi</w:t>
      </w:r>
      <w:r w:rsidR="00E2519E">
        <w:t>on (apparent</w:t>
      </w:r>
      <w:r w:rsidRPr="0066103C">
        <w:t xml:space="preserve">ly identified as Gabriel in 8:16). In Dan 8–12, </w:t>
      </w:r>
      <w:r w:rsidR="00FA4CAC" w:rsidRPr="0066103C">
        <w:t>interpretiv</w:t>
      </w:r>
      <w:r w:rsidRPr="0066103C">
        <w:t>e revelations are given on heavenly initiative. The source of the interpretation guarantees that it comes from heaven, not from mere human insight.</w:t>
      </w:r>
    </w:p>
    <w:p w:rsidR="004F0A02" w:rsidRPr="0066103C" w:rsidRDefault="004F0A02" w:rsidP="004F0A02">
      <w:r w:rsidRPr="004C6F68">
        <w:rPr>
          <w:b/>
        </w:rPr>
        <w:t xml:space="preserve">17 </w:t>
      </w:r>
      <w:r w:rsidRPr="0066103C">
        <w:t>The initial interpretation of the visi</w:t>
      </w:r>
      <w:r w:rsidR="009C01AC" w:rsidRPr="0066103C">
        <w:t>on in vv 17–18 is brief. It</w:t>
      </w:r>
      <w:r w:rsidRPr="0066103C">
        <w:t xml:space="preserve"> puts a focus on the central fact of a heavenly kingdom </w:t>
      </w:r>
      <w:r w:rsidR="00D17A1F">
        <w:t>to succeed the earthly ones. I</w:t>
      </w:r>
      <w:r w:rsidR="009C01AC" w:rsidRPr="0066103C">
        <w:t>t</w:t>
      </w:r>
      <w:r w:rsidRPr="0066103C">
        <w:t xml:space="preserve"> </w:t>
      </w:r>
      <w:r w:rsidR="009C01AC" w:rsidRPr="0066103C">
        <w:t xml:space="preserve">also </w:t>
      </w:r>
      <w:r w:rsidRPr="0066103C">
        <w:t>increases suspense</w:t>
      </w:r>
      <w:r w:rsidR="00D17A1F">
        <w:t>;</w:t>
      </w:r>
      <w:r w:rsidRPr="0066103C">
        <w:t xml:space="preserve"> by its omissions it draws attention to aspects of the symbolic v</w:t>
      </w:r>
      <w:r w:rsidR="009C01AC" w:rsidRPr="0066103C">
        <w:t xml:space="preserve">ision that remain </w:t>
      </w:r>
      <w:r w:rsidRPr="0066103C">
        <w:t>unexplained. The Great Sea in the symbolic vision stands for the world (</w:t>
      </w:r>
      <w:r w:rsidR="009C01AC" w:rsidRPr="0066103C">
        <w:t xml:space="preserve">etymologically, </w:t>
      </w:r>
      <w:r w:rsidRPr="0066103C">
        <w:t xml:space="preserve">the </w:t>
      </w:r>
      <w:r w:rsidR="009C01AC" w:rsidRPr="0066103C">
        <w:t>“</w:t>
      </w:r>
      <w:r w:rsidRPr="0066103C">
        <w:t>Mediterranean</w:t>
      </w:r>
      <w:r w:rsidR="009C01AC" w:rsidRPr="0066103C">
        <w:t>”</w:t>
      </w:r>
      <w:r w:rsidRPr="0066103C">
        <w:t xml:space="preserve"> is the sea in “the middle of the world”—though the </w:t>
      </w:r>
      <w:r w:rsidR="009C01AC" w:rsidRPr="0066103C">
        <w:t>name dates only from medieval times</w:t>
      </w:r>
      <w:r w:rsidRPr="0066103C">
        <w:t>). The idea that the forces of disorder symbolized by crashing waters are embodied in the turbulent history of the nations perhaps underlies Isa 17:12–13; Jer 46:7–8, and the interpretation of the Great Sea here.</w:t>
      </w:r>
    </w:p>
    <w:p w:rsidR="00047817" w:rsidRPr="0066103C" w:rsidRDefault="004F0A02" w:rsidP="004F0A02">
      <w:r w:rsidRPr="0066103C">
        <w:t>The four kings stand fo</w:t>
      </w:r>
      <w:r w:rsidR="009C01AC" w:rsidRPr="0066103C">
        <w:t>r their kingdoms (cf. v 23). R</w:t>
      </w:r>
      <w:r w:rsidRPr="0066103C">
        <w:t xml:space="preserve">eference to both </w:t>
      </w:r>
      <w:r w:rsidR="009C01AC" w:rsidRPr="0066103C">
        <w:t xml:space="preserve">kings and kingdoms has already alternated </w:t>
      </w:r>
      <w:r w:rsidRPr="0066103C">
        <w:t>in 2:3</w:t>
      </w:r>
      <w:r w:rsidR="00AD43B5" w:rsidRPr="0066103C">
        <w:t>7–45,</w:t>
      </w:r>
      <w:r w:rsidR="00A40F9B">
        <w:t xml:space="preserve"> and</w:t>
      </w:r>
      <w:r w:rsidR="00AD43B5" w:rsidRPr="0066103C">
        <w:t xml:space="preserve"> the animals in 8:20–22 will denote </w:t>
      </w:r>
      <w:r w:rsidRPr="0066103C">
        <w:t xml:space="preserve">two </w:t>
      </w:r>
      <w:r w:rsidR="00A40F9B">
        <w:t>entire lines of kings</w:t>
      </w:r>
      <w:r w:rsidRPr="0066103C">
        <w:t>, while the buck’s large horn de</w:t>
      </w:r>
      <w:r w:rsidR="00AD43B5" w:rsidRPr="0066103C">
        <w:t>notes</w:t>
      </w:r>
      <w:r w:rsidR="00231985">
        <w:t xml:space="preserve"> one individual king. T</w:t>
      </w:r>
      <w:r w:rsidRPr="0066103C">
        <w:t>he iden</w:t>
      </w:r>
      <w:r w:rsidR="00231985">
        <w:t xml:space="preserve">tity of the kingdoms is </w:t>
      </w:r>
      <w:r w:rsidRPr="0066103C">
        <w:t>only partly</w:t>
      </w:r>
      <w:r w:rsidR="00231985">
        <w:t xml:space="preserve"> explained in 8:20-22, and it is not at all explained here. Rhetorically, then, the interpretive situation parallels that regarding the humanlike figure. </w:t>
      </w:r>
    </w:p>
    <w:p w:rsidR="00047817" w:rsidRPr="0066103C" w:rsidRDefault="00231985" w:rsidP="004F0A02">
      <w:r>
        <w:t>The four kingdoms</w:t>
      </w:r>
      <w:r w:rsidR="00047817" w:rsidRPr="0066103C">
        <w:t xml:space="preserve"> could </w:t>
      </w:r>
      <w:r w:rsidR="004F0A02" w:rsidRPr="0066103C">
        <w:t xml:space="preserve">be </w:t>
      </w:r>
      <w:r w:rsidR="00047817" w:rsidRPr="0066103C">
        <w:t xml:space="preserve">taken as </w:t>
      </w:r>
      <w:r w:rsidR="004F0A02" w:rsidRPr="0066103C">
        <w:t>the four powers that divide</w:t>
      </w:r>
      <w:r w:rsidR="00AD43B5" w:rsidRPr="0066103C">
        <w:t>d Alexander’s empire among them</w:t>
      </w:r>
      <w:r w:rsidR="00047817" w:rsidRPr="0066103C">
        <w:t>selves</w:t>
      </w:r>
      <w:r w:rsidR="00AD43B5" w:rsidRPr="0066103C">
        <w:t>.</w:t>
      </w:r>
      <w:r w:rsidR="00AD43B5" w:rsidRPr="0066103C">
        <w:rPr>
          <w:rStyle w:val="FootnoteReference"/>
        </w:rPr>
        <w:footnoteReference w:id="174"/>
      </w:r>
      <w:r w:rsidR="00AD43B5" w:rsidRPr="0066103C">
        <w:t xml:space="preserve"> </w:t>
      </w:r>
      <w:r w:rsidR="004F0A02" w:rsidRPr="0066103C">
        <w:t xml:space="preserve">That the animals emerge from the sea one by one need not in itself rule out the kingdoms’ being concurrent, </w:t>
      </w:r>
      <w:r w:rsidR="00047817" w:rsidRPr="0066103C">
        <w:t xml:space="preserve">as the ten horns of v 7 appear together yet </w:t>
      </w:r>
      <w:r w:rsidR="004F0A02" w:rsidRPr="0066103C">
        <w:t>represent consec</w:t>
      </w:r>
      <w:r w:rsidR="00047817" w:rsidRPr="0066103C">
        <w:t>utive kings; the simultaneity</w:t>
      </w:r>
      <w:r w:rsidR="004F0A02" w:rsidRPr="0066103C">
        <w:t xml:space="preserve"> is simply a feature of the visionary presentation to </w:t>
      </w:r>
      <w:r w:rsidR="0084515C" w:rsidRPr="0066103C">
        <w:t>Daniel, like</w:t>
      </w:r>
      <w:r w:rsidR="004F0A02" w:rsidRPr="0066103C">
        <w:t xml:space="preserve"> the fact that </w:t>
      </w:r>
      <w:r w:rsidR="0084515C" w:rsidRPr="0066103C">
        <w:t>all four are pictured as future</w:t>
      </w:r>
      <w:r w:rsidR="004F0A02" w:rsidRPr="0066103C">
        <w:t xml:space="preserve">. The fourfold Greek empire </w:t>
      </w:r>
      <w:r w:rsidR="00047817" w:rsidRPr="0066103C">
        <w:t>does appear</w:t>
      </w:r>
      <w:r w:rsidR="004F0A02" w:rsidRPr="0066103C">
        <w:t xml:space="preserve"> in connection with the four winds of the heavens (cf. v 2) in 8:8; 11:4. The</w:t>
      </w:r>
      <w:r w:rsidR="00047817" w:rsidRPr="0066103C">
        <w:t xml:space="preserve">y could alternatively </w:t>
      </w:r>
      <w:r w:rsidR="004F0A02" w:rsidRPr="0066103C">
        <w:t>be taken as four second-century powers looked at from an eastern Mediterranean perspective (cf</w:t>
      </w:r>
      <w:r w:rsidR="00047817" w:rsidRPr="0066103C">
        <w:t>. v 2), Egypt in the south, Parthia</w:t>
      </w:r>
      <w:r w:rsidR="004F0A02" w:rsidRPr="0066103C">
        <w:t xml:space="preserve"> in the east, Rome in th</w:t>
      </w:r>
      <w:r w:rsidR="00047817" w:rsidRPr="0066103C">
        <w:t>e west, and Syria in the north</w:t>
      </w:r>
      <w:r w:rsidR="004F0A02" w:rsidRPr="0066103C">
        <w:t>.</w:t>
      </w:r>
      <w:r w:rsidR="00047817" w:rsidRPr="0066103C">
        <w:rPr>
          <w:rStyle w:val="FootnoteReference"/>
        </w:rPr>
        <w:footnoteReference w:id="175"/>
      </w:r>
      <w:r w:rsidR="004F0A02" w:rsidRPr="0066103C">
        <w:t xml:space="preserve"> </w:t>
      </w:r>
    </w:p>
    <w:p w:rsidR="004F0A02" w:rsidRPr="0066103C" w:rsidRDefault="00047817" w:rsidP="004F0A02">
      <w:r w:rsidRPr="0066103C">
        <w:t>T</w:t>
      </w:r>
      <w:r w:rsidR="004F0A02" w:rsidRPr="0066103C">
        <w:t>he major obstacle to these theories is that they involve taking chap. 7 in isola</w:t>
      </w:r>
      <w:r w:rsidR="00A40F9B">
        <w:t>tion both from Dan 1–6 and</w:t>
      </w:r>
      <w:r w:rsidR="004F0A02" w:rsidRPr="0066103C">
        <w:t xml:space="preserve"> from Dan 8–12. The four-empire scheme of chap. 7 need not b</w:t>
      </w:r>
      <w:r w:rsidRPr="0066103C">
        <w:t>e identical to that of chap. 2</w:t>
      </w:r>
      <w:r w:rsidR="004F0A02" w:rsidRPr="0066103C">
        <w:t>,</w:t>
      </w:r>
      <w:r w:rsidRPr="0066103C">
        <w:rPr>
          <w:rStyle w:val="FootnoteReference"/>
        </w:rPr>
        <w:footnoteReference w:id="176"/>
      </w:r>
      <w:r w:rsidR="004F0A02" w:rsidRPr="0066103C">
        <w:t xml:space="preserve"> but it does link with it</w:t>
      </w:r>
      <w:r w:rsidRPr="0066103C">
        <w:t xml:space="preserve"> in some way: c</w:t>
      </w:r>
      <w:r w:rsidR="004F0A02" w:rsidRPr="0066103C">
        <w:t>hap. 2 explicitly refers to a sequence of kings beginning with Nebuchadnezzar, and the portrayal of the f</w:t>
      </w:r>
      <w:r w:rsidRPr="0066103C">
        <w:t>irst animal in 7:4 takes up the portrayal</w:t>
      </w:r>
      <w:r w:rsidR="004F0A02" w:rsidRPr="0066103C">
        <w:t xml:space="preserve"> of Nebuchadnezzar. Similarly, there may be differences of detail between chaps. 8–12 and chap. 7, but these visions again link w</w:t>
      </w:r>
      <w:r w:rsidRPr="0066103C">
        <w:t>ith each other, and each of th</w:t>
      </w:r>
      <w:r w:rsidR="004F0A02" w:rsidRPr="0066103C">
        <w:t>e</w:t>
      </w:r>
      <w:r w:rsidRPr="0066103C">
        <w:t xml:space="preserve"> visions</w:t>
      </w:r>
      <w:r w:rsidR="004F0A02" w:rsidRPr="0066103C">
        <w:t xml:space="preserve"> in chaps. 8–12 begins in Daniel’s own time and offers a perspective on history from the Babylonian/early Persian period to the Antiochene period. </w:t>
      </w:r>
      <w:r w:rsidR="0084515C" w:rsidRPr="0066103C">
        <w:t>When</w:t>
      </w:r>
      <w:r w:rsidRPr="0066103C">
        <w:t xml:space="preserve"> t</w:t>
      </w:r>
      <w:r w:rsidR="004F0A02" w:rsidRPr="0066103C">
        <w:t xml:space="preserve">he interpreter </w:t>
      </w:r>
      <w:r w:rsidR="0084515C" w:rsidRPr="0066103C">
        <w:t xml:space="preserve">in chap. 7 </w:t>
      </w:r>
      <w:r w:rsidR="004F0A02" w:rsidRPr="0066103C">
        <w:t>speaks as if Babylon as much as the succe</w:t>
      </w:r>
      <w:r w:rsidR="0084515C" w:rsidRPr="0066103C">
        <w:t>eding empires is still future, t</w:t>
      </w:r>
      <w:r w:rsidR="004F0A02" w:rsidRPr="0066103C">
        <w:t>he effect is to distance even the (implied) sixth-century reader from the sixth</w:t>
      </w:r>
      <w:r w:rsidRPr="0066103C">
        <w:t xml:space="preserve"> </w:t>
      </w:r>
      <w:r w:rsidR="004F0A02" w:rsidRPr="0066103C">
        <w:t>century context: we stand back from the total history of the kingdoms and survey it as a whole.</w:t>
      </w:r>
    </w:p>
    <w:p w:rsidR="004F0A02" w:rsidRPr="0066103C" w:rsidRDefault="00047817" w:rsidP="004F0A02">
      <w:r w:rsidRPr="0066103C">
        <w:lastRenderedPageBreak/>
        <w:t>I</w:t>
      </w:r>
      <w:r w:rsidR="004F0A02" w:rsidRPr="0066103C">
        <w:t>f we are to attempt to identify th</w:t>
      </w:r>
      <w:r w:rsidRPr="0066103C">
        <w:t>e four regimes in chap. 2</w:t>
      </w:r>
      <w:r w:rsidR="004F0A02" w:rsidRPr="0066103C">
        <w:t xml:space="preserve">, </w:t>
      </w:r>
      <w:r w:rsidRPr="0066103C">
        <w:t>I have suggested that they are th</w:t>
      </w:r>
      <w:r w:rsidR="004F0A02" w:rsidRPr="0066103C">
        <w:t>e</w:t>
      </w:r>
      <w:r w:rsidRPr="0066103C">
        <w:t xml:space="preserve"> regimes</w:t>
      </w:r>
      <w:r w:rsidR="004F0A02" w:rsidRPr="0066103C">
        <w:t xml:space="preserve"> of the four kings who appear in Dan 1–6, Nebuchadnezzar, Belshazzar, Darius, and Cyrus. Nothing specific points to this </w:t>
      </w:r>
      <w:r w:rsidR="00600001" w:rsidRPr="0066103C">
        <w:t xml:space="preserve">understanding </w:t>
      </w:r>
      <w:r w:rsidR="00A40F9B">
        <w:t xml:space="preserve">of chap. 7. </w:t>
      </w:r>
      <w:r w:rsidR="00A40F9B" w:rsidRPr="00A40F9B">
        <w:t>If we are to attempt to identify th</w:t>
      </w:r>
      <w:r w:rsidR="00A40F9B">
        <w:t>e four empires</w:t>
      </w:r>
      <w:r w:rsidR="00A40F9B" w:rsidRPr="00A40F9B">
        <w:t xml:space="preserve"> </w:t>
      </w:r>
      <w:r w:rsidR="00A40F9B">
        <w:t>in this chapter, its omitting to give any indication of their identity</w:t>
      </w:r>
      <w:r w:rsidRPr="0066103C">
        <w:t xml:space="preserve"> </w:t>
      </w:r>
      <w:r w:rsidR="004F0A02" w:rsidRPr="0066103C">
        <w:t>would permit the fourth empire to be Rome, as traditional Jewish and</w:t>
      </w:r>
      <w:r w:rsidRPr="0066103C">
        <w:t xml:space="preserve"> Christian interpretation </w:t>
      </w:r>
      <w:r w:rsidR="00A40F9B">
        <w:t xml:space="preserve">has </w:t>
      </w:r>
      <w:r w:rsidRPr="0066103C">
        <w:t>held</w:t>
      </w:r>
      <w:r w:rsidR="00AF4204" w:rsidRPr="0066103C">
        <w:t>.</w:t>
      </w:r>
      <w:r w:rsidRPr="0066103C">
        <w:rPr>
          <w:rStyle w:val="FootnoteReference"/>
        </w:rPr>
        <w:footnoteReference w:id="177"/>
      </w:r>
      <w:r w:rsidR="00A40F9B">
        <w:t xml:space="preserve"> But</w:t>
      </w:r>
      <w:r w:rsidRPr="0066103C">
        <w:t xml:space="preserve"> the</w:t>
      </w:r>
      <w:r w:rsidR="004F0A02" w:rsidRPr="0066103C">
        <w:t xml:space="preserve"> succeeding visions suggest that the four kingdoms sp</w:t>
      </w:r>
      <w:r w:rsidR="00A40F9B">
        <w:t xml:space="preserve">an the period from Daniel’s </w:t>
      </w:r>
      <w:r w:rsidR="004F0A02" w:rsidRPr="0066103C">
        <w:t>lifetime to the Greek period</w:t>
      </w:r>
      <w:r w:rsidRPr="0066103C">
        <w:t xml:space="preserve">, </w:t>
      </w:r>
      <w:r w:rsidR="00A40F9B">
        <w:t xml:space="preserve">so </w:t>
      </w:r>
      <w:r w:rsidR="004F0A02" w:rsidRPr="0066103C">
        <w:t>one</w:t>
      </w:r>
      <w:r w:rsidRPr="0066103C">
        <w:t xml:space="preserve"> would</w:t>
      </w:r>
      <w:r w:rsidR="004F0A02" w:rsidRPr="0066103C">
        <w:t xml:space="preserve"> expect the fourth kingdom in chap. 7 to be Greece, which fits th</w:t>
      </w:r>
      <w:r w:rsidRPr="0066103C">
        <w:t>e chapter just as well. Indeed</w:t>
      </w:r>
      <w:r w:rsidR="00A40F9B">
        <w:t xml:space="preserve">, </w:t>
      </w:r>
      <w:r w:rsidR="004F0A02" w:rsidRPr="0066103C">
        <w:t xml:space="preserve">the portrait of the small horn in v </w:t>
      </w:r>
      <w:r w:rsidR="00A40F9B">
        <w:t>8 (cf. vv 20–21, 24–25) matches</w:t>
      </w:r>
      <w:r w:rsidRPr="0066103C">
        <w:t xml:space="preserve"> the portrait</w:t>
      </w:r>
      <w:r w:rsidR="004F0A02" w:rsidRPr="0066103C">
        <w:t xml:space="preserve"> in 8:9–14, 23–25, which unequivocally denotes Antio</w:t>
      </w:r>
      <w:r w:rsidR="00A40F9B">
        <w:t>chus</w:t>
      </w:r>
      <w:r w:rsidR="004F0A02" w:rsidRPr="0066103C">
        <w:t>. In chap. 7 the small horn seeks to behave in an impressive and humanlike way, comes to look bigger than the others, makes war on holy beings and prevails over them, makes s</w:t>
      </w:r>
      <w:r w:rsidRPr="0066103C">
        <w:t>tatements hostile to God</w:t>
      </w:r>
      <w:r w:rsidR="004F0A02" w:rsidRPr="0066103C">
        <w:t>, and plans to change times set by</w:t>
      </w:r>
      <w:r w:rsidR="006C5716" w:rsidRPr="0066103C">
        <w:t xml:space="preserve"> decree, which are given into it</w:t>
      </w:r>
      <w:r w:rsidR="004F0A02" w:rsidRPr="0066103C">
        <w:t>s control for a time limited to “th</w:t>
      </w:r>
      <w:r w:rsidR="006C5716" w:rsidRPr="0066103C">
        <w:t>ree and a half periods” until its</w:t>
      </w:r>
      <w:r w:rsidR="004F0A02" w:rsidRPr="0066103C">
        <w:t xml:space="preserve"> authority is taken away by God’s judgment.</w:t>
      </w:r>
      <w:r w:rsidR="0058515C" w:rsidRPr="0066103C">
        <w:rPr>
          <w:rStyle w:val="FootnoteReference"/>
        </w:rPr>
        <w:footnoteReference w:id="178"/>
      </w:r>
      <w:r w:rsidR="004F0A02" w:rsidRPr="0066103C">
        <w:t xml:space="preserve"> In chap. 8 the small horn grows in several directions, attacks the celestial army and overthrows some of it, grows within reach of the army commander, attacks the sanctuary itself and is given control of the daily offerings, for a time limited to 2,300 evenings and mornings, until it is broken by supernatural power. The interpretation further emphasizes the king’s trickery, power, and destructiveness. The features of th</w:t>
      </w:r>
      <w:r w:rsidR="006C5716" w:rsidRPr="0066103C">
        <w:t xml:space="preserve">e two portraits are </w:t>
      </w:r>
      <w:r w:rsidR="004F0A02" w:rsidRPr="0066103C">
        <w:t xml:space="preserve">similar: the small horn’s size and strength, its partially successful attack on the holy/celestial beings, its interference with God’s own realm, and the assurance that </w:t>
      </w:r>
      <w:r w:rsidR="006C5716" w:rsidRPr="0066103C">
        <w:t>a limit is set to its power</w:t>
      </w:r>
      <w:r w:rsidR="004F0A02" w:rsidRPr="0066103C">
        <w:t>.</w:t>
      </w:r>
    </w:p>
    <w:p w:rsidR="004F0A02" w:rsidRPr="0066103C" w:rsidRDefault="004F0A02" w:rsidP="004F0A02">
      <w:r w:rsidRPr="0066103C">
        <w:t>The different images and details complement each other. In chap. 8 the small horn emerges after the appearance of four earlier horns (8:8; contrast the ten her</w:t>
      </w:r>
      <w:r w:rsidR="00047817" w:rsidRPr="0066103C">
        <w:t>e): in other words, it is given a</w:t>
      </w:r>
      <w:r w:rsidRPr="0066103C">
        <w:t xml:space="preserve"> connection with a group of four kings, not a group of ten. In chap. 8 it grows from one of the four existent horns, without harming any of them or increasing their number, whereas in chap. 7 it grows as an additional horn among the ten, t</w:t>
      </w:r>
      <w:r w:rsidR="00047817" w:rsidRPr="0066103C">
        <w:t>hree of which are uprooted. This difference</w:t>
      </w:r>
      <w:r w:rsidRPr="0066103C">
        <w:t xml:space="preserve"> fol</w:t>
      </w:r>
      <w:r w:rsidR="00047817" w:rsidRPr="0066103C">
        <w:t xml:space="preserve">lows directly from the focus in chap. 7 </w:t>
      </w:r>
      <w:r w:rsidRPr="0066103C">
        <w:t>on the king’s relationship to other kings in his line, whereas chap. 8 focuses on the king’s relationship to the four “parent” post-Alexander kingdoms. The differences between the two chapter</w:t>
      </w:r>
      <w:r w:rsidR="00FB62F1">
        <w:t xml:space="preserve">s do not make </w:t>
      </w:r>
      <w:r w:rsidRPr="0066103C">
        <w:t>the portraits of th</w:t>
      </w:r>
      <w:r w:rsidR="00FB62F1">
        <w:t xml:space="preserve">e small horn </w:t>
      </w:r>
      <w:r w:rsidR="00047817" w:rsidRPr="0066103C">
        <w:t>incompatible. While t</w:t>
      </w:r>
      <w:r w:rsidRPr="0066103C">
        <w:t>hey could</w:t>
      </w:r>
      <w:r w:rsidR="00047817" w:rsidRPr="0066103C">
        <w:t xml:space="preserve"> denote different kings, when they are juxtaposed in the same book </w:t>
      </w:r>
      <w:r w:rsidRPr="0066103C">
        <w:t xml:space="preserve">this </w:t>
      </w:r>
      <w:r w:rsidR="00047817" w:rsidRPr="0066103C">
        <w:t>understanding is not the natural one</w:t>
      </w:r>
      <w:r w:rsidRPr="0066103C">
        <w:t>.</w:t>
      </w:r>
    </w:p>
    <w:p w:rsidR="004F0A02" w:rsidRPr="0066103C" w:rsidRDefault="004F0A02" w:rsidP="004F0A02">
      <w:r w:rsidRPr="0066103C">
        <w:t>The small horn i</w:t>
      </w:r>
      <w:r w:rsidR="00FB62F1">
        <w:t>n chap. 8 is Antiochus</w:t>
      </w:r>
      <w:r w:rsidRPr="0066103C">
        <w:t>. The parallels just considered suggest that he is</w:t>
      </w:r>
      <w:r w:rsidR="00FB62F1">
        <w:t xml:space="preserve"> also the last king </w:t>
      </w:r>
      <w:r w:rsidRPr="0066103C">
        <w:t>in chap. 7; within the OT period, he alone fits the portrait in v 8.</w:t>
      </w:r>
      <w:r w:rsidR="009609FA" w:rsidRPr="0066103C">
        <w:rPr>
          <w:rStyle w:val="FootnoteReference"/>
        </w:rPr>
        <w:footnoteReference w:id="179"/>
      </w:r>
      <w:r w:rsidRPr="0066103C">
        <w:t xml:space="preserve"> Further, in 8:17 Daniel is told</w:t>
      </w:r>
      <w:r w:rsidR="00FB62F1">
        <w:t xml:space="preserve"> that his vision of</w:t>
      </w:r>
      <w:r w:rsidRPr="0066103C">
        <w:t xml:space="preserve"> the small horn relates to the time of the end</w:t>
      </w:r>
      <w:r w:rsidR="006C5716" w:rsidRPr="0066103C">
        <w:t xml:space="preserve">; the Greek empire is </w:t>
      </w:r>
      <w:r w:rsidR="00FB62F1">
        <w:t>the last empire. A</w:t>
      </w:r>
      <w:r w:rsidRPr="0066103C">
        <w:t xml:space="preserve"> similar pers</w:t>
      </w:r>
      <w:r w:rsidR="00047817" w:rsidRPr="0066103C">
        <w:t>pective emerges in Dan 10–12. Daniel</w:t>
      </w:r>
      <w:r w:rsidRPr="0066103C">
        <w:t xml:space="preserve"> could har</w:t>
      </w:r>
      <w:r w:rsidR="00047817" w:rsidRPr="0066103C">
        <w:t>dly be told so</w:t>
      </w:r>
      <w:r w:rsidRPr="0066103C">
        <w:t xml:space="preserve"> if he had already received a vision that looked beyond the Greek pe</w:t>
      </w:r>
      <w:r w:rsidR="00047817" w:rsidRPr="0066103C">
        <w:t>riod to another historical era</w:t>
      </w:r>
      <w:r w:rsidR="00FB62F1">
        <w:t>, that of Rome</w:t>
      </w:r>
      <w:r w:rsidRPr="0066103C">
        <w:t>.</w:t>
      </w:r>
      <w:r w:rsidR="00047817" w:rsidRPr="0066103C">
        <w:rPr>
          <w:rStyle w:val="FootnoteReference"/>
        </w:rPr>
        <w:footnoteReference w:id="180"/>
      </w:r>
      <w:r w:rsidR="006F237F" w:rsidRPr="0066103C">
        <w:t xml:space="preserve"> Antiochus’s</w:t>
      </w:r>
      <w:r w:rsidRPr="0066103C">
        <w:t xml:space="preserve"> being the small horn that appears after the o</w:t>
      </w:r>
      <w:r w:rsidR="006F237F" w:rsidRPr="0066103C">
        <w:t>thers and displaces some of them</w:t>
      </w:r>
      <w:r w:rsidRPr="0066103C">
        <w:t xml:space="preserve"> (see on v 24</w:t>
      </w:r>
      <w:r w:rsidR="00FB62F1">
        <w:t>) refers to his</w:t>
      </w:r>
      <w:r w:rsidRPr="0066103C">
        <w:t xml:space="preserve"> not </w:t>
      </w:r>
      <w:r w:rsidR="00FB62F1">
        <w:t xml:space="preserve">being </w:t>
      </w:r>
      <w:r w:rsidRPr="0066103C">
        <w:t>in line for the throne, being a younger son of Antiochus III (cf. 11:21).</w:t>
      </w:r>
    </w:p>
    <w:p w:rsidR="004F0A02" w:rsidRPr="0066103C" w:rsidRDefault="004F0A02" w:rsidP="004F0A02">
      <w:r w:rsidRPr="0066103C">
        <w:t>The o</w:t>
      </w:r>
      <w:r w:rsidR="006F237F" w:rsidRPr="0066103C">
        <w:t xml:space="preserve">ldest allusion to Dan 7, in </w:t>
      </w:r>
      <w:r w:rsidR="006F237F" w:rsidRPr="0066103C">
        <w:rPr>
          <w:i/>
        </w:rPr>
        <w:t>Sibylline Oracles</w:t>
      </w:r>
      <w:r w:rsidRPr="0066103C">
        <w:t xml:space="preserve"> 3.388–400, presupposes this sa</w:t>
      </w:r>
      <w:r w:rsidR="006F237F" w:rsidRPr="0066103C">
        <w:t>me understanding. Possibly</w:t>
      </w:r>
      <w:r w:rsidRPr="0066103C">
        <w:t xml:space="preserve"> the main oracle there originally referred to Alexander,</w:t>
      </w:r>
      <w:r w:rsidR="006F237F" w:rsidRPr="0066103C">
        <w:rPr>
          <w:rStyle w:val="FootnoteReference"/>
        </w:rPr>
        <w:footnoteReference w:id="181"/>
      </w:r>
      <w:r w:rsidRPr="0066103C">
        <w:t xml:space="preserve"> but vv 396–400 at least allude to Antiochus IV in terms that correspond to Dan 7:7–8 (ten horns and an extra horn). The</w:t>
      </w:r>
      <w:r w:rsidR="006F237F" w:rsidRPr="0066103C">
        <w:t>se verse</w:t>
      </w:r>
      <w:r w:rsidRPr="0066103C">
        <w:t>s presumably c</w:t>
      </w:r>
      <w:r w:rsidR="006F237F" w:rsidRPr="0066103C">
        <w:t>ome from the second century, perhaps c. 140</w:t>
      </w:r>
      <w:r w:rsidRPr="0066103C">
        <w:t>.</w:t>
      </w:r>
      <w:r w:rsidR="006F237F" w:rsidRPr="0066103C">
        <w:rPr>
          <w:rStyle w:val="FootnoteReference"/>
        </w:rPr>
        <w:footnoteReference w:id="182"/>
      </w:r>
      <w:r w:rsidRPr="0066103C">
        <w:t xml:space="preserve"> Their understanding of Dan 7 is </w:t>
      </w:r>
      <w:r w:rsidRPr="0066103C">
        <w:lastRenderedPageBreak/>
        <w:t>also presuppos</w:t>
      </w:r>
      <w:r w:rsidR="006F237F" w:rsidRPr="0066103C">
        <w:t>ed by 2 Esd 12:10–12. It reappears in Porphyry (AD</w:t>
      </w:r>
      <w:r w:rsidRPr="0066103C">
        <w:t xml:space="preserve"> 233–304), </w:t>
      </w:r>
      <w:r w:rsidR="006F237F" w:rsidRPr="0066103C">
        <w:t xml:space="preserve">in </w:t>
      </w:r>
      <w:r w:rsidRPr="0066103C">
        <w:t>the fourth-century Syrian writers Aphrahat and Ephrem</w:t>
      </w:r>
      <w:r w:rsidR="006F237F" w:rsidRPr="0066103C">
        <w:t>,</w:t>
      </w:r>
      <w:r w:rsidRPr="0066103C">
        <w:t xml:space="preserve"> and </w:t>
      </w:r>
      <w:r w:rsidR="006F237F" w:rsidRPr="0066103C">
        <w:t xml:space="preserve">in </w:t>
      </w:r>
      <w:r w:rsidRPr="0066103C">
        <w:t>later writings repre</w:t>
      </w:r>
      <w:r w:rsidR="006F237F" w:rsidRPr="0066103C">
        <w:t>senting the “Syrian tradition</w:t>
      </w:r>
      <w:r w:rsidRPr="0066103C">
        <w:t>.</w:t>
      </w:r>
      <w:r w:rsidR="006F237F" w:rsidRPr="0066103C">
        <w:t>”</w:t>
      </w:r>
      <w:r w:rsidR="006F237F" w:rsidRPr="0066103C">
        <w:rPr>
          <w:rStyle w:val="FootnoteReference"/>
        </w:rPr>
        <w:footnoteReference w:id="183"/>
      </w:r>
      <w:r w:rsidR="006F237F" w:rsidRPr="0066103C">
        <w:t xml:space="preserve"> </w:t>
      </w:r>
      <w:r w:rsidR="006F237F" w:rsidRPr="0066103C">
        <w:rPr>
          <w:i/>
        </w:rPr>
        <w:t>Sibylline Oracles</w:t>
      </w:r>
      <w:r w:rsidRPr="0066103C">
        <w:rPr>
          <w:i/>
        </w:rPr>
        <w:t xml:space="preserve"> </w:t>
      </w:r>
      <w:r w:rsidRPr="0066103C">
        <w:t xml:space="preserve">4 also assumes a four-empire scheme culminating with the Greeks, but </w:t>
      </w:r>
      <w:r w:rsidR="006F237F" w:rsidRPr="0066103C">
        <w:t xml:space="preserve">it </w:t>
      </w:r>
      <w:r w:rsidRPr="0066103C">
        <w:t>adds Rome to</w:t>
      </w:r>
      <w:r w:rsidR="006F237F" w:rsidRPr="0066103C">
        <w:t xml:space="preserve"> the sequence, without explicitly </w:t>
      </w:r>
      <w:r w:rsidRPr="0066103C">
        <w:t>bringing it int</w:t>
      </w:r>
      <w:r w:rsidR="006F237F" w:rsidRPr="0066103C">
        <w:t>o the scheme as a fifth empire.</w:t>
      </w:r>
      <w:r w:rsidR="006F237F" w:rsidRPr="0066103C">
        <w:rPr>
          <w:rStyle w:val="FootnoteReference"/>
        </w:rPr>
        <w:footnoteReference w:id="184"/>
      </w:r>
      <w:r w:rsidR="006F237F" w:rsidRPr="0066103C">
        <w:t xml:space="preserve"> </w:t>
      </w:r>
      <w:r w:rsidRPr="0066103C">
        <w:t>Dionysius of H</w:t>
      </w:r>
      <w:r w:rsidR="006F237F" w:rsidRPr="0066103C">
        <w:t>alicarnassus (first century BC</w:t>
      </w:r>
      <w:r w:rsidRPr="0066103C">
        <w:t>) treats Rome as the fifth in the traditional scheme, following Ass</w:t>
      </w:r>
      <w:r w:rsidR="006F237F" w:rsidRPr="0066103C">
        <w:t>yria, Media, Persia, and Greece,</w:t>
      </w:r>
      <w:r w:rsidR="00630208" w:rsidRPr="0066103C">
        <w:rPr>
          <w:rStyle w:val="FootnoteReference"/>
        </w:rPr>
        <w:footnoteReference w:id="185"/>
      </w:r>
      <w:r w:rsidR="006F237F" w:rsidRPr="0066103C">
        <w:t xml:space="preserve"> and Rome does feature</w:t>
      </w:r>
      <w:r w:rsidRPr="0066103C">
        <w:t xml:space="preserve"> in Daniel as a power rising in the west in the second century (11:30). In the context of contemporary expectation that Rome was destined to be the fifth empire (cf. Appian, </w:t>
      </w:r>
      <w:r w:rsidR="00E5749B" w:rsidRPr="0066103C">
        <w:rPr>
          <w:i/>
        </w:rPr>
        <w:t xml:space="preserve">Civil </w:t>
      </w:r>
      <w:r w:rsidRPr="0066103C">
        <w:rPr>
          <w:i/>
        </w:rPr>
        <w:t>Wars</w:t>
      </w:r>
      <w:r w:rsidRPr="0066103C">
        <w:t xml:space="preserve"> 8.19 [132]), Daniel may be cover</w:t>
      </w:r>
      <w:r w:rsidR="00E5749B" w:rsidRPr="0066103C">
        <w:t>tly denying it such a status. Daniel</w:t>
      </w:r>
      <w:r w:rsidRPr="0066103C">
        <w:t xml:space="preserve"> gives Rome no place in the scheme of empires. </w:t>
      </w:r>
      <w:r w:rsidR="00FB62F1">
        <w:t>Subsequently Rome comes</w:t>
      </w:r>
      <w:r w:rsidRPr="0066103C">
        <w:t xml:space="preserve"> to be incorpo</w:t>
      </w:r>
      <w:r w:rsidR="00E5749B" w:rsidRPr="0066103C">
        <w:t>rated into the scheme</w:t>
      </w:r>
      <w:r w:rsidR="006C5716" w:rsidRPr="0066103C">
        <w:t xml:space="preserve"> in a different way</w:t>
      </w:r>
      <w:r w:rsidRPr="0066103C">
        <w:t>, as the fourth and clim</w:t>
      </w:r>
      <w:r w:rsidR="00E5749B" w:rsidRPr="0066103C">
        <w:t xml:space="preserve">actic power in the </w:t>
      </w:r>
      <w:r w:rsidR="006C5716" w:rsidRPr="0066103C">
        <w:t xml:space="preserve">four-empire </w:t>
      </w:r>
      <w:r w:rsidR="00E5749B" w:rsidRPr="0066103C">
        <w:t>sequence</w:t>
      </w:r>
      <w:r w:rsidRPr="0066103C">
        <w:t>.</w:t>
      </w:r>
      <w:r w:rsidR="00E5749B" w:rsidRPr="0066103C">
        <w:rPr>
          <w:rStyle w:val="FootnoteReference"/>
        </w:rPr>
        <w:footnoteReference w:id="186"/>
      </w:r>
      <w:r w:rsidR="00FB62F1">
        <w:t xml:space="preserve"> The small horn i</w:t>
      </w:r>
      <w:r w:rsidRPr="0066103C">
        <w:t>s then assumed to be Vespasian</w:t>
      </w:r>
      <w:r w:rsidR="00E5749B" w:rsidRPr="0066103C">
        <w:rPr>
          <w:rStyle w:val="FootnoteReference"/>
        </w:rPr>
        <w:footnoteReference w:id="187"/>
      </w:r>
      <w:r w:rsidRPr="0066103C">
        <w:t xml:space="preserve"> or, more commonly, Titus. That the Roman interpretation is a nove</w:t>
      </w:r>
      <w:r w:rsidR="006C5716" w:rsidRPr="0066103C">
        <w:t xml:space="preserve">l one unknown to Daniel </w:t>
      </w:r>
      <w:r w:rsidRPr="0066103C">
        <w:t>is exp</w:t>
      </w:r>
      <w:r w:rsidR="00E5749B" w:rsidRPr="0066103C">
        <w:t>licit in 2 Esd 12:10–12 (c. AD</w:t>
      </w:r>
      <w:r w:rsidRPr="0066103C">
        <w:t xml:space="preserve"> 90). Here God explains a vision that “Ezra” has seen: “the eagle you saw rising from the sea represents the fourth kingdom in the vision seen by your brother Daniel. But he was not given the interpretation which I am now gi</w:t>
      </w:r>
      <w:r w:rsidR="00FB62F1">
        <w:t>ving you or have given you…</w:t>
      </w:r>
      <w:r w:rsidRPr="0066103C">
        <w:t>” (God goes on to describe the Romans).</w:t>
      </w:r>
    </w:p>
    <w:p w:rsidR="00BB196E" w:rsidRPr="0066103C" w:rsidRDefault="004F0A02" w:rsidP="004F0A02">
      <w:r w:rsidRPr="0066103C">
        <w:t>I</w:t>
      </w:r>
      <w:r w:rsidR="00FA4097">
        <w:t xml:space="preserve">f we are to identify </w:t>
      </w:r>
      <w:r w:rsidRPr="0066103C">
        <w:t xml:space="preserve">the </w:t>
      </w:r>
      <w:r w:rsidR="00FA4097">
        <w:t>empires in Dan 7, first</w:t>
      </w:r>
      <w:r w:rsidRPr="0066103C">
        <w:t xml:space="preserve"> is Nebuchadnezzar’s Babylon, the fourth is Greece. There is less </w:t>
      </w:r>
      <w:r w:rsidR="00FA4097">
        <w:t xml:space="preserve">certainty </w:t>
      </w:r>
      <w:r w:rsidRPr="0066103C">
        <w:t xml:space="preserve">the second and third kingdoms. </w:t>
      </w:r>
      <w:r w:rsidR="00595714" w:rsidRPr="0066103C">
        <w:t>Reading them in light of chap. 2 would suggest that they are the tw</w:t>
      </w:r>
      <w:r w:rsidR="006C5716" w:rsidRPr="0066103C">
        <w:t>o regimes on which</w:t>
      </w:r>
      <w:r w:rsidR="00595714" w:rsidRPr="0066103C">
        <w:t xml:space="preserve"> the stories </w:t>
      </w:r>
      <w:r w:rsidR="006C5716" w:rsidRPr="0066103C">
        <w:t xml:space="preserve">majored </w:t>
      </w:r>
      <w:r w:rsidR="00595714" w:rsidRPr="0066103C">
        <w:t>after Nebuchadnezzar, those of Belshazzar and Darius.</w:t>
      </w:r>
      <w:r w:rsidR="00595714" w:rsidRPr="0066103C">
        <w:rPr>
          <w:rStyle w:val="FootnoteReference"/>
        </w:rPr>
        <w:footnoteReference w:id="188"/>
      </w:r>
      <w:r w:rsidR="00595714" w:rsidRPr="0066103C">
        <w:t xml:space="preserve"> The description of the second creature with its voracious appetite then takes up the banquet theme of chap. 5, and the de</w:t>
      </w:r>
      <w:r w:rsidR="006C5716" w:rsidRPr="0066103C">
        <w:t xml:space="preserve">scription of the third as </w:t>
      </w:r>
      <w:r w:rsidR="00595714" w:rsidRPr="0066103C">
        <w:t>given domain follows that of the worldwide authority attributed to Darius in chap. 6.</w:t>
      </w:r>
      <w:r w:rsidR="00FA4097">
        <w:t xml:space="preserve"> </w:t>
      </w:r>
      <w:r w:rsidRPr="0066103C">
        <w:t>Porphyry understood them as Medo-Persia and Alexander’s Greek empire, the fourth creature then representing the Seleucid kingdom in particular.</w:t>
      </w:r>
      <w:r w:rsidR="00E5749B" w:rsidRPr="0066103C">
        <w:rPr>
          <w:rStyle w:val="FootnoteReference"/>
        </w:rPr>
        <w:footnoteReference w:id="189"/>
      </w:r>
      <w:r w:rsidRPr="0066103C">
        <w:t xml:space="preserve"> But Dan 7 sees the fourth empire as stronger and more violent </w:t>
      </w:r>
      <w:r w:rsidR="006C5716" w:rsidRPr="0066103C">
        <w:t xml:space="preserve">than the third: this </w:t>
      </w:r>
      <w:r w:rsidRPr="0066103C">
        <w:t xml:space="preserve">estimate of the Seleucids in relation to Alexander </w:t>
      </w:r>
      <w:r w:rsidR="006C5716" w:rsidRPr="0066103C">
        <w:t xml:space="preserve">is not the one </w:t>
      </w:r>
      <w:r w:rsidRPr="0066103C">
        <w:t>generally</w:t>
      </w:r>
      <w:r w:rsidR="006C5716" w:rsidRPr="0066103C">
        <w:t xml:space="preserve"> suggested by historians or the one</w:t>
      </w:r>
      <w:r w:rsidRPr="0066103C">
        <w:t xml:space="preserve"> indicated by 8:22; 11:3–4.</w:t>
      </w:r>
      <w:r w:rsidR="00E5749B" w:rsidRPr="0066103C">
        <w:rPr>
          <w:rStyle w:val="FootnoteReference"/>
        </w:rPr>
        <w:footnoteReference w:id="190"/>
      </w:r>
      <w:r w:rsidRPr="0066103C">
        <w:t xml:space="preserve"> Further, Dan 8 seems to see the Seleucid monarchy as part of the Greek empire.</w:t>
      </w:r>
      <w:r w:rsidR="00BB196E" w:rsidRPr="0066103C">
        <w:rPr>
          <w:rStyle w:val="FootnoteReference"/>
        </w:rPr>
        <w:footnoteReference w:id="191"/>
      </w:r>
      <w:r w:rsidRPr="0066103C">
        <w:t xml:space="preserve"> </w:t>
      </w:r>
    </w:p>
    <w:p w:rsidR="004F0A02" w:rsidRPr="0066103C" w:rsidRDefault="004F0A02" w:rsidP="004F0A02">
      <w:r w:rsidRPr="0066103C">
        <w:t>The “Syrian tradition” generally takes the intermediate empires to be Media and Persia, in line with th</w:t>
      </w:r>
      <w:r w:rsidR="00BB196E" w:rsidRPr="0066103C">
        <w:t xml:space="preserve">e traditional scheme; </w:t>
      </w:r>
      <w:r w:rsidRPr="0066103C">
        <w:t xml:space="preserve">so also nearly </w:t>
      </w:r>
      <w:r w:rsidR="00BB196E" w:rsidRPr="0066103C">
        <w:t xml:space="preserve">all critical scholars. </w:t>
      </w:r>
      <w:r w:rsidR="00FA4097">
        <w:t xml:space="preserve">Admittedly, </w:t>
      </w:r>
      <w:r w:rsidR="00BB196E" w:rsidRPr="0066103C">
        <w:t xml:space="preserve">Media and Persia are treated as </w:t>
      </w:r>
      <w:r w:rsidRPr="0066103C">
        <w:t>two par</w:t>
      </w:r>
      <w:r w:rsidR="00BB196E" w:rsidRPr="0066103C">
        <w:t>ts of one empire in chap. 8; compare</w:t>
      </w:r>
      <w:r w:rsidRPr="0066103C">
        <w:t xml:space="preserve"> the references to the [one] law of the Medo-Persian empire in 6:</w:t>
      </w:r>
      <w:r w:rsidR="00BB196E" w:rsidRPr="0066103C">
        <w:t>8, 12, 15 [9, 13, 16]</w:t>
      </w:r>
      <w:r w:rsidRPr="0066103C">
        <w:t xml:space="preserve"> and the prophecy that Belshazzar’s kingdom will be given to the Medes</w:t>
      </w:r>
      <w:r w:rsidR="00BB196E" w:rsidRPr="0066103C">
        <w:t xml:space="preserve"> and Persians in 5:28</w:t>
      </w:r>
      <w:r w:rsidRPr="0066103C">
        <w:t>. On the other hand, earlier chapters have portrayed the Babylonian empire giving way to rule by a Mede a</w:t>
      </w:r>
      <w:r w:rsidR="00BB196E" w:rsidRPr="0066103C">
        <w:t>nd then by a Persian (5:31; 6:28 [29</w:t>
      </w:r>
      <w:r w:rsidRPr="0066103C">
        <w:t>]; cf. 9:1; 10:1), an</w:t>
      </w:r>
      <w:r w:rsidR="00DB37AA" w:rsidRPr="0066103C">
        <w:t xml:space="preserve">d historically </w:t>
      </w:r>
      <w:r w:rsidR="00EF2BBD">
        <w:t>Cyrus’</w:t>
      </w:r>
      <w:r w:rsidR="00DB37AA" w:rsidRPr="0066103C">
        <w:t xml:space="preserve"> </w:t>
      </w:r>
      <w:r w:rsidR="00DB37AA" w:rsidRPr="0066103C">
        <w:lastRenderedPageBreak/>
        <w:t>Persian E</w:t>
      </w:r>
      <w:r w:rsidRPr="0066103C">
        <w:t xml:space="preserve">mpire possessed an authority that Darius’s Median rule did not (cf. 7:5–6). </w:t>
      </w:r>
      <w:r w:rsidR="00281C56">
        <w:t xml:space="preserve">Indeed, before </w:t>
      </w:r>
      <w:r w:rsidR="00EF2BBD">
        <w:t>Cyrus’</w:t>
      </w:r>
      <w:r w:rsidR="00281C56">
        <w:t xml:space="preserve"> time M</w:t>
      </w:r>
      <w:r w:rsidR="00CE165F" w:rsidRPr="0066103C">
        <w:t xml:space="preserve">edia had become </w:t>
      </w:r>
      <w:r w:rsidR="00CE165F" w:rsidRPr="0066103C">
        <w:rPr>
          <w:i/>
        </w:rPr>
        <w:t>the</w:t>
      </w:r>
      <w:r w:rsidR="00CE165F" w:rsidRPr="0066103C">
        <w:t xml:space="preserve"> power in the Middle East.</w:t>
      </w:r>
      <w:r w:rsidR="00CE165F" w:rsidRPr="0066103C">
        <w:rPr>
          <w:rStyle w:val="FootnoteReference"/>
        </w:rPr>
        <w:footnoteReference w:id="192"/>
      </w:r>
    </w:p>
    <w:p w:rsidR="004F0A02" w:rsidRPr="0066103C" w:rsidRDefault="004F0A02" w:rsidP="004F0A02">
      <w:r w:rsidRPr="0066103C">
        <w:t>T</w:t>
      </w:r>
      <w:r w:rsidR="00DB37AA" w:rsidRPr="0066103C">
        <w:t>here is little evidence to take into account</w:t>
      </w:r>
      <w:r w:rsidRPr="0066103C">
        <w:t xml:space="preserve"> in identifying the second and third kingdoms, and each interpretation gives a slightly artificial result. This reflects two f</w:t>
      </w:r>
      <w:r w:rsidR="00FA4097">
        <w:t>acts. First, Daniel is not ver</w:t>
      </w:r>
      <w:r w:rsidRPr="0066103C">
        <w:t xml:space="preserve">y interested in the second and third kingdoms, and perhaps had no opinion regarding their identity. Second, the four-empire scheme as a whole is more important than the identification of its parts. Dan 7 is applying a well-known scheme to a period </w:t>
      </w:r>
      <w:r w:rsidR="00200AC9">
        <w:t>that has to begin with the Babylonian period</w:t>
      </w:r>
      <w:r w:rsidRPr="0066103C">
        <w:t xml:space="preserve"> and end with the Antiochene crisis. As is the case with Paul’s horticultural analogy in Rom 11 (grafting branches out of a tre</w:t>
      </w:r>
      <w:r w:rsidR="00595714" w:rsidRPr="0066103C">
        <w:t>e and then grafting them back</w:t>
      </w:r>
      <w:r w:rsidRPr="0066103C">
        <w:t>), utilizing the four-empire scheme involves squeezing historical and theological material into a pre-existent mold</w:t>
      </w:r>
      <w:r w:rsidR="00595714" w:rsidRPr="0066103C">
        <w:t xml:space="preserve"> that was not designed for it. W</w:t>
      </w:r>
      <w:r w:rsidRPr="0066103C">
        <w:t xml:space="preserve">e should not therefore allegorize the details. The phenomenon </w:t>
      </w:r>
      <w:r w:rsidR="00DB37AA" w:rsidRPr="0066103C">
        <w:t>will recur</w:t>
      </w:r>
      <w:r w:rsidRPr="0066103C">
        <w:t xml:space="preserve"> with the 490-year scheme of Dan 9.</w:t>
      </w:r>
    </w:p>
    <w:p w:rsidR="004F0A02" w:rsidRPr="0066103C" w:rsidRDefault="004F0A02" w:rsidP="004F0A02">
      <w:r w:rsidRPr="004C6F68">
        <w:rPr>
          <w:b/>
        </w:rPr>
        <w:t>18</w:t>
      </w:r>
      <w:r w:rsidR="00703A28" w:rsidRPr="004C6F68">
        <w:rPr>
          <w:b/>
        </w:rPr>
        <w:t xml:space="preserve"> </w:t>
      </w:r>
      <w:r w:rsidR="00703A28" w:rsidRPr="0066103C">
        <w:t>T</w:t>
      </w:r>
      <w:r w:rsidR="00FB2D4D" w:rsidRPr="0066103C">
        <w:t>hose</w:t>
      </w:r>
      <w:r w:rsidR="00703A28" w:rsidRPr="0066103C">
        <w:t xml:space="preserve"> who </w:t>
      </w:r>
      <w:r w:rsidRPr="0066103C">
        <w:t>will “take over the kingship” (מלכותא</w:t>
      </w:r>
      <w:r w:rsidR="00FA4097">
        <w:t xml:space="preserve"> </w:t>
      </w:r>
      <w:r w:rsidRPr="0066103C">
        <w:t xml:space="preserve"> קבל</w:t>
      </w:r>
      <w:r w:rsidR="00703A28" w:rsidRPr="0066103C">
        <w:t xml:space="preserve">, </w:t>
      </w:r>
      <w:r w:rsidRPr="0066103C">
        <w:t xml:space="preserve">the ordinary term for succeeding to the throne (cf. </w:t>
      </w:r>
      <w:r w:rsidR="00550981" w:rsidRPr="0066103C">
        <w:t>5:31 [6:1</w:t>
      </w:r>
      <w:r w:rsidRPr="0066103C">
        <w:t>])</w:t>
      </w:r>
      <w:r w:rsidR="00703A28" w:rsidRPr="0066103C">
        <w:t>, when the regular sequence of kingdoms has run its course,</w:t>
      </w:r>
      <w:r w:rsidRPr="0066103C">
        <w:t xml:space="preserve"> wil</w:t>
      </w:r>
      <w:r w:rsidR="00550981" w:rsidRPr="0066103C">
        <w:t>l take over the same kingship held by the four preceding regimes</w:t>
      </w:r>
      <w:r w:rsidRPr="0066103C">
        <w:t xml:space="preserve">. There is only one kingship, and this kingship which succeeds </w:t>
      </w:r>
      <w:r w:rsidR="00550981" w:rsidRPr="0066103C">
        <w:t xml:space="preserve">those </w:t>
      </w:r>
      <w:r w:rsidRPr="0066103C">
        <w:t>other kingships is presumably, like them, a rule exercised in the world, as in earlier chapters. Yet it is a rule derived from heaven. As much has been implied by the earlier symbolism of the humanlike figure coming among the clouds of the heavens, but it is now explicit in the description of those who exercise this rule, עליונין קדישי (“holy ones on high”: see n. 18.a).</w:t>
      </w:r>
    </w:p>
    <w:p w:rsidR="00703A28" w:rsidRPr="0066103C" w:rsidRDefault="00703A28" w:rsidP="004F0A02">
      <w:r w:rsidRPr="0066103C">
        <w:t>This</w:t>
      </w:r>
      <w:r w:rsidR="004F0A02" w:rsidRPr="0066103C">
        <w:t xml:space="preserve"> phrase appears only in Dan 7:18, 22, 25, 28, though a near-equivalent in Hebrew, </w:t>
      </w:r>
    </w:p>
    <w:p w:rsidR="004F0A02" w:rsidRPr="0066103C" w:rsidRDefault="004F0A02" w:rsidP="00703A28">
      <w:pPr>
        <w:ind w:firstLine="0"/>
      </w:pPr>
      <w:r w:rsidRPr="0066103C">
        <w:t xml:space="preserve">עליון </w:t>
      </w:r>
      <w:r w:rsidR="00FB2D4D" w:rsidRPr="0066103C">
        <w:rPr>
          <w:rFonts w:ascii="Arial" w:hAnsi="Arial" w:cs="Arial"/>
        </w:rPr>
        <w:t>קדושי</w:t>
      </w:r>
      <w:r w:rsidR="00FB2D4D" w:rsidRPr="0066103C">
        <w:t xml:space="preserve"> </w:t>
      </w:r>
      <w:r w:rsidRPr="0066103C">
        <w:t xml:space="preserve">“holy ones of the </w:t>
      </w:r>
      <w:r w:rsidR="0054365E" w:rsidRPr="0066103C">
        <w:t>One On High</w:t>
      </w:r>
      <w:r w:rsidRPr="0066103C">
        <w:t>” occurs in CD 20.8.</w:t>
      </w:r>
      <w:r w:rsidR="00FB2D4D" w:rsidRPr="0066103C">
        <w:t xml:space="preserve"> </w:t>
      </w:r>
      <w:r w:rsidR="00522D97" w:rsidRPr="0066103C">
        <w:t xml:space="preserve">The word </w:t>
      </w:r>
      <w:r w:rsidR="005804FB" w:rsidRPr="0066103C">
        <w:t xml:space="preserve">conventionally translated </w:t>
      </w:r>
      <w:r w:rsidR="005804FB" w:rsidRPr="0066103C">
        <w:rPr>
          <w:i/>
        </w:rPr>
        <w:t>holy</w:t>
      </w:r>
      <w:r w:rsidR="005804FB" w:rsidRPr="0066103C">
        <w:t>,</w:t>
      </w:r>
      <w:r w:rsidR="00945C8C">
        <w:t xml:space="preserve"> </w:t>
      </w:r>
      <w:r w:rsidRPr="0066103C">
        <w:t xml:space="preserve"> קדוש</w:t>
      </w:r>
      <w:r w:rsidR="005804FB" w:rsidRPr="0066103C">
        <w:t xml:space="preserve">, is not </w:t>
      </w:r>
      <w:r w:rsidRPr="0066103C">
        <w:t>a moral term; it denotes the distinctive, absolute, transcendence of deity</w:t>
      </w:r>
      <w:r w:rsidR="005804FB" w:rsidRPr="0066103C">
        <w:t xml:space="preserve">, though because Yahweh is </w:t>
      </w:r>
      <w:r w:rsidR="005804FB" w:rsidRPr="0066103C">
        <w:rPr>
          <w:i/>
        </w:rPr>
        <w:t xml:space="preserve">the </w:t>
      </w:r>
      <w:r w:rsidR="005804FB" w:rsidRPr="0066103C">
        <w:t xml:space="preserve">holy one and Yahweh is centrally characterized by moral qualities such as faithfulness and compassion, the word </w:t>
      </w:r>
      <w:r w:rsidR="005804FB" w:rsidRPr="0066103C">
        <w:rPr>
          <w:i/>
        </w:rPr>
        <w:t xml:space="preserve">holy </w:t>
      </w:r>
      <w:r w:rsidR="005804FB" w:rsidRPr="0066103C">
        <w:t>comes to have moral connotations. B</w:t>
      </w:r>
      <w:r w:rsidRPr="0066103C">
        <w:t xml:space="preserve">y extension, the term </w:t>
      </w:r>
      <w:r w:rsidR="005804FB" w:rsidRPr="0066103C">
        <w:rPr>
          <w:i/>
        </w:rPr>
        <w:t xml:space="preserve">holy </w:t>
      </w:r>
      <w:r w:rsidRPr="0066103C">
        <w:t>applies to other supernatural beings, to earthly entities asso</w:t>
      </w:r>
      <w:r w:rsidR="005804FB" w:rsidRPr="0066103C">
        <w:t>ciated with deity such as sanctuarie</w:t>
      </w:r>
      <w:r w:rsidRPr="0066103C">
        <w:t>s and their personnel, and to Israel as the people d</w:t>
      </w:r>
      <w:r w:rsidR="005804FB" w:rsidRPr="0066103C">
        <w:t>istinctively set apart by God. Further, t</w:t>
      </w:r>
      <w:r w:rsidRPr="0066103C">
        <w:t>he status of being</w:t>
      </w:r>
      <w:r w:rsidR="005549B2">
        <w:t xml:space="preserve"> </w:t>
      </w:r>
      <w:r w:rsidR="005804FB" w:rsidRPr="0066103C">
        <w:t xml:space="preserve"> </w:t>
      </w:r>
      <w:r w:rsidRPr="0066103C">
        <w:t xml:space="preserve"> קדוש</w:t>
      </w:r>
      <w:r w:rsidR="005549B2">
        <w:t xml:space="preserve"> </w:t>
      </w:r>
      <w:r w:rsidR="005804FB" w:rsidRPr="0066103C">
        <w:t xml:space="preserve">implies a commitment </w:t>
      </w:r>
      <w:r w:rsidRPr="0066103C">
        <w:t>to be</w:t>
      </w:r>
      <w:r w:rsidR="005549B2">
        <w:t xml:space="preserve"> </w:t>
      </w:r>
      <w:r w:rsidR="005804FB" w:rsidRPr="0066103C">
        <w:t xml:space="preserve"> </w:t>
      </w:r>
      <w:r w:rsidRPr="0066103C">
        <w:t xml:space="preserve"> קדוש in the way one</w:t>
      </w:r>
      <w:r w:rsidR="005804FB" w:rsidRPr="0066103C">
        <w:t xml:space="preserve"> lives. So the Israelites </w:t>
      </w:r>
      <w:r w:rsidR="005804FB" w:rsidRPr="0066103C">
        <w:rPr>
          <w:i/>
        </w:rPr>
        <w:t xml:space="preserve">were </w:t>
      </w:r>
      <w:r w:rsidR="005804FB" w:rsidRPr="0066103C">
        <w:t xml:space="preserve">holy people by virtue of being set apart by God; but </w:t>
      </w:r>
      <w:r w:rsidR="00522D97" w:rsidRPr="0066103C">
        <w:t xml:space="preserve">in addition </w:t>
      </w:r>
      <w:r w:rsidRPr="0066103C">
        <w:t>there w</w:t>
      </w:r>
      <w:r w:rsidR="005804FB" w:rsidRPr="0066103C">
        <w:t xml:space="preserve">ould be people </w:t>
      </w:r>
      <w:r w:rsidR="00522D97" w:rsidRPr="0066103C">
        <w:t xml:space="preserve">within Israel </w:t>
      </w:r>
      <w:r w:rsidR="005804FB" w:rsidRPr="0066103C">
        <w:t>who</w:t>
      </w:r>
      <w:r w:rsidRPr="0066103C">
        <w:t xml:space="preserve"> were</w:t>
      </w:r>
      <w:r w:rsidR="005804FB" w:rsidRPr="0066103C">
        <w:t xml:space="preserve"> </w:t>
      </w:r>
      <w:r w:rsidRPr="0066103C">
        <w:t xml:space="preserve">קדושים </w:t>
      </w:r>
      <w:r w:rsidR="005804FB" w:rsidRPr="0066103C">
        <w:t xml:space="preserve">in the sense that they had accepted this </w:t>
      </w:r>
      <w:r w:rsidR="00522D97" w:rsidRPr="0066103C">
        <w:t>commitment,</w:t>
      </w:r>
      <w:r w:rsidR="005804FB" w:rsidRPr="0066103C">
        <w:t xml:space="preserve"> </w:t>
      </w:r>
      <w:r w:rsidRPr="0066103C">
        <w:t xml:space="preserve">and others who </w:t>
      </w:r>
      <w:r w:rsidR="005804FB" w:rsidRPr="0066103C">
        <w:t xml:space="preserve">had not and </w:t>
      </w:r>
      <w:r w:rsidRPr="0066103C">
        <w:t xml:space="preserve">were not. </w:t>
      </w:r>
      <w:r w:rsidR="005804FB" w:rsidRPr="0066103C">
        <w:t xml:space="preserve">In principle, then, </w:t>
      </w:r>
      <w:r w:rsidRPr="0066103C">
        <w:t xml:space="preserve">BA קדישין could denote supernatural beings, or </w:t>
      </w:r>
      <w:r w:rsidR="005804FB" w:rsidRPr="0066103C">
        <w:t xml:space="preserve">the </w:t>
      </w:r>
      <w:r w:rsidRPr="0066103C">
        <w:t>Israel</w:t>
      </w:r>
      <w:r w:rsidR="005804FB" w:rsidRPr="0066103C">
        <w:t>ites</w:t>
      </w:r>
      <w:r w:rsidRPr="0066103C">
        <w:t xml:space="preserve"> as a whole, or people within Israel who were faithful to God, or a sacral group within Israel such as the priesthood.</w:t>
      </w:r>
    </w:p>
    <w:p w:rsidR="004F0A02" w:rsidRPr="0066103C" w:rsidRDefault="004F0A02" w:rsidP="004F0A02">
      <w:r w:rsidRPr="0066103C">
        <w:t>In the OT, קדושים most commonly denotes heavenly beings.</w:t>
      </w:r>
      <w:r w:rsidR="00754188" w:rsidRPr="0066103C">
        <w:rPr>
          <w:rStyle w:val="FootnoteReference"/>
        </w:rPr>
        <w:footnoteReference w:id="193"/>
      </w:r>
      <w:r w:rsidRPr="0066103C">
        <w:t xml:space="preserve"> This </w:t>
      </w:r>
      <w:r w:rsidR="00522D97" w:rsidRPr="0066103C">
        <w:t xml:space="preserve">reference </w:t>
      </w:r>
      <w:r w:rsidRPr="0066103C">
        <w:t>is clearest in Ps 89:</w:t>
      </w:r>
      <w:r w:rsidR="000C0C9F" w:rsidRPr="0066103C">
        <w:t>5, 7 [6, 8</w:t>
      </w:r>
      <w:r w:rsidRPr="0066103C">
        <w:t>]; Job 5:1; 15:15; see also Deut 33:2–3; Hos 12:1; Zech 14:5; Ps 16:3; Prov 9:10; 30:3. The usage is</w:t>
      </w:r>
      <w:r w:rsidR="000636AF" w:rsidRPr="0066103C">
        <w:t xml:space="preserve"> also common in other Jewish </w:t>
      </w:r>
      <w:r w:rsidRPr="0066103C">
        <w:t>writings (e</w:t>
      </w:r>
      <w:r w:rsidR="000C0C9F" w:rsidRPr="0066103C">
        <w:t xml:space="preserve">.g., </w:t>
      </w:r>
      <w:r w:rsidR="002A35EE">
        <w:t xml:space="preserve">Sirach </w:t>
      </w:r>
      <w:r w:rsidR="000C0C9F" w:rsidRPr="0066103C">
        <w:t>42:17; Wis</w:t>
      </w:r>
      <w:r w:rsidR="000636AF" w:rsidRPr="0066103C">
        <w:t>dom</w:t>
      </w:r>
      <w:r w:rsidR="000C0C9F" w:rsidRPr="0066103C">
        <w:t xml:space="preserve"> 10:10</w:t>
      </w:r>
      <w:r w:rsidR="000636AF" w:rsidRPr="0066103C">
        <w:t xml:space="preserve">; </w:t>
      </w:r>
      <w:r w:rsidR="000636AF" w:rsidRPr="0066103C">
        <w:rPr>
          <w:i/>
        </w:rPr>
        <w:t>Ju</w:t>
      </w:r>
      <w:r w:rsidR="00522D97" w:rsidRPr="0066103C">
        <w:rPr>
          <w:i/>
        </w:rPr>
        <w:t>bilees</w:t>
      </w:r>
      <w:r w:rsidRPr="0066103C">
        <w:t xml:space="preserve"> 17.11; </w:t>
      </w:r>
      <w:r w:rsidRPr="0066103C">
        <w:rPr>
          <w:i/>
        </w:rPr>
        <w:t>T. Levi</w:t>
      </w:r>
      <w:r w:rsidRPr="0066103C">
        <w:t xml:space="preserve"> 3.3; </w:t>
      </w:r>
      <w:r w:rsidRPr="0066103C">
        <w:rPr>
          <w:i/>
        </w:rPr>
        <w:t>1 Enoch</w:t>
      </w:r>
      <w:r w:rsidRPr="0066103C">
        <w:t xml:space="preserve"> 12.2; 14.23; 1QapGen 2.1; 1QM 15.14). In the OT, only in Ps 34:</w:t>
      </w:r>
      <w:r w:rsidR="000636AF" w:rsidRPr="0066103C">
        <w:t>9 [10</w:t>
      </w:r>
      <w:r w:rsidRPr="0066103C">
        <w:t>] does the noun</w:t>
      </w:r>
      <w:r w:rsidR="000636AF" w:rsidRPr="0066103C">
        <w:t xml:space="preserve"> </w:t>
      </w:r>
      <w:r w:rsidRPr="0066103C">
        <w:t>קדושים clearly re</w:t>
      </w:r>
      <w:r w:rsidR="00522D97" w:rsidRPr="0066103C">
        <w:t xml:space="preserve">fer to human beings (though </w:t>
      </w:r>
      <w:r w:rsidRPr="0066103C">
        <w:t xml:space="preserve">the adjective </w:t>
      </w:r>
      <w:r w:rsidR="00522D97" w:rsidRPr="0066103C">
        <w:t xml:space="preserve">has this reference </w:t>
      </w:r>
      <w:r w:rsidRPr="0066103C">
        <w:t>in Lev 1</w:t>
      </w:r>
      <w:r w:rsidR="000636AF" w:rsidRPr="0066103C">
        <w:t xml:space="preserve">9:2; Num 16:3). In other Jewish </w:t>
      </w:r>
      <w:r w:rsidR="00522D97" w:rsidRPr="0066103C">
        <w:t>writings that</w:t>
      </w:r>
      <w:r w:rsidRPr="0066103C">
        <w:t xml:space="preserve"> usage is more common (e.g., Tob 12:15; 1 Macc 1:46; </w:t>
      </w:r>
      <w:r w:rsidRPr="0066103C">
        <w:rPr>
          <w:i/>
        </w:rPr>
        <w:t>T. Levi</w:t>
      </w:r>
      <w:r w:rsidR="000636AF" w:rsidRPr="0066103C">
        <w:t xml:space="preserve"> 18.11, 14; </w:t>
      </w:r>
      <w:r w:rsidR="000636AF" w:rsidRPr="0066103C">
        <w:rPr>
          <w:i/>
        </w:rPr>
        <w:t>T. Issachar</w:t>
      </w:r>
      <w:r w:rsidRPr="0066103C">
        <w:t xml:space="preserve"> 5.4; </w:t>
      </w:r>
      <w:r w:rsidRPr="0066103C">
        <w:rPr>
          <w:i/>
        </w:rPr>
        <w:t>1 Enoch</w:t>
      </w:r>
      <w:r w:rsidRPr="0066103C">
        <w:t xml:space="preserve"> 93.6 [</w:t>
      </w:r>
      <w:r w:rsidRPr="0066103C">
        <w:rPr>
          <w:i/>
        </w:rPr>
        <w:t>OTP</w:t>
      </w:r>
      <w:r w:rsidRPr="0066103C">
        <w:t xml:space="preserve"> has a misprint here]; 1QM 3.4–5;</w:t>
      </w:r>
      <w:r w:rsidR="00522D97" w:rsidRPr="0066103C">
        <w:t xml:space="preserve"> 10.10). It</w:t>
      </w:r>
      <w:r w:rsidRPr="0066103C">
        <w:t xml:space="preserve"> can denote Israelites in general, the righteous on earth, or believers kept safe after death.</w:t>
      </w:r>
      <w:r w:rsidR="000636AF" w:rsidRPr="0066103C">
        <w:rPr>
          <w:rStyle w:val="FootnoteReference"/>
        </w:rPr>
        <w:footnoteReference w:id="194"/>
      </w:r>
    </w:p>
    <w:p w:rsidR="000636AF" w:rsidRPr="0066103C" w:rsidRDefault="00522D97" w:rsidP="004F0A02">
      <w:r w:rsidRPr="0066103C">
        <w:t xml:space="preserve">Many </w:t>
      </w:r>
      <w:r w:rsidR="004F0A02" w:rsidRPr="0066103C">
        <w:t>passages i</w:t>
      </w:r>
      <w:r w:rsidR="000636AF" w:rsidRPr="0066103C">
        <w:t xml:space="preserve">n the OT and in other Jewish </w:t>
      </w:r>
      <w:r w:rsidR="004F0A02" w:rsidRPr="0066103C">
        <w:t xml:space="preserve">writings are of uncertain reference. Some of this ambiguity may reflect a close association between </w:t>
      </w:r>
      <w:r w:rsidRPr="0066103C">
        <w:t>the earthly people of God and God’</w:t>
      </w:r>
      <w:r w:rsidR="004F0A02" w:rsidRPr="0066103C">
        <w:t xml:space="preserve">s servants in </w:t>
      </w:r>
      <w:r w:rsidRPr="0066103C">
        <w:t xml:space="preserve">the </w:t>
      </w:r>
      <w:r w:rsidR="004F0A02" w:rsidRPr="0066103C">
        <w:t>heaven</w:t>
      </w:r>
      <w:r w:rsidRPr="0066103C">
        <w:t>s</w:t>
      </w:r>
      <w:r w:rsidR="004F0A02" w:rsidRPr="0066103C">
        <w:t xml:space="preserve">. A suggestive passage is 1QM 12.8–9: “You, O God, are awesome in your kingly glory, and the congregation of your holy ones is among us for eternal help. We despise kings, we mock and scorn the </w:t>
      </w:r>
      <w:r w:rsidR="004F0A02" w:rsidRPr="0066103C">
        <w:lastRenderedPageBreak/>
        <w:t>warriors, for a holy one, the Lord, the glorious King is with us, a people of [עַם: but should it be pointed עִם, ‘with’?] holy w</w:t>
      </w:r>
      <w:r w:rsidR="00FF4F3A">
        <w:t>arriors, and an army of aide</w:t>
      </w:r>
      <w:r w:rsidR="004F0A02" w:rsidRPr="0066103C">
        <w:t>s is among our levy. The Mighty Warrior is in our congregation and the army of his spirits is w</w:t>
      </w:r>
      <w:r w:rsidR="000636AF" w:rsidRPr="0066103C">
        <w:t>ith our infantry and horsemen.”</w:t>
      </w:r>
      <w:r w:rsidR="00945C8C">
        <w:t xml:space="preserve"> </w:t>
      </w:r>
      <w:r w:rsidR="005549B2">
        <w:t>In Dan 7, then, g</w:t>
      </w:r>
      <w:r w:rsidR="004F0A02" w:rsidRPr="0066103C">
        <w:t>eneral Jewish usage would thus permit a reference either to supe</w:t>
      </w:r>
      <w:r w:rsidR="005549B2">
        <w:t>rnatural or to earthly beings</w:t>
      </w:r>
      <w:r w:rsidR="004F0A02" w:rsidRPr="0066103C">
        <w:t xml:space="preserve">. </w:t>
      </w:r>
    </w:p>
    <w:p w:rsidR="004F0A02" w:rsidRPr="0066103C" w:rsidRDefault="004F0A02" w:rsidP="004F0A02">
      <w:r w:rsidRPr="0066103C">
        <w:t xml:space="preserve">Whoever the holy ones are, the notion of their receiving permanent royal authority on earth is a new one in the OT, though not </w:t>
      </w:r>
      <w:r w:rsidR="000636AF" w:rsidRPr="0066103C">
        <w:t xml:space="preserve">one </w:t>
      </w:r>
      <w:r w:rsidRPr="0066103C">
        <w:t>without antecedents. Prophets envisage the world bowing down to Israel (e.g., Isa 14:2; 60:12), and this id</w:t>
      </w:r>
      <w:r w:rsidR="005549B2">
        <w:t xml:space="preserve">ea </w:t>
      </w:r>
      <w:r w:rsidR="000636AF" w:rsidRPr="0066103C">
        <w:t xml:space="preserve">appears in later Jewish </w:t>
      </w:r>
      <w:r w:rsidRPr="0066103C">
        <w:t>writings (cf. 1QM 1.5; 12.14–16 = 19.7–8). Wis</w:t>
      </w:r>
      <w:r w:rsidR="000636AF" w:rsidRPr="0066103C">
        <w:t>dom</w:t>
      </w:r>
      <w:r w:rsidRPr="0066103C">
        <w:t xml:space="preserve"> 3:8 speaks of the righteous ruling over nations after their death (cf. 5:6; 6:20–21). Supernatural beings rule individual nations according to Deut 32:8 </w:t>
      </w:r>
      <w:r w:rsidR="00CF1FF8" w:rsidRPr="00CF1FF8">
        <w:t xml:space="preserve">4QDeut, LXX </w:t>
      </w:r>
      <w:r w:rsidRPr="0066103C">
        <w:t>(cf. Ps 82), while 1QM 17.6–8 refers to the princely authority exercised by Michael, though this is an authority in the heavenly realm.</w:t>
      </w:r>
    </w:p>
    <w:p w:rsidR="004F0A02" w:rsidRPr="0066103C" w:rsidRDefault="004F0A02" w:rsidP="004F0A02">
      <w:r w:rsidRPr="0066103C">
        <w:t>Within Daniel itself,</w:t>
      </w:r>
      <w:r w:rsidR="000636AF" w:rsidRPr="0066103C">
        <w:t xml:space="preserve"> </w:t>
      </w:r>
      <w:r w:rsidRPr="0066103C">
        <w:t xml:space="preserve"> קדוש/קדיש regularly denotes </w:t>
      </w:r>
      <w:r w:rsidR="005549B2">
        <w:t>a heavenly being</w:t>
      </w:r>
      <w:r w:rsidRPr="0066103C">
        <w:t xml:space="preserve"> (seven times in chaps. 4–5, also 8:13; 8:24 corresponds to the use of the expression in </w:t>
      </w:r>
      <w:r w:rsidR="00D30879" w:rsidRPr="0066103C">
        <w:t>chap. 7 [esp.</w:t>
      </w:r>
      <w:r w:rsidRPr="0066103C">
        <w:t xml:space="preserve"> v 27] and its interpretation will follow from </w:t>
      </w:r>
      <w:r w:rsidR="000636AF" w:rsidRPr="0066103C">
        <w:t xml:space="preserve">the interpretation of </w:t>
      </w:r>
      <w:r w:rsidRPr="0066103C">
        <w:t>that</w:t>
      </w:r>
      <w:r w:rsidR="000636AF" w:rsidRPr="0066103C">
        <w:t xml:space="preserve"> occurrence</w:t>
      </w:r>
      <w:r w:rsidRPr="0066103C">
        <w:t>). Conversely, the book has so far made no allusion to Israel and its destiny. Dan 2:34, 44–45 envisages a kingdom set up by God; Israel is no</w:t>
      </w:r>
      <w:r w:rsidR="00DA61CF" w:rsidRPr="0066103C">
        <w:t xml:space="preserve">t referred to. And </w:t>
      </w:r>
      <w:r w:rsidRPr="0066103C">
        <w:t xml:space="preserve">to refer to the “saints,” </w:t>
      </w:r>
      <w:r w:rsidR="000636AF" w:rsidRPr="0066103C">
        <w:t xml:space="preserve">to </w:t>
      </w:r>
      <w:r w:rsidRPr="0066103C">
        <w:t xml:space="preserve">Israel or </w:t>
      </w:r>
      <w:r w:rsidR="000636AF" w:rsidRPr="0066103C">
        <w:t xml:space="preserve">to </w:t>
      </w:r>
      <w:r w:rsidR="00DA61CF" w:rsidRPr="0066103C">
        <w:t>the faithful within Israel, the author</w:t>
      </w:r>
      <w:r w:rsidRPr="0066103C">
        <w:t xml:space="preserve"> has available the term חסיד (</w:t>
      </w:r>
      <w:r w:rsidRPr="005549B2">
        <w:rPr>
          <w:i/>
        </w:rPr>
        <w:t>ḥasid</w:t>
      </w:r>
      <w:r w:rsidRPr="0066103C">
        <w:t>), familiar from the OT (Ps 30:</w:t>
      </w:r>
      <w:r w:rsidR="00DA61CF" w:rsidRPr="0066103C">
        <w:t>4 [5</w:t>
      </w:r>
      <w:r w:rsidRPr="0066103C">
        <w:t>]; 31:</w:t>
      </w:r>
      <w:r w:rsidR="00DA61CF" w:rsidRPr="0066103C">
        <w:t>23 [24</w:t>
      </w:r>
      <w:r w:rsidRPr="0066103C">
        <w:t xml:space="preserve">]) and in use in the second century (cf. 1 Macc 2:42; 7:13), or other expressions used in chaps. 10–12. On the other hand, references given above indicate that several documents (e.g., </w:t>
      </w:r>
      <w:r w:rsidRPr="0066103C">
        <w:rPr>
          <w:i/>
        </w:rPr>
        <w:t>1 Enoch</w:t>
      </w:r>
      <w:r w:rsidR="006F25E9" w:rsidRPr="0066103C">
        <w:t>, 1QM</w:t>
      </w:r>
      <w:r w:rsidRPr="0066103C">
        <w:t>) use terms such as קדישין to refer both to heavenly and to earthly beings, in different contexts. The use of קדושים to denote heavenly beings elsewhere</w:t>
      </w:r>
      <w:r w:rsidR="00DA61CF" w:rsidRPr="0066103C">
        <w:t xml:space="preserve"> in Daniel need not</w:t>
      </w:r>
      <w:r w:rsidRPr="0066103C">
        <w:t xml:space="preserve"> de</w:t>
      </w:r>
      <w:r w:rsidR="00945C8C">
        <w:t>termine its meaning in chap. 7 (</w:t>
      </w:r>
      <w:r w:rsidRPr="0066103C">
        <w:t xml:space="preserve"> קדש </w:t>
      </w:r>
      <w:r w:rsidR="00DA61CF" w:rsidRPr="0066103C">
        <w:rPr>
          <w:rFonts w:ascii="Arial" w:hAnsi="Arial" w:cs="Arial"/>
        </w:rPr>
        <w:t>עם</w:t>
      </w:r>
      <w:r w:rsidR="00DA61CF" w:rsidRPr="0066103C">
        <w:t xml:space="preserve"> </w:t>
      </w:r>
      <w:r w:rsidRPr="0066103C">
        <w:t>in 12:7 presumably denotes an earthly people).</w:t>
      </w:r>
    </w:p>
    <w:p w:rsidR="004F0A02" w:rsidRPr="0066103C" w:rsidRDefault="004F0A02" w:rsidP="004F0A02">
      <w:r w:rsidRPr="0066103C">
        <w:t>Similar considerations arise when we move on to consider the word that qualifies קדישין, עליונין (“[on] high”; see n. 18.a). עליון “high” refers to Israel (as</w:t>
      </w:r>
      <w:r w:rsidR="00DA61CF" w:rsidRPr="0066103C">
        <w:t xml:space="preserve"> </w:t>
      </w:r>
      <w:r w:rsidRPr="0066103C">
        <w:t xml:space="preserve"> קדש</w:t>
      </w:r>
      <w:r w:rsidR="00DA61CF" w:rsidRPr="0066103C">
        <w:t xml:space="preserve"> </w:t>
      </w:r>
      <w:r w:rsidR="00DA61CF" w:rsidRPr="0066103C">
        <w:rPr>
          <w:rFonts w:ascii="Arial" w:hAnsi="Arial" w:cs="Arial"/>
        </w:rPr>
        <w:t>עם</w:t>
      </w:r>
      <w:r w:rsidRPr="0066103C">
        <w:t xml:space="preserve">, “a holy people”) in comparison with other nations </w:t>
      </w:r>
      <w:r w:rsidR="00DA61CF" w:rsidRPr="0066103C">
        <w:t xml:space="preserve">in Deut 26:19; cf. 28:1; to the </w:t>
      </w:r>
      <w:r w:rsidRPr="0066103C">
        <w:t>human</w:t>
      </w:r>
      <w:r w:rsidR="00DA61CF" w:rsidRPr="0066103C">
        <w:t xml:space="preserve"> ruler in Ps 89:27 [28], compare</w:t>
      </w:r>
      <w:r w:rsidRPr="0066103C">
        <w:t xml:space="preserve"> perhaps עליון בני “sons of the </w:t>
      </w:r>
      <w:r w:rsidR="0054365E" w:rsidRPr="0066103C">
        <w:t>One On High</w:t>
      </w:r>
      <w:r w:rsidRPr="0066103C">
        <w:t>” in Ps 82:6; and to the temple in 1 Kgs 9:8. Plural</w:t>
      </w:r>
      <w:r w:rsidR="00DA61CF" w:rsidRPr="0066103C">
        <w:t xml:space="preserve"> </w:t>
      </w:r>
      <w:r w:rsidR="00596A7D">
        <w:t xml:space="preserve"> </w:t>
      </w:r>
      <w:r w:rsidRPr="0066103C">
        <w:t>ונים</w:t>
      </w:r>
      <w:r w:rsidR="00596A7D" w:rsidRPr="00596A7D">
        <w:t xml:space="preserve"> </w:t>
      </w:r>
      <w:r w:rsidR="00596A7D" w:rsidRPr="00596A7D">
        <w:rPr>
          <w:rFonts w:ascii="Arial" w:hAnsi="Arial" w:cs="Arial"/>
        </w:rPr>
        <w:t>עלי</w:t>
      </w:r>
      <w:r w:rsidRPr="0066103C">
        <w:t>, however, common</w:t>
      </w:r>
      <w:r w:rsidR="00522D97" w:rsidRPr="0066103C">
        <w:t>ly den</w:t>
      </w:r>
      <w:r w:rsidR="00A31BBD" w:rsidRPr="0066103C">
        <w:t>otes heavenly beings in later</w:t>
      </w:r>
      <w:r w:rsidR="00522D97" w:rsidRPr="0066103C">
        <w:t xml:space="preserve"> Hebrew</w:t>
      </w:r>
      <w:r w:rsidRPr="0066103C">
        <w:t xml:space="preserve"> (so </w:t>
      </w:r>
      <w:r w:rsidRPr="0066103C">
        <w:rPr>
          <w:i/>
        </w:rPr>
        <w:t>DTT</w:t>
      </w:r>
      <w:r w:rsidR="00DA61CF" w:rsidRPr="0066103C">
        <w:t xml:space="preserve">: e.g., </w:t>
      </w:r>
      <w:r w:rsidR="00DA61CF" w:rsidRPr="0066103C">
        <w:rPr>
          <w:i/>
        </w:rPr>
        <w:t xml:space="preserve">Lev </w:t>
      </w:r>
      <w:r w:rsidRPr="0066103C">
        <w:rPr>
          <w:i/>
        </w:rPr>
        <w:t>Rabbah</w:t>
      </w:r>
      <w:r w:rsidRPr="0066103C">
        <w:t xml:space="preserve"> 9).</w:t>
      </w:r>
    </w:p>
    <w:p w:rsidR="004F0A02" w:rsidRPr="0066103C" w:rsidRDefault="004F0A02" w:rsidP="004F0A02">
      <w:r w:rsidRPr="0066103C">
        <w:t xml:space="preserve">The compound expression could grammatically mean “the most holy ones among those on high” and thus designate a particular category of heavenly beings (cf. </w:t>
      </w:r>
      <w:r w:rsidRPr="0066103C">
        <w:rPr>
          <w:i/>
        </w:rPr>
        <w:t>1 Enoch</w:t>
      </w:r>
      <w:r w:rsidR="00DA61CF" w:rsidRPr="0066103C">
        <w:t xml:space="preserve"> 14.23), but</w:t>
      </w:r>
      <w:r w:rsidRPr="0066103C">
        <w:t xml:space="preserve"> Daniel gives no indication elsewhere of thinking in terms of various groups of heavenly beings. Nor is there specific reason to understand the phrase to denote Israel or the faithful within Israel </w:t>
      </w:r>
      <w:r w:rsidR="00596A7D">
        <w:t xml:space="preserve">when they have been </w:t>
      </w:r>
      <w:r w:rsidRPr="0066103C">
        <w:t xml:space="preserve">transformed into heavenly beings after death </w:t>
      </w:r>
      <w:r w:rsidR="00596A7D">
        <w:t>and join</w:t>
      </w:r>
      <w:r w:rsidRPr="0066103C">
        <w:t xml:space="preserve"> other supernatural beings, in rest in heaven or in ruling on earth, as in </w:t>
      </w:r>
      <w:r w:rsidRPr="0066103C">
        <w:rPr>
          <w:i/>
        </w:rPr>
        <w:t>1 Enoch</w:t>
      </w:r>
      <w:r w:rsidRPr="0066103C">
        <w:t xml:space="preserve"> 90.38 and </w:t>
      </w:r>
      <w:r w:rsidR="00DA61CF" w:rsidRPr="0066103C">
        <w:t xml:space="preserve">in </w:t>
      </w:r>
      <w:r w:rsidRPr="0066103C">
        <w:t xml:space="preserve">later apocalypses (cf. </w:t>
      </w:r>
      <w:r w:rsidRPr="0066103C">
        <w:rPr>
          <w:i/>
        </w:rPr>
        <w:t>1 Enoch</w:t>
      </w:r>
      <w:r w:rsidRPr="0066103C">
        <w:t xml:space="preserve"> 39; </w:t>
      </w:r>
      <w:r w:rsidRPr="0066103C">
        <w:rPr>
          <w:i/>
        </w:rPr>
        <w:t>T. Dan</w:t>
      </w:r>
      <w:r w:rsidR="00DA61CF" w:rsidRPr="0066103C">
        <w:t xml:space="preserve"> 5.11–12).</w:t>
      </w:r>
      <w:r w:rsidR="00DA61CF" w:rsidRPr="0066103C">
        <w:rPr>
          <w:rStyle w:val="FootnoteReference"/>
        </w:rPr>
        <w:footnoteReference w:id="195"/>
      </w:r>
    </w:p>
    <w:p w:rsidR="004F0A02" w:rsidRPr="0066103C" w:rsidRDefault="004F0A02" w:rsidP="004F0A02">
      <w:r w:rsidRPr="0066103C">
        <w:t>The conclusion we reach regarding the “holy ones on high” is similar to our conclusion regarding the humanlike figure that this expression explains: the phrase is allusive, though marginally more likely to denote celestial beings than earthly ones</w:t>
      </w:r>
      <w:r w:rsidR="00207680" w:rsidRPr="0066103C">
        <w:t>.</w:t>
      </w:r>
      <w:r w:rsidR="00207680" w:rsidRPr="0066103C">
        <w:rPr>
          <w:rStyle w:val="FootnoteReference"/>
        </w:rPr>
        <w:footnoteReference w:id="196"/>
      </w:r>
      <w:r w:rsidRPr="0066103C">
        <w:t xml:space="preserve"> Again, however, we need a caveat: whereas v 17 explicitly indicates that the four creatures stand for</w:t>
      </w:r>
      <w:r w:rsidR="00647F6B" w:rsidRPr="0066103C">
        <w:t xml:space="preserve"> four kings, v 18 does not explicit</w:t>
      </w:r>
      <w:r w:rsidRPr="0066103C">
        <w:t>ly say that the humanlike figure st</w:t>
      </w:r>
      <w:r w:rsidR="00647F6B" w:rsidRPr="0066103C">
        <w:t>ands for the holy ones on high</w:t>
      </w:r>
      <w:r w:rsidRPr="0066103C">
        <w:t>.</w:t>
      </w:r>
      <w:r w:rsidR="00647F6B" w:rsidRPr="0066103C">
        <w:rPr>
          <w:rStyle w:val="FootnoteReference"/>
        </w:rPr>
        <w:footnoteReference w:id="197"/>
      </w:r>
      <w:r w:rsidR="00A31BBD" w:rsidRPr="0066103C">
        <w:t xml:space="preserve"> Further</w:t>
      </w:r>
      <w:r w:rsidRPr="0066103C">
        <w:t xml:space="preserve"> the dichotomy between ea</w:t>
      </w:r>
      <w:r w:rsidR="00647F6B" w:rsidRPr="0066103C">
        <w:t>rthly and supernatural may be false</w:t>
      </w:r>
      <w:r w:rsidRPr="0066103C">
        <w:t xml:space="preserve">. </w:t>
      </w:r>
      <w:r w:rsidR="00647F6B" w:rsidRPr="0066103C">
        <w:t>In 1QM</w:t>
      </w:r>
      <w:r w:rsidRPr="0066103C">
        <w:t xml:space="preserve"> celestial beings </w:t>
      </w:r>
      <w:r w:rsidR="00647F6B" w:rsidRPr="0066103C">
        <w:t>and glorified Israelites mingle, which</w:t>
      </w:r>
      <w:r w:rsidRPr="0066103C">
        <w:t xml:space="preserve"> suggests that קדישין</w:t>
      </w:r>
      <w:r w:rsidR="00647F6B" w:rsidRPr="0066103C">
        <w:t xml:space="preserve"> in Dan 7 could embrace both</w:t>
      </w:r>
      <w:r w:rsidRPr="0066103C">
        <w:t>.</w:t>
      </w:r>
      <w:r w:rsidR="00647F6B" w:rsidRPr="0066103C">
        <w:rPr>
          <w:rStyle w:val="FootnoteReference"/>
        </w:rPr>
        <w:footnoteReference w:id="198"/>
      </w:r>
      <w:r w:rsidRPr="0066103C">
        <w:t xml:space="preserve"> </w:t>
      </w:r>
      <w:r w:rsidR="00647F6B" w:rsidRPr="0066103C">
        <w:t xml:space="preserve">Admittedly, </w:t>
      </w:r>
      <w:r w:rsidRPr="0066103C">
        <w:t xml:space="preserve">the double reference is rarer than either of the </w:t>
      </w:r>
      <w:r w:rsidRPr="0066103C">
        <w:lastRenderedPageBreak/>
        <w:t xml:space="preserve">individual references and </w:t>
      </w:r>
      <w:r w:rsidR="00647F6B" w:rsidRPr="0066103C">
        <w:t>may be thought to have</w:t>
      </w:r>
      <w:r w:rsidRPr="0066103C">
        <w:t xml:space="preserve"> the advantage of neither, and if the heirs of God’s kingdom are to be a body that includes both celestial beings and faithful Israel</w:t>
      </w:r>
      <w:r w:rsidR="00647F6B" w:rsidRPr="0066103C">
        <w:t>ites</w:t>
      </w:r>
      <w:r w:rsidRPr="0066103C">
        <w:t xml:space="preserve">, this </w:t>
      </w:r>
      <w:r w:rsidR="00A31BBD" w:rsidRPr="0066103C">
        <w:t xml:space="preserve">point </w:t>
      </w:r>
      <w:r w:rsidRPr="0066103C">
        <w:t>ought to be said somewhere clearly.</w:t>
      </w:r>
      <w:r w:rsidR="00647F6B" w:rsidRPr="0066103C">
        <w:rPr>
          <w:rStyle w:val="FootnoteReference"/>
        </w:rPr>
        <w:footnoteReference w:id="199"/>
      </w:r>
      <w:r w:rsidRPr="0066103C">
        <w:t xml:space="preserve"> But the trouble with Dan 7 is that it does not say anything unequivocally about the </w:t>
      </w:r>
      <w:r w:rsidR="00647F6B" w:rsidRPr="0066103C">
        <w:t>holy ones’ identity: it is on this account that</w:t>
      </w:r>
      <w:r w:rsidRPr="0066103C">
        <w:t xml:space="preserve"> there is a scholarly argument over the expression. As is the case with the humanlike figure, Dan 7 is too allusive to enable us to decide with certainty whether the holy ones are celestial beings, earthly beings, or both.</w:t>
      </w:r>
    </w:p>
    <w:p w:rsidR="004F0A02" w:rsidRPr="0066103C" w:rsidRDefault="00584D66" w:rsidP="004F0A02">
      <w:r w:rsidRPr="0066103C">
        <w:t>The effect</w:t>
      </w:r>
      <w:r w:rsidR="00A31BBD" w:rsidRPr="0066103C">
        <w:t xml:space="preserve"> is at least to make </w:t>
      </w:r>
      <w:r w:rsidR="004F0A02" w:rsidRPr="0066103C">
        <w:t>clear that the vision does not imply that a supernatural people quite separate from Isra</w:t>
      </w:r>
      <w:r w:rsidR="00A31BBD" w:rsidRPr="0066103C">
        <w:t>el is to rule the world, an</w:t>
      </w:r>
      <w:r w:rsidRPr="0066103C">
        <w:t xml:space="preserve"> </w:t>
      </w:r>
      <w:r w:rsidR="00A31BBD" w:rsidRPr="0066103C">
        <w:t xml:space="preserve">expectation that </w:t>
      </w:r>
      <w:r w:rsidRPr="0066103C">
        <w:t xml:space="preserve">might </w:t>
      </w:r>
      <w:r w:rsidR="00A31BBD" w:rsidRPr="0066103C">
        <w:t>not be an irrelevant one</w:t>
      </w:r>
      <w:r w:rsidR="004F0A02" w:rsidRPr="0066103C">
        <w:t>:</w:t>
      </w:r>
      <w:r w:rsidRPr="0066103C">
        <w:rPr>
          <w:rStyle w:val="FootnoteReference"/>
        </w:rPr>
        <w:footnoteReference w:id="200"/>
      </w:r>
      <w:r w:rsidR="004F0A02" w:rsidRPr="0066103C">
        <w:t xml:space="preserve"> it is an intelligible answer to questions about theodicy raised by the Antiochene crisis. But neither does the vision simply promise that the earthly Israel to which visionary and audience belong is to rule the world: that </w:t>
      </w:r>
      <w:r w:rsidR="00A31BBD" w:rsidRPr="0066103C">
        <w:t xml:space="preserve">understanding </w:t>
      </w:r>
      <w:r w:rsidR="004F0A02" w:rsidRPr="0066103C">
        <w:t>underplay</w:t>
      </w:r>
      <w:r w:rsidR="00A31BBD" w:rsidRPr="0066103C">
        <w:t>s</w:t>
      </w:r>
      <w:r w:rsidR="004F0A02" w:rsidRPr="0066103C">
        <w:t xml:space="preserve"> the supernatural overtones of “holy ones on high.” If v 18 refers to Israel at all, it is </w:t>
      </w:r>
      <w:r w:rsidRPr="0066103C">
        <w:t xml:space="preserve">to </w:t>
      </w:r>
      <w:r w:rsidR="004F0A02" w:rsidRPr="0066103C">
        <w:t>Israel as a supernatural people. The vision hardly suggests a purely this-worldly, historical victory of a purely this-worldly, historical Israel over its purely this-worldly, historical enemies. Its hope is based on the fact that the attacks of Antiochus have as their object more than a merely earthly people. God’s own people, purpose, and authority are involved. He will see that a more-than-earthly victory is achieved in a situation where there can be no earthly hope. But the vision leaves unclear whether the holy ones who are destined to rule are Israel’s celestial protagonists, or their protagonists mingling among Israel, or Israelites who are dead but glorified, or living Israelites viewed as having supernatural significance now. Perhaps the visionary did not know.</w:t>
      </w:r>
    </w:p>
    <w:p w:rsidR="004F0A02" w:rsidRPr="0066103C" w:rsidRDefault="004F0A02" w:rsidP="004F0A02">
      <w:r w:rsidRPr="0066103C">
        <w:t>Subsequent verses ask for and receive clarification on aspects of the outline interpretat</w:t>
      </w:r>
      <w:r w:rsidR="00A31BBD" w:rsidRPr="0066103C">
        <w:t xml:space="preserve">ion in vv 17–18, but </w:t>
      </w:r>
      <w:r w:rsidRPr="0066103C">
        <w:t>v 17 is elaborated</w:t>
      </w:r>
      <w:r w:rsidR="00A31BBD" w:rsidRPr="0066103C">
        <w:t xml:space="preserve"> more than v 18</w:t>
      </w:r>
      <w:r w:rsidRPr="0066103C">
        <w:t xml:space="preserve">. In focusing our attention on the clarification of v 18, </w:t>
      </w:r>
      <w:r w:rsidR="00A31BBD" w:rsidRPr="0066103C">
        <w:t xml:space="preserve">we divert from the vision’s </w:t>
      </w:r>
      <w:r w:rsidRPr="0066103C">
        <w:t>agenda.</w:t>
      </w:r>
    </w:p>
    <w:p w:rsidR="00B16FF9" w:rsidRPr="0066103C" w:rsidRDefault="004F0A02" w:rsidP="004F0A02">
      <w:r w:rsidRPr="004C6F68">
        <w:rPr>
          <w:b/>
        </w:rPr>
        <w:t>19–22</w:t>
      </w:r>
      <w:r w:rsidRPr="0066103C">
        <w:t xml:space="preserve"> The recapitulated</w:t>
      </w:r>
      <w:r w:rsidR="00D669D1" w:rsidRPr="0066103C">
        <w:t xml:space="preserve"> description of the fourth creature</w:t>
      </w:r>
      <w:r w:rsidRPr="0066103C">
        <w:t xml:space="preserve"> in vv 19–20 adds that it had bronze claws, like the Babylonian </w:t>
      </w:r>
      <w:r w:rsidRPr="0066103C">
        <w:rPr>
          <w:i/>
        </w:rPr>
        <w:t>sirussu</w:t>
      </w:r>
      <w:r w:rsidRPr="0066103C">
        <w:t xml:space="preserve">, and that the small horn eventually looked bigger than its companions. </w:t>
      </w:r>
      <w:r w:rsidR="00616570">
        <w:t>In vv. 21-22, a</w:t>
      </w:r>
      <w:r w:rsidRPr="0066103C">
        <w:t xml:space="preserve"> more significant el</w:t>
      </w:r>
      <w:r w:rsidR="00616570">
        <w:t>aboration of vv 9–14</w:t>
      </w:r>
      <w:r w:rsidRPr="0066103C">
        <w:t xml:space="preserve"> is signaled </w:t>
      </w:r>
      <w:r w:rsidR="00367F0D" w:rsidRPr="0066103C">
        <w:t>by the return to the report of the</w:t>
      </w:r>
      <w:r w:rsidRPr="0066103C">
        <w:t xml:space="preserve"> symbolic vision, with the resumptive</w:t>
      </w:r>
      <w:r w:rsidR="00367F0D" w:rsidRPr="0066103C">
        <w:t xml:space="preserve">  </w:t>
      </w:r>
      <w:r w:rsidRPr="0066103C">
        <w:t xml:space="preserve">הוית </w:t>
      </w:r>
      <w:r w:rsidR="00367F0D" w:rsidRPr="0066103C">
        <w:rPr>
          <w:rFonts w:ascii="Arial" w:hAnsi="Arial" w:cs="Arial"/>
        </w:rPr>
        <w:t>חזה</w:t>
      </w:r>
      <w:r w:rsidR="00367F0D" w:rsidRPr="0066103C">
        <w:t xml:space="preserve">  </w:t>
      </w:r>
      <w:r w:rsidRPr="0066103C">
        <w:t xml:space="preserve">“I watched.” The wickedness of the small horn becomes explicit. </w:t>
      </w:r>
      <w:r w:rsidR="00DA2D13" w:rsidRPr="0066103C">
        <w:t>C</w:t>
      </w:r>
      <w:r w:rsidR="00367F0D" w:rsidRPr="0066103C">
        <w:t xml:space="preserve">an the small horn </w:t>
      </w:r>
      <w:r w:rsidR="00DA2D13" w:rsidRPr="0066103C">
        <w:t xml:space="preserve">really </w:t>
      </w:r>
      <w:r w:rsidR="00367F0D" w:rsidRPr="0066103C">
        <w:t>be described as</w:t>
      </w:r>
      <w:r w:rsidRPr="0066103C">
        <w:t xml:space="preserve"> attacking </w:t>
      </w:r>
      <w:r w:rsidR="00367F0D" w:rsidRPr="0066103C">
        <w:t xml:space="preserve">and overcoming </w:t>
      </w:r>
      <w:r w:rsidR="00DA2D13" w:rsidRPr="0066103C">
        <w:t xml:space="preserve">the holy ones if they are </w:t>
      </w:r>
      <w:r w:rsidR="00367F0D" w:rsidRPr="0066103C">
        <w:t>celestial beings?</w:t>
      </w:r>
      <w:r w:rsidR="00367F0D" w:rsidRPr="0066103C">
        <w:rPr>
          <w:rStyle w:val="FootnoteReference"/>
        </w:rPr>
        <w:footnoteReference w:id="201"/>
      </w:r>
      <w:r w:rsidR="00616570">
        <w:t xml:space="preserve"> Yet t</w:t>
      </w:r>
      <w:r w:rsidRPr="0066103C">
        <w:t xml:space="preserve">his </w:t>
      </w:r>
      <w:r w:rsidR="00367F0D" w:rsidRPr="0066103C">
        <w:t>possibility is</w:t>
      </w:r>
      <w:r w:rsidRPr="0066103C">
        <w:t xml:space="preserve"> in keeping with 8:10–12, </w:t>
      </w:r>
      <w:r w:rsidR="00367F0D" w:rsidRPr="0066103C">
        <w:t>24 (cf. earlier Isa 14:12–15), and t</w:t>
      </w:r>
      <w:r w:rsidRPr="0066103C">
        <w:t>he war imagery, not least in relation to celestial beings, is developed further in chaps. 10–12.</w:t>
      </w:r>
      <w:r w:rsidR="00DA2D13" w:rsidRPr="0066103C">
        <w:t xml:space="preserve"> </w:t>
      </w:r>
      <w:r w:rsidR="00B16FF9" w:rsidRPr="0066103C">
        <w:t>Normally supernatural forces protected the temple; Antiochus’s violation of it implied that he had overwhelmed them.</w:t>
      </w:r>
      <w:r w:rsidR="00B16FF9" w:rsidRPr="0066103C">
        <w:rPr>
          <w:rStyle w:val="FootnoteReference"/>
        </w:rPr>
        <w:footnoteReference w:id="202"/>
      </w:r>
    </w:p>
    <w:p w:rsidR="004F0A02" w:rsidRPr="0066103C" w:rsidRDefault="004F0A02" w:rsidP="004F0A02">
      <w:r w:rsidRPr="007834AB">
        <w:rPr>
          <w:b/>
        </w:rPr>
        <w:t>23–25</w:t>
      </w:r>
      <w:r w:rsidRPr="0066103C">
        <w:t xml:space="preserve"> The further interpretation in vv 23–27 again largely repeats motifs from vv 7–14, 17–18, and 19–22. We cannot with certainty identify the ten kings arising from the fourth kingship, or the three who are overthrown. On the assumption that the chapter is fundamentally a unity (see </w:t>
      </w:r>
      <w:r w:rsidRPr="0066103C">
        <w:rPr>
          <w:i/>
        </w:rPr>
        <w:t>Structure</w:t>
      </w:r>
      <w:r w:rsidRPr="0066103C">
        <w:t>), the ten must be predecessors of the king symbolized by the small horn, and the three must be among th</w:t>
      </w:r>
      <w:r w:rsidR="00DA2D13" w:rsidRPr="0066103C">
        <w:t>e ten, not additional to them</w:t>
      </w:r>
      <w:r w:rsidRPr="0066103C">
        <w:t xml:space="preserve"> (cf. vv 7–8, 20). These assumptions exclude a number of theories. Ten might well be a round number that should not be pressed; three look</w:t>
      </w:r>
      <w:r w:rsidR="00DA2D13" w:rsidRPr="0066103C">
        <w:t>s a more precise figure. The person</w:t>
      </w:r>
      <w:r w:rsidRPr="0066103C">
        <w:t xml:space="preserve"> responsible for overthrowing them seems to be Antiochus (see on v 17). We cannot press the</w:t>
      </w:r>
      <w:r w:rsidR="00367F0D" w:rsidRPr="0066103C">
        <w:t xml:space="preserve"> symbolism of vv 7–8 to signify</w:t>
      </w:r>
      <w:r w:rsidRPr="0066103C">
        <w:t xml:space="preserve"> that the ten kings must be contemporaries, on the basis that the small horn appears among the ten horns as if they had grown simultaneously, any more than we can press the symbolism of chap. 2 to indicate that its four empires were contemporary, on the basis that the four metals appear simultaneously.</w:t>
      </w:r>
    </w:p>
    <w:p w:rsidR="004F0A02" w:rsidRPr="0066103C" w:rsidRDefault="004F0A02" w:rsidP="004F0A02">
      <w:r w:rsidRPr="0066103C">
        <w:lastRenderedPageBreak/>
        <w:t xml:space="preserve">Various rulers might be seen as “uprooted” (v 8), “fallen” (v 20), and “laid low” </w:t>
      </w:r>
      <w:r w:rsidR="00616570">
        <w:t xml:space="preserve">(v 24) </w:t>
      </w:r>
      <w:r w:rsidRPr="0066103C">
        <w:t>before Antiochus IV, inclu</w:t>
      </w:r>
      <w:r w:rsidR="00616570">
        <w:t>ding a number of foreign rulers</w:t>
      </w:r>
      <w:r w:rsidRPr="0066103C">
        <w:t>, but v 8 seems to point to people who can be seen as Antiochus’s predecessors. Among these, th</w:t>
      </w:r>
      <w:r w:rsidR="00616570">
        <w:t>e following have been suggested.</w:t>
      </w:r>
      <w:r w:rsidR="00BF4913" w:rsidRPr="0066103C">
        <w:rPr>
          <w:rStyle w:val="FootnoteReference"/>
        </w:rPr>
        <w:footnoteReference w:id="203"/>
      </w:r>
    </w:p>
    <w:p w:rsidR="004F0A02" w:rsidRPr="0066103C" w:rsidRDefault="004F0A02" w:rsidP="004F0A02">
      <w:r w:rsidRPr="0066103C">
        <w:t>a. His fat</w:t>
      </w:r>
      <w:r w:rsidR="00DA2D13" w:rsidRPr="0066103C">
        <w:t>her</w:t>
      </w:r>
      <w:r w:rsidR="00BF4913" w:rsidRPr="0066103C">
        <w:t xml:space="preserve"> Antiochus III (223–187</w:t>
      </w:r>
      <w:r w:rsidR="00DA2D13" w:rsidRPr="0066103C">
        <w:t>)</w:t>
      </w:r>
      <w:r w:rsidRPr="0066103C">
        <w:t xml:space="preserve"> met a violent end (Dan 11:19), and Antiochus IV may have been thought to have been </w:t>
      </w:r>
      <w:r w:rsidR="00BF4913" w:rsidRPr="0066103C">
        <w:t>in some way responsible</w:t>
      </w:r>
      <w:r w:rsidRPr="0066103C">
        <w:t>. He was in Rome at the time.</w:t>
      </w:r>
    </w:p>
    <w:p w:rsidR="004F0A02" w:rsidRPr="0066103C" w:rsidRDefault="004F0A02" w:rsidP="004F0A02">
      <w:r w:rsidRPr="0066103C">
        <w:t>b. Antiochus IV’s elder brother and predec</w:t>
      </w:r>
      <w:r w:rsidR="00BF4913" w:rsidRPr="0066103C">
        <w:t>essor, Seleucus IV (187–175</w:t>
      </w:r>
      <w:r w:rsidRPr="0066103C">
        <w:t>), was murdered by his prime minister, Heliodorus. There is no evidence that</w:t>
      </w:r>
      <w:r w:rsidR="00616570">
        <w:t xml:space="preserve"> Antiochus was behind the assassination</w:t>
      </w:r>
      <w:r w:rsidRPr="0066103C">
        <w:t xml:space="preserve"> (he was now in Athens), though he may have been </w:t>
      </w:r>
      <w:r w:rsidR="00616570">
        <w:t xml:space="preserve">behind it </w:t>
      </w:r>
      <w:r w:rsidRPr="0066103C">
        <w:t>or may have been thought to have been</w:t>
      </w:r>
      <w:r w:rsidR="00616570">
        <w:t xml:space="preserve"> behind it</w:t>
      </w:r>
      <w:r w:rsidRPr="0066103C">
        <w:t>; certainly Seleucus’s murder opened the way to the throne for Antiochus.</w:t>
      </w:r>
    </w:p>
    <w:p w:rsidR="004F0A02" w:rsidRPr="0066103C" w:rsidRDefault="004F0A02" w:rsidP="004F0A02">
      <w:r w:rsidRPr="0066103C">
        <w:t>c. Seleucus IV’s eldest son Demetrius</w:t>
      </w:r>
      <w:r w:rsidR="00BF4913" w:rsidRPr="0066103C">
        <w:t xml:space="preserve"> I (who later ruled 162–150</w:t>
      </w:r>
      <w:r w:rsidRPr="0066103C">
        <w:t>) was displaced by Antiochus in 175. He was in Rome as a hostage, having replaced his uncle Antiochus there.</w:t>
      </w:r>
    </w:p>
    <w:p w:rsidR="004F0A02" w:rsidRPr="0066103C" w:rsidRDefault="004F0A02" w:rsidP="004F0A02">
      <w:r w:rsidRPr="0066103C">
        <w:t>d. Seleucus’s younger son Antiochus was proclaimed king and acted as co-regent with Antiochus IV for five years but was eventually killed, allegedly</w:t>
      </w:r>
      <w:r w:rsidR="00BF4913" w:rsidRPr="0066103C">
        <w:t xml:space="preserve"> at Antiochus’s instigation</w:t>
      </w:r>
      <w:r w:rsidRPr="0066103C">
        <w:t>.</w:t>
      </w:r>
      <w:r w:rsidR="00BF4913" w:rsidRPr="0066103C">
        <w:rPr>
          <w:rStyle w:val="FootnoteReference"/>
        </w:rPr>
        <w:footnoteReference w:id="204"/>
      </w:r>
    </w:p>
    <w:p w:rsidR="004F0A02" w:rsidRPr="0066103C" w:rsidRDefault="004F0A02" w:rsidP="004F0A02">
      <w:r w:rsidRPr="0066103C">
        <w:t>e. Heliodorus had aspirations to the kingship and apparently hoped to rule the empire via the young Antiochus as puppet king; he was displaced by Antiochus IV.</w:t>
      </w:r>
    </w:p>
    <w:p w:rsidR="004C6F68" w:rsidRPr="0066103C" w:rsidRDefault="004F0A02" w:rsidP="004F0A02">
      <w:r w:rsidRPr="0066103C">
        <w:t>f. Ptolemy VI, ruler of</w:t>
      </w:r>
      <w:r w:rsidR="00BF4913" w:rsidRPr="0066103C">
        <w:t xml:space="preserve"> Egypt 181–146</w:t>
      </w:r>
      <w:r w:rsidRPr="0066103C">
        <w:t>, was Antiochus IV’s uncle and had some claim to the Seleucid throne</w:t>
      </w:r>
      <w:r w:rsidR="00291A17">
        <w:t xml:space="preserve">; </w:t>
      </w:r>
      <w:r w:rsidR="00291A17" w:rsidRPr="00291A17">
        <w:t xml:space="preserve">Cleopatra II and Ptolemy VIII </w:t>
      </w:r>
      <w:r w:rsidR="00291A17">
        <w:t>apparently ruled jointly with him</w:t>
      </w:r>
      <w:r w:rsidR="00291A17" w:rsidRPr="00291A17">
        <w:t xml:space="preserve"> for a period beginning in 170.</w:t>
      </w:r>
      <w:r w:rsidR="00291A17" w:rsidRPr="00291A17">
        <w:rPr>
          <w:vertAlign w:val="superscript"/>
        </w:rPr>
        <w:footnoteReference w:id="205"/>
      </w:r>
      <w:r w:rsidRPr="0066103C">
        <w:t>Antiochus might be seen as having displaced him</w:t>
      </w:r>
      <w:r w:rsidR="00291A17">
        <w:t xml:space="preserve"> or them</w:t>
      </w:r>
      <w:r w:rsidRPr="0066103C">
        <w:t>.</w:t>
      </w:r>
    </w:p>
    <w:p w:rsidR="004F0A02" w:rsidRPr="0066103C" w:rsidRDefault="004F0A02" w:rsidP="004F0A02">
      <w:r w:rsidRPr="0066103C">
        <w:t>Seleucus IV, Demetri</w:t>
      </w:r>
      <w:r w:rsidR="00770EF9" w:rsidRPr="0066103C">
        <w:t xml:space="preserve">us, and the young Antiochus </w:t>
      </w:r>
      <w:r w:rsidRPr="0066103C">
        <w:t>seem most likely</w:t>
      </w:r>
      <w:r w:rsidR="00770EF9" w:rsidRPr="0066103C">
        <w:t xml:space="preserve"> to be the three referred to in vv 8 and 24</w:t>
      </w:r>
      <w:r w:rsidRPr="0066103C">
        <w:t>:</w:t>
      </w:r>
      <w:r w:rsidR="00770EF9" w:rsidRPr="0066103C">
        <w:rPr>
          <w:rStyle w:val="FootnoteReference"/>
        </w:rPr>
        <w:footnoteReference w:id="206"/>
      </w:r>
      <w:r w:rsidRPr="0066103C">
        <w:t xml:space="preserve"> Antiochus III’s death is very distant to be relevant, Heliodorus was neither heir nor actual king, Ptolemy VI was not permanently displaced from his throne in Egypt nor certainly displaced from the Seleucid throne, to which he had less claim than Antiochus IV. But we do not know what precise information about events earlier in the century would have been available </w:t>
      </w:r>
      <w:r w:rsidR="00F0279A" w:rsidRPr="0066103C">
        <w:t xml:space="preserve">to an audience in the 160s </w:t>
      </w:r>
      <w:r w:rsidRPr="0066103C">
        <w:t>and thus how they could have been expected to understand the allusion.</w:t>
      </w:r>
    </w:p>
    <w:p w:rsidR="004F0A02" w:rsidRPr="0066103C" w:rsidRDefault="004F0A02" w:rsidP="004F0A02">
      <w:r w:rsidRPr="0066103C">
        <w:t xml:space="preserve">As for the ten kings, by Antiochus IV’s time many more than ten kings had arisen within the kingdoms into which Alexander’s empire had fragmented (see chap. 11 </w:t>
      </w:r>
      <w:r w:rsidRPr="0066103C">
        <w:rPr>
          <w:i/>
        </w:rPr>
        <w:t>Comment</w:t>
      </w:r>
      <w:r w:rsidRPr="0066103C">
        <w:t>). Which ten might v 24 denote?</w:t>
      </w:r>
    </w:p>
    <w:p w:rsidR="004F0A02" w:rsidRPr="0066103C" w:rsidRDefault="004F0A02" w:rsidP="004F0A02">
      <w:r w:rsidRPr="0066103C">
        <w:t>a. Dan 11 refers altogether to twelve Seleucid and Ptolemaic kings who are there treated as relevant to the history of Palestine. This would be near enough to ten as a round number, but only two of the twelve (Seleucus IV and Ptolemy VI) could in any sense be described as overthrown by Antiochus.</w:t>
      </w:r>
    </w:p>
    <w:p w:rsidR="004F0A02" w:rsidRPr="0066103C" w:rsidRDefault="004F0A02" w:rsidP="004F0A02">
      <w:r w:rsidRPr="0066103C">
        <w:t xml:space="preserve">b. It is possible to compile alternative lists of ten Seleucid and Ptolemaic kings who were relevant to the history of Palestine as rulers or would-be rulers there, and to include three overthrown by Antiochus, but it is impossible to know whether any one of these </w:t>
      </w:r>
      <w:r w:rsidR="00DA2D13" w:rsidRPr="0066103C">
        <w:t xml:space="preserve">lists </w:t>
      </w:r>
      <w:r w:rsidRPr="0066103C">
        <w:t>corresponds with the one envisaged by Dan 7.</w:t>
      </w:r>
    </w:p>
    <w:p w:rsidR="004F0A02" w:rsidRPr="0066103C" w:rsidRDefault="004F0A02" w:rsidP="004F0A02">
      <w:r w:rsidRPr="0066103C">
        <w:t xml:space="preserve">c. Five </w:t>
      </w:r>
      <w:r w:rsidR="00DA2D13" w:rsidRPr="0066103C">
        <w:t>Ptolemies and two Seleucids ruled Palestine</w:t>
      </w:r>
      <w:r w:rsidR="00F0279A" w:rsidRPr="0066103C">
        <w:t xml:space="preserve"> from 323 to 200 and after 200 </w:t>
      </w:r>
      <w:r w:rsidRPr="0066103C">
        <w:t>respectively. The list includes A</w:t>
      </w:r>
      <w:r w:rsidR="00DA2D13" w:rsidRPr="0066103C">
        <w:t>ntiochus III and Seleucus IV. The list can become ten adding</w:t>
      </w:r>
      <w:r w:rsidRPr="0066103C">
        <w:t xml:space="preserve"> (e.g.) Demetrius, the young Antiochu</w:t>
      </w:r>
      <w:r w:rsidR="00DA2D13" w:rsidRPr="0066103C">
        <w:t>s, and Ptolemy VI or Heliodorus,</w:t>
      </w:r>
      <w:r w:rsidRPr="0066103C">
        <w:t xml:space="preserve"> or by adding Alexander at the beginning and (e.g.) Demetrius and the young Antiochus at the end.</w:t>
      </w:r>
    </w:p>
    <w:p w:rsidR="004F0A02" w:rsidRPr="0066103C" w:rsidRDefault="00F0279A" w:rsidP="004F0A02">
      <w:r w:rsidRPr="0066103C">
        <w:t xml:space="preserve">d. </w:t>
      </w:r>
      <w:r w:rsidRPr="0066103C">
        <w:rPr>
          <w:i/>
        </w:rPr>
        <w:t>Sibylline Oracles</w:t>
      </w:r>
      <w:r w:rsidR="004F0A02" w:rsidRPr="0066103C">
        <w:t xml:space="preserve"> 3.388–400 assumes that the ten are the Seleucid line, the most powerful continuing embodiment of a Gree</w:t>
      </w:r>
      <w:r w:rsidRPr="0066103C">
        <w:t>k empire in the second century</w:t>
      </w:r>
      <w:r w:rsidR="004F0A02" w:rsidRPr="0066103C">
        <w:t>,</w:t>
      </w:r>
      <w:r w:rsidRPr="0066103C">
        <w:rPr>
          <w:rStyle w:val="FootnoteReference"/>
        </w:rPr>
        <w:footnoteReference w:id="207"/>
      </w:r>
      <w:r w:rsidR="004F0A02" w:rsidRPr="0066103C">
        <w:t xml:space="preserve"> and this continues to be the most </w:t>
      </w:r>
      <w:r w:rsidR="004F0A02" w:rsidRPr="0066103C">
        <w:lastRenderedPageBreak/>
        <w:t>popular scholarly view. Again, Antiochus then had seven Seleucid predecessors, including Antiochus III and Seleucus IV, so that the list becomes ten by one of t</w:t>
      </w:r>
      <w:r w:rsidR="00DA2D13" w:rsidRPr="0066103C">
        <w:t>he devices just listed</w:t>
      </w:r>
      <w:r w:rsidR="004F0A02" w:rsidRPr="0066103C">
        <w:t>, or by adding Alexander I and Alexander II at the beginning and (e.g.) the young Antiochus or Demetrius at the end.</w:t>
      </w:r>
    </w:p>
    <w:p w:rsidR="00F0279A" w:rsidRPr="0066103C" w:rsidRDefault="004F0A02" w:rsidP="004F0A02">
      <w:r w:rsidRPr="0066103C">
        <w:t>Antiochus’s distinctiveness (v 24) presumably lies in what is symbolized by the eyes and mouth of the small horn (vv 8, 20), which the end of v 24 and v 25 go on t</w:t>
      </w:r>
      <w:r w:rsidR="00F0279A" w:rsidRPr="0066103C">
        <w:t>o interpret. The eyes</w:t>
      </w:r>
      <w:r w:rsidRPr="0066103C">
        <w:t xml:space="preserve"> suggest the covetousness and arrogance that issue in Antiochus’s forcing</w:t>
      </w:r>
      <w:r w:rsidR="00DA2D13" w:rsidRPr="0066103C">
        <w:t xml:space="preserve"> his way to the throne and </w:t>
      </w:r>
      <w:r w:rsidRPr="0066103C">
        <w:t>in his attacks on the holy ones, while the great statements that come from his mouth now explicitly constitute expressions of enmity to God himself (see further on 8:10–12; 11</w:t>
      </w:r>
      <w:r w:rsidR="001A1CA1">
        <w:t>:30–39). The times set by edict</w:t>
      </w:r>
      <w:r w:rsidRPr="0066103C">
        <w:t xml:space="preserve"> </w:t>
      </w:r>
    </w:p>
    <w:p w:rsidR="004F0A02" w:rsidRDefault="004F0A02" w:rsidP="00F0279A">
      <w:pPr>
        <w:ind w:firstLine="0"/>
      </w:pPr>
      <w:r w:rsidRPr="0066103C">
        <w:t>(</w:t>
      </w:r>
      <w:r w:rsidR="00F0279A" w:rsidRPr="0066103C">
        <w:t xml:space="preserve"> </w:t>
      </w:r>
      <w:r w:rsidRPr="0066103C">
        <w:t xml:space="preserve"> ודת</w:t>
      </w:r>
      <w:r w:rsidR="00F0279A" w:rsidRPr="0066103C">
        <w:t xml:space="preserve"> </w:t>
      </w:r>
      <w:r w:rsidR="00F0279A" w:rsidRPr="0066103C">
        <w:rPr>
          <w:rFonts w:ascii="Arial" w:hAnsi="Arial" w:cs="Arial"/>
        </w:rPr>
        <w:t>זמנין</w:t>
      </w:r>
      <w:r w:rsidR="00F0279A" w:rsidRPr="0066103C">
        <w:t xml:space="preserve">) that Antiochus will </w:t>
      </w:r>
      <w:r w:rsidRPr="0066103C">
        <w:t>attempt to</w:t>
      </w:r>
      <w:r w:rsidR="00F0279A" w:rsidRPr="0066103C">
        <w:t xml:space="preserve"> change might </w:t>
      </w:r>
      <w:r w:rsidR="00616570">
        <w:t>refer to</w:t>
      </w:r>
      <w:r w:rsidRPr="0066103C">
        <w:t xml:space="preserve"> an attempt to replace the 364-day solar calenda</w:t>
      </w:r>
      <w:r w:rsidR="00DA2D13" w:rsidRPr="0066103C">
        <w:t xml:space="preserve">r by a 360-day lunar calendar. Calendrical questions </w:t>
      </w:r>
      <w:r w:rsidRPr="0066103C">
        <w:t>we</w:t>
      </w:r>
      <w:r w:rsidR="00DA2D13" w:rsidRPr="0066103C">
        <w:t xml:space="preserve">re </w:t>
      </w:r>
      <w:r w:rsidR="00F0279A" w:rsidRPr="0066103C">
        <w:t>important</w:t>
      </w:r>
      <w:r w:rsidRPr="0066103C">
        <w:t xml:space="preserve"> in</w:t>
      </w:r>
      <w:r w:rsidR="00DA2D13" w:rsidRPr="0066103C">
        <w:t xml:space="preserve"> various circles in this period,</w:t>
      </w:r>
      <w:r w:rsidR="00F0279A" w:rsidRPr="0066103C">
        <w:rPr>
          <w:rStyle w:val="FootnoteReference"/>
        </w:rPr>
        <w:footnoteReference w:id="208"/>
      </w:r>
      <w:r w:rsidR="00DA2D13" w:rsidRPr="0066103C">
        <w:t xml:space="preserve"> b</w:t>
      </w:r>
      <w:r w:rsidRPr="0066103C">
        <w:t>ut more detailed accounts of Antiochus’s interfering wit</w:t>
      </w:r>
      <w:r w:rsidR="00DA2D13" w:rsidRPr="0066103C">
        <w:t>h Jewish religious affairs (</w:t>
      </w:r>
      <w:r w:rsidRPr="0066103C">
        <w:t>8:11–14; 11:31–38; 1 Macc 1–4; 2 Ma</w:t>
      </w:r>
      <w:r w:rsidR="00F0279A" w:rsidRPr="0066103C">
        <w:t xml:space="preserve">cc 4–6) do not refer </w:t>
      </w:r>
      <w:r w:rsidRPr="0066103C">
        <w:t>to</w:t>
      </w:r>
      <w:r w:rsidR="00F0279A" w:rsidRPr="0066103C">
        <w:t xml:space="preserve"> </w:t>
      </w:r>
      <w:r w:rsidR="00DA2D13" w:rsidRPr="0066103C">
        <w:t>calendrical changes</w:t>
      </w:r>
      <w:r w:rsidR="00F0279A" w:rsidRPr="0066103C">
        <w:t>, and it would be</w:t>
      </w:r>
      <w:r w:rsidRPr="0066103C">
        <w:t xml:space="preserve"> strange if conversely Dan 7 should single out this </w:t>
      </w:r>
      <w:r w:rsidR="00F0279A" w:rsidRPr="0066103C">
        <w:t xml:space="preserve">offence as the </w:t>
      </w:r>
      <w:r w:rsidRPr="0066103C">
        <w:t>sole feature of Antiochus’s religious policy.</w:t>
      </w:r>
      <w:r w:rsidR="00F0279A" w:rsidRPr="0066103C">
        <w:t xml:space="preserve"> More likely,</w:t>
      </w:r>
      <w:r w:rsidRPr="0066103C">
        <w:t xml:space="preserve"> “changing the times” has the same significance as in 2:21</w:t>
      </w:r>
      <w:r w:rsidR="00F0279A" w:rsidRPr="0066103C">
        <w:t xml:space="preserve"> (cf. also 2:9): it denotes taking </w:t>
      </w:r>
      <w:r w:rsidRPr="0066103C">
        <w:t>decisions regarding how human history unfolds and in particular how one regime follows an</w:t>
      </w:r>
      <w:r w:rsidR="001A1CA1">
        <w:t>other. These are fixed by edict</w:t>
      </w:r>
      <w:r w:rsidRPr="0066103C">
        <w:t>—God’s, not a human being’s (cf. the use of the word in 2:9, 13, 15)</w:t>
      </w:r>
      <w:r w:rsidR="00F0279A" w:rsidRPr="0066103C">
        <w:t>.</w:t>
      </w:r>
      <w:r w:rsidR="00F0279A" w:rsidRPr="0066103C">
        <w:rPr>
          <w:rStyle w:val="FootnoteReference"/>
        </w:rPr>
        <w:footnoteReference w:id="209"/>
      </w:r>
      <w:r w:rsidRPr="0066103C">
        <w:t xml:space="preserve"> In forcing his way to the throne and bulldozing his way through history, Antiochus has defied the shaping of history otherwise laid out.</w:t>
      </w:r>
    </w:p>
    <w:p w:rsidR="004F0A02" w:rsidRPr="0066103C" w:rsidRDefault="004F0A02" w:rsidP="004F0A02">
      <w:r w:rsidRPr="0066103C">
        <w:t xml:space="preserve">The question implicitly raised </w:t>
      </w:r>
      <w:r w:rsidR="001A1CA1">
        <w:t xml:space="preserve">back </w:t>
      </w:r>
      <w:r w:rsidRPr="0066103C">
        <w:t>at the end of v 7 is “How long wil</w:t>
      </w:r>
      <w:r w:rsidR="00DA2D13" w:rsidRPr="0066103C">
        <w:t>l these things</w:t>
      </w:r>
      <w:r w:rsidR="00435D46" w:rsidRPr="0066103C">
        <w:t xml:space="preserve"> </w:t>
      </w:r>
      <w:r w:rsidRPr="0066103C">
        <w:t xml:space="preserve">be allowed to go on?” (cf. the question </w:t>
      </w:r>
      <w:r w:rsidR="00F0279A" w:rsidRPr="0066103C">
        <w:t>“How long?” in the Psalms</w:t>
      </w:r>
      <w:r w:rsidRPr="0066103C">
        <w:t>).</w:t>
      </w:r>
      <w:r w:rsidR="00F0279A" w:rsidRPr="0066103C">
        <w:rPr>
          <w:rStyle w:val="FootnoteReference"/>
        </w:rPr>
        <w:footnoteReference w:id="210"/>
      </w:r>
      <w:r w:rsidRPr="0066103C">
        <w:t xml:space="preserve"> </w:t>
      </w:r>
      <w:r w:rsidR="001A1CA1" w:rsidRPr="001A1CA1">
        <w:t>The divine passive reappears</w:t>
      </w:r>
      <w:r w:rsidR="001A1CA1">
        <w:t>; i</w:t>
      </w:r>
      <w:r w:rsidR="001A1CA1" w:rsidRPr="001A1CA1">
        <w:t>t “makes the divine the catalyst for history (though an invisible one) and reveals to the reading community that the little horn’s autonomy is more apparent than real.”</w:t>
      </w:r>
      <w:r w:rsidR="001A1CA1" w:rsidRPr="001A1CA1">
        <w:rPr>
          <w:vertAlign w:val="superscript"/>
        </w:rPr>
        <w:footnoteReference w:id="211"/>
      </w:r>
      <w:r w:rsidR="001A1CA1" w:rsidRPr="001A1CA1">
        <w:t xml:space="preserve"> </w:t>
      </w:r>
      <w:r w:rsidRPr="0066103C">
        <w:t xml:space="preserve">The answer </w:t>
      </w:r>
      <w:r w:rsidR="001A1CA1">
        <w:t>to the implicit question comes in the last words of v 25</w:t>
      </w:r>
      <w:r w:rsidRPr="0066103C">
        <w:t xml:space="preserve">: Antiochus will be allowed to control events for a period, periods, and half a period. This </w:t>
      </w:r>
      <w:r w:rsidR="00F0279A" w:rsidRPr="0066103C">
        <w:t>answer has</w:t>
      </w:r>
      <w:r w:rsidRPr="0066103C">
        <w:t xml:space="preserve"> been taken as a crypti</w:t>
      </w:r>
      <w:r w:rsidR="00F0279A" w:rsidRPr="0066103C">
        <w:t>c way of saying 3 1/2 years (cf. the JPSV footnote</w:t>
      </w:r>
      <w:r w:rsidRPr="0066103C">
        <w:t>). The time from the desecration of the temple on 15 Kislev in the 145th</w:t>
      </w:r>
      <w:r w:rsidR="00F0279A" w:rsidRPr="0066103C">
        <w:t xml:space="preserve"> year of the Seleucids, 167 BC</w:t>
      </w:r>
      <w:r w:rsidRPr="0066103C">
        <w:t xml:space="preserve"> (1 Macc 1:54) to its rededication on 25 Ki</w:t>
      </w:r>
      <w:r w:rsidR="00F0279A" w:rsidRPr="0066103C">
        <w:t>slev in the 148th year, 164</w:t>
      </w:r>
      <w:r w:rsidRPr="0066103C">
        <w:t xml:space="preserve"> (1 Macc 4:52) was three years and ten days. The time of oppression is closer to 3 1/2 years if it is reckoned to begin with events earlier in the 145th year (see 1 Macc 1:20, 29–53) or if its end is reckoned to involve Antiochus’s death, which took place in the 149th year (see 1 Macc 6:16). But such observations rest on a mistaken premise. “A period, periods, and half a period” is not a cryptic way of saying 3 1/2 years, whatever the significance of later time references in 8:14; 9:27; 12:7, 11, 12. “Period” (עדן) is not simply a substitute for “year” (שנה) (G has καιρός, not ἔτος). A period could be a year long, but </w:t>
      </w:r>
      <w:r w:rsidR="001A1CA1">
        <w:t xml:space="preserve">it </w:t>
      </w:r>
      <w:r w:rsidRPr="0066103C">
        <w:t>nee</w:t>
      </w:r>
      <w:r w:rsidR="00FE748F">
        <w:t>d not be (see v 12, also n. 4:16.a</w:t>
      </w:r>
      <w:r w:rsidRPr="0066103C">
        <w:t>). Nor is “a period, periods, and half a period” simply a convoluted way of saying 3 1/2 periods. It suggests a time that threatens to extend itself longer: one period, then a double period, then a quadruple period . . . but the anticipated sequence suddenly breaks off, so that the seven periods (in effect an eternity) that were threatene</w:t>
      </w:r>
      <w:r w:rsidR="00F0279A" w:rsidRPr="0066103C">
        <w:t>d are unexpectedly halved</w:t>
      </w:r>
      <w:r w:rsidRPr="0066103C">
        <w:t>.</w:t>
      </w:r>
      <w:r w:rsidR="00F0279A" w:rsidRPr="0066103C">
        <w:rPr>
          <w:rStyle w:val="FootnoteReference"/>
        </w:rPr>
        <w:footnoteReference w:id="212"/>
      </w:r>
      <w:r w:rsidRPr="0066103C">
        <w:t xml:space="preserve"> The king symbolized by the small horn has his time allotted; it is not without end. He himself is under control. The period he rules is a long one, but it is brought to a sudden termination. This way of speaking car</w:t>
      </w:r>
      <w:r w:rsidR="00435D46" w:rsidRPr="0066103C">
        <w:t xml:space="preserve">ried no implications </w:t>
      </w:r>
      <w:r w:rsidRPr="0066103C">
        <w:t xml:space="preserve">for the chronological length of time </w:t>
      </w:r>
      <w:r w:rsidRPr="0066103C">
        <w:lastRenderedPageBreak/>
        <w:t>tha</w:t>
      </w:r>
      <w:r w:rsidR="00435D46" w:rsidRPr="0066103C">
        <w:t>t would</w:t>
      </w:r>
      <w:r w:rsidRPr="0066103C">
        <w:t xml:space="preserve"> correspond to these periods.</w:t>
      </w:r>
      <w:r w:rsidR="00527A2F">
        <w:t xml:space="preserve"> </w:t>
      </w:r>
      <w:r w:rsidR="000D1837">
        <w:t>V</w:t>
      </w:r>
      <w:r w:rsidR="00527A2F">
        <w:t xml:space="preserve"> 25 is not an “attempt to calculate a definite period of time.”</w:t>
      </w:r>
      <w:r w:rsidR="00527A2F">
        <w:rPr>
          <w:rStyle w:val="FootnoteReference"/>
        </w:rPr>
        <w:footnoteReference w:id="213"/>
      </w:r>
    </w:p>
    <w:p w:rsidR="004F0A02" w:rsidRPr="0066103C" w:rsidRDefault="004F0A02" w:rsidP="004F0A02">
      <w:r w:rsidRPr="0066103C">
        <w:t xml:space="preserve">If the earlier part of v 25 alludes </w:t>
      </w:r>
      <w:r w:rsidR="00435D46" w:rsidRPr="0066103C">
        <w:t xml:space="preserve">more generally </w:t>
      </w:r>
      <w:r w:rsidRPr="0066103C">
        <w:t>to the reign of Antiochus rather than to ev</w:t>
      </w:r>
      <w:r w:rsidR="00AD7003" w:rsidRPr="0066103C">
        <w:t xml:space="preserve">ents after 168 </w:t>
      </w:r>
      <w:r w:rsidRPr="0066103C">
        <w:t>in part</w:t>
      </w:r>
      <w:r w:rsidR="00435D46" w:rsidRPr="0066103C">
        <w:t xml:space="preserve">icular, the periods denoted </w:t>
      </w:r>
      <w:r w:rsidRPr="0066103C">
        <w:t>here as likely began with his appropr</w:t>
      </w:r>
      <w:r w:rsidR="00AD7003" w:rsidRPr="0066103C">
        <w:t>iation of the throne in 175</w:t>
      </w:r>
      <w:r w:rsidRPr="0066103C">
        <w:t xml:space="preserve">, his encouragement of the Hellenistic reforms of Jason, </w:t>
      </w:r>
      <w:r w:rsidR="00AD7003" w:rsidRPr="0066103C">
        <w:t xml:space="preserve">who was </w:t>
      </w:r>
      <w:r w:rsidRPr="0066103C">
        <w:t>his appointee as high priest, or his first desecration of the temple in</w:t>
      </w:r>
      <w:r w:rsidR="00AD7003" w:rsidRPr="0066103C">
        <w:t xml:space="preserve"> 169</w:t>
      </w:r>
      <w:r w:rsidRPr="0066103C">
        <w:t xml:space="preserve"> (1 Macc 1:10–28). Both the </w:t>
      </w:r>
      <w:r w:rsidR="00AD7003" w:rsidRPr="0066103C">
        <w:t>temple rededication</w:t>
      </w:r>
      <w:r w:rsidRPr="0066103C">
        <w:t xml:space="preserve"> and Antiochus’s death </w:t>
      </w:r>
      <w:r w:rsidR="00AD7003" w:rsidRPr="0066103C">
        <w:t>a few months later would constitute</w:t>
      </w:r>
      <w:r w:rsidRPr="0066103C">
        <w:t xml:space="preserve"> partial fulfillmen</w:t>
      </w:r>
      <w:r w:rsidR="00435D46" w:rsidRPr="0066103C">
        <w:t>ts of what is promised for</w:t>
      </w:r>
      <w:r w:rsidRPr="0066103C">
        <w:t xml:space="preserve"> the end of the time in vv 26–27.</w:t>
      </w:r>
    </w:p>
    <w:p w:rsidR="004F0A02" w:rsidRPr="0066103C" w:rsidRDefault="004F0A02" w:rsidP="004F0A02">
      <w:r w:rsidRPr="007834AB">
        <w:rPr>
          <w:b/>
        </w:rPr>
        <w:t xml:space="preserve">26 </w:t>
      </w:r>
      <w:r w:rsidRPr="0066103C">
        <w:t>The death and destruction of the fourth creature (v 11) is effected through the utter destruction of the authority of the king symbolized by the creature’s small horn.</w:t>
      </w:r>
    </w:p>
    <w:p w:rsidR="004F0A02" w:rsidRPr="0066103C" w:rsidRDefault="004F0A02" w:rsidP="004F0A02">
      <w:r w:rsidRPr="007834AB">
        <w:rPr>
          <w:b/>
        </w:rPr>
        <w:t>27</w:t>
      </w:r>
      <w:r w:rsidRPr="0066103C">
        <w:t xml:space="preserve"> Earlier references to a humanlike figure (v </w:t>
      </w:r>
      <w:r w:rsidR="00AD7003" w:rsidRPr="0066103C">
        <w:t>13) and to holy ones</w:t>
      </w:r>
      <w:r w:rsidRPr="0066103C">
        <w:t xml:space="preserve"> (vv 18, 21, 22, 25) permit and perhaps point to the conclusion that the holy ones are in some way celestial yet are closely associated with earthly Israel. The same conclusion emerges from this last allusion. </w:t>
      </w:r>
      <w:r w:rsidR="00E5563A" w:rsidRPr="0066103C">
        <w:t>While “p</w:t>
      </w:r>
      <w:r w:rsidR="00AD7003" w:rsidRPr="0066103C">
        <w:t>eople</w:t>
      </w:r>
      <w:r w:rsidR="00E5563A" w:rsidRPr="0066103C">
        <w:t>”</w:t>
      </w:r>
      <w:r w:rsidR="00AD7003" w:rsidRPr="0066103C">
        <w:t xml:space="preserve"> ( </w:t>
      </w:r>
      <w:r w:rsidRPr="0066103C">
        <w:t>עם</w:t>
      </w:r>
      <w:r w:rsidR="00AD7003" w:rsidRPr="0066103C">
        <w:t>)</w:t>
      </w:r>
      <w:r w:rsidRPr="0066103C">
        <w:t xml:space="preserve"> </w:t>
      </w:r>
      <w:r w:rsidR="0021093D" w:rsidRPr="0066103C">
        <w:t xml:space="preserve">may </w:t>
      </w:r>
      <w:r w:rsidRPr="0066103C">
        <w:t>refer to a celestial army in 1QH 3.21</w:t>
      </w:r>
      <w:r w:rsidR="0021093D" w:rsidRPr="0066103C">
        <w:t>,</w:t>
      </w:r>
      <w:r w:rsidR="0021093D" w:rsidRPr="0066103C">
        <w:rPr>
          <w:rStyle w:val="FootnoteReference"/>
        </w:rPr>
        <w:footnoteReference w:id="214"/>
      </w:r>
      <w:r w:rsidR="00E5563A" w:rsidRPr="0066103C">
        <w:t xml:space="preserve"> </w:t>
      </w:r>
      <w:r w:rsidRPr="0066103C">
        <w:t>most editors understand there עִם “with” not עַם “people</w:t>
      </w:r>
      <w:r w:rsidR="0021093D" w:rsidRPr="0066103C">
        <w:t>.</w:t>
      </w:r>
      <w:r w:rsidRPr="0066103C">
        <w:t>”</w:t>
      </w:r>
      <w:r w:rsidR="0021093D" w:rsidRPr="0066103C">
        <w:rPr>
          <w:rStyle w:val="FootnoteReference"/>
        </w:rPr>
        <w:footnoteReference w:id="215"/>
      </w:r>
      <w:r w:rsidRPr="0066103C">
        <w:t xml:space="preserve"> Similar uncertainty obtains with regard to 1QM 12.8. Even there, if </w:t>
      </w:r>
      <w:r w:rsidR="0021093D" w:rsidRPr="0066103C">
        <w:t xml:space="preserve"> </w:t>
      </w:r>
      <w:r w:rsidRPr="0066103C">
        <w:t>עם means “people,” the construct may be possessive rather than epexegetical. And if that allusion fails, there is no passage in the OT or in the Qumran literature that uses</w:t>
      </w:r>
      <w:r w:rsidR="0021093D" w:rsidRPr="0066103C">
        <w:t xml:space="preserve"> </w:t>
      </w:r>
      <w:r w:rsidRPr="0066103C">
        <w:t xml:space="preserve"> עם to refer to celestial beings. In Dan 12:1, 7 Isra</w:t>
      </w:r>
      <w:r w:rsidR="00435D46" w:rsidRPr="0066103C">
        <w:t>el is described as “your [</w:t>
      </w:r>
      <w:r w:rsidRPr="0066103C">
        <w:t>Daniel’s] people” and as “the holy people” (cf. 8:24, though the ref</w:t>
      </w:r>
      <w:r w:rsidR="0021093D" w:rsidRPr="0066103C">
        <w:t>erence there is less clear); compare</w:t>
      </w:r>
      <w:r w:rsidRPr="0066103C">
        <w:t xml:space="preserve"> the description of Israel in 1QM 10.10 as</w:t>
      </w:r>
      <w:r w:rsidR="0021093D" w:rsidRPr="0066103C">
        <w:t xml:space="preserve"> </w:t>
      </w:r>
      <w:r w:rsidR="0021093D" w:rsidRPr="0066103C">
        <w:rPr>
          <w:rFonts w:ascii="Arial" w:hAnsi="Arial" w:cs="Arial"/>
        </w:rPr>
        <w:t>ברית</w:t>
      </w:r>
      <w:r w:rsidRPr="0066103C">
        <w:t xml:space="preserve"> קדושי</w:t>
      </w:r>
      <w:r w:rsidR="0021093D" w:rsidRPr="0066103C">
        <w:t xml:space="preserve"> </w:t>
      </w:r>
      <w:r w:rsidRPr="0066103C">
        <w:t xml:space="preserve"> </w:t>
      </w:r>
      <w:r w:rsidR="0021093D" w:rsidRPr="0066103C">
        <w:rPr>
          <w:rFonts w:ascii="Arial" w:hAnsi="Arial" w:cs="Arial"/>
        </w:rPr>
        <w:t>עם</w:t>
      </w:r>
      <w:r w:rsidR="0021093D" w:rsidRPr="0066103C">
        <w:t xml:space="preserve"> </w:t>
      </w:r>
      <w:r w:rsidRPr="0066103C">
        <w:t>“the people of the holy ones of the co</w:t>
      </w:r>
      <w:r w:rsidR="0021093D" w:rsidRPr="0066103C">
        <w:t xml:space="preserve">venant.” The holy people stands </w:t>
      </w:r>
      <w:r w:rsidRPr="0066103C">
        <w:t>on earth; the earthly ones shine in heaven (12:1, 3, 7).</w:t>
      </w:r>
      <w:r w:rsidR="0021093D" w:rsidRPr="0066103C">
        <w:rPr>
          <w:rStyle w:val="FootnoteReference"/>
        </w:rPr>
        <w:footnoteReference w:id="216"/>
      </w:r>
      <w:r w:rsidRPr="0066103C">
        <w:t xml:space="preserve"> Grammatically, the phrase could mean “a people of holy ones on high” </w:t>
      </w:r>
      <w:r w:rsidR="00E5563A" w:rsidRPr="0066103C">
        <w:t>(</w:t>
      </w:r>
      <w:r w:rsidR="0021093D" w:rsidRPr="0066103C">
        <w:t xml:space="preserve">see </w:t>
      </w:r>
      <w:r w:rsidRPr="0066103C">
        <w:t>n. 27.b) and be taken to refer to Israel as the people associated with the celestial beings. As Michael can be described as Israel’s lord (10:21), so Israel could be described as t</w:t>
      </w:r>
      <w:r w:rsidR="0021093D" w:rsidRPr="0066103C">
        <w:t>he supernatural beings’ people</w:t>
      </w:r>
      <w:r w:rsidRPr="0066103C">
        <w:t>.</w:t>
      </w:r>
      <w:r w:rsidR="0021093D" w:rsidRPr="0066103C">
        <w:rPr>
          <w:rStyle w:val="FootnoteReference"/>
        </w:rPr>
        <w:footnoteReference w:id="217"/>
      </w:r>
      <w:r w:rsidRPr="0066103C">
        <w:t xml:space="preserve"> But such an allusive, sudden reference in the last verses of </w:t>
      </w:r>
      <w:r w:rsidR="0021093D" w:rsidRPr="0066103C">
        <w:t xml:space="preserve">the chapter would be odd; more likely </w:t>
      </w:r>
      <w:r w:rsidRPr="0066103C">
        <w:t>all three varied expressions in vv 18, 21, 22, 2</w:t>
      </w:r>
      <w:r w:rsidR="00435D46" w:rsidRPr="0066103C">
        <w:t xml:space="preserve">5, </w:t>
      </w:r>
      <w:r w:rsidR="00FE748F">
        <w:t xml:space="preserve">and </w:t>
      </w:r>
      <w:r w:rsidR="00435D46" w:rsidRPr="0066103C">
        <w:t>27 have the same reference</w:t>
      </w:r>
      <w:r w:rsidRPr="0066103C">
        <w:t>.</w:t>
      </w:r>
    </w:p>
    <w:p w:rsidR="004F0A02" w:rsidRPr="0066103C" w:rsidRDefault="00435D46" w:rsidP="004F0A02">
      <w:r w:rsidRPr="0066103C">
        <w:t>As</w:t>
      </w:r>
      <w:r w:rsidR="004F0A02" w:rsidRPr="0066103C">
        <w:t xml:space="preserve"> the description of the humanlike figure </w:t>
      </w:r>
      <w:r w:rsidRPr="0066103C">
        <w:t>(v</w:t>
      </w:r>
      <w:r w:rsidR="000C1456" w:rsidRPr="0066103C">
        <w:t>v</w:t>
      </w:r>
      <w:r w:rsidRPr="0066103C">
        <w:t xml:space="preserve"> 13-14) </w:t>
      </w:r>
      <w:r w:rsidR="00FE748F">
        <w:t>did not point towards the idea</w:t>
      </w:r>
      <w:r w:rsidR="004F0A02" w:rsidRPr="0066103C">
        <w:t xml:space="preserve"> that </w:t>
      </w:r>
      <w:r w:rsidR="00FE748F">
        <w:t>it stood for a</w:t>
      </w:r>
      <w:r w:rsidRPr="0066103C">
        <w:t xml:space="preserve"> hoped-for king</w:t>
      </w:r>
      <w:r w:rsidR="004F0A02" w:rsidRPr="0066103C">
        <w:t>, nothing in v</w:t>
      </w:r>
      <w:r w:rsidR="0021093D" w:rsidRPr="0066103C">
        <w:t>v 17–27 suggests an individual messi</w:t>
      </w:r>
      <w:r w:rsidRPr="0066103C">
        <w:t>anic figure. There is messianic</w:t>
      </w:r>
      <w:r w:rsidR="0021093D" w:rsidRPr="0066103C">
        <w:t xml:space="preserve"> and non-messianic expectation</w:t>
      </w:r>
      <w:r w:rsidR="004F0A02" w:rsidRPr="0066103C">
        <w:t xml:space="preserve"> in the OT, an</w:t>
      </w:r>
      <w:r w:rsidR="0021093D" w:rsidRPr="0066103C">
        <w:t>d Dan 7 is</w:t>
      </w:r>
      <w:r w:rsidR="004F0A02" w:rsidRPr="0066103C">
        <w:t xml:space="preserve"> an instance of the latter.</w:t>
      </w:r>
      <w:r w:rsidR="00E75AC8">
        <w:t xml:space="preserve"> </w:t>
      </w:r>
      <w:r w:rsidR="00FE748F">
        <w:t xml:space="preserve">If anything, </w:t>
      </w:r>
      <w:r w:rsidR="00E75AC8">
        <w:t>Dan 7 moves “from the Davidic to the Adamic.”</w:t>
      </w:r>
      <w:r w:rsidR="00E75AC8">
        <w:rPr>
          <w:rStyle w:val="FootnoteReference"/>
        </w:rPr>
        <w:footnoteReference w:id="218"/>
      </w:r>
    </w:p>
    <w:p w:rsidR="004F0A02" w:rsidRPr="0066103C" w:rsidRDefault="004F0A02" w:rsidP="004F0A02">
      <w:r w:rsidRPr="007834AB">
        <w:rPr>
          <w:b/>
        </w:rPr>
        <w:t>28</w:t>
      </w:r>
      <w:r w:rsidRPr="0066103C">
        <w:t xml:space="preserve"> </w:t>
      </w:r>
      <w:r w:rsidR="0021093D" w:rsidRPr="0066103C">
        <w:t>For the closing formula, compare</w:t>
      </w:r>
      <w:r w:rsidRPr="0066103C">
        <w:t xml:space="preserve"> Jer 51:64; Qoh 12:13. The </w:t>
      </w:r>
      <w:r w:rsidR="00FA4CAC" w:rsidRPr="0066103C">
        <w:t>interpretiv</w:t>
      </w:r>
      <w:r w:rsidRPr="0066103C">
        <w:t xml:space="preserve">e vision has not resolved the anxieties provoked by the symbolic vision (v 15); it leaves Daniel still concerned to discover what it meant. </w:t>
      </w:r>
    </w:p>
    <w:p w:rsidR="004F0A02" w:rsidRPr="00CC1756" w:rsidRDefault="004F0A02" w:rsidP="00CC1756">
      <w:pPr>
        <w:pStyle w:val="Heading2"/>
      </w:pPr>
      <w:r w:rsidRPr="00CC1756">
        <w:t>Explanation</w:t>
      </w:r>
    </w:p>
    <w:p w:rsidR="00002B66" w:rsidRPr="0066103C" w:rsidRDefault="005B2F21" w:rsidP="004F0A02">
      <w:r w:rsidRPr="008D6427">
        <w:rPr>
          <w:b/>
        </w:rPr>
        <w:t xml:space="preserve">1 </w:t>
      </w:r>
      <w:r w:rsidR="002846AD" w:rsidRPr="0066103C">
        <w:t xml:space="preserve">The </w:t>
      </w:r>
      <w:r w:rsidR="00F57830">
        <w:t>nature of the Daniel scroll changes</w:t>
      </w:r>
      <w:r w:rsidR="002846AD" w:rsidRPr="0066103C">
        <w:t xml:space="preserve"> from exciting stories to esoteric visions. </w:t>
      </w:r>
      <w:r w:rsidR="00387DEB">
        <w:t>It’s been said that “t</w:t>
      </w:r>
      <w:r w:rsidR="00FF5C21" w:rsidRPr="0066103C">
        <w:t xml:space="preserve">he stories of the first half of Daniel have more appeal to lay people, while the visions of the second half </w:t>
      </w:r>
      <w:r w:rsidR="002846AD" w:rsidRPr="0066103C">
        <w:t>are more intriguing to scholars.</w:t>
      </w:r>
      <w:r w:rsidR="00FF5C21" w:rsidRPr="0066103C">
        <w:t>”</w:t>
      </w:r>
      <w:r w:rsidR="00FF5C21" w:rsidRPr="0066103C">
        <w:rPr>
          <w:vertAlign w:val="superscript"/>
        </w:rPr>
        <w:t xml:space="preserve"> </w:t>
      </w:r>
      <w:r w:rsidR="00FF5C21" w:rsidRPr="0066103C">
        <w:rPr>
          <w:vertAlign w:val="superscript"/>
        </w:rPr>
        <w:footnoteReference w:id="219"/>
      </w:r>
      <w:r w:rsidR="002846AD" w:rsidRPr="0066103C">
        <w:t xml:space="preserve"> The difference </w:t>
      </w:r>
      <w:r w:rsidR="00387DEB">
        <w:t>would reflect</w:t>
      </w:r>
      <w:r w:rsidR="00FF5C21" w:rsidRPr="0066103C">
        <w:t xml:space="preserve"> the more “scholarly” nature of the visions.</w:t>
      </w:r>
      <w:r w:rsidR="00FF5C21" w:rsidRPr="0066103C">
        <w:rPr>
          <w:rStyle w:val="FootnoteReference"/>
        </w:rPr>
        <w:footnoteReference w:id="220"/>
      </w:r>
      <w:r w:rsidR="002846AD" w:rsidRPr="0066103C">
        <w:t xml:space="preserve"> </w:t>
      </w:r>
      <w:r w:rsidR="00387DEB">
        <w:t>To understand them, then,</w:t>
      </w:r>
      <w:r w:rsidR="002846AD" w:rsidRPr="0066103C">
        <w:t xml:space="preserve"> </w:t>
      </w:r>
      <w:r w:rsidR="00FF5C21" w:rsidRPr="0066103C">
        <w:t>the layperson</w:t>
      </w:r>
      <w:r w:rsidR="00387DEB">
        <w:t xml:space="preserve"> </w:t>
      </w:r>
      <w:r w:rsidR="00FF5C21" w:rsidRPr="0066103C">
        <w:t>has to become a scholar.</w:t>
      </w:r>
      <w:r w:rsidR="00FF5C21" w:rsidRPr="0066103C">
        <w:rPr>
          <w:rStyle w:val="FootnoteReference"/>
        </w:rPr>
        <w:footnoteReference w:id="221"/>
      </w:r>
      <w:r w:rsidR="00002B66" w:rsidRPr="0066103C">
        <w:t xml:space="preserve"> Yet </w:t>
      </w:r>
      <w:r w:rsidR="002846AD" w:rsidRPr="0066103C">
        <w:t xml:space="preserve">the visions are </w:t>
      </w:r>
      <w:r w:rsidR="002846AD" w:rsidRPr="0066103C">
        <w:lastRenderedPageBreak/>
        <w:t>not simply an exercise in scholarly theology, and studying them is not a mere academic pursuit. “I</w:t>
      </w:r>
      <w:r w:rsidR="00002B66" w:rsidRPr="0066103C">
        <w:t xml:space="preserve">n 167 </w:t>
      </w:r>
      <w:r w:rsidR="00002B66" w:rsidRPr="0066103C">
        <w:rPr>
          <w:rStyle w:val="smallcaps"/>
        </w:rPr>
        <w:t>BC</w:t>
      </w:r>
      <w:r w:rsidR="00002B66" w:rsidRPr="0066103C">
        <w:t xml:space="preserve"> when to be a practicing Jew meant that one might die under torture, that message became more than a philosophy of history.”</w:t>
      </w:r>
      <w:r w:rsidR="00002B66" w:rsidRPr="0066103C">
        <w:rPr>
          <w:rStyle w:val="FootnoteReference"/>
        </w:rPr>
        <w:footnoteReference w:id="222"/>
      </w:r>
      <w:r w:rsidR="00387DEB">
        <w:t xml:space="preserve"> And </w:t>
      </w:r>
      <w:r w:rsidR="00387DEB" w:rsidRPr="00387DEB">
        <w:t>over recent decades</w:t>
      </w:r>
      <w:r w:rsidR="00387DEB">
        <w:t>m as</w:t>
      </w:r>
      <w:r w:rsidR="00387DEB" w:rsidRPr="00387DEB">
        <w:t xml:space="preserve"> considerations such as the interest in narrative have generated more scholarly interest in </w:t>
      </w:r>
      <w:r w:rsidR="00387DEB">
        <w:t xml:space="preserve">the stories, </w:t>
      </w:r>
      <w:r w:rsidR="00387DEB" w:rsidRPr="00387DEB">
        <w:t xml:space="preserve">the “Left Behind” </w:t>
      </w:r>
      <w:r w:rsidR="00387DEB">
        <w:t>series of novels have sold</w:t>
      </w:r>
      <w:r w:rsidR="00387DEB" w:rsidRPr="00387DEB">
        <w:t xml:space="preserve"> 65 million cop</w:t>
      </w:r>
      <w:r w:rsidR="00387DEB">
        <w:t>ies and evidence widespread interest in “apocalyptic.”</w:t>
      </w:r>
    </w:p>
    <w:p w:rsidR="002A644D" w:rsidRPr="0066103C" w:rsidRDefault="00387DEB" w:rsidP="004F0A02">
      <w:r>
        <w:t>The book takes us</w:t>
      </w:r>
      <w:r w:rsidR="004F0A02" w:rsidRPr="0066103C">
        <w:t xml:space="preserve"> back in the reign of Belshazzar</w:t>
      </w:r>
      <w:r>
        <w:t>, indeed to</w:t>
      </w:r>
      <w:r w:rsidR="00864152" w:rsidRPr="0066103C">
        <w:t xml:space="preserve"> its beginning</w:t>
      </w:r>
      <w:r w:rsidR="002A644D" w:rsidRPr="0066103C">
        <w:t>, which is also “the beginning of the end of the Babylonian Empire</w:t>
      </w:r>
      <w:r w:rsidR="00864152" w:rsidRPr="0066103C">
        <w:t>.</w:t>
      </w:r>
      <w:r w:rsidR="005B2F21" w:rsidRPr="0066103C">
        <w:t>”</w:t>
      </w:r>
      <w:r w:rsidR="002A644D" w:rsidRPr="0066103C">
        <w:rPr>
          <w:rStyle w:val="FootnoteReference"/>
        </w:rPr>
        <w:footnoteReference w:id="223"/>
      </w:r>
      <w:r>
        <w:t xml:space="preserve"> It thus takes us back</w:t>
      </w:r>
      <w:r w:rsidR="004F0A02" w:rsidRPr="0066103C">
        <w:t xml:space="preserve"> to a point from which we can get a broader perspective on the disturbing tale of the abominations of Belshazzar in his last year, the apparent ousting of Daniel himself from the court circle, the portent that speaks of Belshazzar’s Babylonian regime yielding not to an Israelite kingdom but to a Medo-Persian one, and the realization of that </w:t>
      </w:r>
      <w:r w:rsidR="00864152" w:rsidRPr="0066103C">
        <w:t xml:space="preserve">yielding </w:t>
      </w:r>
      <w:r w:rsidR="004F0A02" w:rsidRPr="0066103C">
        <w:t xml:space="preserve">in the feeble but dangerous person of Darius. Chap. 7 offers a retrospective context for understanding those strange events, as </w:t>
      </w:r>
      <w:r w:rsidR="00302CEC">
        <w:t>chap. 2 offers a prospective one</w:t>
      </w:r>
      <w:r w:rsidR="004F0A02" w:rsidRPr="0066103C">
        <w:t xml:space="preserve"> for the reign of Nebuchadnezzar.</w:t>
      </w:r>
    </w:p>
    <w:p w:rsidR="002B4ABC" w:rsidRPr="0066103C" w:rsidRDefault="004F0A02" w:rsidP="002B4ABC">
      <w:r w:rsidRPr="0066103C">
        <w:t xml:space="preserve">A perspective on history set in the reign of Belshazzar and following on the stories in chaps. 3–6 might be expected to have a more somber tone and to offer a gloomier picture </w:t>
      </w:r>
      <w:r w:rsidR="005B2F21" w:rsidRPr="0066103C">
        <w:t>of the world powers than the perspective</w:t>
      </w:r>
      <w:r w:rsidRPr="0066103C">
        <w:t xml:space="preserve"> suggested by chap. 2 at the beginning of Nebuchadnezzar’s reign. If the year when Belshazzar became regent was </w:t>
      </w:r>
      <w:r w:rsidR="004C0E5C" w:rsidRPr="0066103C">
        <w:t>about 550</w:t>
      </w:r>
      <w:r w:rsidR="00387DEB">
        <w:t>, it</w:t>
      </w:r>
      <w:r w:rsidRPr="0066103C">
        <w:t xml:space="preserve"> was also the year that Cyrus, king of Anshan, took over the Median empire and signaled the chain of events that would lead historically to Belshazzar’s deat</w:t>
      </w:r>
      <w:r w:rsidR="004C0E5C" w:rsidRPr="0066103C">
        <w:t xml:space="preserve">h and Babylon’s fall. </w:t>
      </w:r>
      <w:r w:rsidR="00387DEB">
        <w:t xml:space="preserve">In Isa 40—48 </w:t>
      </w:r>
      <w:r w:rsidRPr="0066103C">
        <w:t xml:space="preserve">that </w:t>
      </w:r>
      <w:r w:rsidR="004C0E5C" w:rsidRPr="0066103C">
        <w:t xml:space="preserve">development </w:t>
      </w:r>
      <w:r w:rsidR="002C5218">
        <w:t>is</w:t>
      </w:r>
      <w:r w:rsidRPr="0066103C">
        <w:t xml:space="preserve"> </w:t>
      </w:r>
      <w:r w:rsidR="002C5218">
        <w:t xml:space="preserve">proclaimed as </w:t>
      </w:r>
      <w:r w:rsidRPr="0066103C">
        <w:t>go</w:t>
      </w:r>
      <w:r w:rsidR="00F236EC" w:rsidRPr="0066103C">
        <w:t>o</w:t>
      </w:r>
      <w:r w:rsidR="002C5218">
        <w:t>d news</w:t>
      </w:r>
      <w:r w:rsidRPr="0066103C">
        <w:t xml:space="preserve">. </w:t>
      </w:r>
      <w:r w:rsidR="002C5218">
        <w:t xml:space="preserve">The perspective of </w:t>
      </w:r>
      <w:r w:rsidRPr="0066103C">
        <w:t>Dani</w:t>
      </w:r>
      <w:r w:rsidR="002C5218">
        <w:t>el’s vision is more like that of the b</w:t>
      </w:r>
      <w:r w:rsidRPr="0066103C">
        <w:t>ook of Ezekiel, whose dates refer to slightly earlier years in the sixth century, but whose prospect includes a further crisis beyond the rest</w:t>
      </w:r>
      <w:r w:rsidR="004C0E5C" w:rsidRPr="0066103C">
        <w:t>oration of the Judahites</w:t>
      </w:r>
      <w:r w:rsidRPr="0066103C">
        <w:t xml:space="preserve"> to their land (see Ezek 38–39). </w:t>
      </w:r>
      <w:r w:rsidR="005B2F21" w:rsidRPr="0066103C">
        <w:t>History will continue to resemble</w:t>
      </w:r>
      <w:r w:rsidRPr="0066103C">
        <w:t xml:space="preserve"> a troubled sea.</w:t>
      </w:r>
      <w:r w:rsidR="002B4ABC" w:rsidRPr="0066103C">
        <w:t xml:space="preserve"> But God stills the roaring of the sea (Ps 65:8; cf. 93:4), and in the new heavens and </w:t>
      </w:r>
      <w:r w:rsidR="002C5218">
        <w:t xml:space="preserve">the new </w:t>
      </w:r>
      <w:r w:rsidR="002B4ABC" w:rsidRPr="0066103C">
        <w:t>earth, there is no sea.</w:t>
      </w:r>
      <w:r w:rsidR="002B4ABC" w:rsidRPr="0066103C">
        <w:rPr>
          <w:vertAlign w:val="superscript"/>
        </w:rPr>
        <w:footnoteReference w:id="224"/>
      </w:r>
    </w:p>
    <w:p w:rsidR="004F0A02" w:rsidRPr="0066103C" w:rsidRDefault="004F0A02" w:rsidP="004F0A02">
      <w:r w:rsidRPr="0066103C">
        <w:t>Daniel’s notio</w:t>
      </w:r>
      <w:r w:rsidR="005B2F21" w:rsidRPr="0066103C">
        <w:t>nal audience continues to be Judahite</w:t>
      </w:r>
      <w:r w:rsidRPr="0066103C">
        <w:t>s living in the early years of the Persian empire, but the message for them now comes not from the recent pas</w:t>
      </w:r>
      <w:r w:rsidR="004C0E5C" w:rsidRPr="0066103C">
        <w:t xml:space="preserve">t and from </w:t>
      </w:r>
      <w:r w:rsidRPr="0066103C">
        <w:t>Daniel’s experiences at court, but from the broad span of the future. For the book’s implied aud</w:t>
      </w:r>
      <w:r w:rsidR="004C0E5C" w:rsidRPr="0066103C">
        <w:t>ience in the second century</w:t>
      </w:r>
      <w:r w:rsidRPr="0066103C">
        <w:t>, the message no longer comes simply from the distant past, but from a past that anticipated their present, and from their own actual future. It speaks not only of survival despite pressure but of deliverance from pressure; not only of life in history but of life at the end of history; not only of God’s past interventions but of his one final intervention; not only of past rebukes of human power but of a final numbering of its days.</w:t>
      </w:r>
    </w:p>
    <w:p w:rsidR="003E7854" w:rsidRPr="0066103C" w:rsidRDefault="005B2F21" w:rsidP="004F0A02">
      <w:pPr>
        <w:rPr>
          <w:rFonts w:eastAsia="Times New Roman" w:cs="Times New Roman"/>
        </w:rPr>
      </w:pPr>
      <w:r w:rsidRPr="0066103C">
        <w:t>Whence comes the visions’</w:t>
      </w:r>
      <w:r w:rsidR="004F0A02" w:rsidRPr="0066103C">
        <w:t xml:space="preserve"> perspective on the significance of the nations and the relationship of international politics</w:t>
      </w:r>
      <w:r w:rsidR="002C5218">
        <w:t xml:space="preserve"> to the rule of God? It</w:t>
      </w:r>
      <w:r w:rsidR="004F0A02" w:rsidRPr="0066103C">
        <w:t xml:space="preserve"> reflects the imaginative intui</w:t>
      </w:r>
      <w:r w:rsidRPr="0066103C">
        <w:t xml:space="preserve">tion and insight of a visionary. </w:t>
      </w:r>
      <w:r w:rsidR="006D047D" w:rsidRPr="0066103C">
        <w:t>“</w:t>
      </w:r>
      <w:r w:rsidR="00CC7069" w:rsidRPr="0066103C">
        <w:rPr>
          <w:rFonts w:eastAsia="Times New Roman" w:cs="Times New Roman"/>
        </w:rPr>
        <w:t xml:space="preserve">The figure of Daniel as expert, developed in the narratives, is used explicitly as a foil in the apocalypses, where the expert appears repeatedly baffled. </w:t>
      </w:r>
      <w:r w:rsidR="00CC7069" w:rsidRPr="0066103C">
        <w:rPr>
          <w:rFonts w:eastAsia="Times New Roman" w:cs="Times New Roman"/>
          <w:i/>
        </w:rPr>
        <w:t>Esotericism replaces expertise as the model of knowledge</w:t>
      </w:r>
      <w:r w:rsidR="00CC7069" w:rsidRPr="0066103C">
        <w:rPr>
          <w:rFonts w:eastAsia="Times New Roman" w:cs="Times New Roman"/>
        </w:rPr>
        <w:t>. Its otherworldly quality is emphasized… through the media of dream visions and angelic interpreters, as well as through the physically devastating effects of revelation.</w:t>
      </w:r>
      <w:r w:rsidR="006D047D" w:rsidRPr="0066103C">
        <w:rPr>
          <w:rFonts w:eastAsia="Times New Roman" w:cs="Times New Roman"/>
        </w:rPr>
        <w:t>”</w:t>
      </w:r>
      <w:r w:rsidR="00CC7069" w:rsidRPr="0066103C">
        <w:rPr>
          <w:rStyle w:val="FootnoteReference"/>
          <w:rFonts w:eastAsia="Times New Roman" w:cs="Times New Roman"/>
        </w:rPr>
        <w:footnoteReference w:id="225"/>
      </w:r>
      <w:r w:rsidRPr="0066103C">
        <w:rPr>
          <w:rFonts w:eastAsia="Times New Roman" w:cs="Times New Roman"/>
        </w:rPr>
        <w:t xml:space="preserve"> Daniel has a dream, but his dream is God-given. His insight is received by revelation. This origin is </w:t>
      </w:r>
      <w:r w:rsidR="002C5218">
        <w:rPr>
          <w:rFonts w:eastAsia="Times New Roman" w:cs="Times New Roman"/>
        </w:rPr>
        <w:t xml:space="preserve">even more </w:t>
      </w:r>
      <w:r w:rsidRPr="0066103C">
        <w:rPr>
          <w:rFonts w:eastAsia="Times New Roman" w:cs="Times New Roman"/>
        </w:rPr>
        <w:t xml:space="preserve">explicit with regard to the </w:t>
      </w:r>
      <w:r w:rsidR="002C5218">
        <w:rPr>
          <w:rFonts w:eastAsia="Times New Roman" w:cs="Times New Roman"/>
        </w:rPr>
        <w:t>dream’s explanation</w:t>
      </w:r>
      <w:r w:rsidRPr="0066103C">
        <w:rPr>
          <w:rFonts w:eastAsia="Times New Roman" w:cs="Times New Roman"/>
        </w:rPr>
        <w:t>.</w:t>
      </w:r>
    </w:p>
    <w:p w:rsidR="004F0A02" w:rsidRPr="0066103C" w:rsidRDefault="002C5218" w:rsidP="004F0A02">
      <w:r>
        <w:t>H</w:t>
      </w:r>
      <w:r w:rsidR="004F0A02" w:rsidRPr="0066103C">
        <w:t xml:space="preserve">ow does imagination operate, how is revelation mediated? The </w:t>
      </w:r>
      <w:r>
        <w:t>dream’s content hints that it operates through</w:t>
      </w:r>
      <w:r w:rsidR="00A84751" w:rsidRPr="0066103C">
        <w:t xml:space="preserve"> earlier s</w:t>
      </w:r>
      <w:r w:rsidR="004F0A02" w:rsidRPr="0066103C">
        <w:t xml:space="preserve">criptures, </w:t>
      </w:r>
      <w:r w:rsidR="003E7854" w:rsidRPr="0066103C">
        <w:t xml:space="preserve">through </w:t>
      </w:r>
      <w:r w:rsidR="004F0A02" w:rsidRPr="0066103C">
        <w:t>th</w:t>
      </w:r>
      <w:r w:rsidR="003E7854" w:rsidRPr="0066103C">
        <w:t xml:space="preserve">e acts of God they reflect, through other traditions and </w:t>
      </w:r>
      <w:r w:rsidR="003E7854" w:rsidRPr="0066103C">
        <w:lastRenderedPageBreak/>
        <w:t xml:space="preserve">imagery that the visionary is familiar with, and through </w:t>
      </w:r>
      <w:r w:rsidR="004F0A02" w:rsidRPr="0066103C">
        <w:t>the kind of experiences previou</w:t>
      </w:r>
      <w:r w:rsidR="003E7854" w:rsidRPr="0066103C">
        <w:t xml:space="preserve">s chapters have described. The point is </w:t>
      </w:r>
      <w:r w:rsidR="004F0A02" w:rsidRPr="0066103C">
        <w:t>clearer when we look at the d</w:t>
      </w:r>
      <w:r w:rsidR="004C0E5C" w:rsidRPr="0066103C">
        <w:t xml:space="preserve">ream in its second-century </w:t>
      </w:r>
      <w:r w:rsidR="004F0A02" w:rsidRPr="0066103C">
        <w:t>context, which implies that the dream is in part the f</w:t>
      </w:r>
      <w:r w:rsidR="003E7854" w:rsidRPr="0066103C">
        <w:t xml:space="preserve">ruit of reflection on </w:t>
      </w:r>
      <w:r w:rsidR="004F0A02" w:rsidRPr="0066103C">
        <w:t>events from the</w:t>
      </w:r>
      <w:r w:rsidR="00200AC9">
        <w:t xml:space="preserve"> sixth</w:t>
      </w:r>
      <w:r w:rsidR="00365F8C">
        <w:t xml:space="preserve"> to the second centuries</w:t>
      </w:r>
      <w:r w:rsidR="004F0A02" w:rsidRPr="0066103C">
        <w:t>. This history has become a means of revelation cast in the form of prophecy. Empire after empire has risen and fallen</w:t>
      </w:r>
      <w:r>
        <w:t>. If Antiochus rises higher, i</w:t>
      </w:r>
      <w:r w:rsidR="004F0A02" w:rsidRPr="0066103C">
        <w:t>t will mean he falls harder.</w:t>
      </w:r>
    </w:p>
    <w:p w:rsidR="004F0A02" w:rsidRPr="0066103C" w:rsidRDefault="004F0A02" w:rsidP="004F0A02">
      <w:r w:rsidRPr="0066103C">
        <w:t>History did not have to be read th</w:t>
      </w:r>
      <w:r w:rsidR="004C0E5C" w:rsidRPr="0066103C">
        <w:t>at way. The second-century crisis was unprecedented</w:t>
      </w:r>
      <w:r w:rsidRPr="0066103C">
        <w:t>, and imagination and faith had to undertake a quantum leap in order to express what the vision declares. History becomes reve</w:t>
      </w:r>
      <w:r w:rsidR="004C0E5C" w:rsidRPr="0066103C">
        <w:t xml:space="preserve">latory when it is viewed in </w:t>
      </w:r>
      <w:r w:rsidRPr="0066103C">
        <w:t>light of the tradition of what God has said a</w:t>
      </w:r>
      <w:r w:rsidR="004C0E5C" w:rsidRPr="0066103C">
        <w:t xml:space="preserve">nd done in the past, and in </w:t>
      </w:r>
      <w:r w:rsidRPr="0066103C">
        <w:t xml:space="preserve">light of the word he is speaking now, both </w:t>
      </w:r>
      <w:r w:rsidR="004C0E5C" w:rsidRPr="0066103C">
        <w:t xml:space="preserve">being </w:t>
      </w:r>
      <w:r w:rsidRPr="0066103C">
        <w:t>suggestive of God’s promise about history which hope is invited to grasp despite the extent to which it contrasts with present experience.</w:t>
      </w:r>
      <w:r w:rsidR="004C0E5C" w:rsidRPr="0066103C">
        <w:rPr>
          <w:rStyle w:val="FootnoteReference"/>
        </w:rPr>
        <w:footnoteReference w:id="226"/>
      </w:r>
      <w:r w:rsidR="00276CFC">
        <w:t xml:space="preserve"> It looks in the face the </w:t>
      </w:r>
      <w:r w:rsidRPr="0066103C">
        <w:t>real</w:t>
      </w:r>
      <w:r w:rsidR="00365F8C">
        <w:t>ities of history since the Babylon</w:t>
      </w:r>
      <w:r w:rsidR="00276CFC">
        <w:t>ia</w:t>
      </w:r>
      <w:r w:rsidR="00365F8C">
        <w:t>n period</w:t>
      </w:r>
      <w:r w:rsidR="00276CFC">
        <w:t xml:space="preserve"> and the </w:t>
      </w:r>
      <w:r w:rsidRPr="0066103C">
        <w:t>darker real</w:t>
      </w:r>
      <w:r w:rsidR="004C0E5C" w:rsidRPr="0066103C">
        <w:t>ities of the second century</w:t>
      </w:r>
      <w:r w:rsidRPr="0066103C">
        <w:t>, but insists on also gazing steadily at how the future must be, given who God is. In this sense, the vision’s perspective is the gift of revelation received by faith, which accepts the risk of its being the fruit of fantasy received in wishful thinking.</w:t>
      </w:r>
      <w:r w:rsidR="004C0E5C" w:rsidRPr="0066103C">
        <w:rPr>
          <w:rStyle w:val="FootnoteReference"/>
        </w:rPr>
        <w:footnoteReference w:id="227"/>
      </w:r>
      <w:r w:rsidRPr="0066103C">
        <w:t xml:space="preserve"> The outrages of the present make it morally necessary for there to be judgment and rever</w:t>
      </w:r>
      <w:r w:rsidR="004C0E5C" w:rsidRPr="0066103C">
        <w:t>sal in the future: otherwise everything</w:t>
      </w:r>
      <w:r w:rsidR="003E7854" w:rsidRPr="0066103C">
        <w:t xml:space="preserve"> that people know</w:t>
      </w:r>
      <w:r w:rsidRPr="0066103C">
        <w:t xml:space="preserve"> about God and </w:t>
      </w:r>
      <w:r w:rsidR="003E7854" w:rsidRPr="0066103C">
        <w:t xml:space="preserve">about </w:t>
      </w:r>
      <w:r w:rsidR="00276CFC">
        <w:t>Israel</w:t>
      </w:r>
      <w:r w:rsidRPr="0066103C">
        <w:t>’s r</w:t>
      </w:r>
      <w:r w:rsidR="003E7854" w:rsidRPr="0066103C">
        <w:t>elationship to him is put in question.</w:t>
      </w:r>
      <w:r w:rsidRPr="0066103C">
        <w:t xml:space="preserve"> A crisis </w:t>
      </w:r>
      <w:r w:rsidR="003E7854" w:rsidRPr="0066103C">
        <w:t>can deepen</w:t>
      </w:r>
      <w:r w:rsidRPr="0066103C">
        <w:t xml:space="preserve"> faith in the power of God rather than destroying it.</w:t>
      </w:r>
    </w:p>
    <w:p w:rsidR="006D047D" w:rsidRPr="0066103C" w:rsidRDefault="00276CFC" w:rsidP="004F0A02">
      <w:r>
        <w:t>Earlier on, Judahites could hold out under</w:t>
      </w:r>
      <w:r w:rsidR="003E7854" w:rsidRPr="0066103C">
        <w:t xml:space="preserve"> t</w:t>
      </w:r>
      <w:r w:rsidR="006D047D" w:rsidRPr="0066103C">
        <w:t>he pressures of l</w:t>
      </w:r>
      <w:r w:rsidR="00365F8C">
        <w:t xml:space="preserve">iving </w:t>
      </w:r>
      <w:r w:rsidR="006D047D" w:rsidRPr="0066103C">
        <w:t xml:space="preserve">under the Babylonians or </w:t>
      </w:r>
      <w:r>
        <w:t>the Persians or the Greeks</w:t>
      </w:r>
      <w:r w:rsidR="006D047D" w:rsidRPr="0066103C">
        <w:t>. They could</w:t>
      </w:r>
      <w:r>
        <w:t xml:space="preserve"> see (or envisage) God acting and</w:t>
      </w:r>
      <w:r w:rsidR="006D047D" w:rsidRPr="0066103C">
        <w:t xml:space="preserve"> making it possible for them to survive and even to triu</w:t>
      </w:r>
      <w:r>
        <w:t xml:space="preserve">mph. They could believe that God’s sovereignty </w:t>
      </w:r>
      <w:r w:rsidR="006D047D" w:rsidRPr="0066103C">
        <w:t>could be working through the sovereignty of G</w:t>
      </w:r>
      <w:r w:rsidR="0021244A" w:rsidRPr="0066103C">
        <w:t xml:space="preserve">entile monarchs. </w:t>
      </w:r>
      <w:r w:rsidR="006D047D" w:rsidRPr="0066103C">
        <w:t>The pressures of living under Antiochus were of a different order.</w:t>
      </w:r>
      <w:r w:rsidR="00945C8C">
        <w:t xml:space="preserve"> </w:t>
      </w:r>
      <w:r w:rsidR="0021244A" w:rsidRPr="0066103C">
        <w:t>T</w:t>
      </w:r>
      <w:r w:rsidR="003E7854" w:rsidRPr="0066103C">
        <w:t>he enormity of his acts made i</w:t>
      </w:r>
      <w:r w:rsidR="0021244A" w:rsidRPr="0066103C">
        <w:t>t impossible to believe</w:t>
      </w:r>
      <w:r w:rsidR="003E7854" w:rsidRPr="0066103C">
        <w:t xml:space="preserve"> that God’s sovereignty was working through him. It</w:t>
      </w:r>
      <w:r w:rsidR="0021244A" w:rsidRPr="0066103C">
        <w:t xml:space="preserve"> required another understanding of the relationship between human sovereignty and divine sovereignty. The former would need to be replaced by the latter rather than being the means of implementing the latter.</w:t>
      </w:r>
      <w:r w:rsidR="0021244A" w:rsidRPr="0066103C">
        <w:rPr>
          <w:rStyle w:val="FootnoteReference"/>
        </w:rPr>
        <w:footnoteReference w:id="228"/>
      </w:r>
    </w:p>
    <w:p w:rsidR="003E7854" w:rsidRPr="0066103C" w:rsidRDefault="004F0A02" w:rsidP="003E7854">
      <w:r w:rsidRPr="0066103C">
        <w:t xml:space="preserve">For the first time in the book, a vision is written down. </w:t>
      </w:r>
      <w:r w:rsidR="0060008F">
        <w:t>From time to time, t</w:t>
      </w:r>
      <w:r w:rsidR="003E7854" w:rsidRPr="0066103C">
        <w:t xml:space="preserve">he OT </w:t>
      </w:r>
      <w:r w:rsidR="0060008F">
        <w:t>speaks</w:t>
      </w:r>
      <w:r w:rsidR="003E7854" w:rsidRPr="0066103C">
        <w:t xml:space="preserve"> of the </w:t>
      </w:r>
      <w:r w:rsidR="0060008F">
        <w:t>messages of prophets being put into writing (</w:t>
      </w:r>
      <w:r w:rsidR="003E7854" w:rsidRPr="0066103C">
        <w:t>Isa 8:1, 16; 30:8; Jer 30:2; 36:2; 5</w:t>
      </w:r>
      <w:r w:rsidR="0060008F">
        <w:t>1:60; Ezek 43:11; Hab 2:2</w:t>
      </w:r>
      <w:r w:rsidR="003E7854" w:rsidRPr="0066103C">
        <w:t xml:space="preserve">). </w:t>
      </w:r>
      <w:r w:rsidR="0060008F">
        <w:t>While the ministry of prophets was characteristically oral, w</w:t>
      </w:r>
      <w:r w:rsidR="003E7854" w:rsidRPr="0066103C">
        <w:t>riting made a prophecy more solid, concret</w:t>
      </w:r>
      <w:r w:rsidR="00BB1317">
        <w:t>e, and certain of fulfillment. I</w:t>
      </w:r>
      <w:r w:rsidR="003E7854" w:rsidRPr="0066103C">
        <w:t>ndeed, putting something into writing initiated its fulfillment. It also made prophecy, prophet, and God open to vindication: the written word was fixed and could be tested by events. A related conviction, which could even survive apparent disconfirmation by events, was the belief of a prophet and his associates that a particular prophecy was a word from God which needed to be preserved to allow it to continue to speak.</w:t>
      </w:r>
    </w:p>
    <w:p w:rsidR="004F0A02" w:rsidRPr="0066103C" w:rsidRDefault="0060008F" w:rsidP="004F0A02">
      <w:r>
        <w:t xml:space="preserve">Writing </w:t>
      </w:r>
      <w:r w:rsidRPr="0060008F">
        <w:t>was intrinsic to revelations s</w:t>
      </w:r>
      <w:r>
        <w:t xml:space="preserve">uch as the ones in Dan 7—12 </w:t>
      </w:r>
      <w:r w:rsidR="004E6FC6">
        <w:t xml:space="preserve">(cf. 8:26; 12:4, 9; </w:t>
      </w:r>
      <w:r w:rsidRPr="0060008F">
        <w:rPr>
          <w:i/>
        </w:rPr>
        <w:t>1</w:t>
      </w:r>
      <w:r w:rsidRPr="0060008F">
        <w:t xml:space="preserve"> </w:t>
      </w:r>
      <w:r w:rsidRPr="0060008F">
        <w:rPr>
          <w:i/>
        </w:rPr>
        <w:t xml:space="preserve">Enoch </w:t>
      </w:r>
      <w:r w:rsidRPr="0060008F">
        <w:t xml:space="preserve">33.3–4; </w:t>
      </w:r>
      <w:r w:rsidRPr="0060008F">
        <w:rPr>
          <w:i/>
        </w:rPr>
        <w:t>T. Moses</w:t>
      </w:r>
      <w:r w:rsidR="009F4D96">
        <w:t xml:space="preserve"> 1.16; 2 Esd 14:42</w:t>
      </w:r>
      <w:r w:rsidRPr="0060008F">
        <w:t>).</w:t>
      </w:r>
      <w:r w:rsidR="004E6FC6">
        <w:t xml:space="preserve"> While the same considerations apply as are relevant for prophecy, writing down</w:t>
      </w:r>
      <w:r w:rsidR="008D6427">
        <w:t xml:space="preserve"> was</w:t>
      </w:r>
      <w:r w:rsidR="003E7854" w:rsidRPr="0066103C">
        <w:t xml:space="preserve"> </w:t>
      </w:r>
      <w:r w:rsidR="004E6FC6">
        <w:t xml:space="preserve">also </w:t>
      </w:r>
      <w:r w:rsidR="003E7854" w:rsidRPr="0066103C">
        <w:t xml:space="preserve">logically necessary if the message </w:t>
      </w:r>
      <w:r w:rsidR="008D6427">
        <w:t>set in the sixth century wa</w:t>
      </w:r>
      <w:r w:rsidR="003E7854" w:rsidRPr="0066103C">
        <w:t xml:space="preserve">s to reach the audience whom it </w:t>
      </w:r>
      <w:r w:rsidR="008D6427">
        <w:t xml:space="preserve">especially </w:t>
      </w:r>
      <w:r w:rsidR="003E7854" w:rsidRPr="0066103C">
        <w:t xml:space="preserve">concerned, </w:t>
      </w:r>
      <w:r w:rsidR="008D6427">
        <w:t>four centuries later</w:t>
      </w:r>
      <w:r w:rsidR="003E7854" w:rsidRPr="0066103C">
        <w:t xml:space="preserve">. </w:t>
      </w:r>
      <w:r w:rsidR="004F0A02" w:rsidRPr="0066103C">
        <w:t>The literary and historical cont</w:t>
      </w:r>
      <w:r w:rsidR="004C0E5C" w:rsidRPr="0066103C">
        <w:t xml:space="preserve">ext of Dan 5–7 and 550–537 BC </w:t>
      </w:r>
      <w:r w:rsidR="004F0A02" w:rsidRPr="0066103C">
        <w:t>are only one level of the chapter’s reference, and (it will turn o</w:t>
      </w:r>
      <w:r w:rsidR="003E7854" w:rsidRPr="0066103C">
        <w:t>ut) not the most significant. The chapters have</w:t>
      </w:r>
      <w:r w:rsidR="004F0A02" w:rsidRPr="0066103C">
        <w:t xml:space="preserve"> most to say concerning events centuries ahead to a people yet unborn. In the literary form of a quasi-pr</w:t>
      </w:r>
      <w:r w:rsidR="00E025ED" w:rsidRPr="0066103C">
        <w:t>ediction</w:t>
      </w:r>
      <w:r w:rsidR="004F0A02" w:rsidRPr="0066103C">
        <w:t>, writing it down is the li</w:t>
      </w:r>
      <w:r w:rsidR="004C0E5C" w:rsidRPr="0066103C">
        <w:t xml:space="preserve">nk between the </w:t>
      </w:r>
      <w:r w:rsidR="008D6427">
        <w:t>named seer and his</w:t>
      </w:r>
      <w:r w:rsidR="009F4D96">
        <w:t xml:space="preserve"> actual audience (thus writing things down in </w:t>
      </w:r>
      <w:r w:rsidR="009F4D96" w:rsidRPr="009F4D96">
        <w:t>Rev 1:11, 19; 21:5</w:t>
      </w:r>
      <w:r w:rsidR="009F4D96">
        <w:t xml:space="preserve"> is rather different—in fact, it is as much like prophets writing things or Paul writing letters).</w:t>
      </w:r>
    </w:p>
    <w:p w:rsidR="004E6FC6" w:rsidRPr="0066103C" w:rsidRDefault="004F0A02" w:rsidP="004E6FC6">
      <w:r w:rsidRPr="0066103C">
        <w:t xml:space="preserve">Theologically, narrating history as if it were prophecy affirms that the events that unfold have been within </w:t>
      </w:r>
      <w:r w:rsidR="00DA7268" w:rsidRPr="0066103C">
        <w:t xml:space="preserve">the control and purview of God: “all things past, present and to come are present unto </w:t>
      </w:r>
      <w:r w:rsidR="00DA7268" w:rsidRPr="0066103C">
        <w:lastRenderedPageBreak/>
        <w:t>God.”</w:t>
      </w:r>
      <w:r w:rsidR="00DA7268" w:rsidRPr="0066103C">
        <w:rPr>
          <w:rStyle w:val="FootnoteReference"/>
        </w:rPr>
        <w:footnoteReference w:id="229"/>
      </w:r>
      <w:r w:rsidR="00DA7268" w:rsidRPr="0066103C">
        <w:t xml:space="preserve"> </w:t>
      </w:r>
      <w:r w:rsidRPr="0066103C">
        <w:t xml:space="preserve">Beyond that device, the chapter achieves much of its effect by its use of symbolism (see </w:t>
      </w:r>
      <w:r w:rsidRPr="0066103C">
        <w:rPr>
          <w:i/>
        </w:rPr>
        <w:t>Form</w:t>
      </w:r>
      <w:r w:rsidRPr="0066103C">
        <w:t>). Even the later sections that “explain” the opening part of the vision sti</w:t>
      </w:r>
      <w:r w:rsidR="003E7854" w:rsidRPr="0066103C">
        <w:t>ll use symbols. The</w:t>
      </w:r>
      <w:r w:rsidRPr="0066103C">
        <w:t xml:space="preserve"> symbols make possible a way of speaking that communicates without removi</w:t>
      </w:r>
      <w:r w:rsidR="003E7854" w:rsidRPr="0066103C">
        <w:t>ng all allusiveness; Dan 7 is the most allusive chapter in</w:t>
      </w:r>
      <w:r w:rsidRPr="0066103C">
        <w:t xml:space="preserve"> the </w:t>
      </w:r>
      <w:r w:rsidR="003E7854" w:rsidRPr="0066103C">
        <w:t xml:space="preserve">book, and our explanation </w:t>
      </w:r>
      <w:r w:rsidRPr="0066103C">
        <w:t>must preserve that feature rather than resolving it by reference to other chapters. Referring to historical realities by mean</w:t>
      </w:r>
      <w:r w:rsidR="008D6427">
        <w:t>s of ciphers hints that they express</w:t>
      </w:r>
      <w:r w:rsidRPr="0066103C">
        <w:t xml:space="preserve"> something not quite straightforward, something mysterious. Representing them by means of metaphor and simile points indirectly to aspects of their inner meaning and </w:t>
      </w:r>
      <w:r w:rsidR="008D6427">
        <w:t xml:space="preserve">of </w:t>
      </w:r>
      <w:r w:rsidR="00E37E38" w:rsidRPr="0066103C">
        <w:t>their</w:t>
      </w:r>
      <w:r w:rsidR="008D6427">
        <w:t xml:space="preserve"> </w:t>
      </w:r>
      <w:r w:rsidRPr="0066103C">
        <w:t>transcendent signific</w:t>
      </w:r>
      <w:r w:rsidR="00E37E38" w:rsidRPr="0066103C">
        <w:t>ance, without quite making meaning and significance</w:t>
      </w:r>
      <w:r w:rsidRPr="0066103C">
        <w:t xml:space="preserve"> overt. Describing them by means of such figur</w:t>
      </w:r>
      <w:r w:rsidR="009F4D96">
        <w:t>es of speech</w:t>
      </w:r>
      <w:r w:rsidR="00E37E38" w:rsidRPr="0066103C">
        <w:t xml:space="preserve"> which are </w:t>
      </w:r>
      <w:r w:rsidRPr="0066103C">
        <w:t xml:space="preserve">familiar from tradition and which interrelate </w:t>
      </w:r>
      <w:r w:rsidR="009F4D96">
        <w:t>within tradition (</w:t>
      </w:r>
      <w:r w:rsidR="00E37E38" w:rsidRPr="0066103C">
        <w:t>not least the</w:t>
      </w:r>
      <w:r w:rsidRPr="0066103C">
        <w:t xml:space="preserve"> sacred </w:t>
      </w:r>
      <w:r w:rsidR="00A84751" w:rsidRPr="0066103C">
        <w:t>tradition embodied in Israel’s s</w:t>
      </w:r>
      <w:r w:rsidR="009F4D96">
        <w:t>criptures)</w:t>
      </w:r>
      <w:r w:rsidRPr="0066103C">
        <w:t xml:space="preserve"> brings to them resonances and power that newly minted simile and metaphor do not have. Portraying them by means of ancient mythical motifs that identify them as contemporary embodiments of primordial forces expresses and adds to their horrific aspect, yet also conveys the sense that they represent nothing novel or im</w:t>
      </w:r>
      <w:r w:rsidR="004C0E5C" w:rsidRPr="0066103C">
        <w:t>mune from judgment. Mythic motifs also make</w:t>
      </w:r>
      <w:r w:rsidRPr="0066103C">
        <w:t xml:space="preserve"> it possible to speak of realities that by their very natur</w:t>
      </w:r>
      <w:r w:rsidR="009F4D96">
        <w:t>e can</w:t>
      </w:r>
      <w:r w:rsidR="00E37E38" w:rsidRPr="0066103C">
        <w:t>not be depicted</w:t>
      </w:r>
      <w:r w:rsidR="004C0E5C" w:rsidRPr="0066103C">
        <w:t xml:space="preserve"> in an</w:t>
      </w:r>
      <w:r w:rsidRPr="0066103C">
        <w:t>other, more straightforward way.</w:t>
      </w:r>
      <w:r w:rsidR="009F4D96">
        <w:t xml:space="preserve"> </w:t>
      </w:r>
      <w:r w:rsidR="004E6FC6">
        <w:t>T</w:t>
      </w:r>
      <w:r w:rsidR="004E6FC6" w:rsidRPr="0066103C">
        <w:t xml:space="preserve">he </w:t>
      </w:r>
      <w:r w:rsidR="004E6FC6">
        <w:t>vision’</w:t>
      </w:r>
      <w:r w:rsidR="009F4D96">
        <w:t>s coming by night</w:t>
      </w:r>
      <w:r w:rsidR="004E6FC6">
        <w:t xml:space="preserve">also adds to its impact, though </w:t>
      </w:r>
      <w:r w:rsidR="009F4D96">
        <w:t>it</w:t>
      </w:r>
      <w:r w:rsidR="004E6FC6" w:rsidRPr="0066103C">
        <w:t xml:space="preserve"> does not in itself make it something terrifying, a nightmare: visions often happen at night (cf. the revelation in 2:19).</w:t>
      </w:r>
    </w:p>
    <w:p w:rsidR="00E37E38" w:rsidRPr="0066103C" w:rsidRDefault="004F0A02" w:rsidP="00E37E38">
      <w:r w:rsidRPr="008D6427">
        <w:rPr>
          <w:b/>
        </w:rPr>
        <w:t>2–3, 17</w:t>
      </w:r>
      <w:r w:rsidRPr="0066103C">
        <w:t xml:space="preserve"> </w:t>
      </w:r>
      <w:r w:rsidR="009F4D96">
        <w:t>Churning w</w:t>
      </w:r>
      <w:r w:rsidR="007C605F" w:rsidRPr="0066103C">
        <w:t>inds, heaving sea, and huge animals suggest supernatural forces: the power of God effecting his will (cf. Gen 1:2), the dense concentration of energy that threatens to disrupt and overwhe</w:t>
      </w:r>
      <w:r w:rsidR="009F4D96">
        <w:t>lm order, the embodiment of this</w:t>
      </w:r>
      <w:r w:rsidR="007C605F" w:rsidRPr="0066103C">
        <w:t xml:space="preserve"> threatening energy in particular beings (cf. Rev 13:1–7; 17:8). </w:t>
      </w:r>
      <w:r w:rsidR="007C605F" w:rsidRPr="0066103C">
        <w:rPr>
          <w:i/>
        </w:rPr>
        <w:t>Four</w:t>
      </w:r>
      <w:r w:rsidR="007C605F" w:rsidRPr="0066103C">
        <w:t xml:space="preserve"> winds and </w:t>
      </w:r>
      <w:r w:rsidR="009F4D96">
        <w:rPr>
          <w:i/>
        </w:rPr>
        <w:t xml:space="preserve">four </w:t>
      </w:r>
      <w:r w:rsidR="007C605F" w:rsidRPr="0066103C">
        <w:t>creatures suggest the world-encompassing totality of divine power and disorderly energy (cf. the fou</w:t>
      </w:r>
      <w:r w:rsidR="00E37E38" w:rsidRPr="0066103C">
        <w:t>rfold stream of Gen 2:10). F</w:t>
      </w:r>
      <w:r w:rsidR="002D41AB">
        <w:t>our winds also more prosaically suggest</w:t>
      </w:r>
      <w:r w:rsidR="00E37E38" w:rsidRPr="0066103C">
        <w:t xml:space="preserve"> winds coming</w:t>
      </w:r>
      <w:r w:rsidR="007C605F" w:rsidRPr="0066103C">
        <w:t xml:space="preserve"> from the four points of the compass (8:8; 11:4; cf. Zech 2:6 [10]; 6:5; 2 Esd 13:5, a passage related to Dan 7)</w:t>
      </w:r>
      <w:r w:rsidR="002D41AB">
        <w:t>, and the sea they churn up could suggest the Mediterranean, which</w:t>
      </w:r>
      <w:r w:rsidR="00E37E38" w:rsidRPr="0066103C">
        <w:t xml:space="preserve"> some people would know</w:t>
      </w:r>
      <w:r w:rsidR="007C605F" w:rsidRPr="0066103C">
        <w:t xml:space="preserve">. </w:t>
      </w:r>
      <w:r w:rsidR="00AF7C6B" w:rsidRPr="0066103C">
        <w:t>Daniel’s vision invites them</w:t>
      </w:r>
      <w:r w:rsidR="00E37E38" w:rsidRPr="0066103C">
        <w:t xml:space="preserve"> to stand with him near the shore of the Mediterranean at a spot such as the promontory at Yafo where th</w:t>
      </w:r>
      <w:r w:rsidR="002D41AB">
        <w:t xml:space="preserve">e waters </w:t>
      </w:r>
      <w:r w:rsidR="00E37E38" w:rsidRPr="0066103C">
        <w:t>crash onto the Rock of Andromeda. A well-known voyage from this port ended in Yahweh’s hurling a great wind into the sea, causing a mighty tempest, and eventually bringing about an encounter with a bizarre monster (Jonah 1). In Daniel’s vision, not merely one wind but gales from every direction whirlwind over the water and arouse it into a turbulent swell.</w:t>
      </w:r>
      <w:r w:rsidR="00AF7C6B" w:rsidRPr="0066103C">
        <w:t xml:space="preserve"> The sea is an embodiment of tumultuous forces exerted </w:t>
      </w:r>
      <w:r w:rsidR="00AF7C6B" w:rsidRPr="002D41AB">
        <w:rPr>
          <w:i/>
        </w:rPr>
        <w:t>against</w:t>
      </w:r>
      <w:r w:rsidR="00AF7C6B" w:rsidRPr="0066103C">
        <w:t xml:space="preserve"> God</w:t>
      </w:r>
      <w:r w:rsidR="002D41AB">
        <w:t>.</w:t>
      </w:r>
      <w:r w:rsidR="00A8538F">
        <w:t xml:space="preserve"> </w:t>
      </w:r>
    </w:p>
    <w:p w:rsidR="007C605F" w:rsidRPr="0066103C" w:rsidRDefault="007C605F" w:rsidP="007C605F">
      <w:r w:rsidRPr="0066103C">
        <w:t>The animals are not four similar embodiments of one hostile basic substance; they are explicitly varied.</w:t>
      </w:r>
      <w:r w:rsidR="00E37E38" w:rsidRPr="0066103C">
        <w:t xml:space="preserve"> They</w:t>
      </w:r>
      <w:r w:rsidRPr="0066103C">
        <w:t xml:space="preserve"> correspond to the four metals of chap. 2, which the author of Dan 7 (at least) takes to denote four earthly empires; it was a recognized convention to symbolize nations by creatures from the animal world. The point will become explicit in v 17, which understands the sea and its animals to denote the world and four of its kings. As with the winds, four suggests totality. Each </w:t>
      </w:r>
      <w:r w:rsidR="002D41AB">
        <w:t xml:space="preserve">compass point </w:t>
      </w:r>
      <w:r w:rsidRPr="0066103C">
        <w:t>spawns an animal. While the vision concerns a particular segment of history, not the entirety of history, it concerns that segment as a whole, with the totality of earthly forces that dominate the people of God over this period (cf. the four horns/smiths of Zech 1:18, 21 [2:1, 4])</w:t>
      </w:r>
      <w:r w:rsidR="00302CEC">
        <w:t>, and it suggests the idea that this segment of history embodies history as a whole</w:t>
      </w:r>
      <w:r w:rsidRPr="0066103C">
        <w:t xml:space="preserve">. </w:t>
      </w:r>
      <w:r w:rsidR="00E37E38" w:rsidRPr="0066103C">
        <w:t>M</w:t>
      </w:r>
      <w:r w:rsidRPr="0066103C">
        <w:t xml:space="preserve">ythic motifs lie behind the vision rather than on its surface, but their resonances carry through, adding depth and force to statements about history that are the text’s direct concern (as in Isa 17:12–13; 51:10). A world-transcending or world-encompassing scheme is adapted to communicate a perspective not on </w:t>
      </w:r>
      <w:r w:rsidR="00E37E38" w:rsidRPr="0066103C">
        <w:t xml:space="preserve">the cosmos as a whole, nor </w:t>
      </w:r>
      <w:r w:rsidRPr="0066103C">
        <w:t>on history as</w:t>
      </w:r>
      <w:r w:rsidR="00302CEC">
        <w:t xml:space="preserve"> a whole, but on the </w:t>
      </w:r>
      <w:r w:rsidRPr="0066103C">
        <w:t>segment of history that directly concerns the visionary and the readers.</w:t>
      </w:r>
    </w:p>
    <w:p w:rsidR="004F0A02" w:rsidRPr="0066103C" w:rsidRDefault="004F0A02" w:rsidP="004F0A02">
      <w:r w:rsidRPr="0066103C">
        <w:t xml:space="preserve">In themselves, wind, sea, and animals need not imply anything supernatural or alarming. But the collocation of supernatural winds, agitated sea, and huge animals </w:t>
      </w:r>
      <w:r w:rsidR="002D41AB">
        <w:t>suggests that the vision portrays</w:t>
      </w:r>
      <w:r w:rsidRPr="0066103C">
        <w:t xml:space="preserve"> more than an ordinary storm in the Mediterranean. The sea stands for the world, the interpreter will tell us; the huge animals represent the grimness of history. The first three</w:t>
      </w:r>
      <w:r w:rsidR="00747755" w:rsidRPr="0066103C">
        <w:t xml:space="preserve"> animals</w:t>
      </w:r>
      <w:r w:rsidRPr="0066103C">
        <w:t>, at</w:t>
      </w:r>
      <w:r w:rsidR="00747755" w:rsidRPr="0066103C">
        <w:t xml:space="preserve"> </w:t>
      </w:r>
      <w:r w:rsidRPr="0066103C">
        <w:t xml:space="preserve">least, are not explicitly </w:t>
      </w:r>
      <w:r w:rsidRPr="0066103C">
        <w:lastRenderedPageBreak/>
        <w:t>evil, though they are grotesque, fierce, dangerous, and frightening. Further, the cosmic storm</w:t>
      </w:r>
      <w:r w:rsidR="002D41AB">
        <w:t xml:space="preserve"> recalls motifs from myth that</w:t>
      </w:r>
      <w:r w:rsidRPr="0066103C">
        <w:t xml:space="preserve"> are already taken up in Gen 1:1–2. The story of the Beginning spoke first of God’s creative activity, then of the existence of formless waste, then of a supernatural wind/breath/spirit sweeping over it preparatory to God’s uttering his life-giving word.</w:t>
      </w:r>
      <w:r w:rsidR="00C30FAB">
        <w:rPr>
          <w:rStyle w:val="FootnoteReference"/>
        </w:rPr>
        <w:footnoteReference w:id="230"/>
      </w:r>
      <w:r w:rsidR="002D41AB">
        <w:t xml:space="preserve"> The Red Sea story, too, </w:t>
      </w:r>
      <w:r w:rsidRPr="0066103C">
        <w:t>long ago demonstrated that the operating of God’s wind/breath/spirit on the sea had been known in Israel’s history as well as at the creation (Exod 15:10; cf. 14:21). In Job 40–41, Yahweh affirms that he controls the heaving and thrashing of those huge creature</w:t>
      </w:r>
      <w:r w:rsidR="00FE0581" w:rsidRPr="0066103C">
        <w:t>s that symbolize forces of disorder and rebellion</w:t>
      </w:r>
      <w:r w:rsidRPr="0066103C">
        <w:t xml:space="preserve"> asserting themselves against order and meaning.</w:t>
      </w:r>
      <w:r w:rsidR="00A8538F">
        <w:t xml:space="preserve"> </w:t>
      </w:r>
    </w:p>
    <w:p w:rsidR="00A8538F" w:rsidRDefault="004F0A02" w:rsidP="004F0A02">
      <w:r w:rsidRPr="0066103C">
        <w:t xml:space="preserve">Daniel’s vision combines the cosmic perspective of Gen 1, the broad perspective on human history and experience of Job, and the Israelite perspective of Exod 14–15: the totality of the winds of </w:t>
      </w:r>
      <w:r w:rsidR="00747755" w:rsidRPr="0066103C">
        <w:t xml:space="preserve">the </w:t>
      </w:r>
      <w:r w:rsidRPr="0066103C">
        <w:t>heaven</w:t>
      </w:r>
      <w:r w:rsidR="00747755" w:rsidRPr="0066103C">
        <w:t>s</w:t>
      </w:r>
      <w:r w:rsidRPr="0066103C">
        <w:t xml:space="preserve"> generates the totality of the events of history in which Israel’s own story unfol</w:t>
      </w:r>
      <w:r w:rsidR="00FE0581" w:rsidRPr="0066103C">
        <w:t>ds. Here the powers of disorder</w:t>
      </w:r>
      <w:r w:rsidRPr="0066103C">
        <w:t xml:space="preserve"> are not natural forces but historical forces. The taming of the </w:t>
      </w:r>
      <w:r w:rsidR="00FE0581" w:rsidRPr="0066103C">
        <w:t xml:space="preserve">rebellious powers </w:t>
      </w:r>
      <w:r w:rsidRPr="0066103C">
        <w:t>has not yet taken place, either at the Beginning, or at the exodus, or ever-repeatedly in history. We are already prepared for a vision of wider significance than that of chap. 2, yet it is the Mediterranean which the cosmic gale stirs up and from which the animals emerge onto the shore. Like the prophets</w:t>
      </w:r>
      <w:r w:rsidR="00AF7C6B" w:rsidRPr="0066103C">
        <w:t>,</w:t>
      </w:r>
      <w:r w:rsidRPr="0066103C">
        <w:t xml:space="preserve"> Daniel believes that God is Lord of historical events and can achieve his own purpose through them. Like them he recognizes that the proces</w:t>
      </w:r>
      <w:r w:rsidR="002D41AB">
        <w:t xml:space="preserve">s of history is nevertheless </w:t>
      </w:r>
      <w:r w:rsidRPr="0066103C">
        <w:t>unsavory, unnat</w:t>
      </w:r>
      <w:r w:rsidR="002D41AB">
        <w:t>ural, dark, and unreassuring</w:t>
      </w:r>
      <w:r w:rsidRPr="0066103C">
        <w:t xml:space="preserve">, despite God’s </w:t>
      </w:r>
      <w:r w:rsidR="00A8538F">
        <w:t xml:space="preserve">ultimately </w:t>
      </w:r>
      <w:r w:rsidRPr="0066103C">
        <w:t>being Lord of it—in a sense, the more so because of that</w:t>
      </w:r>
      <w:r w:rsidR="00747755" w:rsidRPr="0066103C">
        <w:t xml:space="preserve"> fact</w:t>
      </w:r>
      <w:r w:rsidRPr="0066103C">
        <w:t xml:space="preserve">. </w:t>
      </w:r>
    </w:p>
    <w:p w:rsidR="00DC421C" w:rsidRPr="0066103C" w:rsidRDefault="004F0A02" w:rsidP="004F0A02">
      <w:r w:rsidRPr="0066103C">
        <w:t xml:space="preserve">If Dan 7 takes up such motifs from myths, the assumption that one God rules in </w:t>
      </w:r>
      <w:r w:rsidR="00747755" w:rsidRPr="0066103C">
        <w:t xml:space="preserve">the </w:t>
      </w:r>
      <w:r w:rsidRPr="0066103C">
        <w:t>heaven</w:t>
      </w:r>
      <w:r w:rsidR="00747755" w:rsidRPr="0066103C">
        <w:t>s</w:t>
      </w:r>
      <w:r w:rsidRPr="0066103C">
        <w:t xml:space="preserve"> and on </w:t>
      </w:r>
      <w:r w:rsidR="00747755" w:rsidRPr="0066103C">
        <w:t xml:space="preserve">the </w:t>
      </w:r>
      <w:r w:rsidRPr="0066103C">
        <w:t>earth carries with it the implication that even the upheavals of history somehow derive from him</w:t>
      </w:r>
      <w:r w:rsidR="00A8538F">
        <w:t xml:space="preserve"> or are permitted by him</w:t>
      </w:r>
      <w:r w:rsidRPr="0066103C">
        <w:t xml:space="preserve">, not from a clash of wills in </w:t>
      </w:r>
      <w:r w:rsidR="00747755" w:rsidRPr="0066103C">
        <w:t xml:space="preserve">the </w:t>
      </w:r>
      <w:r w:rsidRPr="0066103C">
        <w:t>heaven</w:t>
      </w:r>
      <w:r w:rsidR="00747755" w:rsidRPr="0066103C">
        <w:t>s</w:t>
      </w:r>
      <w:r w:rsidRPr="0066103C">
        <w:t xml:space="preserve"> that mirrors the clash of wills o</w:t>
      </w:r>
      <w:r w:rsidR="002D41AB">
        <w:t xml:space="preserve">n earth. </w:t>
      </w:r>
      <w:r w:rsidRPr="0066103C">
        <w:t xml:space="preserve">God’s </w:t>
      </w:r>
      <w:r w:rsidR="00A8538F">
        <w:t xml:space="preserve">original </w:t>
      </w:r>
      <w:r w:rsidRPr="0066103C">
        <w:t>creative work on the for</w:t>
      </w:r>
      <w:r w:rsidR="002D41AB">
        <w:t xml:space="preserve">mless Deep does not mean he </w:t>
      </w:r>
      <w:r w:rsidRPr="0066103C">
        <w:t>exorcised from it all potential forces of disorder. Within history there c</w:t>
      </w:r>
      <w:r w:rsidR="00747755" w:rsidRPr="0066103C">
        <w:t xml:space="preserve">ontinue to emerge entities </w:t>
      </w:r>
      <w:r w:rsidRPr="0066103C">
        <w:t>embody</w:t>
      </w:r>
      <w:r w:rsidR="00747755" w:rsidRPr="0066103C">
        <w:t>ing</w:t>
      </w:r>
      <w:r w:rsidR="00A8538F">
        <w:t xml:space="preserve"> that disorder. Perhaps Daniel impli</w:t>
      </w:r>
      <w:r w:rsidRPr="0066103C">
        <w:t xml:space="preserve">es </w:t>
      </w:r>
      <w:r w:rsidR="00747755" w:rsidRPr="0066103C">
        <w:t xml:space="preserve">that </w:t>
      </w:r>
      <w:r w:rsidRPr="0066103C">
        <w:t xml:space="preserve">they are called forth by God </w:t>
      </w:r>
      <w:r w:rsidR="00A8538F">
        <w:t>himself,</w:t>
      </w:r>
      <w:r w:rsidRPr="0066103C">
        <w:t xml:space="preserve"> that behind the fourfold wind we may see the Holy Spirit acting “to bring forth those forms and frames of</w:t>
      </w:r>
      <w:r w:rsidR="003826DA">
        <w:t xml:space="preserve"> rule which he will make use of,</w:t>
      </w:r>
      <w:r w:rsidR="00747755" w:rsidRPr="0066103C">
        <w:t>”</w:t>
      </w:r>
      <w:r w:rsidR="00747755" w:rsidRPr="0066103C">
        <w:rPr>
          <w:rStyle w:val="FootnoteReference"/>
        </w:rPr>
        <w:footnoteReference w:id="231"/>
      </w:r>
      <w:r w:rsidRPr="0066103C">
        <w:t xml:space="preserve"> </w:t>
      </w:r>
      <w:r w:rsidR="003826DA">
        <w:t>though</w:t>
      </w:r>
      <w:r w:rsidR="00A8538F">
        <w:t xml:space="preserve"> there are no </w:t>
      </w:r>
      <w:r w:rsidR="003826DA">
        <w:t>possible examples of the divine passive</w:t>
      </w:r>
      <w:r w:rsidR="00A8538F">
        <w:t xml:space="preserve"> </w:t>
      </w:r>
      <w:r w:rsidR="003826DA">
        <w:t xml:space="preserve">in these verses (as there are in 4-6). Creation had involved bringing </w:t>
      </w:r>
      <w:r w:rsidR="00DC421C">
        <w:t>sovereign order to a situation that was otherwise formless at best, turbulent at worst. It seems not to have achieved this ordering once and for all. Formlessness and turbulence remains, but God’s sovereignty also remains and God will reassert order in a final way.</w:t>
      </w:r>
      <w:r w:rsidR="00DC421C">
        <w:rPr>
          <w:rStyle w:val="FootnoteReference"/>
        </w:rPr>
        <w:footnoteReference w:id="232"/>
      </w:r>
      <w:r w:rsidR="003826DA">
        <w:t xml:space="preserve"> </w:t>
      </w:r>
      <w:r w:rsidR="003826DA" w:rsidRPr="003826DA">
        <w:t>It is on this basis that lament psalms can utter their characteristic “How long?” (e.g., 74:10; 80:4 [5]), which Daniel’s visions in effect (and perhaps actually) answer.</w:t>
      </w:r>
    </w:p>
    <w:p w:rsidR="004F0A02" w:rsidRPr="0066103C" w:rsidRDefault="004F0A02" w:rsidP="004F0A02">
      <w:r w:rsidRPr="0066103C">
        <w:t>The use of animal symbols already suggests that it is the history of nations that unfolds before us; specifically the animals signify the kings who rule the</w:t>
      </w:r>
      <w:r w:rsidR="00747755" w:rsidRPr="0066103C">
        <w:t xml:space="preserve"> nations (v 17). Israelite clan</w:t>
      </w:r>
      <w:r w:rsidRPr="0066103C">
        <w:t>s were sy</w:t>
      </w:r>
      <w:r w:rsidR="00747755" w:rsidRPr="0066103C">
        <w:t>mbolized by animals such as ox, lion, and wolf (Gen 49; Deut 33),</w:t>
      </w:r>
      <w:r w:rsidRPr="0066103C">
        <w:t xml:space="preserve"> moder</w:t>
      </w:r>
      <w:r w:rsidR="00747755" w:rsidRPr="0066103C">
        <w:t xml:space="preserve">n nations are symbolized by eagle, bear, bull, and </w:t>
      </w:r>
      <w:r w:rsidRPr="0066103C">
        <w:t>springbok, and modern tribal societies use the same symbolism.</w:t>
      </w:r>
      <w:r w:rsidR="00747755" w:rsidRPr="0066103C">
        <w:rPr>
          <w:rStyle w:val="FootnoteReference"/>
        </w:rPr>
        <w:footnoteReference w:id="233"/>
      </w:r>
      <w:r w:rsidRPr="0066103C">
        <w:t xml:space="preserve"> None of this </w:t>
      </w:r>
      <w:r w:rsidR="00747755" w:rsidRPr="0066103C">
        <w:t xml:space="preserve">symbolism </w:t>
      </w:r>
      <w:r w:rsidRPr="0066103C">
        <w:t>implies there is anything “bestial” about the nation</w:t>
      </w:r>
      <w:r w:rsidR="002D41AB">
        <w:t>s’ character or behavior. But</w:t>
      </w:r>
      <w:r w:rsidR="00A563D3">
        <w:t xml:space="preserve"> </w:t>
      </w:r>
      <w:r w:rsidRPr="0066103C">
        <w:t xml:space="preserve">the </w:t>
      </w:r>
      <w:r w:rsidR="00A563D3">
        <w:t>unfolding vision</w:t>
      </w:r>
      <w:r w:rsidRPr="0066103C">
        <w:t xml:space="preserve"> will picture something higher than the animal as the nations’ destiny, aspiration, and successor (vv 4, 8, 13).</w:t>
      </w:r>
    </w:p>
    <w:p w:rsidR="00AF7C6B" w:rsidRPr="0066103C" w:rsidRDefault="004F0A02" w:rsidP="00AF7C6B">
      <w:r w:rsidRPr="0066103C">
        <w:t xml:space="preserve">If the animals stand for the totality of the nations, their origin both in the initiative of </w:t>
      </w:r>
      <w:r w:rsidR="00747755" w:rsidRPr="0066103C">
        <w:t xml:space="preserve">the </w:t>
      </w:r>
      <w:r w:rsidRPr="0066103C">
        <w:t>heaven</w:t>
      </w:r>
      <w:r w:rsidR="00747755" w:rsidRPr="0066103C">
        <w:t>s</w:t>
      </w:r>
      <w:r w:rsidRPr="0066103C">
        <w:t xml:space="preserve"> and in the turmoil of the Deep suggests something of their ambiguity. It is they that embody the disorder of the formless Deep, its energy uncontrolled by any desire to serve God or humanity. Evil</w:t>
      </w:r>
      <w:r w:rsidR="003826DA">
        <w:t xml:space="preserve"> is not a unity. </w:t>
      </w:r>
      <w:r w:rsidRPr="0066103C">
        <w:t>Earlier ch</w:t>
      </w:r>
      <w:r w:rsidR="00747755" w:rsidRPr="0066103C">
        <w:t>apters have made clear that the nations</w:t>
      </w:r>
      <w:r w:rsidRPr="0066103C">
        <w:t xml:space="preserve"> stand under the sign of Rom </w:t>
      </w:r>
      <w:r w:rsidR="00C95A7E" w:rsidRPr="0066103C">
        <w:t xml:space="preserve">13; chap. 7 adds that they </w:t>
      </w:r>
      <w:r w:rsidRPr="0066103C">
        <w:t>stand under the sign of Rev 13</w:t>
      </w:r>
      <w:r w:rsidR="00C95A7E" w:rsidRPr="0066103C">
        <w:t>, too</w:t>
      </w:r>
      <w:r w:rsidRPr="0066103C">
        <w:t>.</w:t>
      </w:r>
      <w:r w:rsidR="00FB6DAB" w:rsidRPr="0066103C">
        <w:rPr>
          <w:rStyle w:val="FootnoteReference"/>
        </w:rPr>
        <w:footnoteReference w:id="234"/>
      </w:r>
      <w:r w:rsidRPr="0066103C">
        <w:t xml:space="preserve"> The</w:t>
      </w:r>
      <w:r w:rsidR="003826DA">
        <w:t>ir</w:t>
      </w:r>
      <w:r w:rsidRPr="0066103C">
        <w:t xml:space="preserve"> ambiguity is also that of Gen 10–11. Modern </w:t>
      </w:r>
      <w:r w:rsidRPr="0066103C">
        <w:lastRenderedPageBreak/>
        <w:t>nations symbolized by animals, such as the ones listed above, also stand under both these signs, as do international entities such as the European Community, the United Nations, a</w:t>
      </w:r>
      <w:r w:rsidR="003826DA">
        <w:t>nd NATO</w:t>
      </w:r>
      <w:r w:rsidRPr="0066103C">
        <w:t>.</w:t>
      </w:r>
      <w:r w:rsidR="00AF7C6B" w:rsidRPr="0066103C">
        <w:t xml:space="preserve"> </w:t>
      </w:r>
    </w:p>
    <w:p w:rsidR="004F0A02" w:rsidRPr="0066103C" w:rsidRDefault="004F0A02" w:rsidP="004F0A02">
      <w:r w:rsidRPr="008D6427">
        <w:rPr>
          <w:b/>
        </w:rPr>
        <w:t>4–8, 19–21, 23–25</w:t>
      </w:r>
      <w:r w:rsidRPr="0066103C">
        <w:t xml:space="preserve"> First </w:t>
      </w:r>
      <w:r w:rsidR="00AF7C6B" w:rsidRPr="0066103C">
        <w:t xml:space="preserve">there </w:t>
      </w:r>
      <w:r w:rsidRPr="0066103C">
        <w:t>emerges a lion: king of animals, symbol of strength, courage, ferocity, destructivenes</w:t>
      </w:r>
      <w:r w:rsidR="00AF7C6B" w:rsidRPr="0066103C">
        <w:t>s, voraci</w:t>
      </w:r>
      <w:r w:rsidR="003826DA">
        <w:t>ty, and fearsomeness. I</w:t>
      </w:r>
      <w:r w:rsidRPr="0066103C">
        <w:t xml:space="preserve">t </w:t>
      </w:r>
      <w:r w:rsidR="00C95A7E" w:rsidRPr="0066103C">
        <w:t xml:space="preserve">also </w:t>
      </w:r>
      <w:r w:rsidRPr="0066103C">
        <w:t>has the wings of an eagle or vulture, king of birds, large and majestic, high-flying and deep-swooping, symbol of spee</w:t>
      </w:r>
      <w:r w:rsidR="008637E9">
        <w:t>d and rapacity. It</w:t>
      </w:r>
      <w:r w:rsidRPr="0066103C">
        <w:t xml:space="preserve"> represents a large, powerful, and expansionist nation, a mortal threat to smaller peoples. We are reminded of the power and authority given to the first of the four regimes in chap. 2, that of Nebuchadnezzar. The respective distinguishing characteristics of an animal and a bird a</w:t>
      </w:r>
      <w:r w:rsidR="00C95A7E" w:rsidRPr="0066103C">
        <w:t xml:space="preserve">re that it </w:t>
      </w:r>
      <w:r w:rsidRPr="0066103C">
        <w:t>walk</w:t>
      </w:r>
      <w:r w:rsidR="00C95A7E" w:rsidRPr="0066103C">
        <w:t>s on four feet and that it flies</w:t>
      </w:r>
      <w:r w:rsidR="00AF7C6B" w:rsidRPr="0066103C">
        <w:t>. T</w:t>
      </w:r>
      <w:r w:rsidRPr="0066103C">
        <w:t xml:space="preserve">he lion-eagle is relieved of both these characteristics: its wings are removed and it is set on two feet. It is enabled to behave and think like a human being. That </w:t>
      </w:r>
      <w:r w:rsidR="00C95A7E" w:rsidRPr="0066103C">
        <w:t xml:space="preserve">change </w:t>
      </w:r>
      <w:r w:rsidRPr="0066103C">
        <w:t>reminds us of Nebuchadnezzar’s restoration in chap. 4, and it underlines the present vision’s affirmation of the nation symbo</w:t>
      </w:r>
      <w:r w:rsidR="008637E9">
        <w:t>lized by the first animal. When</w:t>
      </w:r>
      <w:r w:rsidRPr="0066103C">
        <w:t xml:space="preserve"> animals symbolize nations, human beings often symbolize heavenly beings. This nation occupies a godlike position of honor, responsibili</w:t>
      </w:r>
      <w:r w:rsidR="00AF7C6B" w:rsidRPr="0066103C">
        <w:t xml:space="preserve">ty, and caring for the world, like humanity itself </w:t>
      </w:r>
      <w:r w:rsidRPr="0066103C">
        <w:t>in Gen 1–2 (cf. Dan 2:38; 4:</w:t>
      </w:r>
      <w:r w:rsidR="00C95A7E" w:rsidRPr="0066103C">
        <w:t>20-22 [17–19</w:t>
      </w:r>
      <w:r w:rsidRPr="0066103C">
        <w:t>]). Nations have their origin in dark forces, aggressive impulses, and defensive fears, but they can sometimes become means of heaven’s will being effected.</w:t>
      </w:r>
    </w:p>
    <w:p w:rsidR="004F0A02" w:rsidRPr="0066103C" w:rsidRDefault="004F0A02" w:rsidP="004F0A02">
      <w:r w:rsidRPr="0066103C">
        <w:t xml:space="preserve">The second animal to emerge onto the shore is a bear, a huge, ungainly, strong, and fearsome creature, not normally a predator, but here encouraged to indulge its appetite. </w:t>
      </w:r>
      <w:r w:rsidR="008637E9">
        <w:t>Is it God who does the encouraging? If so, t</w:t>
      </w:r>
      <w:r w:rsidRPr="0066103C">
        <w:t>he greedy expansionism</w:t>
      </w:r>
      <w:r w:rsidR="008637E9">
        <w:t xml:space="preserve"> of nations can </w:t>
      </w:r>
      <w:r w:rsidRPr="0066103C">
        <w:t>have a</w:t>
      </w:r>
      <w:r w:rsidR="008637E9">
        <w:t xml:space="preserve"> place within God’s purpose. The bear’s</w:t>
      </w:r>
      <w:r w:rsidRPr="0066103C">
        <w:t xml:space="preserve"> distinctive characteristics may link with features of a specific people, but they are rather allusive.</w:t>
      </w:r>
    </w:p>
    <w:p w:rsidR="004F0A02" w:rsidRPr="0066103C" w:rsidRDefault="004F0A02" w:rsidP="004F0A02">
      <w:r w:rsidRPr="0066103C">
        <w:t>The third animal is another fearsome predator whose natural speed is enhanced by an unnatural capacity to see and swo</w:t>
      </w:r>
      <w:r w:rsidR="008637E9">
        <w:t>op in any direction. A</w:t>
      </w:r>
      <w:r w:rsidRPr="0066103C">
        <w:t xml:space="preserve"> powerful, energetic nation </w:t>
      </w:r>
      <w:r w:rsidR="008637E9">
        <w:t xml:space="preserve">is given </w:t>
      </w:r>
      <w:r w:rsidRPr="0066103C">
        <w:t>a wide-reaching dominion.</w:t>
      </w:r>
    </w:p>
    <w:p w:rsidR="001D3B6C" w:rsidRPr="0066103C" w:rsidRDefault="004F0A02" w:rsidP="001D3B6C">
      <w:r w:rsidRPr="0066103C">
        <w:t xml:space="preserve">Then something new is heralded. The fourth animal to come from the sea is the one of most pressing importance. It is the most explicitly fearsome of the four and the most explicitly destructive. It is likened to no species and </w:t>
      </w:r>
      <w:r w:rsidR="00C95A7E" w:rsidRPr="0066103C">
        <w:t xml:space="preserve">it </w:t>
      </w:r>
      <w:r w:rsidRPr="0066103C">
        <w:t>retains a touch of mystery over its id</w:t>
      </w:r>
      <w:r w:rsidR="00AF7C6B" w:rsidRPr="0066103C">
        <w:t>en</w:t>
      </w:r>
      <w:r w:rsidR="001D3B6C" w:rsidRPr="0066103C">
        <w:t>tity. I</w:t>
      </w:r>
      <w:r w:rsidR="00AF7C6B" w:rsidRPr="0066103C">
        <w:t xml:space="preserve">t </w:t>
      </w:r>
      <w:r w:rsidR="001D3B6C" w:rsidRPr="0066103C">
        <w:t>might make people</w:t>
      </w:r>
      <w:r w:rsidR="00AF7C6B" w:rsidRPr="0066103C">
        <w:t xml:space="preserve"> think of</w:t>
      </w:r>
      <w:r w:rsidR="001D3B6C" w:rsidRPr="0066103C">
        <w:t xml:space="preserve"> the</w:t>
      </w:r>
      <w:r w:rsidRPr="0066103C">
        <w:t xml:space="preserve"> elephant, a fit symbol </w:t>
      </w:r>
      <w:r w:rsidR="00C95A7E" w:rsidRPr="0066103C">
        <w:t xml:space="preserve">for the Greek empire </w:t>
      </w:r>
      <w:r w:rsidR="00AF7C6B" w:rsidRPr="0066103C">
        <w:t>and</w:t>
      </w:r>
      <w:r w:rsidRPr="0066103C">
        <w:t xml:space="preserve"> for the Seleucids in particular. </w:t>
      </w:r>
      <w:r w:rsidR="001D3B6C" w:rsidRPr="0066103C">
        <w:t>But it would be unwise to be too prosaic in identifying it. The fourth animal is a monster, like Typhon in Greek myth,</w:t>
      </w:r>
      <w:r w:rsidR="001D3B6C" w:rsidRPr="0066103C">
        <w:rPr>
          <w:vertAlign w:val="superscript"/>
        </w:rPr>
        <w:footnoteReference w:id="235"/>
      </w:r>
      <w:r w:rsidR="001D3B6C" w:rsidRPr="0066103C">
        <w:t xml:space="preserve"> or like Dracula or Frankenstein, horrifying and frightening, dangerous and threatening, disgusting yet strangely fascinating, partly because such entities compromise the boundary between the human and the supernatural.</w:t>
      </w:r>
      <w:r w:rsidR="001D3B6C" w:rsidRPr="0066103C">
        <w:rPr>
          <w:vertAlign w:val="superscript"/>
        </w:rPr>
        <w:footnoteReference w:id="236"/>
      </w:r>
      <w:r w:rsidR="001D3B6C" w:rsidRPr="0066103C">
        <w:t xml:space="preserve"> The portrayal as a monster might be seen as designed to encourage violent rebellion</w:t>
      </w:r>
      <w:r w:rsidR="001D3B6C" w:rsidRPr="0066103C">
        <w:rPr>
          <w:vertAlign w:val="superscript"/>
        </w:rPr>
        <w:footnoteReference w:id="237"/>
      </w:r>
      <w:r w:rsidR="001D3B6C" w:rsidRPr="0066103C">
        <w:t xml:space="preserve"> or to discourage it.</w:t>
      </w:r>
      <w:r w:rsidR="001D3B6C" w:rsidRPr="0066103C">
        <w:rPr>
          <w:vertAlign w:val="superscript"/>
        </w:rPr>
        <w:footnoteReference w:id="238"/>
      </w:r>
      <w:r w:rsidR="008637E9">
        <w:t xml:space="preserve"> It is given authority to rule.</w:t>
      </w:r>
    </w:p>
    <w:p w:rsidR="004F0A02" w:rsidRPr="0066103C" w:rsidRDefault="004F0A02" w:rsidP="004F0A02">
      <w:r w:rsidRPr="0066103C">
        <w:t>The line of animals as a whole represents the empires of the Middle East from Nebuchadnezzar to the Seleucids, the total</w:t>
      </w:r>
      <w:r w:rsidR="00C95A7E" w:rsidRPr="0066103C">
        <w:t xml:space="preserve">ity of powers that dominated Judahite history from the end of the </w:t>
      </w:r>
      <w:r w:rsidRPr="0066103C">
        <w:t>monarchy in 587 to its r</w:t>
      </w:r>
      <w:r w:rsidR="00C95A7E" w:rsidRPr="0066103C">
        <w:t>evival in the second century BC</w:t>
      </w:r>
      <w:r w:rsidRPr="0066103C">
        <w:t xml:space="preserve">. It is this sequence of world empires that Daniel’s vision affirms to have been summoned up from the primeval and formless depths by the activity of </w:t>
      </w:r>
      <w:r w:rsidR="00C95A7E" w:rsidRPr="0066103C">
        <w:t>the heavens themselves</w:t>
      </w:r>
      <w:r w:rsidRPr="0066103C">
        <w:t xml:space="preserve">, so that it manifests something of the purpose of God for responsible government of his world, but </w:t>
      </w:r>
      <w:r w:rsidR="00AF7C6B" w:rsidRPr="0066103C">
        <w:t xml:space="preserve">also </w:t>
      </w:r>
      <w:r w:rsidRPr="0066103C">
        <w:t>something of the instinct of humanity for self-aggrandizement and destructiveness.</w:t>
      </w:r>
    </w:p>
    <w:p w:rsidR="004F0A02" w:rsidRPr="0066103C" w:rsidRDefault="00C95A7E" w:rsidP="004F0A02">
      <w:r w:rsidRPr="0066103C">
        <w:t>The last of th</w:t>
      </w:r>
      <w:r w:rsidR="004F0A02" w:rsidRPr="0066103C">
        <w:t>e four empires is the most destructive and—we will soon discover—the mos</w:t>
      </w:r>
      <w:r w:rsidRPr="0066103C">
        <w:t>t arrogant and godless, but these characteristics do not in themselves</w:t>
      </w:r>
      <w:r w:rsidR="004F0A02" w:rsidRPr="0066103C">
        <w:t xml:space="preserve"> imply that all history is degenerating rather than progressing. The animals represent history as a whole as it was experienced by J</w:t>
      </w:r>
      <w:r w:rsidRPr="0066103C">
        <w:t>udahites up to the second century BC</w:t>
      </w:r>
      <w:r w:rsidR="008637E9">
        <w:t>. History</w:t>
      </w:r>
      <w:r w:rsidR="004F0A02" w:rsidRPr="0066103C">
        <w:t xml:space="preserve"> had been consistently threatening, but </w:t>
      </w:r>
      <w:r w:rsidRPr="0066103C">
        <w:t xml:space="preserve">it </w:t>
      </w:r>
      <w:r w:rsidR="008637E9">
        <w:t xml:space="preserve">now becomes </w:t>
      </w:r>
      <w:r w:rsidR="004F0A02" w:rsidRPr="0066103C">
        <w:t xml:space="preserve">consumingly so. The artistic or intellectual achievements of Greek civilization do not feature in the </w:t>
      </w:r>
      <w:r w:rsidR="004F0A02" w:rsidRPr="0066103C">
        <w:lastRenderedPageBreak/>
        <w:t>vision’s portrayal of the fourth animal. It is distinguished from its predecessors chiefly by being more bellicose. There is perhap</w:t>
      </w:r>
      <w:r w:rsidR="008637E9">
        <w:t>s a reflection here of Judah</w:t>
      </w:r>
      <w:r w:rsidR="004F0A02" w:rsidRPr="0066103C">
        <w:t>’s experience of being fought over by rival Greek empires during two centuries (cf. chap. 11).</w:t>
      </w:r>
    </w:p>
    <w:p w:rsidR="004F0A02" w:rsidRPr="0066103C" w:rsidRDefault="004F0A02" w:rsidP="004F0A02">
      <w:r w:rsidRPr="0066103C">
        <w:t>Like the first three</w:t>
      </w:r>
      <w:r w:rsidR="00C95A7E" w:rsidRPr="0066103C">
        <w:t xml:space="preserve"> animals, the fourth </w:t>
      </w:r>
      <w:r w:rsidRPr="0066103C">
        <w:t xml:space="preserve">has an anomalous feature, ten horns, suggesting a comprehensive totality of royal strength. The horns symbolize Hellenistic kings, though we cannot refer them with certainty to ten specific kings; perhaps the author did not have ten specific kings in mind. Likewise a number of historical persons could be more or less plausibly identified as the three displaced kings. The small horn that emerges among the ten, however, we can identify as Antiochus IV, the Seleucid king who precipitated the greatest </w:t>
      </w:r>
      <w:r w:rsidR="00C95A7E" w:rsidRPr="0066103C">
        <w:t>crisis in the history of the Judahite</w:t>
      </w:r>
      <w:r w:rsidRPr="0066103C">
        <w:t>s between th</w:t>
      </w:r>
      <w:r w:rsidR="00C95A7E" w:rsidRPr="0066103C">
        <w:t xml:space="preserve">e fall of Jerusalem in 587 </w:t>
      </w:r>
      <w:r w:rsidRPr="0066103C">
        <w:t>and the</w:t>
      </w:r>
      <w:r w:rsidR="00C95A7E" w:rsidRPr="0066103C">
        <w:t xml:space="preserve"> events of the first century AD</w:t>
      </w:r>
      <w:r w:rsidRPr="0066103C">
        <w:t>. As with the Greek empire in general, much could be said about the positive stature of Antiochus IV, but it is irrel</w:t>
      </w:r>
      <w:r w:rsidR="00C95A7E" w:rsidRPr="0066103C">
        <w:t>eva</w:t>
      </w:r>
      <w:r w:rsidRPr="0066103C">
        <w:t>nt to the religious perspective of Dan 7. Antioch</w:t>
      </w:r>
      <w:r w:rsidR="00122B51">
        <w:t>us sought to bring order to Judah</w:t>
      </w:r>
      <w:r w:rsidRPr="0066103C">
        <w:t>, but it met resistance as a pseudo-order. Because it was the only order</w:t>
      </w:r>
      <w:r w:rsidR="00122B51">
        <w:t xml:space="preserve"> he was prepared to envisage, he had to impose it</w:t>
      </w:r>
      <w:r w:rsidRPr="0066103C">
        <w:t xml:space="preserve"> by force. Pseudo-order soon exposed itself as a masked em</w:t>
      </w:r>
      <w:r w:rsidR="00FE0581" w:rsidRPr="0066103C">
        <w:t>bodiment of disorder, not a bulwark against disorder</w:t>
      </w:r>
      <w:r w:rsidRPr="0066103C">
        <w:t xml:space="preserve">. The principalities and powers in theory undergird and protect human life, but in reality </w:t>
      </w:r>
      <w:r w:rsidR="00C95A7E" w:rsidRPr="0066103C">
        <w:t xml:space="preserve">they </w:t>
      </w:r>
      <w:r w:rsidRPr="0066103C">
        <w:t>easily threaten it.</w:t>
      </w:r>
      <w:r w:rsidR="00C95A7E" w:rsidRPr="0066103C">
        <w:rPr>
          <w:rStyle w:val="FootnoteReference"/>
        </w:rPr>
        <w:footnoteReference w:id="239"/>
      </w:r>
      <w:r w:rsidRPr="0066103C">
        <w:t xml:space="preserve"> It is only with the fourth empire that this </w:t>
      </w:r>
      <w:r w:rsidR="00C95A7E" w:rsidRPr="0066103C">
        <w:t xml:space="preserve">reality </w:t>
      </w:r>
      <w:r w:rsidRPr="0066103C">
        <w:t>surfaces, but what does then surface is the inner nature of all the empires, because it re</w:t>
      </w:r>
      <w:r w:rsidR="00FE0581" w:rsidRPr="0066103C">
        <w:t>flects their origin in the tumultuous disorder</w:t>
      </w:r>
      <w:r w:rsidRPr="0066103C">
        <w:t xml:space="preserve"> of the primeval Deep.</w:t>
      </w:r>
      <w:r w:rsidR="00015902" w:rsidRPr="0066103C">
        <w:t xml:space="preserve"> “Imperial beings present themselves as normal; more as virtuous, benign.”</w:t>
      </w:r>
      <w:r w:rsidR="00015902" w:rsidRPr="0066103C">
        <w:rPr>
          <w:vertAlign w:val="superscript"/>
        </w:rPr>
        <w:footnoteReference w:id="240"/>
      </w:r>
      <w:r w:rsidR="00015902" w:rsidRPr="0066103C">
        <w:t xml:space="preserve"> But Tacitus attributes to a Caledonian general a telling description of Rome: “plundering, slaughtering, stealing—they call it the empire, falsely, and they call it peace when they make a wasteland” (</w:t>
      </w:r>
      <w:r w:rsidR="00015902" w:rsidRPr="0066103C">
        <w:rPr>
          <w:i/>
        </w:rPr>
        <w:t xml:space="preserve">Agricola </w:t>
      </w:r>
      <w:r w:rsidR="00015902" w:rsidRPr="0066103C">
        <w:t>30.5).</w:t>
      </w:r>
      <w:r w:rsidR="00015902" w:rsidRPr="0066103C">
        <w:rPr>
          <w:vertAlign w:val="superscript"/>
        </w:rPr>
        <w:footnoteReference w:id="241"/>
      </w:r>
      <w:r w:rsidR="00015902" w:rsidRPr="0066103C">
        <w:t xml:space="preserve"> The description applies to any superpower.</w:t>
      </w:r>
    </w:p>
    <w:p w:rsidR="004F0A02" w:rsidRPr="0066103C" w:rsidRDefault="004F0A02" w:rsidP="004F0A02">
      <w:r w:rsidRPr="0066103C">
        <w:t xml:space="preserve">Like the first animal, the small horn on the fourth animal has certain human features. It looks and speaks like a human being. If the animal symbolizes the human and the human </w:t>
      </w:r>
      <w:r w:rsidR="00C95A7E" w:rsidRPr="0066103C">
        <w:t xml:space="preserve">symbolizes </w:t>
      </w:r>
      <w:r w:rsidRPr="0066103C">
        <w:t>the supernatural, Antiochus sees himself as having the power of a heavenly being, and speaks accordingly. But he is not given such a position by God, as the first three animals were given t</w:t>
      </w:r>
      <w:r w:rsidR="00015902" w:rsidRPr="0066103C">
        <w:t>heir different commissions. G</w:t>
      </w:r>
      <w:r w:rsidRPr="0066103C">
        <w:t xml:space="preserve">radually </w:t>
      </w:r>
      <w:r w:rsidR="00015902" w:rsidRPr="0066103C">
        <w:t xml:space="preserve">it </w:t>
      </w:r>
      <w:r w:rsidRPr="0066103C">
        <w:t xml:space="preserve">becomes apparent that Antiochus is someone of arrogant look and tongue whose person and activity constitute a challenge to </w:t>
      </w:r>
      <w:r w:rsidR="00C95A7E" w:rsidRPr="0066103C">
        <w:t>the heavens themselves</w:t>
      </w:r>
      <w:r w:rsidRPr="0066103C">
        <w:t>, like the challenge of the Babylonian king in Isa 14:12–15.</w:t>
      </w:r>
    </w:p>
    <w:p w:rsidR="004F0A02" w:rsidRPr="0066103C" w:rsidRDefault="004F0A02" w:rsidP="004F0A02">
      <w:r w:rsidRPr="0066103C">
        <w:t xml:space="preserve">The </w:t>
      </w:r>
      <w:r w:rsidR="00C95A7E" w:rsidRPr="0066103C">
        <w:t>first three animals were</w:t>
      </w:r>
      <w:r w:rsidRPr="0066103C">
        <w:t xml:space="preserve"> under control. The fourth decides for itself what to do. It was broug</w:t>
      </w:r>
      <w:r w:rsidR="001D3B6C" w:rsidRPr="0066103C">
        <w:t>ht into being by God, but it overreaches</w:t>
      </w:r>
      <w:r w:rsidRPr="0066103C">
        <w:t xml:space="preserve"> itself. Instead of playing the part that God’s purpose had designed for him (the times set by decree), the eleventh king grasps t</w:t>
      </w:r>
      <w:r w:rsidR="001D3B6C" w:rsidRPr="0066103C">
        <w:t>he rudder of history</w:t>
      </w:r>
      <w:r w:rsidRPr="0066103C">
        <w:t>. And he is able to take charge of the process of history. So it goes on for a time, and for a longer t</w:t>
      </w:r>
      <w:r w:rsidR="00C95A7E" w:rsidRPr="0066103C">
        <w:t>ime, and for yet more time…. B</w:t>
      </w:r>
      <w:r w:rsidRPr="0066103C">
        <w:t>ut the promise is th</w:t>
      </w:r>
      <w:r w:rsidR="00C95A7E" w:rsidRPr="0066103C">
        <w:t>at a limit is set to it</w:t>
      </w:r>
      <w:r w:rsidRPr="0066103C">
        <w:t xml:space="preserve">. It will not go on for ever. </w:t>
      </w:r>
      <w:r w:rsidR="001D3B6C" w:rsidRPr="0066103C">
        <w:t>“For God to come in half the allotted time is to say that he will come ‘with all deliberate speed.’ His coming may seem to tarry (a time and then times) but its final arrival will be sudden (a time cut off</w:t>
      </w:r>
      <w:r w:rsidR="00122B51">
        <w:t>)</w:t>
      </w:r>
      <w:r w:rsidR="001D3B6C" w:rsidRPr="0066103C">
        <w:t>…. God’s time can arrive only on time.”</w:t>
      </w:r>
      <w:r w:rsidR="001D3B6C" w:rsidRPr="0066103C">
        <w:rPr>
          <w:vertAlign w:val="superscript"/>
        </w:rPr>
        <w:footnoteReference w:id="242"/>
      </w:r>
      <w:r w:rsidR="001D3B6C" w:rsidRPr="0066103C">
        <w:t xml:space="preserve"> </w:t>
      </w:r>
      <w:r w:rsidRPr="0066103C">
        <w:t>Antiochus thinks he controls history, but there is a stronger hand on its rudder.</w:t>
      </w:r>
    </w:p>
    <w:p w:rsidR="004F0A02" w:rsidRPr="0066103C" w:rsidRDefault="004F0A02" w:rsidP="004F0A02">
      <w:r w:rsidRPr="0066103C">
        <w:t xml:space="preserve">It is possible to make out a plausible case for identifying Rome as the fourth animal (see </w:t>
      </w:r>
      <w:r w:rsidRPr="0066103C">
        <w:rPr>
          <w:i/>
        </w:rPr>
        <w:t>Comment</w:t>
      </w:r>
      <w:r w:rsidRPr="0066103C">
        <w:t>); whether one finds later identifications (the Turks, Islam, the church, the pope, Nazism, communism, capitalism, the European Community, the United Stat</w:t>
      </w:r>
      <w:r w:rsidR="00015902" w:rsidRPr="0066103C">
        <w:t>es</w:t>
      </w:r>
      <w:r w:rsidR="00122B51">
        <w:t>, the Wolrd Council of Churches. the Islamic State</w:t>
      </w:r>
      <w:r w:rsidR="00015902" w:rsidRPr="0066103C">
        <w:t xml:space="preserve">) more or less plausible </w:t>
      </w:r>
      <w:r w:rsidRPr="0066103C">
        <w:t>depend</w:t>
      </w:r>
      <w:r w:rsidR="00015902" w:rsidRPr="0066103C">
        <w:t>s</w:t>
      </w:r>
      <w:r w:rsidRPr="0066103C">
        <w:t xml:space="preserve"> on </w:t>
      </w:r>
      <w:r w:rsidR="00015902" w:rsidRPr="0066103C">
        <w:t>one’s political and ecclesi</w:t>
      </w:r>
      <w:r w:rsidRPr="0066103C">
        <w:t xml:space="preserve">al commitments as much as </w:t>
      </w:r>
      <w:r w:rsidR="00C95A7E" w:rsidRPr="0066103C">
        <w:t xml:space="preserve">on </w:t>
      </w:r>
      <w:r w:rsidR="00F36A90">
        <w:t xml:space="preserve">anything else. The </w:t>
      </w:r>
      <w:r w:rsidRPr="0066103C">
        <w:t xml:space="preserve">use of symbolism in the vision </w:t>
      </w:r>
      <w:r w:rsidR="00F36A90">
        <w:t>and its omitting to name names (even in the interpretation) enables</w:t>
      </w:r>
      <w:r w:rsidRPr="0066103C">
        <w:t xml:space="preserve"> its reapplication to later embodiments of the same dark forces as Antiochus, </w:t>
      </w:r>
      <w:r w:rsidRPr="0066103C">
        <w:lastRenderedPageBreak/>
        <w:t>initi</w:t>
      </w:r>
      <w:r w:rsidR="00626D10" w:rsidRPr="0066103C">
        <w:t>ally Rome (cf. 2 Esd 12; Rev 13</w:t>
      </w:r>
      <w:r w:rsidRPr="0066103C">
        <w:t>).</w:t>
      </w:r>
      <w:r w:rsidR="00E53094" w:rsidRPr="0066103C">
        <w:rPr>
          <w:rStyle w:val="FootnoteReference"/>
        </w:rPr>
        <w:footnoteReference w:id="243"/>
      </w:r>
      <w:r w:rsidR="00F36A90">
        <w:t xml:space="preserve"> There is no indication</w:t>
      </w:r>
      <w:r w:rsidR="00015902" w:rsidRPr="0066103C">
        <w:t xml:space="preserve"> that the visionary intended thus to open up the possibility of reapplying its reference</w:t>
      </w:r>
      <w:r w:rsidRPr="0066103C">
        <w:t xml:space="preserve"> to subsequent situations where there is a reappearance of the pattern seen in the e</w:t>
      </w:r>
      <w:r w:rsidR="00626D10" w:rsidRPr="0066103C">
        <w:t>vents of the second century BC</w:t>
      </w:r>
      <w:r w:rsidRPr="0066103C">
        <w:t xml:space="preserve">, a pattern itself known from earlier situations and here </w:t>
      </w:r>
      <w:r w:rsidR="00626D10" w:rsidRPr="0066103C">
        <w:t xml:space="preserve">being reworked. </w:t>
      </w:r>
      <w:r w:rsidR="00015902" w:rsidRPr="0066103C">
        <w:t xml:space="preserve">But its reticence over such naming unwittingly permitted such a reapplication, which was in keeping with its own reworking of earlier expositions of the pattern. And the reapplication </w:t>
      </w:r>
      <w:r w:rsidRPr="0066103C">
        <w:t>of Daniel’s animal images to late</w:t>
      </w:r>
      <w:r w:rsidR="00F36A90">
        <w:t>r empires reflects</w:t>
      </w:r>
      <w:r w:rsidRPr="0066103C">
        <w:t xml:space="preserve"> international history</w:t>
      </w:r>
      <w:r w:rsidR="00F36A90">
        <w:t>’s continuing</w:t>
      </w:r>
      <w:r w:rsidRPr="0066103C">
        <w:t xml:space="preserve"> to be a process in which “one ethnic group, then another, becomes through rampaging expansion a monstrous coherence of power and peoples</w:t>
      </w:r>
      <w:r w:rsidR="00626D10" w:rsidRPr="0066103C">
        <w:t>.</w:t>
      </w:r>
      <w:r w:rsidRPr="0066103C">
        <w:t>”</w:t>
      </w:r>
      <w:r w:rsidR="00626D10" w:rsidRPr="0066103C">
        <w:rPr>
          <w:rStyle w:val="FootnoteReference"/>
        </w:rPr>
        <w:footnoteReference w:id="244"/>
      </w:r>
    </w:p>
    <w:p w:rsidR="004F0A02" w:rsidRPr="0066103C" w:rsidRDefault="004F0A02" w:rsidP="004F0A02">
      <w:r w:rsidRPr="0066103C">
        <w:t>Another tradition of interpretation identifies the small horn with Antichrist.</w:t>
      </w:r>
      <w:r w:rsidR="0079066B" w:rsidRPr="0066103C">
        <w:rPr>
          <w:rStyle w:val="FootnoteReference"/>
        </w:rPr>
        <w:footnoteReference w:id="245"/>
      </w:r>
      <w:r w:rsidRPr="0066103C">
        <w:t xml:space="preserve"> Antiochus could, indeed, be seen as a kind of anti</w:t>
      </w:r>
      <w:r w:rsidR="001D3B6C" w:rsidRPr="0066103C">
        <w:t>-</w:t>
      </w:r>
      <w:r w:rsidRPr="0066103C">
        <w:t xml:space="preserve">messiah, a royal figure who realizes the opposite of the messianic ideal, a negative to which the humanlike figure of vv 13–14 is the corresponding positive, one who aspires to the authority of </w:t>
      </w:r>
      <w:r w:rsidR="00626D10" w:rsidRPr="0066103C">
        <w:t>the heavens themselves</w:t>
      </w:r>
      <w:r w:rsidR="001D3B6C" w:rsidRPr="0066103C">
        <w:t>. But Antiochus</w:t>
      </w:r>
      <w:r w:rsidRPr="0066103C">
        <w:t xml:space="preserve"> is not a mere anticipation of something still to come. He is </w:t>
      </w:r>
      <w:r w:rsidR="001D3B6C" w:rsidRPr="0066103C">
        <w:t xml:space="preserve">an </w:t>
      </w:r>
      <w:r w:rsidRPr="0066103C">
        <w:t>actual, unpleasant reality in the life of the people of God. It is his reality that makes it possible for later generations to take him as a model for their portrayal of evil.</w:t>
      </w:r>
      <w:r w:rsidR="001D3B6C" w:rsidRPr="0066103C">
        <w:t xml:space="preserve"> Indeed he is more an A</w:t>
      </w:r>
      <w:r w:rsidR="00087F94" w:rsidRPr="0066103C">
        <w:t>nti-Yahweh.</w:t>
      </w:r>
      <w:r w:rsidR="00087F94" w:rsidRPr="0066103C">
        <w:rPr>
          <w:rStyle w:val="FootnoteReference"/>
        </w:rPr>
        <w:footnoteReference w:id="246"/>
      </w:r>
    </w:p>
    <w:p w:rsidR="004F0A02" w:rsidRPr="0066103C" w:rsidRDefault="004F0A02" w:rsidP="004F0A02">
      <w:r w:rsidRPr="008D6427">
        <w:rPr>
          <w:b/>
        </w:rPr>
        <w:t>9–12, 26</w:t>
      </w:r>
      <w:r w:rsidRPr="0066103C">
        <w:t xml:space="preserve"> The four animals have appeared and their characteristics have emerged. The first three are worryingly fearso</w:t>
      </w:r>
      <w:r w:rsidR="001D3B6C" w:rsidRPr="0066103C">
        <w:t>me, but their instincts are ones</w:t>
      </w:r>
      <w:r w:rsidRPr="0066103C">
        <w:t xml:space="preserve"> that God coul</w:t>
      </w:r>
      <w:r w:rsidR="001D3B6C" w:rsidRPr="0066103C">
        <w:t>d use; compare</w:t>
      </w:r>
      <w:r w:rsidRPr="0066103C">
        <w:t xml:space="preserve"> the descripti</w:t>
      </w:r>
      <w:r w:rsidR="001D3B6C" w:rsidRPr="0066103C">
        <w:t>on of God himself in Hos 13:7–8</w:t>
      </w:r>
      <w:r w:rsidRPr="0066103C">
        <w:t xml:space="preserve">. With the fourth, assertiveness against God and his glory is becoming </w:t>
      </w:r>
      <w:r w:rsidR="00F36A90">
        <w:t>overt. A</w:t>
      </w:r>
      <w:r w:rsidRPr="0066103C">
        <w:t xml:space="preserve"> nation threatens to make</w:t>
      </w:r>
      <w:r w:rsidR="00F36A90">
        <w:t xml:space="preserve"> itself God, and</w:t>
      </w:r>
      <w:r w:rsidR="00626D10" w:rsidRPr="0066103C">
        <w:t xml:space="preserve"> God </w:t>
      </w:r>
      <w:r w:rsidR="00F36A90">
        <w:t>decides to act</w:t>
      </w:r>
      <w:r w:rsidRPr="0066103C">
        <w:t xml:space="preserve">. In Ezek 1, the animals support God’s throne; in Dan 7 the fourth, at least, has sought to subvert it, and </w:t>
      </w:r>
      <w:r w:rsidR="001D3B6C" w:rsidRPr="0066103C">
        <w:t xml:space="preserve">it </w:t>
      </w:r>
      <w:r w:rsidRPr="0066103C">
        <w:t>is now judged before it.</w:t>
      </w:r>
      <w:r w:rsidR="00626D10" w:rsidRPr="0066103C">
        <w:rPr>
          <w:rStyle w:val="FootnoteReference"/>
        </w:rPr>
        <w:footnoteReference w:id="247"/>
      </w:r>
      <w:r w:rsidRPr="0066103C">
        <w:t xml:space="preserve"> The very act of portraying Antiochus’s attack on God as a reenactment of the primordial battle offers an understanding of the earthly events involved, and </w:t>
      </w:r>
      <w:r w:rsidR="004F1BE8" w:rsidRPr="0066103C">
        <w:t xml:space="preserve">offers </w:t>
      </w:r>
      <w:r w:rsidRPr="0066103C">
        <w:t xml:space="preserve">a promise that matters will again turn out all right. The stories of Nebuchadnezzar and Belshazzar have illustrated God’s judging activity within the course of the history of the nations. Here a final judgment is to be executed, not upon the deeds of individuals but upon the life of an empire. History has been allowed to unfold enough. It is time for action from heaven finally to terminate the pretension of this human power. </w:t>
      </w:r>
      <w:r w:rsidR="00FE0581" w:rsidRPr="0066103C">
        <w:t>The victory of order over disorder</w:t>
      </w:r>
      <w:r w:rsidRPr="0066103C">
        <w:t xml:space="preserve"> that creation stories assoc</w:t>
      </w:r>
      <w:r w:rsidR="001D3B6C" w:rsidRPr="0066103C">
        <w:t xml:space="preserve">iate with the Beginning is </w:t>
      </w:r>
      <w:r w:rsidRPr="0066103C">
        <w:t>both brought into history and associated with the End.</w:t>
      </w:r>
      <w:r w:rsidR="004F1BE8" w:rsidRPr="0066103C">
        <w:rPr>
          <w:rStyle w:val="FootnoteReference"/>
        </w:rPr>
        <w:footnoteReference w:id="248"/>
      </w:r>
      <w:r w:rsidRPr="0066103C">
        <w:t xml:space="preserve"> The world itself has to </w:t>
      </w:r>
      <w:r w:rsidR="004F1BE8" w:rsidRPr="0066103C">
        <w:t xml:space="preserve">be understood not merely in </w:t>
      </w:r>
      <w:r w:rsidRPr="0066103C">
        <w:t>light of the st</w:t>
      </w:r>
      <w:r w:rsidR="004F1BE8" w:rsidRPr="0066103C">
        <w:t xml:space="preserve">ory of its Beginning but in </w:t>
      </w:r>
      <w:r w:rsidRPr="0066103C">
        <w:t xml:space="preserve">light of the story of its End, for only then is the </w:t>
      </w:r>
      <w:r w:rsidR="004F1BE8" w:rsidRPr="0066103C">
        <w:t xml:space="preserve">story of its Beginning </w:t>
      </w:r>
      <w:r w:rsidRPr="0066103C">
        <w:t>completed.</w:t>
      </w:r>
    </w:p>
    <w:p w:rsidR="0056743D" w:rsidRDefault="004F0A02" w:rsidP="000B4359">
      <w:r w:rsidRPr="0066103C">
        <w:t>There is a sense in which the whole of history can be for</w:t>
      </w:r>
      <w:r w:rsidR="004F1BE8" w:rsidRPr="0066103C">
        <w:t>e</w:t>
      </w:r>
      <w:r w:rsidRPr="0066103C">
        <w:t xml:space="preserve">seen by God, as is presupposed by the vision’s predictive form, and </w:t>
      </w:r>
      <w:r w:rsidR="004F1BE8" w:rsidRPr="0066103C">
        <w:t xml:space="preserve">is </w:t>
      </w:r>
      <w:r w:rsidRPr="0066103C">
        <w:t>even predetermined by God, since the animals</w:t>
      </w:r>
      <w:r w:rsidR="004F1BE8" w:rsidRPr="0066103C">
        <w:t xml:space="preserve"> emerge from the sea at the heavens’</w:t>
      </w:r>
      <w:r w:rsidRPr="0066103C">
        <w:t xml:space="preserve"> prompting. Yet the bulk of history proceeds in a</w:t>
      </w:r>
      <w:r w:rsidR="0056743D">
        <w:t xml:space="preserve"> way that suggests no </w:t>
      </w:r>
      <w:r w:rsidRPr="0066103C">
        <w:t>pattern or mean</w:t>
      </w:r>
      <w:r w:rsidR="004F1BE8" w:rsidRPr="0066103C">
        <w:t>ing,</w:t>
      </w:r>
      <w:r w:rsidR="001D3B6C" w:rsidRPr="0066103C">
        <w:t xml:space="preserve"> and no salvation history. T</w:t>
      </w:r>
      <w:r w:rsidRPr="0066103C">
        <w:t>he nat</w:t>
      </w:r>
      <w:r w:rsidR="004F1BE8" w:rsidRPr="0066103C">
        <w:t xml:space="preserve">ions are “themselves,” </w:t>
      </w:r>
      <w:r w:rsidRPr="0066103C">
        <w:t>not automatons; and God’s j</w:t>
      </w:r>
      <w:r w:rsidR="004F1BE8" w:rsidRPr="0066103C">
        <w:t xml:space="preserve">udgment is a response to </w:t>
      </w:r>
      <w:r w:rsidRPr="0066103C">
        <w:t>actions by the king symbolized by the small horn</w:t>
      </w:r>
      <w:r w:rsidR="004F1BE8" w:rsidRPr="0066103C">
        <w:t>.</w:t>
      </w:r>
      <w:r w:rsidR="004F1BE8" w:rsidRPr="0066103C">
        <w:rPr>
          <w:rStyle w:val="FootnoteReference"/>
        </w:rPr>
        <w:footnoteReference w:id="249"/>
      </w:r>
      <w:r w:rsidR="00BB474A" w:rsidRPr="0066103C">
        <w:t xml:space="preserve"> </w:t>
      </w:r>
      <w:r w:rsidR="002A152A" w:rsidRPr="0066103C">
        <w:t>Daniel 7 is “a study in contrasts.”</w:t>
      </w:r>
      <w:r w:rsidR="002A152A" w:rsidRPr="0066103C">
        <w:rPr>
          <w:vertAlign w:val="superscript"/>
        </w:rPr>
        <w:footnoteReference w:id="250"/>
      </w:r>
      <w:r w:rsidR="002A152A" w:rsidRPr="0066103C">
        <w:t xml:space="preserve"> </w:t>
      </w:r>
      <w:r w:rsidR="00BB474A" w:rsidRPr="0066103C">
        <w:t>E</w:t>
      </w:r>
      <w:r w:rsidRPr="0066103C">
        <w:t xml:space="preserve">ven while Antiochus is </w:t>
      </w:r>
      <w:r w:rsidR="001D3B6C" w:rsidRPr="0066103C">
        <w:t>making his big statements and mouthing his arrogance</w:t>
      </w:r>
      <w:r w:rsidRPr="0066103C">
        <w:t xml:space="preserve"> (vv 8, 11 either side of vv 9–10), a court is being calmly set up, and a judge is serenely taking his seat. </w:t>
      </w:r>
    </w:p>
    <w:p w:rsidR="0056743D" w:rsidRDefault="0056743D" w:rsidP="000B4359"/>
    <w:p w:rsidR="0056743D" w:rsidRDefault="004F0A02" w:rsidP="0056743D">
      <w:pPr>
        <w:pStyle w:val="Quote"/>
      </w:pPr>
      <w:r w:rsidRPr="0066103C">
        <w:lastRenderedPageBreak/>
        <w:t>God then began to seat himself, as he had previously appeared to be passive, and not to exercise justice in the world. For when things are disturbed and mingled with much darkness, who can say, ‘God reigns’? God seems to be shut up in heaven, when things are discomposed and turbulent upon earth. On the other hand, he is said to ascend his tribunal when he assumes to himself the office of a judge, and openly demonstrates that he is neither asleep nor absent, although he has hid from human perception</w:t>
      </w:r>
      <w:r w:rsidR="00BB474A" w:rsidRPr="0066103C">
        <w:t>.</w:t>
      </w:r>
      <w:r w:rsidR="00BB474A" w:rsidRPr="0066103C">
        <w:rPr>
          <w:rStyle w:val="FootnoteReference"/>
        </w:rPr>
        <w:footnoteReference w:id="251"/>
      </w:r>
      <w:r w:rsidRPr="0066103C">
        <w:t xml:space="preserve"> </w:t>
      </w:r>
    </w:p>
    <w:p w:rsidR="0056743D" w:rsidRDefault="0056743D" w:rsidP="000B4359"/>
    <w:p w:rsidR="000B4359" w:rsidRPr="0066103C" w:rsidRDefault="004F0A02" w:rsidP="000B4359">
      <w:r w:rsidRPr="0066103C">
        <w:t>The affirmation that God reigns and judges (e.g., Ps 93; 96–99) become</w:t>
      </w:r>
      <w:r w:rsidR="001D3B6C" w:rsidRPr="0066103C">
        <w:t>s</w:t>
      </w:r>
      <w:r w:rsidRPr="0066103C">
        <w:t xml:space="preserve"> reality—though still in vision.</w:t>
      </w:r>
      <w:r w:rsidR="000B4359" w:rsidRPr="0066103C">
        <w:t xml:space="preserve"> While there was struggle and warfare during the sovereignty of the animals, “almost as soon as the Ancient of Days arrives, the judgment is settled.” There is no lengthy battle.</w:t>
      </w:r>
      <w:r w:rsidR="000B4359" w:rsidRPr="0066103C">
        <w:rPr>
          <w:vertAlign w:val="superscript"/>
        </w:rPr>
        <w:footnoteReference w:id="252"/>
      </w:r>
    </w:p>
    <w:p w:rsidR="00161D46" w:rsidRPr="0066103C" w:rsidRDefault="0056743D" w:rsidP="00161D46">
      <w:r>
        <w:t>T</w:t>
      </w:r>
      <w:r w:rsidR="002A152A" w:rsidRPr="0066103C">
        <w:t xml:space="preserve">he collocation of reigning and judging deserves comment. Western democracies </w:t>
      </w:r>
      <w:r>
        <w:t xml:space="preserve">commonly </w:t>
      </w:r>
      <w:r w:rsidR="002A152A" w:rsidRPr="0066103C">
        <w:t>separate branches of government</w:t>
      </w:r>
      <w:r w:rsidR="00184554" w:rsidRPr="0066103C">
        <w:t xml:space="preserve"> such as the executive</w:t>
      </w:r>
      <w:r w:rsidR="002A152A" w:rsidRPr="0066103C">
        <w:t>, the judiciary, and the legislature.</w:t>
      </w:r>
      <w:r w:rsidR="00184554" w:rsidRPr="0066103C">
        <w:t xml:space="preserve"> </w:t>
      </w:r>
      <w:r w:rsidR="00737B44" w:rsidRPr="0066103C">
        <w:t>The OT does not divide the exercise of power with the aid of such categories. When it</w:t>
      </w:r>
      <w:r w:rsidR="00184554" w:rsidRPr="0066103C">
        <w:t xml:space="preserve"> uses words that</w:t>
      </w:r>
      <w:r w:rsidR="00737B44" w:rsidRPr="0066103C">
        <w:t xml:space="preserve"> are</w:t>
      </w:r>
      <w:r w:rsidR="00184554" w:rsidRPr="0066103C">
        <w:t xml:space="preserve"> translate</w:t>
      </w:r>
      <w:r w:rsidR="00737B44" w:rsidRPr="0066103C">
        <w:t>d into English</w:t>
      </w:r>
      <w:r w:rsidR="00184554" w:rsidRPr="0066103C">
        <w:t xml:space="preserve"> by terms such as </w:t>
      </w:r>
      <w:r w:rsidR="00737B44" w:rsidRPr="0066103C">
        <w:t>“</w:t>
      </w:r>
      <w:r w:rsidR="00184554" w:rsidRPr="0066103C">
        <w:t>justice,</w:t>
      </w:r>
      <w:r w:rsidR="00737B44" w:rsidRPr="0066103C">
        <w:t>” the OT has in mind</w:t>
      </w:r>
      <w:r w:rsidR="00184554" w:rsidRPr="0066103C">
        <w:t xml:space="preserve"> the exercise of authority </w:t>
      </w:r>
      <w:r w:rsidR="00737B44" w:rsidRPr="0066103C">
        <w:t>of the kind that</w:t>
      </w:r>
      <w:r w:rsidR="00184554" w:rsidRPr="0066103C">
        <w:t xml:space="preserve"> the king possesses, and when it speaks of the king acting in judgment, it is thinking of the king exercising authority in order to implement justice in his realm. The fundamental significance of God’s acting in judgment is not the judicial punishment of people who have broken the law but the overthrowing of other authorities and the implementing of justice for the </w:t>
      </w:r>
      <w:r w:rsidR="00737B44" w:rsidRPr="0066103C">
        <w:t xml:space="preserve">people they have wronged. </w:t>
      </w:r>
      <w:r w:rsidR="00161D46" w:rsidRPr="0066103C">
        <w:t xml:space="preserve">As is regularly the case in the OT, “judgment” </w:t>
      </w:r>
      <w:r w:rsidR="00737B44" w:rsidRPr="0066103C">
        <w:t xml:space="preserve">in Dan 7 </w:t>
      </w:r>
      <w:r w:rsidR="00161D46" w:rsidRPr="0066103C">
        <w:t>is not to be understood in a Western sense. It denotes the exercise of authority by a person in power who is in a position to make and impose decisions,</w:t>
      </w:r>
      <w:r w:rsidR="00737B44" w:rsidRPr="0066103C">
        <w:t xml:space="preserve"> put down forces of disorder, and thus </w:t>
      </w:r>
      <w:r w:rsidR="00161D46" w:rsidRPr="0066103C">
        <w:t>support and if necessary restore order in the world and in society.</w:t>
      </w:r>
      <w:r w:rsidR="00161D46" w:rsidRPr="0066103C">
        <w:rPr>
          <w:vertAlign w:val="superscript"/>
        </w:rPr>
        <w:footnoteReference w:id="253"/>
      </w:r>
    </w:p>
    <w:p w:rsidR="004F0A02" w:rsidRPr="0066103C" w:rsidRDefault="00737B44" w:rsidP="004F0A02">
      <w:r w:rsidRPr="0066103C">
        <w:t>The judge in Dan 7</w:t>
      </w:r>
      <w:r w:rsidR="004F0A02" w:rsidRPr="0066103C">
        <w:t xml:space="preserve"> is not one who is merely granted human (= heavenly) fe</w:t>
      </w:r>
      <w:r w:rsidR="0056743D">
        <w:t>atures or who aspires to them. I</w:t>
      </w:r>
      <w:r w:rsidR="004F0A02" w:rsidRPr="0066103C">
        <w:t>ndeed, he not m</w:t>
      </w:r>
      <w:r w:rsidRPr="0066103C">
        <w:t>erely is human (= heavenly). He</w:t>
      </w:r>
      <w:r w:rsidR="004F0A02" w:rsidRPr="0066103C">
        <w:t xml:space="preserve"> possesses the dignity, grandeur, and honor of an elder, bright and splendid in his appearance. The heavenliness, indeed divinity, symbolized by his venerable humanity is suggested by the fire that issues</w:t>
      </w:r>
      <w:r w:rsidR="00BB474A" w:rsidRPr="0066103C">
        <w:t xml:space="preserve"> from his transcendent, awe-inspiring</w:t>
      </w:r>
      <w:r w:rsidR="004F0A02" w:rsidRPr="0066103C">
        <w:t xml:space="preserve"> presence, representing also the dangerous power he embodies when he acts to implement his judgment. As in any king’s court, he is served and honored by countless courtiers, his counselors and executives; and as in any king’s court, he has available written records of the regime’s policy decisions, his purposes with regard to the final issues of history, including the punishment of evil and the implementing of his rule on earth, his plans regarding specific segments of history such as the permitting but the delimiting of particular periods of oppression, and his expectations regarding how humanity is to conduct itself and how he will judge the fulfillment or otherwise of his expectations.</w:t>
      </w:r>
    </w:p>
    <w:p w:rsidR="004F0A02" w:rsidRPr="0066103C" w:rsidRDefault="004F0A02" w:rsidP="004F0A02">
      <w:r w:rsidRPr="0066103C">
        <w:t>The visionary has stood in suspense awaiting the judgment that the small horn’s a</w:t>
      </w:r>
      <w:r w:rsidR="000B4359" w:rsidRPr="0066103C">
        <w:t xml:space="preserve">rrogance must incur. The </w:t>
      </w:r>
      <w:r w:rsidRPr="0066103C">
        <w:t>court’s coming to a verdict is implicit, not stated: we move straight from the horn’s words to the creature’s execution. “The loquacity of the little horn has been judged by the mute</w:t>
      </w:r>
      <w:r w:rsidR="00BB474A" w:rsidRPr="0066103C">
        <w:t xml:space="preserve"> language of the heavenly books</w:t>
      </w:r>
      <w:r w:rsidRPr="0066103C">
        <w:t>.</w:t>
      </w:r>
      <w:r w:rsidR="00BB474A" w:rsidRPr="0066103C">
        <w:t>”</w:t>
      </w:r>
      <w:r w:rsidR="00BB474A" w:rsidRPr="0066103C">
        <w:rPr>
          <w:rStyle w:val="FootnoteReference"/>
        </w:rPr>
        <w:footnoteReference w:id="254"/>
      </w:r>
      <w:r w:rsidRPr="0066103C">
        <w:t xml:space="preserve"> Who kill</w:t>
      </w:r>
      <w:r w:rsidR="00BB474A" w:rsidRPr="0066103C">
        <w:t>s the creature is also unstated, but</w:t>
      </w:r>
      <w:r w:rsidRPr="0066103C">
        <w:t xml:space="preserve"> the passive verb again implies it is God or his agent. The vision offers no mandate for the belief that God commissions human beings to act to destroy the old order and bring in the new, as many seventeenth-ce</w:t>
      </w:r>
      <w:r w:rsidR="00BB474A" w:rsidRPr="0066103C">
        <w:t>ntury revolutionaries believed</w:t>
      </w:r>
      <w:r w:rsidRPr="0066103C">
        <w:t>.</w:t>
      </w:r>
      <w:r w:rsidR="00BB474A" w:rsidRPr="0066103C">
        <w:rPr>
          <w:rStyle w:val="FootnoteReference"/>
        </w:rPr>
        <w:footnoteReference w:id="255"/>
      </w:r>
    </w:p>
    <w:p w:rsidR="004F0A02" w:rsidRPr="0066103C" w:rsidRDefault="004F0A02" w:rsidP="004F0A02">
      <w:r w:rsidRPr="0066103C">
        <w:t xml:space="preserve">Although the vision looks at the history of the empires as a whole, they rule successively, receiving and surrendering authority one by one. For the first three, a time comes within God’s purpose when they cease to exercise authority, but the animals that represent them are not killed. </w:t>
      </w:r>
      <w:r w:rsidR="008B0C9B" w:rsidRPr="0066103C">
        <w:t xml:space="preserve">It is not clear whether they simply retire to a home for displaced monarchies; </w:t>
      </w:r>
      <w:r w:rsidR="000C1456" w:rsidRPr="0066103C">
        <w:t>v</w:t>
      </w:r>
      <w:r w:rsidR="008B0C9B" w:rsidRPr="0066103C">
        <w:t xml:space="preserve"> 27 will rather imply that they end up </w:t>
      </w:r>
      <w:r w:rsidR="008B0C9B" w:rsidRPr="0066103C">
        <w:lastRenderedPageBreak/>
        <w:t>joining in the service of God and hi</w:t>
      </w:r>
      <w:r w:rsidR="00685BB0" w:rsidRPr="0066103C">
        <w:t xml:space="preserve">s people, </w:t>
      </w:r>
      <w:r w:rsidRPr="0066103C">
        <w:t>honoring the new kin</w:t>
      </w:r>
      <w:r w:rsidR="00685BB0" w:rsidRPr="0066103C">
        <w:t xml:space="preserve">gship of which we shall </w:t>
      </w:r>
      <w:r w:rsidRPr="0066103C">
        <w:t>read</w:t>
      </w:r>
      <w:r w:rsidR="00685BB0" w:rsidRPr="0066103C">
        <w:t xml:space="preserve"> there</w:t>
      </w:r>
      <w:r w:rsidRPr="0066103C">
        <w:t>.</w:t>
      </w:r>
      <w:r w:rsidR="00685BB0" w:rsidRPr="0066103C">
        <w:rPr>
          <w:vertAlign w:val="superscript"/>
        </w:rPr>
        <w:footnoteReference w:id="256"/>
      </w:r>
      <w:r w:rsidRPr="0066103C">
        <w:t xml:space="preserve"> Again, the ambiguity of human empires is implied. Not all are condemned: there is an exercise of power that is relatively responsible. Yet all are subject to constraint: no empire lasts. The alternative destinies of </w:t>
      </w:r>
      <w:r w:rsidR="0056743D">
        <w:t>these nations correspond to th</w:t>
      </w:r>
      <w:r w:rsidRPr="0066103C">
        <w:t xml:space="preserve">e </w:t>
      </w:r>
      <w:r w:rsidR="0056743D">
        <w:t xml:space="preserve">alternatives </w:t>
      </w:r>
      <w:r w:rsidRPr="0066103C">
        <w:t>in Isa 40–55</w:t>
      </w:r>
      <w:r w:rsidR="0056743D">
        <w:t>, which sometimes describes the nations</w:t>
      </w:r>
      <w:r w:rsidRPr="0066103C">
        <w:t xml:space="preserve"> as receiving enlightenment, sometimes as experiencing destruction. Nations either submit to God and his purpose in the way they govern their affairs and relate to his people, and in the way they acknowledge his new kingdom; or they assert themselves against him and his purpose in the way they govern their affairs and relate to his people, and </w:t>
      </w:r>
      <w:r w:rsidR="00BB474A" w:rsidRPr="0066103C">
        <w:t xml:space="preserve">they </w:t>
      </w:r>
      <w:r w:rsidRPr="0066103C">
        <w:t>experience his asserting himself over them in judgment.</w:t>
      </w:r>
    </w:p>
    <w:p w:rsidR="004F0A02" w:rsidRPr="0066103C" w:rsidRDefault="004F0A02" w:rsidP="004F0A02">
      <w:r w:rsidRPr="008D6427">
        <w:rPr>
          <w:b/>
        </w:rPr>
        <w:t>13–14, 18, 22, 27</w:t>
      </w:r>
      <w:r w:rsidRPr="0066103C">
        <w:t xml:space="preserve"> After the death of one animal and the dismissal of the others, the vision reaches another climax. A further humanlike figure appears, his heavenly nature underlined by his coming with the clouds of </w:t>
      </w:r>
      <w:r w:rsidR="003D3D26">
        <w:t xml:space="preserve">the </w:t>
      </w:r>
      <w:r w:rsidRPr="0066103C">
        <w:t>heaven</w:t>
      </w:r>
      <w:r w:rsidR="003D3D26">
        <w:t>s</w:t>
      </w:r>
      <w:r w:rsidRPr="0066103C">
        <w:t>. He is presented before the enthroned judge and given the authority taken from the animals—</w:t>
      </w:r>
      <w:r w:rsidR="003D3D26">
        <w:t xml:space="preserve">and </w:t>
      </w:r>
      <w:r w:rsidRPr="0066103C">
        <w:t xml:space="preserve">a much greater and more lasting authority. They appeared as a result of a heavenly initiative, and </w:t>
      </w:r>
      <w:r w:rsidR="00BB474A" w:rsidRPr="0066103C">
        <w:t xml:space="preserve">they </w:t>
      </w:r>
      <w:r w:rsidRPr="0066103C">
        <w:t xml:space="preserve">are within </w:t>
      </w:r>
      <w:r w:rsidR="00BB474A" w:rsidRPr="0066103C">
        <w:t>the purview and control of the heavens</w:t>
      </w:r>
      <w:r w:rsidRPr="0066103C">
        <w:t xml:space="preserve">, but they emerged from the sea, which suggests their disorderly, threatening nature. The humanlike figure who answers to them comes unequivocally from </w:t>
      </w:r>
      <w:r w:rsidR="00BB474A" w:rsidRPr="0066103C">
        <w:t xml:space="preserve">the </w:t>
      </w:r>
      <w:r w:rsidRPr="0066103C">
        <w:t>heaven</w:t>
      </w:r>
      <w:r w:rsidR="00BB474A" w:rsidRPr="0066103C">
        <w:t>s</w:t>
      </w:r>
      <w:r w:rsidRPr="0066103C">
        <w:t xml:space="preserve">, and as a human figure </w:t>
      </w:r>
      <w:r w:rsidR="00BB474A" w:rsidRPr="0066103C">
        <w:t xml:space="preserve">he </w:t>
      </w:r>
      <w:r w:rsidRPr="0066103C">
        <w:t xml:space="preserve">is also implicitly destined to exercise authority over </w:t>
      </w:r>
      <w:r w:rsidR="00BB474A" w:rsidRPr="0066103C">
        <w:t xml:space="preserve">the </w:t>
      </w:r>
      <w:r w:rsidRPr="0066103C">
        <w:t>animals (Gen 1; cf. Jer 27:6; Dan 2:38; 4:</w:t>
      </w:r>
      <w:r w:rsidR="00BB474A" w:rsidRPr="0066103C">
        <w:t>20-22 [17–19</w:t>
      </w:r>
      <w:r w:rsidRPr="0066103C">
        <w:t>]). In contrast to</w:t>
      </w:r>
      <w:r w:rsidR="00BB474A" w:rsidRPr="0066103C">
        <w:t xml:space="preserve"> the eagle-lion become human, this figure</w:t>
      </w:r>
      <w:r w:rsidRPr="0066103C">
        <w:t xml:space="preserve"> is inherently humanlike. In contrast to the leopard, the authority it is given is lasting, royal, and glorious. In contrast to the small horn, its humanlike</w:t>
      </w:r>
      <w:r w:rsidR="000B4359" w:rsidRPr="0066103C">
        <w:t>-</w:t>
      </w:r>
      <w:r w:rsidRPr="0066103C">
        <w:t>ness is genuine, not contrived, and its heavenly glory is given, not seized.</w:t>
      </w:r>
    </w:p>
    <w:p w:rsidR="003D3D26" w:rsidRDefault="004F0A02" w:rsidP="00685BB0">
      <w:r w:rsidRPr="0066103C">
        <w:t>Of the figure’s identity, the vision initially offers no indication</w:t>
      </w:r>
      <w:r w:rsidR="00BB474A" w:rsidRPr="0066103C">
        <w:t xml:space="preserve"> beyond declaring </w:t>
      </w:r>
      <w:r w:rsidR="00C103C0" w:rsidRPr="0066103C">
        <w:t>its heavenly origin</w:t>
      </w:r>
      <w:r w:rsidRPr="0066103C">
        <w:t>. The point about it is the good news its coming implies. History neither continues as the distressing tale of terror at best, blasphemy at worst, nor does it simply break off in judgment and cataclysm. The pretense to heavenly authority yields to the reality of heavenly authority. The grasping of the king symbolized by the small horn has paved the way for an endowment of supernatural power to be exercised on ear</w:t>
      </w:r>
      <w:r w:rsidR="000B4359" w:rsidRPr="0066103C">
        <w:t>th and recognized on earth</w:t>
      </w:r>
      <w:r w:rsidRPr="0066103C">
        <w:t xml:space="preserve">. The realization of God’s creation ideal comes not through the world’s becoming more human but through God’s gift of this humanlike person. </w:t>
      </w:r>
    </w:p>
    <w:p w:rsidR="00685BB0" w:rsidRPr="0066103C" w:rsidRDefault="004F0A02" w:rsidP="00685BB0">
      <w:r w:rsidRPr="0066103C">
        <w:t>There is no doubt a biblical imperative to us to make the world more human, but it is not expressed here. Nations and governments are inclined to see themselves as the embodiments of order, but the best they can really do is restrain disorder. They act as lawgivers or policemen, but easily end up running a police-state. The real order is not that of the earthly kingdoms but that which comes from heaven.</w:t>
      </w:r>
      <w:r w:rsidR="00BB474A" w:rsidRPr="0066103C">
        <w:rPr>
          <w:rStyle w:val="FootnoteReference"/>
        </w:rPr>
        <w:footnoteReference w:id="257"/>
      </w:r>
      <w:r w:rsidRPr="0066103C">
        <w:t xml:space="preserve"> People of all races, nations, and languages had acknowledged Nebuchadnezzar (5:19), and he had acknowledged that God alone possessed lasting authority (</w:t>
      </w:r>
      <w:r w:rsidR="002001F5" w:rsidRPr="0066103C">
        <w:t>4:3, 34 [3:33; 4:31]</w:t>
      </w:r>
      <w:r w:rsidRPr="0066103C">
        <w:t>; these motifs also come in Darius’s story, 6:</w:t>
      </w:r>
      <w:r w:rsidR="002001F5" w:rsidRPr="0066103C">
        <w:t>25-26 [26–27</w:t>
      </w:r>
      <w:r w:rsidRPr="0066103C">
        <w:t>]). Now people of all races, nations, and languages acknowledge that this authority is given to the humanlike figure who takes the place of Nebuchadnezzar and succeeding empires.</w:t>
      </w:r>
      <w:r w:rsidR="00685BB0" w:rsidRPr="0066103C">
        <w:t xml:space="preserve"> Whereas God had given delegated authority to the</w:t>
      </w:r>
      <w:r w:rsidR="003D3D26">
        <w:t xml:space="preserve"> empires for a while, as is</w:t>
      </w:r>
      <w:r w:rsidR="00685BB0" w:rsidRPr="0066103C">
        <w:t xml:space="preserve"> presupposed by the stories, God is now taking back that authority.</w:t>
      </w:r>
      <w:r w:rsidR="00685BB0" w:rsidRPr="0066103C">
        <w:rPr>
          <w:vertAlign w:val="superscript"/>
        </w:rPr>
        <w:footnoteReference w:id="258"/>
      </w:r>
    </w:p>
    <w:p w:rsidR="00C103C0" w:rsidRPr="0066103C" w:rsidRDefault="00C103C0" w:rsidP="00C103C0">
      <w:r w:rsidRPr="0066103C">
        <w:t>The interpretive</w:t>
      </w:r>
      <w:r w:rsidR="003D3D26">
        <w:t xml:space="preserve"> vision is </w:t>
      </w:r>
      <w:r w:rsidRPr="0066103C">
        <w:t>less th</w:t>
      </w:r>
      <w:r w:rsidR="000B4359" w:rsidRPr="0066103C">
        <w:t xml:space="preserve">an completely clear </w:t>
      </w:r>
      <w:r w:rsidRPr="0066103C">
        <w:t xml:space="preserve">on the elements in the </w:t>
      </w:r>
      <w:r w:rsidR="000B4359" w:rsidRPr="0066103C">
        <w:t xml:space="preserve">symbolic </w:t>
      </w:r>
      <w:r w:rsidRPr="0066103C">
        <w:t>vision that it professe</w:t>
      </w:r>
      <w:r w:rsidR="003D3D26">
        <w:t>s to explain. While the</w:t>
      </w:r>
      <w:r w:rsidRPr="0066103C">
        <w:t xml:space="preserve"> interpretation might have been clear to author and original audience but </w:t>
      </w:r>
      <w:r w:rsidR="000B4359" w:rsidRPr="0066103C">
        <w:t xml:space="preserve">it is </w:t>
      </w:r>
      <w:r w:rsidRPr="0066103C">
        <w:t xml:space="preserve">unclear to us out of their context, its allusiveness makes it at least as likely that an element of mystery is built into the vision (cf. vv 15–16, 28). While the animals clearly enough portray the rise and fall of worldly kingdoms, what would replace them is less transparent; the animals are closer to being steno-symbols, while the judgment scene and the humanlike figure are more tensive symbols (see </w:t>
      </w:r>
      <w:r w:rsidRPr="0066103C">
        <w:rPr>
          <w:i/>
        </w:rPr>
        <w:t>Form</w:t>
      </w:r>
      <w:r w:rsidRPr="0066103C">
        <w:t xml:space="preserve">). They affirm that the worldly kingdoms will be replaced by God’s kingdom; they do not make explicit how it will happen. With the four creatures, their historical reference is primary, though they are </w:t>
      </w:r>
      <w:r w:rsidRPr="0066103C">
        <w:lastRenderedPageBreak/>
        <w:t>then portrayed theologically. With the judgment scene and the humanlike figure, their metahistorical or theological reference is primary; they represent ultimate events and realities which will come, but which are not yet present, and which therefore cannot be described straightforwardly like the kingdoms the animals represent.</w:t>
      </w:r>
      <w:r w:rsidRPr="0066103C">
        <w:rPr>
          <w:rStyle w:val="FootnoteReference"/>
        </w:rPr>
        <w:footnoteReference w:id="259"/>
      </w:r>
      <w:r w:rsidRPr="0066103C">
        <w:t xml:space="preserve"> It is of a piece with this dynamic that Daniel’s requests for interpretation, and the content of the interpretation he receives, relate more to the most important of the symbols that has historical reference, even though it hardly requires explanation, than to the humanlike figure, which remains enigmatic.</w:t>
      </w:r>
    </w:p>
    <w:p w:rsidR="003D3D26" w:rsidRDefault="004F0A02" w:rsidP="004F0A02">
      <w:r w:rsidRPr="0066103C">
        <w:t>In time we learn that the humanlike figure stands for holy ones on high; they receive his kingship. If the holy ones are Israelites, the vision’s signific</w:t>
      </w:r>
      <w:r w:rsidR="003D3D26">
        <w:t>ance for its readers is clear: i</w:t>
      </w:r>
      <w:r w:rsidRPr="0066103C">
        <w:t xml:space="preserve">t promises the great reversal that scatters the proud and dethrones princes, that gives aid to Israel and exalts the lowly. That </w:t>
      </w:r>
      <w:r w:rsidR="002001F5" w:rsidRPr="0066103C">
        <w:t xml:space="preserve">promise </w:t>
      </w:r>
      <w:r w:rsidR="003D3D26">
        <w:t>may</w:t>
      </w:r>
      <w:r w:rsidR="002001F5" w:rsidRPr="0066103C">
        <w:t xml:space="preserve"> have a worrying aspect for subsequent readers</w:t>
      </w:r>
      <w:r w:rsidRPr="0066103C">
        <w:t xml:space="preserve">. There is little evidence that Israelites or Christians make less oppressive rulers than Babylonians or Greeks. (I write in a week of harsh Israeli suppression of resistance to their occupation of Gaza, but Christian nations have too long a history of oppression for them to act superior with regard to such events.) It is characteristic of the chosen people to take on the characteristics of the world. The reapplication of Daniel’s picture of the fourth animal to post-Constantinian Rome or to the modern Christian </w:t>
      </w:r>
      <w:r w:rsidR="002001F5" w:rsidRPr="0066103C">
        <w:t>democracies of Europe or the United States</w:t>
      </w:r>
      <w:r w:rsidR="000B4359" w:rsidRPr="0066103C">
        <w:t xml:space="preserve"> is quite plausible</w:t>
      </w:r>
      <w:r w:rsidRPr="0066103C">
        <w:t xml:space="preserve">. The humanlike figure can become merely another animal. </w:t>
      </w:r>
    </w:p>
    <w:p w:rsidR="004F0A02" w:rsidRPr="0066103C" w:rsidRDefault="004F0A02" w:rsidP="004F0A02">
      <w:r w:rsidRPr="0066103C">
        <w:t xml:space="preserve">The point cannot be safeguarded by declaring that the vision depends on the emergence of a faithful group within Israel who can be trusted with the kingship; the chapter offers no </w:t>
      </w:r>
      <w:r w:rsidR="002001F5" w:rsidRPr="0066103C">
        <w:t xml:space="preserve">such reason </w:t>
      </w:r>
      <w:r w:rsidRPr="0066103C">
        <w:t>for the kingdom being given to the holy ones. It contains no exhortation to faithfulness, no exhortation to any form of resistance to Antiochus, and no hint that acts on earth bring about the kingdom</w:t>
      </w:r>
      <w:r w:rsidR="002001F5" w:rsidRPr="0066103C">
        <w:t xml:space="preserve"> of God</w:t>
      </w:r>
      <w:r w:rsidRPr="0066103C">
        <w:t>. It is not concerned with the conflict between the faithful and the state but with the development of the kingdoms and their appoint</w:t>
      </w:r>
      <w:r w:rsidR="002001F5" w:rsidRPr="0066103C">
        <w:t>ed time</w:t>
      </w:r>
      <w:r w:rsidRPr="0066103C">
        <w:t>,</w:t>
      </w:r>
      <w:r w:rsidR="002001F5" w:rsidRPr="0066103C">
        <w:rPr>
          <w:rStyle w:val="FootnoteReference"/>
        </w:rPr>
        <w:footnoteReference w:id="260"/>
      </w:r>
      <w:r w:rsidRPr="0066103C">
        <w:t xml:space="preserve"> and with the promise that Antiochus does not have th</w:t>
      </w:r>
      <w:r w:rsidR="002001F5" w:rsidRPr="0066103C">
        <w:t>e last word; God will see to i</w:t>
      </w:r>
      <w:r w:rsidRPr="0066103C">
        <w:t>t. The violence is his; the unquestioned sovereignty will then be theirs. Even the humanlike figure takes no active role in the drama. He does not f</w:t>
      </w:r>
      <w:r w:rsidR="000B4359" w:rsidRPr="0066103C">
        <w:t>ight, like Marduk, or like the M</w:t>
      </w:r>
      <w:r w:rsidRPr="0066103C">
        <w:t>essiah; he is simply invested. He receives without acting or striving. The vision does not picture Humanity coming to save humanity.</w:t>
      </w:r>
      <w:r w:rsidR="002001F5" w:rsidRPr="0066103C">
        <w:rPr>
          <w:rStyle w:val="FootnoteReference"/>
        </w:rPr>
        <w:footnoteReference w:id="261"/>
      </w:r>
      <w:r w:rsidRPr="0066103C">
        <w:t xml:space="preserve"> Likewise the holy ones do not fight—at least, not successfully. It is their defeat that brings their attacker</w:t>
      </w:r>
      <w:r w:rsidR="003D3D26">
        <w:t>’s downfall (God</w:t>
      </w:r>
      <w:r w:rsidRPr="0066103C">
        <w:t xml:space="preserve"> </w:t>
      </w:r>
      <w:r w:rsidR="003D3D26">
        <w:t>will disarm</w:t>
      </w:r>
      <w:r w:rsidRPr="0066103C">
        <w:t xml:space="preserve"> principali</w:t>
      </w:r>
      <w:r w:rsidR="00685BB0" w:rsidRPr="0066103C">
        <w:t xml:space="preserve">ties and powers through </w:t>
      </w:r>
      <w:r w:rsidR="00EF2BBD">
        <w:t>Jesus’</w:t>
      </w:r>
      <w:r w:rsidR="003D3D26">
        <w:t xml:space="preserve"> being crucified: </w:t>
      </w:r>
      <w:r w:rsidRPr="0066103C">
        <w:t>Col 2:15).</w:t>
      </w:r>
      <w:r w:rsidR="000B4359" w:rsidRPr="0066103C">
        <w:t xml:space="preserve"> </w:t>
      </w:r>
      <w:r w:rsidRPr="0066103C">
        <w:t xml:space="preserve">If the chapter implies a safeguard regarding the worry that human recipients of the new sovereignty will likely only turn it into a fifth empire, it is the fact that the humanlike figure comes from </w:t>
      </w:r>
      <w:r w:rsidR="002001F5" w:rsidRPr="0066103C">
        <w:t xml:space="preserve">the </w:t>
      </w:r>
      <w:r w:rsidRPr="0066103C">
        <w:t>heaven</w:t>
      </w:r>
      <w:r w:rsidR="002001F5" w:rsidRPr="0066103C">
        <w:t>s</w:t>
      </w:r>
      <w:r w:rsidRPr="0066103C">
        <w:t>. The ones who fulfill this vision will be those who come from God, who can be perceived to share God’s priorities. Perhaps they have not yet been born.</w:t>
      </w:r>
    </w:p>
    <w:p w:rsidR="004F0A02" w:rsidRPr="0066103C" w:rsidRDefault="004F0A02" w:rsidP="004F0A02">
      <w:r w:rsidRPr="0066103C">
        <w:t>But it is not clear that the holy ones who receive the sovereignty are</w:t>
      </w:r>
      <w:r w:rsidR="002001F5" w:rsidRPr="0066103C">
        <w:t xml:space="preserve"> earthly figures. They may </w:t>
      </w:r>
      <w:r w:rsidR="003D3D26">
        <w:t>be celestial beings. For the audience, w</w:t>
      </w:r>
      <w:r w:rsidRPr="0066103C">
        <w:t>hat would be th</w:t>
      </w:r>
      <w:r w:rsidR="003D3D26">
        <w:t xml:space="preserve">e significance </w:t>
      </w:r>
      <w:r w:rsidRPr="0066103C">
        <w:t>of the information that celestial beings will be given a k</w:t>
      </w:r>
      <w:r w:rsidR="002001F5" w:rsidRPr="0066103C">
        <w:t xml:space="preserve">ingdom? The second-century </w:t>
      </w:r>
      <w:r w:rsidRPr="0066103C">
        <w:t xml:space="preserve">crisis brought not only physical suffering but a crisis of faith. Though there is no talk of the humanlike figure’s having been under attack, the small horn is said to have attacked and overcome the holy ones. Antiochus has threatened, assailed, and even overcome </w:t>
      </w:r>
      <w:r w:rsidR="002001F5" w:rsidRPr="0066103C">
        <w:t>the heavens themselves</w:t>
      </w:r>
      <w:r w:rsidRPr="0066103C">
        <w:t xml:space="preserve"> (chap. 8 will take these ideas further). Israel is not alone in being threatened, assailed, and even ov</w:t>
      </w:r>
      <w:r w:rsidR="002001F5" w:rsidRPr="0066103C">
        <w:t>ercome by atheistic arrogance. The heavens themselves are</w:t>
      </w:r>
      <w:r w:rsidRPr="0066103C">
        <w:t xml:space="preserve"> part of that creation which is included in </w:t>
      </w:r>
      <w:r w:rsidR="002001F5" w:rsidRPr="0066103C">
        <w:t>the suffering of the last days</w:t>
      </w:r>
      <w:r w:rsidRPr="0066103C">
        <w:t>.</w:t>
      </w:r>
      <w:r w:rsidR="002001F5" w:rsidRPr="0066103C">
        <w:rPr>
          <w:rStyle w:val="FootnoteReference"/>
        </w:rPr>
        <w:footnoteReference w:id="262"/>
      </w:r>
      <w:r w:rsidRPr="0066103C">
        <w:t xml:space="preserve"> This </w:t>
      </w:r>
      <w:r w:rsidR="002001F5" w:rsidRPr="0066103C">
        <w:t xml:space="preserve">perspective </w:t>
      </w:r>
      <w:r w:rsidRPr="0066103C">
        <w:t xml:space="preserve">brings consolation to those on earth who suffer, not least because it compounds the necessity for the small horn’s judgment. It also further explains the reason for the </w:t>
      </w:r>
      <w:r w:rsidR="002001F5" w:rsidRPr="0066103C">
        <w:t xml:space="preserve">different treatment of the </w:t>
      </w:r>
      <w:r w:rsidRPr="0066103C">
        <w:t>first three an</w:t>
      </w:r>
      <w:r w:rsidR="002001F5" w:rsidRPr="0066103C">
        <w:t>imals</w:t>
      </w:r>
      <w:r w:rsidRPr="0066103C">
        <w:t xml:space="preserve">. Not all nations </w:t>
      </w:r>
      <w:r w:rsidRPr="0066103C">
        <w:lastRenderedPageBreak/>
        <w:t xml:space="preserve">and kings actively oppose the glory of God and the concerns of </w:t>
      </w:r>
      <w:r w:rsidR="002001F5" w:rsidRPr="0066103C">
        <w:t xml:space="preserve">the </w:t>
      </w:r>
      <w:r w:rsidRPr="0066103C">
        <w:t>heaven</w:t>
      </w:r>
      <w:r w:rsidR="002001F5" w:rsidRPr="0066103C">
        <w:t>s</w:t>
      </w:r>
      <w:r w:rsidRPr="0066103C">
        <w:t xml:space="preserve">. The </w:t>
      </w:r>
      <w:r w:rsidR="002001F5" w:rsidRPr="0066103C">
        <w:t xml:space="preserve">heavenly realm </w:t>
      </w:r>
      <w:r w:rsidRPr="0066103C">
        <w:t>has been despised and attacked, but it will have the final word. The holy ones do not destroy the fourth animal, but their suffering is the cause of its destruction.</w:t>
      </w:r>
    </w:p>
    <w:p w:rsidR="004F0A02" w:rsidRPr="0066103C" w:rsidRDefault="007A5A50" w:rsidP="004F0A02">
      <w:r w:rsidRPr="0066103C">
        <w:t xml:space="preserve">The cosmic significance </w:t>
      </w:r>
      <w:r w:rsidR="004F0A02" w:rsidRPr="0066103C">
        <w:t>attached to Antiochus becomes especially illuminating in the nuclear age. Humanity now has the power to destroy itself and the world in which it li</w:t>
      </w:r>
      <w:r w:rsidRPr="0066103C">
        <w:t xml:space="preserve">ves. There is something </w:t>
      </w:r>
      <w:r w:rsidR="004F0A02" w:rsidRPr="0066103C">
        <w:t>unprecedented about this situation, an</w:t>
      </w:r>
      <w:r w:rsidRPr="0066103C">
        <w:t xml:space="preserve">d something theologically </w:t>
      </w:r>
      <w:r w:rsidR="004F0A02" w:rsidRPr="0066103C">
        <w:t>novel. God has allowed humanity to discover how to brin</w:t>
      </w:r>
      <w:r w:rsidRPr="0066103C">
        <w:t>g to an end the story he began</w:t>
      </w:r>
      <w:r w:rsidR="004F0A02" w:rsidRPr="0066103C">
        <w:t>.</w:t>
      </w:r>
      <w:r w:rsidRPr="0066103C">
        <w:rPr>
          <w:rStyle w:val="FootnoteReference"/>
        </w:rPr>
        <w:footnoteReference w:id="263"/>
      </w:r>
      <w:r w:rsidR="004F0A02" w:rsidRPr="0066103C">
        <w:t xml:space="preserve"> The prospect is “apocalyptic,” and it is in an apocalypse such as Dan 7 that we may find the scriptural resources for for</w:t>
      </w:r>
      <w:r w:rsidRPr="0066103C">
        <w:t>mulating what faith and hope could mean in such a context</w:t>
      </w:r>
      <w:r w:rsidR="004F0A02" w:rsidRPr="0066103C">
        <w:t>.</w:t>
      </w:r>
      <w:r w:rsidRPr="0066103C">
        <w:rPr>
          <w:rStyle w:val="FootnoteReference"/>
        </w:rPr>
        <w:footnoteReference w:id="264"/>
      </w:r>
      <w:r w:rsidR="004F0A02" w:rsidRPr="0066103C">
        <w:t xml:space="preserve"> What is extravagance in Daniel’s visions is now reality. Precisely in its extravagance, then, Daniel’s vision helps us. It imagines the unimaginable. It looks in the face the possibility of human power and arrogance toppling the rule of </w:t>
      </w:r>
      <w:r w:rsidRPr="0066103C">
        <w:t xml:space="preserve">the </w:t>
      </w:r>
      <w:r w:rsidR="004F0A02" w:rsidRPr="0066103C">
        <w:t>heaven</w:t>
      </w:r>
      <w:r w:rsidRPr="0066103C">
        <w:t>s</w:t>
      </w:r>
      <w:r w:rsidR="004F0A02" w:rsidRPr="0066103C">
        <w:t xml:space="preserve"> over the world. It affirms that the powers of </w:t>
      </w:r>
      <w:r w:rsidRPr="0066103C">
        <w:t xml:space="preserve">the </w:t>
      </w:r>
      <w:r w:rsidR="004F0A02" w:rsidRPr="0066103C">
        <w:t>heaven</w:t>
      </w:r>
      <w:r w:rsidRPr="0066103C">
        <w:t>s</w:t>
      </w:r>
      <w:r w:rsidR="004F0A02" w:rsidRPr="0066103C">
        <w:t xml:space="preserve"> may be assailed and hurt, but that God will still reserve the last word.</w:t>
      </w:r>
      <w:r w:rsidR="00685BB0" w:rsidRPr="0066103C">
        <w:t xml:space="preserve"> </w:t>
      </w:r>
    </w:p>
    <w:p w:rsidR="004F0A02" w:rsidRPr="0066103C" w:rsidRDefault="004F0A02" w:rsidP="004F0A02">
      <w:r w:rsidRPr="0066103C">
        <w:t>It might be tempting to infer that human efforts for peace are therefore unnecessary; bringing about world peace is God’s business. We may again recall that Dan 7 makes no suggestions regarding the human conduct that is appropriate in the Antiochene crisis. It is God’s act that counts. Yet the Daniel whose visions we are considering is the man of political commitment and religious faithfulness portrayed in chaps. 1–6; his is no privatized faith. And the inference that human efforts are unnecessary if peace must be God’s achievement parallels the inference that righteousness is unnecessary if our relationship with God must be his gift (Rom 6:1). Paul’s response to this inference is not to qualify his affirmation that everything depends on grace; it is to recall the objector to the fact that righteousness is an end, not a means. Sim</w:t>
      </w:r>
      <w:r w:rsidR="007A5A50" w:rsidRPr="0066103C">
        <w:t>ilarly we seek peace because i</w:t>
      </w:r>
      <w:r w:rsidRPr="0066103C">
        <w:t>t is the God-like t</w:t>
      </w:r>
      <w:r w:rsidR="007A5A50" w:rsidRPr="0066103C">
        <w:t>hing to do, not because God</w:t>
      </w:r>
      <w:r w:rsidRPr="0066103C">
        <w:t xml:space="preserve"> is necessarily dependent on our doing so.</w:t>
      </w:r>
      <w:r w:rsidR="00C75280" w:rsidRPr="0066103C">
        <w:t xml:space="preserve"> But as we do so, who knows, </w:t>
      </w:r>
      <w:r w:rsidR="007A5A50" w:rsidRPr="0066103C">
        <w:t xml:space="preserve">he may </w:t>
      </w:r>
      <w:r w:rsidRPr="0066103C">
        <w:t xml:space="preserve">choose to </w:t>
      </w:r>
      <w:r w:rsidR="007C104A">
        <w:t>utilize</w:t>
      </w:r>
      <w:r w:rsidR="008B0C9B" w:rsidRPr="0066103C">
        <w:t xml:space="preserve"> our peace-seeking to </w:t>
      </w:r>
      <w:r w:rsidRPr="0066103C">
        <w:t>bring about his peace.</w:t>
      </w:r>
    </w:p>
    <w:p w:rsidR="004F0A02" w:rsidRPr="0066103C" w:rsidRDefault="004F0A02" w:rsidP="004F0A02">
      <w:r w:rsidRPr="0066103C">
        <w:t>What happens when we consi</w:t>
      </w:r>
      <w:r w:rsidR="008B0C9B" w:rsidRPr="0066103C">
        <w:t xml:space="preserve">der the humanlike figure in </w:t>
      </w:r>
      <w:r w:rsidRPr="0066103C">
        <w:t>light</w:t>
      </w:r>
      <w:r w:rsidR="007A5A50" w:rsidRPr="0066103C">
        <w:t xml:space="preserve"> of </w:t>
      </w:r>
      <w:r w:rsidR="008B0C9B" w:rsidRPr="0066103C">
        <w:t>the coming of Jesus</w:t>
      </w:r>
      <w:r w:rsidR="007A5A50" w:rsidRPr="0066103C">
        <w:t>? The familiar</w:t>
      </w:r>
      <w:r w:rsidRPr="0066103C">
        <w:t xml:space="preserve"> title “the Son of Man” is a literalistic rendering</w:t>
      </w:r>
      <w:r w:rsidR="007A5A50" w:rsidRPr="0066103C">
        <w:t xml:space="preserve"> of the phrase in v 13. S</w:t>
      </w:r>
      <w:r w:rsidRPr="0066103C">
        <w:t>uch links between OT and NT are more for</w:t>
      </w:r>
      <w:r w:rsidR="007A5A50" w:rsidRPr="0066103C">
        <w:t>mal than substantial. Yet Jesus</w:t>
      </w:r>
      <w:r w:rsidR="008B0C9B" w:rsidRPr="0066103C">
        <w:t xml:space="preserve"> is indeed the one who ca</w:t>
      </w:r>
      <w:r w:rsidRPr="0066103C">
        <w:t xml:space="preserve">me in human likeness from </w:t>
      </w:r>
      <w:r w:rsidR="007A5A50" w:rsidRPr="0066103C">
        <w:t xml:space="preserve">the </w:t>
      </w:r>
      <w:r w:rsidRPr="0066103C">
        <w:t>heaven</w:t>
      </w:r>
      <w:r w:rsidR="007A5A50" w:rsidRPr="0066103C">
        <w:t>s</w:t>
      </w:r>
      <w:r w:rsidRPr="0066103C">
        <w:t xml:space="preserve">, and the one </w:t>
      </w:r>
      <w:r w:rsidR="007C104A">
        <w:t xml:space="preserve">who is </w:t>
      </w:r>
      <w:r w:rsidRPr="0066103C">
        <w:t xml:space="preserve">still to come in human likeness on the clouds of </w:t>
      </w:r>
      <w:r w:rsidR="007A5A50" w:rsidRPr="0066103C">
        <w:t xml:space="preserve">the </w:t>
      </w:r>
      <w:r w:rsidRPr="0066103C">
        <w:t>heaven</w:t>
      </w:r>
      <w:r w:rsidR="007A5A50" w:rsidRPr="0066103C">
        <w:t>s</w:t>
      </w:r>
      <w:r w:rsidRPr="0066103C">
        <w:t xml:space="preserve"> to receive a kingdom and to accept the honor of all nations. The rule of God on earth is implemented through one who is himself from </w:t>
      </w:r>
      <w:r w:rsidR="007A5A50" w:rsidRPr="0066103C">
        <w:t xml:space="preserve">the </w:t>
      </w:r>
      <w:r w:rsidRPr="0066103C">
        <w:t>heaven</w:t>
      </w:r>
      <w:r w:rsidR="007A5A50" w:rsidRPr="0066103C">
        <w:t>s</w:t>
      </w:r>
      <w:r w:rsidRPr="0066103C">
        <w:t>. Along with figures such as t</w:t>
      </w:r>
      <w:r w:rsidR="00FF4F3A">
        <w:t>he prophet and priest, the supernatural aide</w:t>
      </w:r>
      <w:r w:rsidRPr="0066103C">
        <w:t xml:space="preserve"> is one of </w:t>
      </w:r>
      <w:r w:rsidR="00EF2BBD">
        <w:t>Jesus’</w:t>
      </w:r>
      <w:r w:rsidRPr="0066103C">
        <w:t xml:space="preserve"> role models: he fulfills a </w:t>
      </w:r>
      <w:r w:rsidR="008B0C9B" w:rsidRPr="0066103C">
        <w:t>place analogous to each of these figures</w:t>
      </w:r>
      <w:r w:rsidR="007A5A50" w:rsidRPr="0066103C">
        <w:t>.</w:t>
      </w:r>
      <w:r w:rsidR="007A5A50" w:rsidRPr="0066103C">
        <w:rPr>
          <w:rStyle w:val="FootnoteReference"/>
        </w:rPr>
        <w:footnoteReference w:id="265"/>
      </w:r>
      <w:r w:rsidRPr="0066103C">
        <w:t xml:space="preserve"> In the view of theologians such as John and Paul, he is so heavenly that he must share God’s own divinity: the similarity of judge and humanlike figure becomes a sim</w:t>
      </w:r>
      <w:r w:rsidR="00866AAB" w:rsidRPr="0066103C">
        <w:t>ilarity of Father and Son</w:t>
      </w:r>
      <w:r w:rsidRPr="0066103C">
        <w:t>.</w:t>
      </w:r>
      <w:r w:rsidR="00866AAB" w:rsidRPr="0066103C">
        <w:rPr>
          <w:rStyle w:val="FootnoteReference"/>
        </w:rPr>
        <w:footnoteReference w:id="266"/>
      </w:r>
      <w:r w:rsidR="00866AAB" w:rsidRPr="0066103C">
        <w:t xml:space="preserve"> </w:t>
      </w:r>
      <w:r w:rsidR="00685BB0" w:rsidRPr="0066103C">
        <w:t>The indications in Dan 7 of thought in terms of more than one p</w:t>
      </w:r>
      <w:r w:rsidR="007C104A">
        <w:t xml:space="preserve">ower in the heavens expresses an </w:t>
      </w:r>
      <w:r w:rsidR="00685BB0" w:rsidRPr="0066103C">
        <w:t xml:space="preserve">awareness of the complexity within the Godhead which in light of </w:t>
      </w:r>
      <w:r w:rsidR="00EF2BBD">
        <w:t>Jesus’</w:t>
      </w:r>
      <w:r w:rsidR="00685BB0" w:rsidRPr="0066103C">
        <w:t xml:space="preserve"> coming and the pouring out of his Spirit is taken further in the Christian awareness of God being in some sense three yet also one.</w:t>
      </w:r>
      <w:r w:rsidR="00685BB0" w:rsidRPr="0066103C">
        <w:rPr>
          <w:vertAlign w:val="superscript"/>
        </w:rPr>
        <w:footnoteReference w:id="267"/>
      </w:r>
      <w:r w:rsidR="00685BB0" w:rsidRPr="0066103C">
        <w:t xml:space="preserve"> </w:t>
      </w:r>
      <w:r w:rsidR="00EF2BBD">
        <w:t>Jesus’</w:t>
      </w:r>
      <w:r w:rsidR="00685BB0" w:rsidRPr="0066103C">
        <w:t xml:space="preserve"> coming</w:t>
      </w:r>
      <w:r w:rsidR="00866AAB" w:rsidRPr="0066103C">
        <w:t xml:space="preserve"> implements in the most far-reaching way </w:t>
      </w:r>
      <w:r w:rsidRPr="0066103C">
        <w:t>the reign of God on earth that Dan 7 promises. It brings that unveiling of the mystery of God’s plan for the world (Eph 3:1–12) which is spoken of here as the opening of the books (v 10).</w:t>
      </w:r>
    </w:p>
    <w:p w:rsidR="004F0A02" w:rsidRPr="0066103C" w:rsidRDefault="004F0A02" w:rsidP="004F0A02">
      <w:r w:rsidRPr="0066103C">
        <w:t xml:space="preserve">According to </w:t>
      </w:r>
      <w:r w:rsidRPr="0066103C">
        <w:rPr>
          <w:i/>
        </w:rPr>
        <w:t>b</w:t>
      </w:r>
      <w:r w:rsidRPr="007C104A">
        <w:rPr>
          <w:i/>
        </w:rPr>
        <w:t>. Sanhedrin</w:t>
      </w:r>
      <w:r w:rsidRPr="0066103C">
        <w:t xml:space="preserve"> 9</w:t>
      </w:r>
      <w:r w:rsidR="008B0C9B" w:rsidRPr="0066103C">
        <w:t>8a, if the Jews deserve it the M</w:t>
      </w:r>
      <w:r w:rsidRPr="0066103C">
        <w:t xml:space="preserve">essiah will come “with the clouds of </w:t>
      </w:r>
      <w:r w:rsidR="00866AAB" w:rsidRPr="0066103C">
        <w:t xml:space="preserve">the </w:t>
      </w:r>
      <w:r w:rsidRPr="0066103C">
        <w:t>heaven</w:t>
      </w:r>
      <w:r w:rsidR="00866AAB" w:rsidRPr="0066103C">
        <w:t>s</w:t>
      </w:r>
      <w:r w:rsidRPr="0066103C">
        <w:t>,” if not he will come “lowly and rid</w:t>
      </w:r>
      <w:r w:rsidR="008B0C9B" w:rsidRPr="0066103C">
        <w:t xml:space="preserve">ing upon an ass.” Jesus </w:t>
      </w:r>
      <w:r w:rsidRPr="0066103C">
        <w:t>spoke of the Son of Man coming “not to be served but to serve” (Mark</w:t>
      </w:r>
      <w:r w:rsidR="007C104A">
        <w:t xml:space="preserve"> 10:45), and may imply a</w:t>
      </w:r>
      <w:r w:rsidRPr="0066103C">
        <w:t xml:space="preserve"> similar deliberate contrast with Dan 7:13–</w:t>
      </w:r>
      <w:r w:rsidRPr="0066103C">
        <w:lastRenderedPageBreak/>
        <w:t>14.</w:t>
      </w:r>
      <w:r w:rsidR="00866AAB" w:rsidRPr="0066103C">
        <w:rPr>
          <w:rStyle w:val="FootnoteReference"/>
        </w:rPr>
        <w:footnoteReference w:id="268"/>
      </w:r>
      <w:r w:rsidRPr="0066103C">
        <w:t xml:space="preserve"> Talk of the holy ones’ being oppressed, however, could easily be transferred to the humanlike figure himself, even though our text does not make the transfer; and when Jesus goes on to speak of the Son of Man’s calling to give his life as a ransom for many, the suffering of the holy ones may have been </w:t>
      </w:r>
      <w:r w:rsidR="008B0C9B" w:rsidRPr="0066103C">
        <w:t xml:space="preserve">one of the motifs in his mind. </w:t>
      </w:r>
      <w:r w:rsidR="00EF2BBD">
        <w:t>Jesus’</w:t>
      </w:r>
      <w:r w:rsidR="00E10B9F" w:rsidRPr="0066103C">
        <w:t xml:space="preserve"> proclamation of the</w:t>
      </w:r>
      <w:r w:rsidRPr="0066103C">
        <w:t xml:space="preserve"> coming </w:t>
      </w:r>
      <w:r w:rsidR="00E10B9F" w:rsidRPr="0066103C">
        <w:t xml:space="preserve">of God’s reign </w:t>
      </w:r>
      <w:r w:rsidR="008B0C9B" w:rsidRPr="0066103C">
        <w:t>(Mark 1:15)</w:t>
      </w:r>
      <w:r w:rsidRPr="0066103C">
        <w:t xml:space="preserve"> also reflects Daniel’s description of the ho</w:t>
      </w:r>
      <w:r w:rsidR="008B0C9B" w:rsidRPr="0066103C">
        <w:t>ly ones’ receiving the kingdom.</w:t>
      </w:r>
      <w:r w:rsidR="00E10B9F" w:rsidRPr="0066103C">
        <w:rPr>
          <w:rStyle w:val="FootnoteReference"/>
        </w:rPr>
        <w:footnoteReference w:id="269"/>
      </w:r>
      <w:r w:rsidRPr="0066103C">
        <w:t xml:space="preserve"> He is to be the one to whom every knee bows, but only after accepting the form of a servant and the humiliation of the cross (Phil 2:5–11). The one who stands in the midst of the throne and of the four animals is a lamb bearing the marks of slaughter (Rev 5:6).</w:t>
      </w:r>
    </w:p>
    <w:p w:rsidR="004F0A02" w:rsidRPr="0066103C" w:rsidRDefault="004F0A02" w:rsidP="004F0A02">
      <w:r w:rsidRPr="0066103C">
        <w:t>The power of the Seleucid monarchy</w:t>
      </w:r>
      <w:r w:rsidR="00E10B9F" w:rsidRPr="0066103C">
        <w:t xml:space="preserve"> was not broken in the 160s BC</w:t>
      </w:r>
      <w:r w:rsidR="00AF4204" w:rsidRPr="0066103C">
        <w:t>.</w:t>
      </w:r>
      <w:r w:rsidRPr="0066103C">
        <w:t xml:space="preserve"> </w:t>
      </w:r>
      <w:r w:rsidR="00AF4204" w:rsidRPr="0066103C">
        <w:t>But Jews under the domination of Rome who identified Rome as the fourth empire in the context of the pressures of their own time were not simply trying to solve the difficulty that</w:t>
      </w:r>
      <w:r w:rsidR="007C104A">
        <w:t xml:space="preserve"> the reign of God</w:t>
      </w:r>
      <w:r w:rsidR="00AF4204" w:rsidRPr="0066103C">
        <w:t xml:space="preserve"> did not come in fullness in the years that followed this vision. They were seeking to discern how God might speak to them to their context in a way analogous to the way he had spoken in that comparable context.</w:t>
      </w:r>
      <w:r w:rsidR="00AF4204" w:rsidRPr="0066103C">
        <w:rPr>
          <w:vertAlign w:val="superscript"/>
        </w:rPr>
        <w:footnoteReference w:id="270"/>
      </w:r>
      <w:r w:rsidR="00AF4204" w:rsidRPr="0066103C">
        <w:t xml:space="preserve"> They model interpretation for subsequent readers who know that</w:t>
      </w:r>
      <w:r w:rsidRPr="0066103C">
        <w:t xml:space="preserve"> the power of Rome</w:t>
      </w:r>
      <w:r w:rsidR="00E10B9F" w:rsidRPr="0066103C">
        <w:t xml:space="preserve"> </w:t>
      </w:r>
      <w:r w:rsidR="00AF4204" w:rsidRPr="0066103C">
        <w:t xml:space="preserve">was not </w:t>
      </w:r>
      <w:r w:rsidR="00E10B9F" w:rsidRPr="0066103C">
        <w:t xml:space="preserve">broken in the century of </w:t>
      </w:r>
      <w:r w:rsidR="00EF2BBD">
        <w:t>Jesus’</w:t>
      </w:r>
      <w:r w:rsidRPr="0066103C">
        <w:t xml:space="preserve"> comin</w:t>
      </w:r>
      <w:r w:rsidR="00E10B9F" w:rsidRPr="0066103C">
        <w:t>g</w:t>
      </w:r>
      <w:r w:rsidR="00AF4204" w:rsidRPr="0066103C">
        <w:t>, either</w:t>
      </w:r>
      <w:r w:rsidR="00E10B9F" w:rsidRPr="0066103C">
        <w:t>. Our longing for God’s reign</w:t>
      </w:r>
      <w:r w:rsidRPr="0066103C">
        <w:t xml:space="preserve"> continues to be frustrated, though we do see evil’s power circumscribed and at such moments rebuked, and those experiences buttress our conviction that we will see God’s dominion endure and triumph. Further, the af</w:t>
      </w:r>
      <w:r w:rsidR="008B0C9B" w:rsidRPr="0066103C">
        <w:t xml:space="preserve">fliction and the glory of </w:t>
      </w:r>
      <w:r w:rsidR="00E10B9F" w:rsidRPr="0066103C">
        <w:t>Jesus</w:t>
      </w:r>
      <w:r w:rsidRPr="0066103C">
        <w:t xml:space="preserve"> are not just consecutive. The affliction manifests a peculiar form of glory; the glory has the marks of the cross about it. Perhaps the same is true for the holy ones: not just affliction (v 21) then glory (v 22), but a rule exercised in a strange, crosslike way. </w:t>
      </w:r>
      <w:r w:rsidR="00685BB0" w:rsidRPr="0066103C">
        <w:t>“Away, then, with the fable about a millennium!” Jerome</w:t>
      </w:r>
      <w:r w:rsidR="000A423F">
        <w:t xml:space="preserve"> commented</w:t>
      </w:r>
      <w:r w:rsidR="00414034" w:rsidRPr="0066103C">
        <w:t>.</w:t>
      </w:r>
      <w:r w:rsidR="00414034" w:rsidRPr="0066103C">
        <w:rPr>
          <w:rStyle w:val="FootnoteReference"/>
        </w:rPr>
        <w:footnoteReference w:id="271"/>
      </w:r>
      <w:r w:rsidR="007C104A">
        <w:t xml:space="preserve"> Yet </w:t>
      </w:r>
      <w:r w:rsidRPr="0066103C">
        <w:t>Avravanel was right that the reign of the holy ones</w:t>
      </w:r>
      <w:r w:rsidR="00685BB0" w:rsidRPr="0066103C">
        <w:t xml:space="preserve"> is to be exercised on earth, yet</w:t>
      </w:r>
      <w:r w:rsidRPr="0066103C">
        <w:t xml:space="preserve"> Calvin was right that </w:t>
      </w:r>
      <w:r w:rsidR="0076474E" w:rsidRPr="0066103C">
        <w:t>this reign could be effected only through Jesus</w:t>
      </w:r>
      <w:r w:rsidRPr="0066103C">
        <w:t>.</w:t>
      </w:r>
      <w:r w:rsidR="0076474E" w:rsidRPr="0066103C">
        <w:rPr>
          <w:rStyle w:val="FootnoteReference"/>
        </w:rPr>
        <w:footnoteReference w:id="272"/>
      </w:r>
    </w:p>
    <w:p w:rsidR="007C104A" w:rsidRDefault="004F0A02" w:rsidP="00685BB0">
      <w:r w:rsidRPr="008D6427">
        <w:rPr>
          <w:b/>
        </w:rPr>
        <w:t>15–16, 28</w:t>
      </w:r>
      <w:r w:rsidRPr="0066103C">
        <w:t xml:space="preserve"> </w:t>
      </w:r>
      <w:r w:rsidR="00685BB0" w:rsidRPr="0066103C">
        <w:t>The end of the vision account is surprising.</w:t>
      </w:r>
      <w:r w:rsidR="00685BB0" w:rsidRPr="0066103C">
        <w:rPr>
          <w:rStyle w:val="FootnoteReference"/>
        </w:rPr>
        <w:footnoteReference w:id="273"/>
      </w:r>
      <w:r w:rsidR="00685BB0" w:rsidRPr="0066103C">
        <w:t xml:space="preserve"> Each of the earlier stories ended in a positive fashion, with the success of Daniel and his friends (chaps. 1; 2; 3; 5) or the worship of the king (chaps. 4; 6). Whereas the stories invited their listeners into a confident hope, the accounts of this vision and the next one (chap. 8) implicitly identify with the listeners in their sense of trouble and in their puzzlement over the meaning of much of what they have heard and what its fulfillment might mean. They have to keep t</w:t>
      </w:r>
      <w:r w:rsidR="007C104A">
        <w:t>hinking and keep listening. T</w:t>
      </w:r>
      <w:r w:rsidR="00685BB0" w:rsidRPr="0066103C">
        <w:t>o put it conversely, a distressed Daniel leads to a distressed reader.</w:t>
      </w:r>
      <w:r w:rsidR="00685BB0" w:rsidRPr="0066103C">
        <w:rPr>
          <w:rStyle w:val="FootnoteReference"/>
        </w:rPr>
        <w:footnoteReference w:id="274"/>
      </w:r>
      <w:r w:rsidR="00685BB0" w:rsidRPr="0066103C">
        <w:t xml:space="preserve"> And further, “the expression of Daniel’s perplexity… encourages the reader to expect more to come, the clarify things further.”</w:t>
      </w:r>
      <w:r w:rsidR="00685BB0" w:rsidRPr="0066103C">
        <w:rPr>
          <w:rStyle w:val="FootnoteReference"/>
        </w:rPr>
        <w:footnoteReference w:id="275"/>
      </w:r>
      <w:r w:rsidR="002B4ABC" w:rsidRPr="0066103C">
        <w:t xml:space="preserve"> </w:t>
      </w:r>
    </w:p>
    <w:p w:rsidR="00E12234" w:rsidRPr="0066103C" w:rsidRDefault="00685BB0">
      <w:r w:rsidRPr="0066103C">
        <w:t>Daniel is a scholar, but he is not a cool and involved scholar engaged in a disengaged academic pursuit, like the average scholarly interpreter of Daniel.</w:t>
      </w:r>
      <w:r w:rsidR="007C104A">
        <w:t xml:space="preserve"> </w:t>
      </w:r>
      <w:r w:rsidR="004F0A02" w:rsidRPr="0066103C">
        <w:t>When the s</w:t>
      </w:r>
      <w:r w:rsidR="007C104A">
        <w:t>ymbolic vision comes to an end</w:t>
      </w:r>
      <w:r w:rsidR="002B4ABC" w:rsidRPr="0066103C">
        <w:t xml:space="preserve">, </w:t>
      </w:r>
      <w:r w:rsidR="004F0A02" w:rsidRPr="0066103C">
        <w:t xml:space="preserve">and even after it has been “explained,” and even </w:t>
      </w:r>
      <w:r w:rsidR="006234C4" w:rsidRPr="0066103C">
        <w:t>in light</w:t>
      </w:r>
      <w:r w:rsidR="004F0A02" w:rsidRPr="0066103C">
        <w:t xml:space="preserve"> of</w:t>
      </w:r>
      <w:r w:rsidR="00E10B9F" w:rsidRPr="0066103C">
        <w:t xml:space="preserve"> the coming of Jesus</w:t>
      </w:r>
      <w:r w:rsidR="004F0A02" w:rsidRPr="0066103C">
        <w:t xml:space="preserve">, the response that the vision invites is alarm and openness. It does not encourage us to assume that we have yet reached understanding. When God acts, it is commonly in ways other than his people anticipate. </w:t>
      </w:r>
      <w:r w:rsidR="00EF2BBD">
        <w:t>Jesus’</w:t>
      </w:r>
      <w:r w:rsidR="004F0A02" w:rsidRPr="0066103C">
        <w:t xml:space="preserve"> birth, ministry, and death were not what people expected of</w:t>
      </w:r>
      <w:r w:rsidR="00E10B9F" w:rsidRPr="0066103C">
        <w:t xml:space="preserve"> God’s redeemer. Here, the visionary </w:t>
      </w:r>
      <w:r w:rsidR="004F0A02" w:rsidRPr="0066103C">
        <w:t>does not seem to know what the giving of kingship to a holy peo</w:t>
      </w:r>
      <w:r w:rsidRPr="0066103C">
        <w:t>ple on high will look like. In the manner of</w:t>
      </w:r>
      <w:r w:rsidR="004F0A02" w:rsidRPr="0066103C">
        <w:t xml:space="preserve"> Jacob confronted by Joseph’s dream (Gen 37:11), Daniel is mystified and confused, but hopeful and open to </w:t>
      </w:r>
      <w:r w:rsidR="004F0A02" w:rsidRPr="0066103C">
        <w:lastRenderedPageBreak/>
        <w:t xml:space="preserve">surprise. </w:t>
      </w:r>
      <w:r w:rsidRPr="0066103C">
        <w:t>“Daniel 7 is as much a story about a man who saw a vision and its interpretation, as a report of the vision and the interpretation given.”</w:t>
      </w:r>
      <w:r w:rsidRPr="0066103C">
        <w:rPr>
          <w:vertAlign w:val="superscript"/>
        </w:rPr>
        <w:footnoteReference w:id="276"/>
      </w:r>
      <w:r w:rsidRPr="0066103C">
        <w:t xml:space="preserve"> This man</w:t>
      </w:r>
      <w:r w:rsidR="004F0A02" w:rsidRPr="0066103C">
        <w:t xml:space="preserve"> is determined not to discount the dream and not to miss anything, so he is going to keep thinking about it and </w:t>
      </w:r>
      <w:r w:rsidR="00E10B9F" w:rsidRPr="0066103C">
        <w:t>looking for further revelation.</w:t>
      </w:r>
      <w:r w:rsidR="00E10B9F" w:rsidRPr="0066103C">
        <w:rPr>
          <w:rStyle w:val="FootnoteReference"/>
        </w:rPr>
        <w:footnoteReference w:id="277"/>
      </w:r>
    </w:p>
    <w:p w:rsidR="002B4ABC" w:rsidRPr="0066103C" w:rsidRDefault="002B4ABC" w:rsidP="002B4ABC"/>
    <w:p w:rsidR="002B4ABC" w:rsidRPr="0066103C" w:rsidRDefault="002B4ABC" w:rsidP="00DD5E95">
      <w:pPr>
        <w:pStyle w:val="Quote"/>
      </w:pPr>
      <w:r w:rsidRPr="0066103C">
        <w:t>Although Daniel never knows the time of God’s destruction of evil in the world, the angel’s message is consistent: wait for the everlasting kingdom of the holy ones of the Most High. With this paradigm, the author presents a moving perspective of steadfastness, for despite terrible persecutions from their foreign oppressors and internal conflict within the community, the visions show that God has set up a universe where good triumphs. Having many fears and only limited knowledge, the ancient audience of the Hellenistic era is like Daniel, as they are encouraged to hope in God’s ultimate plan, to pray, and to wait while continuing to live lives of holiness. In times of persecution and community upheaval, these acts become heroic and perhaps subversive.</w:t>
      </w:r>
      <w:r w:rsidRPr="0066103C">
        <w:rPr>
          <w:vertAlign w:val="superscript"/>
        </w:rPr>
        <w:footnoteReference w:id="278"/>
      </w:r>
      <w:r w:rsidRPr="0066103C">
        <w:t xml:space="preserve"> </w:t>
      </w:r>
    </w:p>
    <w:p w:rsidR="002B4ABC" w:rsidRPr="0066103C" w:rsidRDefault="002B4ABC" w:rsidP="002B4ABC"/>
    <w:p w:rsidR="00060C96" w:rsidRPr="0066103C" w:rsidRDefault="002B4ABC">
      <w:pPr>
        <w:rPr>
          <w:rStyle w:val="Emphasis"/>
          <w:i w:val="0"/>
        </w:rPr>
      </w:pPr>
      <w:r w:rsidRPr="0066103C">
        <w:t>The report of Daniel’s disquiet encourages the hearers to reflect and to read on in the chapters that follow, and it has the same significance for later readers as we find ourselves in some perplexity over key aspects of it. If we thought we had a clear and certain understanding, it would be a sign that</w:t>
      </w:r>
      <w:r w:rsidR="007C104A">
        <w:t xml:space="preserve"> we had misunderstood</w:t>
      </w:r>
      <w:r w:rsidRPr="0066103C">
        <w:t xml:space="preserve">. </w:t>
      </w:r>
      <w:r w:rsidR="003B6204" w:rsidRPr="0066103C">
        <w:t>The visions in Daniel were not given so that people could engage in academic speculation</w:t>
      </w:r>
      <w:r w:rsidR="00524C68" w:rsidRPr="0066103C">
        <w:rPr>
          <w:vertAlign w:val="superscript"/>
        </w:rPr>
        <w:footnoteReference w:id="279"/>
      </w:r>
      <w:r w:rsidR="003B6204" w:rsidRPr="0066103C">
        <w:t xml:space="preserve"> but to drive home two themes. </w:t>
      </w:r>
      <w:r w:rsidR="00BA598A" w:rsidRPr="0066103C">
        <w:t>First, “</w:t>
      </w:r>
      <w:r w:rsidR="003B6204" w:rsidRPr="0066103C">
        <w:rPr>
          <w:rStyle w:val="Emphasis"/>
          <w:i w:val="0"/>
        </w:rPr>
        <w:t xml:space="preserve">the kingdoms of </w:t>
      </w:r>
      <w:r w:rsidR="003B6204" w:rsidRPr="000A423F">
        <w:rPr>
          <w:rStyle w:val="Emphasis"/>
          <w:i w:val="0"/>
        </w:rPr>
        <w:t>earth</w:t>
      </w:r>
      <w:r w:rsidR="000A423F">
        <w:rPr>
          <w:rStyle w:val="st"/>
          <w:i/>
        </w:rPr>
        <w:t xml:space="preserve"> </w:t>
      </w:r>
      <w:r w:rsidR="000A423F">
        <w:rPr>
          <w:rStyle w:val="st"/>
        </w:rPr>
        <w:t>(t</w:t>
      </w:r>
      <w:r w:rsidR="003B6204" w:rsidRPr="0066103C">
        <w:rPr>
          <w:rStyle w:val="st"/>
        </w:rPr>
        <w:t>he superpowers of that time and our own), persecutors and killers of the faithful</w:t>
      </w:r>
      <w:r w:rsidR="00BA598A" w:rsidRPr="0066103C">
        <w:rPr>
          <w:rStyle w:val="st"/>
        </w:rPr>
        <w:t>—</w:t>
      </w:r>
      <w:r w:rsidR="007C104A">
        <w:rPr>
          <w:rStyle w:val="Emphasis"/>
          <w:i w:val="0"/>
        </w:rPr>
        <w:t>th</w:t>
      </w:r>
      <w:r w:rsidR="00BA598A" w:rsidRPr="007C104A">
        <w:rPr>
          <w:rStyle w:val="Emphasis"/>
          <w:i w:val="0"/>
        </w:rPr>
        <w:t>ese</w:t>
      </w:r>
      <w:r w:rsidR="00BA598A" w:rsidRPr="0066103C">
        <w:rPr>
          <w:rStyle w:val="Emphasis"/>
          <w:i w:val="0"/>
        </w:rPr>
        <w:t xml:space="preserve"> are unmasked</w:t>
      </w:r>
      <w:r w:rsidR="00BA598A" w:rsidRPr="0066103C">
        <w:rPr>
          <w:rStyle w:val="st"/>
        </w:rPr>
        <w:t xml:space="preserve">; more, </w:t>
      </w:r>
      <w:r w:rsidR="00BA598A" w:rsidRPr="0066103C">
        <w:t xml:space="preserve">they are declared redundant to God's grand design. </w:t>
      </w:r>
      <w:r w:rsidR="003B6204" w:rsidRPr="0066103C">
        <w:rPr>
          <w:rStyle w:val="st"/>
        </w:rPr>
        <w:t xml:space="preserve">They will have an end. The end is judgment. </w:t>
      </w:r>
      <w:r w:rsidR="003B6204" w:rsidRPr="0066103C">
        <w:rPr>
          <w:rStyle w:val="Emphasis"/>
          <w:i w:val="0"/>
        </w:rPr>
        <w:t>Time is granted the empires</w:t>
      </w:r>
      <w:r w:rsidR="003B6204" w:rsidRPr="0066103C">
        <w:rPr>
          <w:rStyle w:val="st"/>
        </w:rPr>
        <w:t>; the sense is of a more or less reluctant, temporary allowance, a doling out of a lifeline</w:t>
      </w:r>
      <w:r w:rsidR="00BA598A" w:rsidRPr="0066103C">
        <w:rPr>
          <w:rStyle w:val="st"/>
        </w:rPr>
        <w:t xml:space="preserve"> </w:t>
      </w:r>
      <w:r w:rsidR="00BA598A" w:rsidRPr="0066103C">
        <w:rPr>
          <w:rStyle w:val="Emphasis"/>
          <w:i w:val="0"/>
        </w:rPr>
        <w:t>of time—this together with a stern watchfulness, their works of terror lying under the scrutiny of God.” And second, in that meantime, “the saints are summoned to stand firm in faith and endurance.”</w:t>
      </w:r>
      <w:r w:rsidR="00BA598A" w:rsidRPr="0066103C">
        <w:rPr>
          <w:rStyle w:val="FootnoteReference"/>
          <w:iCs/>
        </w:rPr>
        <w:footnoteReference w:id="280"/>
      </w:r>
      <w:r w:rsidR="00AF4204" w:rsidRPr="0066103C">
        <w:rPr>
          <w:rStyle w:val="Emphasis"/>
          <w:i w:val="0"/>
        </w:rPr>
        <w:t xml:space="preserve"> </w:t>
      </w:r>
      <w:r w:rsidR="00CE53DE">
        <w:rPr>
          <w:rStyle w:val="Emphasis"/>
          <w:i w:val="0"/>
        </w:rPr>
        <w:t>If fear and pride are key emotions in Daniel,</w:t>
      </w:r>
      <w:r w:rsidR="00CE53DE">
        <w:rPr>
          <w:rStyle w:val="FootnoteReference"/>
          <w:iCs/>
        </w:rPr>
        <w:footnoteReference w:id="281"/>
      </w:r>
      <w:r w:rsidR="00CE53DE">
        <w:rPr>
          <w:rStyle w:val="Emphasis"/>
          <w:i w:val="0"/>
        </w:rPr>
        <w:t xml:space="preserve"> it is this chapter that especially brings them together. </w:t>
      </w:r>
      <w:r w:rsidR="00AF4204" w:rsidRPr="0066103C">
        <w:rPr>
          <w:rStyle w:val="Emphasis"/>
          <w:i w:val="0"/>
        </w:rPr>
        <w:t xml:space="preserve">Hence we pray, </w:t>
      </w:r>
    </w:p>
    <w:p w:rsidR="00AF4204" w:rsidRPr="0066103C" w:rsidRDefault="00AF4204"/>
    <w:p w:rsidR="002B4ABC" w:rsidRPr="0066103C" w:rsidRDefault="002B4ABC" w:rsidP="00DD5E95">
      <w:pPr>
        <w:pStyle w:val="Quote"/>
      </w:pPr>
      <w:r w:rsidRPr="0066103C">
        <w:rPr>
          <w:rFonts w:eastAsia="Times New Roman"/>
        </w:rPr>
        <w:t xml:space="preserve">Grant, Almighty God, since thou provest our faith and constancy by many trials… that we may not give way to the many attacks by which we are tossed about…. May we look forward to the advent of thy only -begotten Son, not only when he shall appear at the last day, but also whenever it shall please thee for him </w:t>
      </w:r>
      <w:r w:rsidRPr="0066103C">
        <w:t>to assist thy Church, and to raise it out of its miserable afflictions. And even if we must endure our distresses, may our courage never fail us, until at length we are gathered into that holy rest, which has been obtained for us through the blood of the same, thine only-begotten Son.</w:t>
      </w:r>
      <w:r w:rsidRPr="0066103C">
        <w:rPr>
          <w:rStyle w:val="FootnoteReference"/>
        </w:rPr>
        <w:footnoteReference w:id="282"/>
      </w:r>
      <w:r w:rsidRPr="0066103C">
        <w:t xml:space="preserve"> </w:t>
      </w:r>
    </w:p>
    <w:p w:rsidR="004545A3" w:rsidRDefault="004545A3">
      <w:pPr>
        <w:spacing w:after="200" w:line="276" w:lineRule="auto"/>
        <w:ind w:firstLine="0"/>
        <w:rPr>
          <w:rFonts w:asciiTheme="majorHAnsi" w:eastAsiaTheme="majorEastAsia" w:hAnsiTheme="majorHAnsi" w:cstheme="majorBidi"/>
          <w:b/>
          <w:bCs/>
          <w:sz w:val="28"/>
          <w:szCs w:val="28"/>
        </w:rPr>
      </w:pPr>
      <w:r>
        <w:br w:type="page"/>
      </w:r>
    </w:p>
    <w:p w:rsidR="00CC03AD" w:rsidRPr="00CC1756" w:rsidRDefault="00CC03AD" w:rsidP="00E75AC8">
      <w:pPr>
        <w:pStyle w:val="Heading1"/>
      </w:pPr>
      <w:r w:rsidRPr="00CC1756">
        <w:lastRenderedPageBreak/>
        <w:t>Gabriel Explains Daniel’s Vision of the Breaking of the Greek Empire (8:1–27)</w:t>
      </w:r>
    </w:p>
    <w:p w:rsidR="00CC03AD" w:rsidRPr="00CC1756" w:rsidRDefault="00CC03AD" w:rsidP="00CC1756">
      <w:pPr>
        <w:pStyle w:val="Heading2"/>
      </w:pPr>
      <w:r w:rsidRPr="00CC1756">
        <w:t>Pericope Bibliography</w:t>
      </w:r>
    </w:p>
    <w:p w:rsidR="00CC03AD" w:rsidRPr="0066103C" w:rsidRDefault="00CC03AD" w:rsidP="005A285E">
      <w:pPr>
        <w:ind w:firstLine="0"/>
      </w:pPr>
      <w:r w:rsidRPr="00987525">
        <w:rPr>
          <w:b/>
        </w:rPr>
        <w:t>Allen, S.</w:t>
      </w:r>
      <w:r w:rsidRPr="0066103C">
        <w:t xml:space="preserve"> “On Schedl’s Attempt</w:t>
      </w:r>
      <w:r w:rsidR="006D25A3">
        <w:t xml:space="preserve"> to Count the Days of Daniel.” </w:t>
      </w:r>
      <w:r w:rsidR="006D25A3">
        <w:rPr>
          <w:b/>
        </w:rPr>
        <w:t xml:space="preserve">Blasius, A. </w:t>
      </w:r>
      <w:r w:rsidR="006D25A3">
        <w:t xml:space="preserve">“Antiochus IV Epiphanes and the Ptolemaic Triad.” </w:t>
      </w:r>
      <w:r w:rsidRPr="006D25A3">
        <w:rPr>
          <w:b/>
        </w:rPr>
        <w:t>Cumont, F.</w:t>
      </w:r>
      <w:r w:rsidRPr="0066103C">
        <w:t xml:space="preserve"> “La pius ancienne géographie astrologique.” </w:t>
      </w:r>
      <w:r w:rsidR="00976339" w:rsidRPr="00987525">
        <w:rPr>
          <w:rFonts w:eastAsia="Times-Roman"/>
          <w:b/>
        </w:rPr>
        <w:t>Davidson, R. M.</w:t>
      </w:r>
      <w:r w:rsidR="00976339" w:rsidRPr="0066103C">
        <w:rPr>
          <w:rFonts w:eastAsia="Times-Roman"/>
        </w:rPr>
        <w:t xml:space="preserve"> “The Meaning of Niṣdaq in Daniel 8:14.” </w:t>
      </w:r>
      <w:r w:rsidRPr="00987525">
        <w:rPr>
          <w:b/>
        </w:rPr>
        <w:t>Finkelstein, J. J.</w:t>
      </w:r>
      <w:r w:rsidR="002563A4" w:rsidRPr="0066103C">
        <w:t xml:space="preserve"> “‘</w:t>
      </w:r>
      <w:r w:rsidRPr="0066103C">
        <w:t>Meso</w:t>
      </w:r>
      <w:r w:rsidR="002563A4" w:rsidRPr="0066103C">
        <w:t xml:space="preserve">potamia.’” </w:t>
      </w:r>
      <w:r w:rsidR="00C52E39">
        <w:rPr>
          <w:rFonts w:eastAsiaTheme="minorHAnsi"/>
          <w:b/>
          <w:lang w:val="en-NZ"/>
        </w:rPr>
        <w:t xml:space="preserve">Gzella, H. </w:t>
      </w:r>
      <w:r w:rsidR="00C52E39" w:rsidRPr="00C408EF">
        <w:rPr>
          <w:rFonts w:eastAsiaTheme="minorHAnsi"/>
          <w:i/>
          <w:lang w:val="en-NZ"/>
        </w:rPr>
        <w:t>Cosmic Battle and Political Conflict</w:t>
      </w:r>
      <w:r w:rsidR="00C52E39" w:rsidRPr="00C408EF">
        <w:rPr>
          <w:rFonts w:eastAsiaTheme="minorHAnsi"/>
          <w:lang w:val="en-NZ"/>
        </w:rPr>
        <w:t>.</w:t>
      </w:r>
      <w:r w:rsidR="00945C8C">
        <w:rPr>
          <w:rFonts w:eastAsiaTheme="minorHAnsi"/>
          <w:lang w:val="en-NZ"/>
        </w:rPr>
        <w:t xml:space="preserve"> </w:t>
      </w:r>
      <w:r w:rsidRPr="00987525">
        <w:rPr>
          <w:b/>
        </w:rPr>
        <w:t>Hasel, G. F.</w:t>
      </w:r>
      <w:r w:rsidRPr="0066103C">
        <w:t xml:space="preserve"> “The First and Th</w:t>
      </w:r>
      <w:r w:rsidR="00F86A02">
        <w:t>ird Years of Belshazzar</w:t>
      </w:r>
      <w:r w:rsidR="002563A4" w:rsidRPr="0066103C">
        <w:t xml:space="preserve">.” </w:t>
      </w:r>
      <w:r w:rsidRPr="00987525">
        <w:rPr>
          <w:b/>
        </w:rPr>
        <w:t>Hasslberger, B.</w:t>
      </w:r>
      <w:r w:rsidRPr="0066103C">
        <w:t xml:space="preserve"> </w:t>
      </w:r>
      <w:r w:rsidRPr="0066103C">
        <w:rPr>
          <w:i/>
        </w:rPr>
        <w:t>Hoffnung in der Bedrängnis: Eine formkritische Untersuchung zu Daniel 8 und 10–12.</w:t>
      </w:r>
      <w:r w:rsidR="002563A4" w:rsidRPr="0066103C">
        <w:t xml:space="preserve"> </w:t>
      </w:r>
      <w:r w:rsidRPr="00987525">
        <w:rPr>
          <w:b/>
        </w:rPr>
        <w:t>Köbert, R.</w:t>
      </w:r>
      <w:r w:rsidRPr="0066103C">
        <w:t xml:space="preserve"> “Eine alte Erklärung von ‘palmoni’ (Dan.</w:t>
      </w:r>
      <w:r w:rsidR="002563A4" w:rsidRPr="0066103C">
        <w:t xml:space="preserve"> 8, 13).” </w:t>
      </w:r>
      <w:r w:rsidRPr="00987525">
        <w:rPr>
          <w:b/>
        </w:rPr>
        <w:t>Koch, K.</w:t>
      </w:r>
      <w:r w:rsidRPr="0066103C">
        <w:t xml:space="preserve"> “Vom profetischen zum apokalyptisch</w:t>
      </w:r>
      <w:r w:rsidR="001E50B5" w:rsidRPr="0066103C">
        <w:t>en Visionsbericht,</w:t>
      </w:r>
      <w:r w:rsidR="002563A4" w:rsidRPr="0066103C">
        <w:t xml:space="preserve">” </w:t>
      </w:r>
      <w:r w:rsidR="001E50B5" w:rsidRPr="0066103C">
        <w:t xml:space="preserve">in </w:t>
      </w:r>
      <w:r w:rsidR="00E53094" w:rsidRPr="0066103C">
        <w:t xml:space="preserve">Hellholm (ed.), </w:t>
      </w:r>
      <w:r w:rsidR="00E53094" w:rsidRPr="0066103C">
        <w:rPr>
          <w:i/>
        </w:rPr>
        <w:t>Apocalypticism</w:t>
      </w:r>
      <w:r w:rsidR="00E53094" w:rsidRPr="0066103C">
        <w:t xml:space="preserve">, 413-46. </w:t>
      </w:r>
      <w:r w:rsidRPr="00987525">
        <w:rPr>
          <w:b/>
        </w:rPr>
        <w:t>Krauss, S.</w:t>
      </w:r>
      <w:r w:rsidRPr="0066103C">
        <w:t xml:space="preserve"> “</w:t>
      </w:r>
      <w:r w:rsidR="00C34436" w:rsidRPr="0066103C">
        <w:t>Some Remarks on Daniel 8. 5ff.”</w:t>
      </w:r>
      <w:r w:rsidRPr="0066103C">
        <w:t xml:space="preserve"> </w:t>
      </w:r>
      <w:r w:rsidR="00AB0F00" w:rsidRPr="00987525">
        <w:rPr>
          <w:b/>
        </w:rPr>
        <w:t>Lust, J.</w:t>
      </w:r>
      <w:r w:rsidR="00AB0F00">
        <w:t xml:space="preserve"> </w:t>
      </w:r>
      <w:r w:rsidR="00987525">
        <w:t xml:space="preserve">“Cult and Sacrifice in Daniel,” </w:t>
      </w:r>
      <w:r w:rsidR="00987525" w:rsidRPr="00987525">
        <w:rPr>
          <w:iCs/>
        </w:rPr>
        <w:t xml:space="preserve">in </w:t>
      </w:r>
      <w:r w:rsidR="00987525" w:rsidRPr="00987525">
        <w:rPr>
          <w:bCs/>
          <w:iCs/>
        </w:rPr>
        <w:t xml:space="preserve">Collins/Flint (eds.), </w:t>
      </w:r>
      <w:r w:rsidR="00987525" w:rsidRPr="00987525">
        <w:rPr>
          <w:bCs/>
          <w:i/>
          <w:iCs/>
        </w:rPr>
        <w:t>The Book of Daniel</w:t>
      </w:r>
      <w:r w:rsidR="00987525">
        <w:rPr>
          <w:bCs/>
          <w:iCs/>
        </w:rPr>
        <w:t xml:space="preserve"> </w:t>
      </w:r>
      <w:r w:rsidR="00D13DC4">
        <w:rPr>
          <w:bCs/>
          <w:iCs/>
        </w:rPr>
        <w:t>2:</w:t>
      </w:r>
      <w:r w:rsidR="00987525">
        <w:rPr>
          <w:bCs/>
          <w:iCs/>
        </w:rPr>
        <w:t xml:space="preserve">671-88. </w:t>
      </w:r>
      <w:r w:rsidR="00AF4E1A" w:rsidRPr="00AF4E1A">
        <w:rPr>
          <w:rStyle w:val="b"/>
          <w:color w:val="auto"/>
          <w:sz w:val="22"/>
          <w:szCs w:val="22"/>
        </w:rPr>
        <w:t xml:space="preserve">Merrill Willis, A. C. </w:t>
      </w:r>
      <w:r w:rsidR="00AF4E1A" w:rsidRPr="00AF4E1A">
        <w:rPr>
          <w:rStyle w:val="b"/>
          <w:b w:val="0"/>
          <w:color w:val="auto"/>
          <w:sz w:val="22"/>
          <w:szCs w:val="22"/>
        </w:rPr>
        <w:t xml:space="preserve">“Myth and History in Daniel 8.” </w:t>
      </w:r>
      <w:r w:rsidRPr="00AF4E1A">
        <w:rPr>
          <w:b/>
        </w:rPr>
        <w:t>Miller</w:t>
      </w:r>
      <w:r w:rsidRPr="00987525">
        <w:rPr>
          <w:b/>
        </w:rPr>
        <w:t>, P. D.</w:t>
      </w:r>
      <w:r w:rsidRPr="0066103C">
        <w:t xml:space="preserve"> “Animal Names as Designations in Ugaritic a</w:t>
      </w:r>
      <w:r w:rsidR="00C34436" w:rsidRPr="0066103C">
        <w:t xml:space="preserve">nd Hebrew.” </w:t>
      </w:r>
      <w:r w:rsidRPr="00987525">
        <w:rPr>
          <w:b/>
        </w:rPr>
        <w:t>Moore, G. F.</w:t>
      </w:r>
      <w:r w:rsidR="00C34436" w:rsidRPr="0066103C">
        <w:t xml:space="preserve"> “Daniel viii.</w:t>
      </w:r>
      <w:r w:rsidR="00D52F1D" w:rsidRPr="0066103C">
        <w:t xml:space="preserve"> </w:t>
      </w:r>
      <w:r w:rsidR="00C34436" w:rsidRPr="0066103C">
        <w:t>9–14.”</w:t>
      </w:r>
      <w:r w:rsidRPr="0066103C">
        <w:t xml:space="preserve"> </w:t>
      </w:r>
      <w:r w:rsidRPr="00987525">
        <w:rPr>
          <w:b/>
        </w:rPr>
        <w:t>Nestle, E.</w:t>
      </w:r>
      <w:r w:rsidRPr="0066103C">
        <w:t xml:space="preserve"> “Z</w:t>
      </w:r>
      <w:r w:rsidR="00C34436" w:rsidRPr="0066103C">
        <w:t xml:space="preserve">u Daniel.” </w:t>
      </w:r>
      <w:r w:rsidRPr="00987525">
        <w:rPr>
          <w:b/>
        </w:rPr>
        <w:t>Niditch, S.</w:t>
      </w:r>
      <w:r w:rsidRPr="0066103C">
        <w:t xml:space="preserve"> </w:t>
      </w:r>
      <w:r w:rsidR="00C34436" w:rsidRPr="0066103C">
        <w:rPr>
          <w:i/>
        </w:rPr>
        <w:t xml:space="preserve">The Symbolic </w:t>
      </w:r>
      <w:r w:rsidRPr="0066103C">
        <w:rPr>
          <w:i/>
        </w:rPr>
        <w:t>Vision</w:t>
      </w:r>
      <w:r w:rsidR="00C34436" w:rsidRPr="0066103C">
        <w:rPr>
          <w:i/>
        </w:rPr>
        <w:t xml:space="preserve"> in Biblical Tradition</w:t>
      </w:r>
      <w:r w:rsidR="00C34436" w:rsidRPr="0066103C">
        <w:t>,</w:t>
      </w:r>
      <w:r w:rsidRPr="0066103C">
        <w:t xml:space="preserve"> 215–33. </w:t>
      </w:r>
      <w:r w:rsidR="003D1AB1" w:rsidRPr="00987525">
        <w:rPr>
          <w:b/>
        </w:rPr>
        <w:t>Nuñez, S.</w:t>
      </w:r>
      <w:r w:rsidR="003D1AB1" w:rsidRPr="0066103C">
        <w:t xml:space="preserve"> “Narrative Structure of Daniel 8.” </w:t>
      </w:r>
      <w:r w:rsidRPr="00987525">
        <w:rPr>
          <w:b/>
        </w:rPr>
        <w:t>Porter, P. A.</w:t>
      </w:r>
      <w:r w:rsidRPr="0066103C">
        <w:t xml:space="preserve"> </w:t>
      </w:r>
      <w:r w:rsidRPr="0066103C">
        <w:rPr>
          <w:i/>
        </w:rPr>
        <w:t>Me</w:t>
      </w:r>
      <w:r w:rsidR="00C34436" w:rsidRPr="0066103C">
        <w:rPr>
          <w:i/>
        </w:rPr>
        <w:t>taphors and Monsters</w:t>
      </w:r>
      <w:r w:rsidRPr="0066103C">
        <w:t xml:space="preserve">. </w:t>
      </w:r>
      <w:r w:rsidR="00987525" w:rsidRPr="00987525">
        <w:rPr>
          <w:b/>
        </w:rPr>
        <w:t>Pröbstle, M. T.</w:t>
      </w:r>
      <w:r w:rsidR="00987525" w:rsidRPr="0066103C">
        <w:t xml:space="preserve"> “A Linguistic Analysis of Daniel, 8:11, 12.” </w:t>
      </w:r>
      <w:r w:rsidRPr="00987525">
        <w:rPr>
          <w:b/>
        </w:rPr>
        <w:t>Schedl, C.</w:t>
      </w:r>
      <w:r w:rsidRPr="0066103C">
        <w:t xml:space="preserve"> “Mystische Arithmetik oder geschichtli</w:t>
      </w:r>
      <w:r w:rsidR="00C34436" w:rsidRPr="0066103C">
        <w:t xml:space="preserve">che Zahlen?” </w:t>
      </w:r>
      <w:r w:rsidRPr="00987525">
        <w:rPr>
          <w:b/>
        </w:rPr>
        <w:t>Schwantes, S. J.</w:t>
      </w:r>
      <w:r w:rsidR="00E30B98" w:rsidRPr="0066103C">
        <w:t xml:space="preserve"> “‘</w:t>
      </w:r>
      <w:r w:rsidR="00C34436" w:rsidRPr="00D13DC4">
        <w:rPr>
          <w:i/>
        </w:rPr>
        <w:t xml:space="preserve">Ereb </w:t>
      </w:r>
      <w:r w:rsidRPr="00D13DC4">
        <w:rPr>
          <w:i/>
        </w:rPr>
        <w:t>bōqer</w:t>
      </w:r>
      <w:r w:rsidRPr="0066103C">
        <w:t xml:space="preserve"> of Dan</w:t>
      </w:r>
      <w:r w:rsidR="00C34436" w:rsidRPr="0066103C">
        <w:t>iel</w:t>
      </w:r>
      <w:r w:rsidRPr="0066103C">
        <w:t xml:space="preserve"> 8:14 Re-ex</w:t>
      </w:r>
      <w:r w:rsidR="00DE79FD" w:rsidRPr="0066103C">
        <w:t xml:space="preserve">amined.” </w:t>
      </w:r>
      <w:r w:rsidR="005A285E" w:rsidRPr="00987525">
        <w:rPr>
          <w:b/>
        </w:rPr>
        <w:t xml:space="preserve">Shea, W. H. </w:t>
      </w:r>
      <w:r w:rsidR="005A285E">
        <w:t>“</w:t>
      </w:r>
      <w:r w:rsidR="005A285E" w:rsidRPr="005A285E">
        <w:rPr>
          <w:rFonts w:eastAsiaTheme="minorHAnsi" w:cs="Times New Roman"/>
          <w:color w:val="101010"/>
        </w:rPr>
        <w:t>Why Antiochus IV</w:t>
      </w:r>
      <w:r w:rsidR="005A285E">
        <w:t xml:space="preserve"> </w:t>
      </w:r>
      <w:r w:rsidR="005A285E">
        <w:rPr>
          <w:rFonts w:eastAsiaTheme="minorHAnsi" w:cs="Times New Roman"/>
          <w:color w:val="101010"/>
        </w:rPr>
        <w:t>Is Not the Little Horn of</w:t>
      </w:r>
      <w:r w:rsidR="00D13DC4">
        <w:rPr>
          <w:rFonts w:eastAsiaTheme="minorHAnsi" w:cs="Times New Roman"/>
          <w:color w:val="101010"/>
        </w:rPr>
        <w:t xml:space="preserve"> </w:t>
      </w:r>
      <w:r w:rsidR="005A285E">
        <w:rPr>
          <w:rFonts w:eastAsiaTheme="minorHAnsi" w:cs="Times New Roman"/>
          <w:color w:val="101010"/>
        </w:rPr>
        <w:t xml:space="preserve">Daniel 8,” in Shea, </w:t>
      </w:r>
      <w:r w:rsidR="008B7F56">
        <w:rPr>
          <w:rFonts w:eastAsiaTheme="minorHAnsi" w:cs="Times New Roman"/>
          <w:i/>
          <w:color w:val="101010"/>
        </w:rPr>
        <w:t>Selected Studies</w:t>
      </w:r>
      <w:r w:rsidR="008B7F56">
        <w:rPr>
          <w:rFonts w:eastAsiaTheme="minorHAnsi" w:cs="Times New Roman"/>
          <w:color w:val="101010"/>
        </w:rPr>
        <w:t xml:space="preserve">, </w:t>
      </w:r>
      <w:r w:rsidR="00C44540">
        <w:rPr>
          <w:rFonts w:eastAsiaTheme="minorHAnsi" w:cs="Times New Roman"/>
          <w:color w:val="101010"/>
        </w:rPr>
        <w:t>30-66.</w:t>
      </w:r>
      <w:r w:rsidR="005A285E">
        <w:rPr>
          <w:rFonts w:eastAsiaTheme="minorHAnsi" w:cs="Times New Roman"/>
          <w:color w:val="101010"/>
        </w:rPr>
        <w:t xml:space="preserve"> </w:t>
      </w:r>
      <w:r w:rsidRPr="00987525">
        <w:rPr>
          <w:b/>
        </w:rPr>
        <w:t>Waterman, L.</w:t>
      </w:r>
      <w:r w:rsidRPr="0066103C">
        <w:t xml:space="preserve"> “A Note on Da</w:t>
      </w:r>
      <w:r w:rsidR="00DE79FD" w:rsidRPr="0066103C">
        <w:t xml:space="preserve">niel 8 2.” </w:t>
      </w:r>
      <w:r w:rsidR="004500F7" w:rsidRPr="00987525">
        <w:rPr>
          <w:b/>
        </w:rPr>
        <w:t>Zevit, Z.</w:t>
      </w:r>
      <w:r w:rsidR="004500F7" w:rsidRPr="0066103C">
        <w:t xml:space="preserve"> “The Exegetical Implications of Daniel viii 1, ix 21.”</w:t>
      </w:r>
      <w:r w:rsidR="00BA73AE" w:rsidRPr="0066103C">
        <w:t xml:space="preserve"> </w:t>
      </w:r>
      <w:r w:rsidR="00BA73AE" w:rsidRPr="00987525">
        <w:rPr>
          <w:b/>
        </w:rPr>
        <w:t>Zuiddam, B. A.</w:t>
      </w:r>
      <w:r w:rsidR="00BA73AE" w:rsidRPr="0066103C">
        <w:t xml:space="preserve"> “The Shock Factor of Divine Revelation</w:t>
      </w:r>
      <w:r w:rsidR="0095417D" w:rsidRPr="0066103C">
        <w:t>.”</w:t>
      </w:r>
    </w:p>
    <w:p w:rsidR="00CC03AD" w:rsidRPr="00CC1756" w:rsidRDefault="00CC03AD" w:rsidP="00CC1756">
      <w:pPr>
        <w:pStyle w:val="Heading2"/>
      </w:pPr>
      <w:r w:rsidRPr="00CC1756">
        <w:t>Translation</w:t>
      </w:r>
    </w:p>
    <w:p w:rsidR="001D3C21" w:rsidRPr="0066103C" w:rsidRDefault="00DE79FD" w:rsidP="00CC03AD">
      <w:pPr>
        <w:rPr>
          <w:i/>
          <w:vertAlign w:val="superscript"/>
        </w:rPr>
      </w:pPr>
      <w:r w:rsidRPr="0066103C">
        <w:rPr>
          <w:i/>
          <w:vertAlign w:val="superscript"/>
        </w:rPr>
        <w:t>1</w:t>
      </w:r>
      <w:r w:rsidR="00CC03AD" w:rsidRPr="0066103C">
        <w:rPr>
          <w:i/>
        </w:rPr>
        <w:t>In the third year o</w:t>
      </w:r>
      <w:r w:rsidR="004500F7" w:rsidRPr="0066103C">
        <w:rPr>
          <w:i/>
        </w:rPr>
        <w:t>f the reign of King Belš’aṣṣ</w:t>
      </w:r>
      <w:r w:rsidRPr="0066103C">
        <w:rPr>
          <w:i/>
        </w:rPr>
        <w:t>ar,</w:t>
      </w:r>
      <w:r w:rsidRPr="0066103C">
        <w:rPr>
          <w:i/>
          <w:vertAlign w:val="superscript"/>
        </w:rPr>
        <w:t>a</w:t>
      </w:r>
      <w:r w:rsidR="00CC03AD" w:rsidRPr="0066103C">
        <w:rPr>
          <w:i/>
        </w:rPr>
        <w:t xml:space="preserve"> a </w:t>
      </w:r>
      <w:r w:rsidRPr="0066103C">
        <w:rPr>
          <w:i/>
        </w:rPr>
        <w:t>vision appeared to me, Dani</w:t>
      </w:r>
      <w:r w:rsidR="004500F7" w:rsidRPr="0066103C">
        <w:rPr>
          <w:i/>
        </w:rPr>
        <w:t>yy</w:t>
      </w:r>
      <w:r w:rsidRPr="0066103C">
        <w:rPr>
          <w:i/>
        </w:rPr>
        <w:t>e</w:t>
      </w:r>
      <w:r w:rsidR="004500F7" w:rsidRPr="0066103C">
        <w:rPr>
          <w:i/>
        </w:rPr>
        <w:t>’</w:t>
      </w:r>
      <w:r w:rsidRPr="0066103C">
        <w:rPr>
          <w:i/>
        </w:rPr>
        <w:t xml:space="preserve">l, </w:t>
      </w:r>
      <w:r w:rsidRPr="0066103C">
        <w:rPr>
          <w:i/>
          <w:vertAlign w:val="superscript"/>
        </w:rPr>
        <w:t>b</w:t>
      </w:r>
      <w:r w:rsidR="00CC03AD" w:rsidRPr="0066103C">
        <w:rPr>
          <w:i/>
        </w:rPr>
        <w:t>fo</w:t>
      </w:r>
      <w:r w:rsidRPr="0066103C">
        <w:rPr>
          <w:i/>
        </w:rPr>
        <w:t>llowing on</w:t>
      </w:r>
      <w:r w:rsidRPr="0066103C">
        <w:rPr>
          <w:i/>
          <w:vertAlign w:val="superscript"/>
        </w:rPr>
        <w:t>b</w:t>
      </w:r>
      <w:r w:rsidR="004500F7" w:rsidRPr="0066103C">
        <w:rPr>
          <w:i/>
        </w:rPr>
        <w:t xml:space="preserve"> the one that</w:t>
      </w:r>
      <w:r w:rsidRPr="0066103C">
        <w:rPr>
          <w:i/>
        </w:rPr>
        <w:t xml:space="preserve"> had appeared</w:t>
      </w:r>
      <w:r w:rsidRPr="0066103C">
        <w:rPr>
          <w:i/>
          <w:vertAlign w:val="superscript"/>
        </w:rPr>
        <w:t>c</w:t>
      </w:r>
      <w:r w:rsidRPr="0066103C">
        <w:rPr>
          <w:i/>
        </w:rPr>
        <w:t xml:space="preserve"> to me earlier,</w:t>
      </w:r>
      <w:r w:rsidRPr="0066103C">
        <w:rPr>
          <w:i/>
          <w:vertAlign w:val="superscript"/>
        </w:rPr>
        <w:t>d</w:t>
      </w:r>
      <w:r w:rsidRPr="0066103C">
        <w:rPr>
          <w:i/>
        </w:rPr>
        <w:t xml:space="preserve"> </w:t>
      </w:r>
      <w:r w:rsidRPr="0066103C">
        <w:rPr>
          <w:i/>
          <w:vertAlign w:val="superscript"/>
        </w:rPr>
        <w:t>2</w:t>
      </w:r>
      <w:r w:rsidRPr="0066103C">
        <w:rPr>
          <w:i/>
        </w:rPr>
        <w:t xml:space="preserve">and </w:t>
      </w:r>
      <w:r w:rsidRPr="0066103C">
        <w:rPr>
          <w:i/>
          <w:vertAlign w:val="superscript"/>
        </w:rPr>
        <w:t>a</w:t>
      </w:r>
      <w:r w:rsidRPr="0066103C">
        <w:rPr>
          <w:i/>
        </w:rPr>
        <w:t>I looked at the vision.</w:t>
      </w:r>
      <w:r w:rsidRPr="0066103C">
        <w:rPr>
          <w:i/>
          <w:vertAlign w:val="superscript"/>
        </w:rPr>
        <w:t>a</w:t>
      </w:r>
    </w:p>
    <w:p w:rsidR="001D3C21" w:rsidRPr="0066103C" w:rsidRDefault="001D3C21" w:rsidP="00CC03AD">
      <w:pPr>
        <w:rPr>
          <w:i/>
          <w:vertAlign w:val="superscript"/>
        </w:rPr>
      </w:pPr>
    </w:p>
    <w:p w:rsidR="009A1103" w:rsidRDefault="00DE79FD" w:rsidP="001E50B5">
      <w:pPr>
        <w:rPr>
          <w:i/>
        </w:rPr>
      </w:pPr>
      <w:r w:rsidRPr="0066103C">
        <w:rPr>
          <w:i/>
        </w:rPr>
        <w:t xml:space="preserve"> </w:t>
      </w:r>
      <w:r w:rsidRPr="0066103C">
        <w:rPr>
          <w:i/>
          <w:vertAlign w:val="superscript"/>
        </w:rPr>
        <w:t>a</w:t>
      </w:r>
      <w:r w:rsidRPr="0066103C">
        <w:rPr>
          <w:i/>
        </w:rPr>
        <w:t>As I looked</w:t>
      </w:r>
      <w:r w:rsidR="009A1103">
        <w:rPr>
          <w:i/>
        </w:rPr>
        <w:t>,</w:t>
      </w:r>
      <w:r w:rsidRPr="0066103C">
        <w:rPr>
          <w:i/>
          <w:vertAlign w:val="superscript"/>
        </w:rPr>
        <w:t>a</w:t>
      </w:r>
      <w:r w:rsidR="00CC03AD" w:rsidRPr="0066103C">
        <w:rPr>
          <w:i/>
        </w:rPr>
        <w:t xml:space="preserve"> I</w:t>
      </w:r>
      <w:r w:rsidR="004500F7" w:rsidRPr="0066103C">
        <w:rPr>
          <w:i/>
        </w:rPr>
        <w:t xml:space="preserve"> was in Šušan</w:t>
      </w:r>
      <w:r w:rsidRPr="0066103C">
        <w:rPr>
          <w:i/>
        </w:rPr>
        <w:t>, the fortress-city</w:t>
      </w:r>
      <w:r w:rsidRPr="0066103C">
        <w:rPr>
          <w:i/>
          <w:vertAlign w:val="superscript"/>
        </w:rPr>
        <w:t>b</w:t>
      </w:r>
      <w:r w:rsidRPr="0066103C">
        <w:rPr>
          <w:i/>
        </w:rPr>
        <w:t xml:space="preserve"> in the province of Elam. </w:t>
      </w:r>
      <w:r w:rsidRPr="0066103C">
        <w:rPr>
          <w:i/>
          <w:vertAlign w:val="superscript"/>
        </w:rPr>
        <w:t>a</w:t>
      </w:r>
      <w:r w:rsidRPr="0066103C">
        <w:rPr>
          <w:i/>
        </w:rPr>
        <w:t>I looked at the vision,</w:t>
      </w:r>
      <w:r w:rsidRPr="0066103C">
        <w:rPr>
          <w:i/>
          <w:vertAlign w:val="superscript"/>
        </w:rPr>
        <w:t>a</w:t>
      </w:r>
      <w:r w:rsidRPr="0066103C">
        <w:rPr>
          <w:i/>
        </w:rPr>
        <w:t xml:space="preserve"> and I was at </w:t>
      </w:r>
      <w:r w:rsidRPr="0066103C">
        <w:rPr>
          <w:i/>
          <w:vertAlign w:val="superscript"/>
        </w:rPr>
        <w:t>c</w:t>
      </w:r>
      <w:r w:rsidRPr="0066103C">
        <w:rPr>
          <w:i/>
        </w:rPr>
        <w:t>Ulay Gate.</w:t>
      </w:r>
      <w:r w:rsidRPr="0066103C">
        <w:rPr>
          <w:i/>
          <w:vertAlign w:val="superscript"/>
        </w:rPr>
        <w:t>c</w:t>
      </w:r>
      <w:r w:rsidRPr="0066103C">
        <w:rPr>
          <w:i/>
        </w:rPr>
        <w:t xml:space="preserve"> </w:t>
      </w:r>
      <w:r w:rsidRPr="0066103C">
        <w:rPr>
          <w:i/>
          <w:vertAlign w:val="superscript"/>
        </w:rPr>
        <w:t>3</w:t>
      </w:r>
      <w:r w:rsidR="0047288E" w:rsidRPr="0066103C">
        <w:rPr>
          <w:i/>
        </w:rPr>
        <w:t>I lifted my eyes and looked</w:t>
      </w:r>
      <w:r w:rsidRPr="0066103C">
        <w:rPr>
          <w:i/>
        </w:rPr>
        <w:t>,</w:t>
      </w:r>
      <w:r w:rsidRPr="0066103C">
        <w:rPr>
          <w:i/>
          <w:vertAlign w:val="superscript"/>
        </w:rPr>
        <w:t>a</w:t>
      </w:r>
      <w:r w:rsidR="0047288E" w:rsidRPr="0066103C">
        <w:rPr>
          <w:i/>
        </w:rPr>
        <w:t xml:space="preserve"> </w:t>
      </w:r>
      <w:r w:rsidR="0047288E" w:rsidRPr="0066103C">
        <w:rPr>
          <w:i/>
          <w:vertAlign w:val="superscript"/>
        </w:rPr>
        <w:t>b</w:t>
      </w:r>
      <w:r w:rsidR="0047288E" w:rsidRPr="0066103C">
        <w:rPr>
          <w:i/>
        </w:rPr>
        <w:t>and there</w:t>
      </w:r>
      <w:r w:rsidR="00E03C5D" w:rsidRPr="0066103C">
        <w:rPr>
          <w:i/>
        </w:rPr>
        <w:t xml:space="preserve">: </w:t>
      </w:r>
      <w:r w:rsidR="00CC03AD" w:rsidRPr="0066103C">
        <w:rPr>
          <w:i/>
        </w:rPr>
        <w:t>a ram</w:t>
      </w:r>
      <w:r w:rsidR="0047288E" w:rsidRPr="0066103C">
        <w:rPr>
          <w:i/>
          <w:vertAlign w:val="superscript"/>
        </w:rPr>
        <w:t>b</w:t>
      </w:r>
      <w:r w:rsidR="00CC03AD" w:rsidRPr="0066103C">
        <w:rPr>
          <w:i/>
        </w:rPr>
        <w:t xml:space="preserve"> standin</w:t>
      </w:r>
      <w:r w:rsidRPr="0066103C">
        <w:rPr>
          <w:i/>
        </w:rPr>
        <w:t xml:space="preserve">g in front of the gate. It had </w:t>
      </w:r>
      <w:r w:rsidRPr="0066103C">
        <w:rPr>
          <w:i/>
          <w:vertAlign w:val="superscript"/>
        </w:rPr>
        <w:t>c</w:t>
      </w:r>
      <w:r w:rsidR="00CC03AD" w:rsidRPr="0066103C">
        <w:rPr>
          <w:i/>
        </w:rPr>
        <w:t>t</w:t>
      </w:r>
      <w:r w:rsidRPr="0066103C">
        <w:rPr>
          <w:i/>
        </w:rPr>
        <w:t>wo horns. Both horns were long,</w:t>
      </w:r>
      <w:r w:rsidRPr="0066103C">
        <w:rPr>
          <w:i/>
          <w:vertAlign w:val="superscript"/>
        </w:rPr>
        <w:t>c</w:t>
      </w:r>
      <w:r w:rsidR="00CC03AD" w:rsidRPr="0066103C">
        <w:rPr>
          <w:i/>
        </w:rPr>
        <w:t xml:space="preserve"> but one was longer than the other, thoug</w:t>
      </w:r>
      <w:r w:rsidR="009C5ECC" w:rsidRPr="0066103C">
        <w:rPr>
          <w:i/>
        </w:rPr>
        <w:t>h the longer one came up later.</w:t>
      </w:r>
      <w:r w:rsidRPr="0066103C">
        <w:rPr>
          <w:i/>
          <w:vertAlign w:val="superscript"/>
        </w:rPr>
        <w:t>d</w:t>
      </w:r>
      <w:r w:rsidRPr="0066103C">
        <w:rPr>
          <w:i/>
        </w:rPr>
        <w:t xml:space="preserve"> </w:t>
      </w:r>
      <w:r w:rsidRPr="0066103C">
        <w:rPr>
          <w:i/>
          <w:vertAlign w:val="superscript"/>
        </w:rPr>
        <w:t>4</w:t>
      </w:r>
      <w:r w:rsidRPr="0066103C">
        <w:rPr>
          <w:i/>
        </w:rPr>
        <w:t>I watched the ram charging west</w:t>
      </w:r>
      <w:r w:rsidRPr="0066103C">
        <w:rPr>
          <w:i/>
          <w:vertAlign w:val="superscript"/>
        </w:rPr>
        <w:t>a</w:t>
      </w:r>
      <w:r w:rsidR="00CC03AD" w:rsidRPr="0066103C">
        <w:rPr>
          <w:i/>
        </w:rPr>
        <w:t xml:space="preserve"> and north a</w:t>
      </w:r>
      <w:r w:rsidRPr="0066103C">
        <w:rPr>
          <w:i/>
        </w:rPr>
        <w:t>nd south; no animal could stand</w:t>
      </w:r>
      <w:r w:rsidRPr="0066103C">
        <w:rPr>
          <w:i/>
          <w:vertAlign w:val="superscript"/>
        </w:rPr>
        <w:t>b</w:t>
      </w:r>
      <w:r w:rsidR="00CC03AD" w:rsidRPr="0066103C">
        <w:rPr>
          <w:i/>
        </w:rPr>
        <w:t xml:space="preserve"> against it, and there was no one who could</w:t>
      </w:r>
      <w:r w:rsidRPr="0066103C">
        <w:rPr>
          <w:i/>
        </w:rPr>
        <w:t xml:space="preserve"> rescue things from its power. </w:t>
      </w:r>
      <w:r w:rsidRPr="0066103C">
        <w:rPr>
          <w:i/>
          <w:vertAlign w:val="superscript"/>
        </w:rPr>
        <w:t>c</w:t>
      </w:r>
      <w:r w:rsidR="00CC03AD" w:rsidRPr="0066103C">
        <w:rPr>
          <w:i/>
        </w:rPr>
        <w:t>Acting as i</w:t>
      </w:r>
      <w:r w:rsidR="00F1307C" w:rsidRPr="0066103C">
        <w:rPr>
          <w:i/>
        </w:rPr>
        <w:t xml:space="preserve">t pleased, it did big </w:t>
      </w:r>
      <w:r w:rsidRPr="0066103C">
        <w:rPr>
          <w:i/>
        </w:rPr>
        <w:t>things.</w:t>
      </w:r>
      <w:r w:rsidRPr="0066103C">
        <w:rPr>
          <w:i/>
          <w:vertAlign w:val="superscript"/>
        </w:rPr>
        <w:t>c</w:t>
      </w:r>
      <w:r w:rsidRPr="0066103C">
        <w:rPr>
          <w:i/>
        </w:rPr>
        <w:t xml:space="preserve"> </w:t>
      </w:r>
    </w:p>
    <w:p w:rsidR="00826EFB" w:rsidRPr="0066103C" w:rsidRDefault="00DE79FD" w:rsidP="001E50B5">
      <w:pPr>
        <w:rPr>
          <w:i/>
        </w:rPr>
      </w:pPr>
      <w:r w:rsidRPr="0066103C">
        <w:rPr>
          <w:i/>
          <w:vertAlign w:val="superscript"/>
        </w:rPr>
        <w:t>5</w:t>
      </w:r>
      <w:r w:rsidRPr="0066103C">
        <w:rPr>
          <w:i/>
        </w:rPr>
        <w:t>As I myself was looking on,</w:t>
      </w:r>
      <w:r w:rsidRPr="0066103C">
        <w:rPr>
          <w:i/>
          <w:vertAlign w:val="superscript"/>
        </w:rPr>
        <w:t>a</w:t>
      </w:r>
      <w:r w:rsidR="00E03C5D" w:rsidRPr="0066103C">
        <w:rPr>
          <w:i/>
        </w:rPr>
        <w:t xml:space="preserve"> there:</w:t>
      </w:r>
      <w:r w:rsidRPr="0066103C">
        <w:rPr>
          <w:i/>
        </w:rPr>
        <w:t xml:space="preserve"> </w:t>
      </w:r>
      <w:r w:rsidRPr="0066103C">
        <w:rPr>
          <w:i/>
          <w:vertAlign w:val="superscript"/>
        </w:rPr>
        <w:t>b</w:t>
      </w:r>
      <w:r w:rsidRPr="0066103C">
        <w:rPr>
          <w:i/>
        </w:rPr>
        <w:t>a male goat</w:t>
      </w:r>
      <w:r w:rsidRPr="0066103C">
        <w:rPr>
          <w:i/>
          <w:vertAlign w:val="superscript"/>
        </w:rPr>
        <w:t>b</w:t>
      </w:r>
      <w:r w:rsidR="00CC03AD" w:rsidRPr="0066103C">
        <w:rPr>
          <w:i/>
        </w:rPr>
        <w:t xml:space="preserve"> coming from the west over the f</w:t>
      </w:r>
      <w:r w:rsidRPr="0066103C">
        <w:rPr>
          <w:i/>
        </w:rPr>
        <w:t>ace of the whole earth, without</w:t>
      </w:r>
      <w:r w:rsidRPr="0066103C">
        <w:rPr>
          <w:i/>
          <w:vertAlign w:val="superscript"/>
        </w:rPr>
        <w:t>c</w:t>
      </w:r>
      <w:r w:rsidR="00CC03AD" w:rsidRPr="0066103C">
        <w:rPr>
          <w:i/>
        </w:rPr>
        <w:t xml:space="preserve"> touching the ground. The goat h</w:t>
      </w:r>
      <w:r w:rsidRPr="0066103C">
        <w:rPr>
          <w:i/>
        </w:rPr>
        <w:t xml:space="preserve">ad </w:t>
      </w:r>
      <w:r w:rsidRPr="0066103C">
        <w:rPr>
          <w:i/>
          <w:vertAlign w:val="superscript"/>
        </w:rPr>
        <w:t>d</w:t>
      </w:r>
      <w:r w:rsidRPr="0066103C">
        <w:rPr>
          <w:i/>
        </w:rPr>
        <w:t>a conspicuous horn</w:t>
      </w:r>
      <w:r w:rsidRPr="0066103C">
        <w:rPr>
          <w:i/>
          <w:vertAlign w:val="superscript"/>
        </w:rPr>
        <w:t>d</w:t>
      </w:r>
      <w:r w:rsidRPr="0066103C">
        <w:rPr>
          <w:i/>
        </w:rPr>
        <w:t xml:space="preserve"> between its eyes. </w:t>
      </w:r>
      <w:r w:rsidRPr="0066103C">
        <w:rPr>
          <w:i/>
          <w:vertAlign w:val="superscript"/>
        </w:rPr>
        <w:t>6</w:t>
      </w:r>
      <w:r w:rsidR="00CC03AD" w:rsidRPr="0066103C">
        <w:rPr>
          <w:i/>
        </w:rPr>
        <w:t xml:space="preserve">It came </w:t>
      </w:r>
      <w:r w:rsidR="00E025ED" w:rsidRPr="0066103C">
        <w:rPr>
          <w:i/>
        </w:rPr>
        <w:t xml:space="preserve">towards </w:t>
      </w:r>
      <w:r w:rsidR="00CC03AD" w:rsidRPr="0066103C">
        <w:rPr>
          <w:i/>
        </w:rPr>
        <w:t>the ram with the two horns which I had seen standing in front of the gate</w:t>
      </w:r>
      <w:r w:rsidR="009C5ECC" w:rsidRPr="0066103C">
        <w:rPr>
          <w:i/>
        </w:rPr>
        <w:t>,</w:t>
      </w:r>
      <w:r w:rsidRPr="0066103C">
        <w:rPr>
          <w:i/>
        </w:rPr>
        <w:t xml:space="preserve"> and ran at it in mighty fury. </w:t>
      </w:r>
      <w:r w:rsidRPr="0066103C">
        <w:rPr>
          <w:i/>
          <w:vertAlign w:val="superscript"/>
        </w:rPr>
        <w:t>7a</w:t>
      </w:r>
      <w:r w:rsidR="009C5ECC" w:rsidRPr="0066103C">
        <w:rPr>
          <w:i/>
        </w:rPr>
        <w:t xml:space="preserve">I </w:t>
      </w:r>
      <w:r w:rsidR="00CC03AD" w:rsidRPr="0066103C">
        <w:rPr>
          <w:i/>
        </w:rPr>
        <w:t>saw it close in on the ram and rage at it, attack th</w:t>
      </w:r>
      <w:r w:rsidRPr="0066103C">
        <w:rPr>
          <w:i/>
        </w:rPr>
        <w:t>e ram, and smash its two horns.</w:t>
      </w:r>
      <w:r w:rsidRPr="0066103C">
        <w:rPr>
          <w:i/>
          <w:vertAlign w:val="superscript"/>
        </w:rPr>
        <w:t>a</w:t>
      </w:r>
      <w:r w:rsidR="00CC03AD" w:rsidRPr="0066103C">
        <w:rPr>
          <w:i/>
        </w:rPr>
        <w:t xml:space="preserve"> The ram had no strength to stand against it. It threw it to the ground and trampled on it; no one could </w:t>
      </w:r>
      <w:r w:rsidRPr="0066103C">
        <w:rPr>
          <w:i/>
        </w:rPr>
        <w:t xml:space="preserve">rescue the ram from its power. </w:t>
      </w:r>
      <w:r w:rsidRPr="0066103C">
        <w:rPr>
          <w:i/>
          <w:vertAlign w:val="superscript"/>
        </w:rPr>
        <w:t>8</w:t>
      </w:r>
      <w:r w:rsidR="0031798B" w:rsidRPr="0066103C">
        <w:rPr>
          <w:i/>
        </w:rPr>
        <w:t xml:space="preserve">The male goat </w:t>
      </w:r>
      <w:r w:rsidR="0031798B" w:rsidRPr="0066103C">
        <w:rPr>
          <w:i/>
          <w:vertAlign w:val="superscript"/>
        </w:rPr>
        <w:t>a</w:t>
      </w:r>
      <w:r w:rsidR="00F1307C" w:rsidRPr="0066103C">
        <w:rPr>
          <w:i/>
        </w:rPr>
        <w:t>grew very big</w:t>
      </w:r>
      <w:r w:rsidR="0031798B" w:rsidRPr="0066103C">
        <w:rPr>
          <w:i/>
        </w:rPr>
        <w:t>.</w:t>
      </w:r>
      <w:r w:rsidR="0031798B" w:rsidRPr="0066103C">
        <w:rPr>
          <w:i/>
          <w:vertAlign w:val="superscript"/>
        </w:rPr>
        <w:t>a</w:t>
      </w:r>
      <w:r w:rsidR="0031798B" w:rsidRPr="0066103C">
        <w:rPr>
          <w:i/>
        </w:rPr>
        <w:t xml:space="preserve"> </w:t>
      </w:r>
      <w:r w:rsidR="0031798B" w:rsidRPr="0066103C">
        <w:rPr>
          <w:i/>
          <w:vertAlign w:val="superscript"/>
        </w:rPr>
        <w:t>b</w:t>
      </w:r>
      <w:r w:rsidR="00CC03AD" w:rsidRPr="0066103C">
        <w:rPr>
          <w:i/>
        </w:rPr>
        <w:t xml:space="preserve">Then </w:t>
      </w:r>
      <w:r w:rsidR="0031798B" w:rsidRPr="0066103C">
        <w:rPr>
          <w:i/>
        </w:rPr>
        <w:t>just as it had become so strong</w:t>
      </w:r>
      <w:r w:rsidR="0031798B" w:rsidRPr="0066103C">
        <w:rPr>
          <w:i/>
          <w:vertAlign w:val="superscript"/>
        </w:rPr>
        <w:t>b</w:t>
      </w:r>
      <w:r w:rsidR="0031798B" w:rsidRPr="0066103C">
        <w:rPr>
          <w:i/>
        </w:rPr>
        <w:t xml:space="preserve"> the big horn broke; but </w:t>
      </w:r>
      <w:r w:rsidR="0031798B" w:rsidRPr="0066103C">
        <w:rPr>
          <w:i/>
          <w:vertAlign w:val="superscript"/>
        </w:rPr>
        <w:t>c</w:t>
      </w:r>
      <w:r w:rsidR="00CC03AD" w:rsidRPr="0066103C">
        <w:rPr>
          <w:i/>
        </w:rPr>
        <w:t xml:space="preserve">four came up in its place </w:t>
      </w:r>
      <w:r w:rsidR="00E025ED" w:rsidRPr="0066103C">
        <w:rPr>
          <w:i/>
        </w:rPr>
        <w:t xml:space="preserve">towards </w:t>
      </w:r>
      <w:r w:rsidR="0031798B" w:rsidRPr="0066103C">
        <w:rPr>
          <w:i/>
        </w:rPr>
        <w:t xml:space="preserve">the four winds of the heavens. </w:t>
      </w:r>
    </w:p>
    <w:p w:rsidR="00CC03AD" w:rsidRPr="0066103C" w:rsidRDefault="0031798B" w:rsidP="001E50B5">
      <w:pPr>
        <w:rPr>
          <w:i/>
          <w:vertAlign w:val="superscript"/>
        </w:rPr>
      </w:pPr>
      <w:r w:rsidRPr="0066103C">
        <w:rPr>
          <w:i/>
          <w:vertAlign w:val="superscript"/>
        </w:rPr>
        <w:t>9</w:t>
      </w:r>
      <w:r w:rsidRPr="0066103C">
        <w:rPr>
          <w:i/>
        </w:rPr>
        <w:t xml:space="preserve">Out of </w:t>
      </w:r>
      <w:r w:rsidRPr="0066103C">
        <w:rPr>
          <w:i/>
          <w:vertAlign w:val="superscript"/>
        </w:rPr>
        <w:t>a</w:t>
      </w:r>
      <w:r w:rsidRPr="0066103C">
        <w:rPr>
          <w:i/>
        </w:rPr>
        <w:t>one of them a</w:t>
      </w:r>
      <w:r w:rsidRPr="0066103C">
        <w:rPr>
          <w:i/>
          <w:vertAlign w:val="superscript"/>
        </w:rPr>
        <w:t>b</w:t>
      </w:r>
      <w:r w:rsidRPr="0066103C">
        <w:rPr>
          <w:i/>
        </w:rPr>
        <w:t xml:space="preserve"> small</w:t>
      </w:r>
      <w:r w:rsidRPr="0066103C">
        <w:rPr>
          <w:i/>
          <w:vertAlign w:val="superscript"/>
        </w:rPr>
        <w:t>c</w:t>
      </w:r>
      <w:r w:rsidRPr="0066103C">
        <w:rPr>
          <w:i/>
        </w:rPr>
        <w:t xml:space="preserve"> horn came up.</w:t>
      </w:r>
      <w:r w:rsidRPr="0066103C">
        <w:rPr>
          <w:i/>
          <w:vertAlign w:val="superscript"/>
        </w:rPr>
        <w:t>a</w:t>
      </w:r>
      <w:r w:rsidRPr="0066103C">
        <w:rPr>
          <w:i/>
        </w:rPr>
        <w:t xml:space="preserve"> It </w:t>
      </w:r>
      <w:r w:rsidRPr="0066103C">
        <w:rPr>
          <w:i/>
          <w:vertAlign w:val="superscript"/>
        </w:rPr>
        <w:t>d</w:t>
      </w:r>
      <w:r w:rsidR="00E53390" w:rsidRPr="0066103C">
        <w:rPr>
          <w:i/>
        </w:rPr>
        <w:t>grew extreme</w:t>
      </w:r>
      <w:r w:rsidRPr="0066103C">
        <w:rPr>
          <w:i/>
        </w:rPr>
        <w:t>ly</w:t>
      </w:r>
      <w:r w:rsidR="00E53390" w:rsidRPr="0066103C">
        <w:rPr>
          <w:i/>
        </w:rPr>
        <w:t xml:space="preserve"> big</w:t>
      </w:r>
      <w:r w:rsidRPr="0066103C">
        <w:rPr>
          <w:i/>
          <w:vertAlign w:val="superscript"/>
        </w:rPr>
        <w:t>d</w:t>
      </w:r>
      <w:r w:rsidRPr="0066103C">
        <w:rPr>
          <w:i/>
        </w:rPr>
        <w:t xml:space="preserve"> southward and eastward </w:t>
      </w:r>
      <w:r w:rsidRPr="0066103C">
        <w:rPr>
          <w:i/>
          <w:vertAlign w:val="superscript"/>
        </w:rPr>
        <w:t>e</w:t>
      </w:r>
      <w:r w:rsidRPr="0066103C">
        <w:rPr>
          <w:i/>
        </w:rPr>
        <w:t xml:space="preserve">and </w:t>
      </w:r>
      <w:r w:rsidR="00E025ED" w:rsidRPr="0066103C">
        <w:rPr>
          <w:i/>
        </w:rPr>
        <w:t xml:space="preserve">towards </w:t>
      </w:r>
      <w:r w:rsidRPr="0066103C">
        <w:rPr>
          <w:i/>
        </w:rPr>
        <w:t>the fairest,</w:t>
      </w:r>
      <w:r w:rsidRPr="0066103C">
        <w:rPr>
          <w:i/>
          <w:vertAlign w:val="superscript"/>
        </w:rPr>
        <w:t>e</w:t>
      </w:r>
      <w:r w:rsidRPr="0066103C">
        <w:rPr>
          <w:i/>
        </w:rPr>
        <w:t xml:space="preserve"> </w:t>
      </w:r>
      <w:r w:rsidRPr="0066103C">
        <w:rPr>
          <w:i/>
          <w:vertAlign w:val="superscript"/>
        </w:rPr>
        <w:t>10</w:t>
      </w:r>
      <w:r w:rsidRPr="0066103C">
        <w:rPr>
          <w:i/>
        </w:rPr>
        <w:t>It grew</w:t>
      </w:r>
      <w:r w:rsidR="00E53390" w:rsidRPr="0066103C">
        <w:rPr>
          <w:i/>
        </w:rPr>
        <w:t xml:space="preserve"> big</w:t>
      </w:r>
      <w:r w:rsidRPr="0066103C">
        <w:rPr>
          <w:i/>
          <w:vertAlign w:val="superscript"/>
        </w:rPr>
        <w:t>a</w:t>
      </w:r>
      <w:r w:rsidR="00CC03AD" w:rsidRPr="0066103C">
        <w:rPr>
          <w:i/>
        </w:rPr>
        <w:t xml:space="preserve"> within reach of the heavenly army</w:t>
      </w:r>
      <w:r w:rsidR="009A1103">
        <w:rPr>
          <w:i/>
        </w:rPr>
        <w:t>,</w:t>
      </w:r>
      <w:r w:rsidR="00CC03AD" w:rsidRPr="0066103C">
        <w:rPr>
          <w:i/>
        </w:rPr>
        <w:t xml:space="preserve"> and thr</w:t>
      </w:r>
      <w:r w:rsidRPr="0066103C">
        <w:rPr>
          <w:i/>
        </w:rPr>
        <w:t>ew to earth some of that army (</w:t>
      </w:r>
      <w:r w:rsidRPr="0066103C">
        <w:rPr>
          <w:i/>
          <w:vertAlign w:val="superscript"/>
        </w:rPr>
        <w:t>b</w:t>
      </w:r>
      <w:r w:rsidR="00CC03AD" w:rsidRPr="0066103C">
        <w:rPr>
          <w:i/>
        </w:rPr>
        <w:t>some of the stars) a</w:t>
      </w:r>
      <w:r w:rsidRPr="0066103C">
        <w:rPr>
          <w:i/>
        </w:rPr>
        <w:t xml:space="preserve">nd trampled on them. </w:t>
      </w:r>
      <w:r w:rsidRPr="0066103C">
        <w:rPr>
          <w:i/>
          <w:vertAlign w:val="superscript"/>
        </w:rPr>
        <w:t>11</w:t>
      </w:r>
      <w:r w:rsidRPr="0066103C">
        <w:rPr>
          <w:i/>
        </w:rPr>
        <w:t>He grew</w:t>
      </w:r>
      <w:r w:rsidR="00E53390" w:rsidRPr="0066103C">
        <w:rPr>
          <w:i/>
        </w:rPr>
        <w:t xml:space="preserve"> big</w:t>
      </w:r>
      <w:r w:rsidRPr="0066103C">
        <w:rPr>
          <w:i/>
          <w:vertAlign w:val="superscript"/>
        </w:rPr>
        <w:t>a</w:t>
      </w:r>
      <w:r w:rsidR="00CC03AD" w:rsidRPr="0066103C">
        <w:rPr>
          <w:i/>
        </w:rPr>
        <w:t xml:space="preserve"> </w:t>
      </w:r>
      <w:r w:rsidR="00E53390" w:rsidRPr="0066103C">
        <w:rPr>
          <w:i/>
        </w:rPr>
        <w:t xml:space="preserve">to </w:t>
      </w:r>
      <w:r w:rsidR="00CC03AD" w:rsidRPr="0066103C">
        <w:rPr>
          <w:i/>
        </w:rPr>
        <w:t>within re</w:t>
      </w:r>
      <w:r w:rsidRPr="0066103C">
        <w:rPr>
          <w:i/>
        </w:rPr>
        <w:t xml:space="preserve">ach of the leader of the army; </w:t>
      </w:r>
      <w:r w:rsidRPr="0066103C">
        <w:rPr>
          <w:i/>
          <w:vertAlign w:val="superscript"/>
        </w:rPr>
        <w:t>b</w:t>
      </w:r>
      <w:r w:rsidR="00CC03AD" w:rsidRPr="0066103C">
        <w:rPr>
          <w:i/>
        </w:rPr>
        <w:t xml:space="preserve">by him the </w:t>
      </w:r>
      <w:r w:rsidRPr="0066103C">
        <w:rPr>
          <w:i/>
        </w:rPr>
        <w:t xml:space="preserve">daily offering was removed and </w:t>
      </w:r>
      <w:r w:rsidRPr="0066103C">
        <w:rPr>
          <w:i/>
          <w:vertAlign w:val="superscript"/>
        </w:rPr>
        <w:t>c</w:t>
      </w:r>
      <w:r w:rsidRPr="0066103C">
        <w:rPr>
          <w:i/>
        </w:rPr>
        <w:t>his sacred place</w:t>
      </w:r>
      <w:r w:rsidRPr="0066103C">
        <w:rPr>
          <w:i/>
          <w:vertAlign w:val="superscript"/>
        </w:rPr>
        <w:t>c</w:t>
      </w:r>
      <w:r w:rsidRPr="0066103C">
        <w:rPr>
          <w:i/>
        </w:rPr>
        <w:t xml:space="preserve"> </w:t>
      </w:r>
      <w:r w:rsidRPr="0066103C">
        <w:rPr>
          <w:i/>
          <w:vertAlign w:val="superscript"/>
        </w:rPr>
        <w:t>d</w:t>
      </w:r>
      <w:r w:rsidRPr="0066103C">
        <w:rPr>
          <w:i/>
        </w:rPr>
        <w:t>and an army</w:t>
      </w:r>
      <w:r w:rsidRPr="0066103C">
        <w:rPr>
          <w:i/>
          <w:vertAlign w:val="superscript"/>
        </w:rPr>
        <w:t>d</w:t>
      </w:r>
      <w:r w:rsidRPr="0066103C">
        <w:rPr>
          <w:i/>
        </w:rPr>
        <w:t xml:space="preserve"> were overthrown.</w:t>
      </w:r>
      <w:r w:rsidRPr="0066103C">
        <w:rPr>
          <w:i/>
          <w:vertAlign w:val="superscript"/>
        </w:rPr>
        <w:t>b</w:t>
      </w:r>
      <w:r w:rsidRPr="0066103C">
        <w:rPr>
          <w:i/>
        </w:rPr>
        <w:t xml:space="preserve"> </w:t>
      </w:r>
      <w:r w:rsidRPr="0066103C">
        <w:rPr>
          <w:i/>
          <w:vertAlign w:val="superscript"/>
        </w:rPr>
        <w:t>12a</w:t>
      </w:r>
      <w:r w:rsidR="00CC03AD" w:rsidRPr="0066103C">
        <w:rPr>
          <w:i/>
        </w:rPr>
        <w:t>It will be set over the daily o</w:t>
      </w:r>
      <w:r w:rsidRPr="0066103C">
        <w:rPr>
          <w:i/>
        </w:rPr>
        <w:t>ffering in an act of rebellion</w:t>
      </w:r>
      <w:r w:rsidRPr="0066103C">
        <w:rPr>
          <w:i/>
          <w:vertAlign w:val="superscript"/>
        </w:rPr>
        <w:t>a</w:t>
      </w:r>
      <w:r w:rsidRPr="0066103C">
        <w:rPr>
          <w:i/>
        </w:rPr>
        <w:t xml:space="preserve"> and </w:t>
      </w:r>
      <w:r w:rsidRPr="0066103C">
        <w:rPr>
          <w:i/>
          <w:vertAlign w:val="superscript"/>
        </w:rPr>
        <w:t>b</w:t>
      </w:r>
      <w:r w:rsidR="006E750A" w:rsidRPr="0066103C">
        <w:rPr>
          <w:i/>
        </w:rPr>
        <w:t>it w</w:t>
      </w:r>
      <w:r w:rsidR="00CC03AD" w:rsidRPr="0066103C">
        <w:rPr>
          <w:i/>
        </w:rPr>
        <w:t>ill throw truth to the ground. It wi</w:t>
      </w:r>
      <w:r w:rsidRPr="0066103C">
        <w:rPr>
          <w:i/>
        </w:rPr>
        <w:t>ll succeed in whatever it does.</w:t>
      </w:r>
      <w:r w:rsidRPr="0066103C">
        <w:rPr>
          <w:i/>
          <w:vertAlign w:val="superscript"/>
        </w:rPr>
        <w:t>b</w:t>
      </w:r>
    </w:p>
    <w:p w:rsidR="00CC03AD" w:rsidRPr="0066103C" w:rsidRDefault="0031798B" w:rsidP="00CC03AD">
      <w:pPr>
        <w:rPr>
          <w:i/>
          <w:vertAlign w:val="superscript"/>
        </w:rPr>
      </w:pPr>
      <w:r w:rsidRPr="0066103C">
        <w:rPr>
          <w:i/>
          <w:vertAlign w:val="superscript"/>
        </w:rPr>
        <w:t>13</w:t>
      </w:r>
      <w:r w:rsidRPr="0066103C">
        <w:rPr>
          <w:i/>
        </w:rPr>
        <w:t>Then I heard one</w:t>
      </w:r>
      <w:r w:rsidRPr="0066103C">
        <w:rPr>
          <w:i/>
          <w:vertAlign w:val="superscript"/>
        </w:rPr>
        <w:t>a</w:t>
      </w:r>
      <w:r w:rsidR="00CC03AD" w:rsidRPr="0066103C">
        <w:rPr>
          <w:i/>
        </w:rPr>
        <w:t xml:space="preserve"> holy one speaki</w:t>
      </w:r>
      <w:r w:rsidRPr="0066103C">
        <w:rPr>
          <w:i/>
        </w:rPr>
        <w:t>ng, and another holy one saying</w:t>
      </w:r>
      <w:r w:rsidRPr="0066103C">
        <w:rPr>
          <w:i/>
          <w:vertAlign w:val="superscript"/>
        </w:rPr>
        <w:t>b</w:t>
      </w:r>
      <w:r w:rsidR="00CC03AD" w:rsidRPr="0066103C">
        <w:rPr>
          <w:i/>
        </w:rPr>
        <w:t xml:space="preserve"> to</w:t>
      </w:r>
      <w:r w:rsidR="009C5ECC" w:rsidRPr="0066103C">
        <w:rPr>
          <w:i/>
        </w:rPr>
        <w:t xml:space="preserve"> the individual who had </w:t>
      </w:r>
      <w:r w:rsidRPr="0066103C">
        <w:rPr>
          <w:i/>
        </w:rPr>
        <w:t>spoken,</w:t>
      </w:r>
      <w:r w:rsidRPr="0066103C">
        <w:rPr>
          <w:i/>
          <w:vertAlign w:val="superscript"/>
        </w:rPr>
        <w:t>c</w:t>
      </w:r>
      <w:r w:rsidR="00CC03AD" w:rsidRPr="0066103C">
        <w:rPr>
          <w:i/>
        </w:rPr>
        <w:t xml:space="preserve"> “How long will the</w:t>
      </w:r>
      <w:r w:rsidRPr="0066103C">
        <w:rPr>
          <w:i/>
        </w:rPr>
        <w:t xml:space="preserve"> vision last—the daily offering</w:t>
      </w:r>
      <w:r w:rsidRPr="0066103C">
        <w:rPr>
          <w:i/>
          <w:vertAlign w:val="superscript"/>
        </w:rPr>
        <w:t>d</w:t>
      </w:r>
      <w:r w:rsidRPr="0066103C">
        <w:rPr>
          <w:i/>
        </w:rPr>
        <w:t xml:space="preserve"> and the desolating</w:t>
      </w:r>
      <w:r w:rsidRPr="0066103C">
        <w:rPr>
          <w:i/>
          <w:vertAlign w:val="superscript"/>
        </w:rPr>
        <w:t>e</w:t>
      </w:r>
      <w:r w:rsidRPr="0066103C">
        <w:rPr>
          <w:i/>
        </w:rPr>
        <w:t xml:space="preserve"> rebellion, the surrendering</w:t>
      </w:r>
      <w:r w:rsidRPr="0066103C">
        <w:rPr>
          <w:i/>
          <w:vertAlign w:val="superscript"/>
        </w:rPr>
        <w:t>f</w:t>
      </w:r>
      <w:r w:rsidR="00CC03AD" w:rsidRPr="0066103C">
        <w:rPr>
          <w:i/>
        </w:rPr>
        <w:t xml:space="preserve"> </w:t>
      </w:r>
      <w:r w:rsidRPr="0066103C">
        <w:rPr>
          <w:i/>
        </w:rPr>
        <w:t>of both</w:t>
      </w:r>
      <w:r w:rsidRPr="0066103C">
        <w:rPr>
          <w:i/>
          <w:vertAlign w:val="superscript"/>
        </w:rPr>
        <w:t>g</w:t>
      </w:r>
      <w:r w:rsidRPr="0066103C">
        <w:rPr>
          <w:i/>
        </w:rPr>
        <w:t xml:space="preserve"> a sacred place and an army</w:t>
      </w:r>
      <w:r w:rsidRPr="0066103C">
        <w:rPr>
          <w:i/>
          <w:vertAlign w:val="superscript"/>
        </w:rPr>
        <w:t>h</w:t>
      </w:r>
      <w:r w:rsidRPr="0066103C">
        <w:rPr>
          <w:i/>
        </w:rPr>
        <w:t xml:space="preserve"> to be trampled down?” </w:t>
      </w:r>
      <w:r w:rsidRPr="0066103C">
        <w:rPr>
          <w:i/>
          <w:vertAlign w:val="superscript"/>
        </w:rPr>
        <w:t>14</w:t>
      </w:r>
      <w:r w:rsidRPr="0066103C">
        <w:rPr>
          <w:i/>
        </w:rPr>
        <w:t>He said to me,</w:t>
      </w:r>
      <w:r w:rsidRPr="0066103C">
        <w:rPr>
          <w:i/>
          <w:vertAlign w:val="superscript"/>
        </w:rPr>
        <w:t>a</w:t>
      </w:r>
      <w:r w:rsidR="00CC03AD" w:rsidRPr="0066103C">
        <w:rPr>
          <w:i/>
        </w:rPr>
        <w:t xml:space="preserve"> “For 2,300 evenings and</w:t>
      </w:r>
      <w:r w:rsidRPr="0066103C">
        <w:rPr>
          <w:i/>
        </w:rPr>
        <w:t xml:space="preserve"> mornings. Then a sacred place </w:t>
      </w:r>
      <w:r w:rsidRPr="0066103C">
        <w:rPr>
          <w:i/>
          <w:vertAlign w:val="superscript"/>
        </w:rPr>
        <w:t>b</w:t>
      </w:r>
      <w:r w:rsidRPr="0066103C">
        <w:rPr>
          <w:i/>
        </w:rPr>
        <w:t>will emerge in the right.”</w:t>
      </w:r>
      <w:r w:rsidRPr="0066103C">
        <w:rPr>
          <w:i/>
          <w:vertAlign w:val="superscript"/>
        </w:rPr>
        <w:t>b</w:t>
      </w:r>
    </w:p>
    <w:p w:rsidR="00F1307C" w:rsidRPr="0066103C" w:rsidRDefault="0031798B" w:rsidP="00CC03AD">
      <w:pPr>
        <w:rPr>
          <w:i/>
        </w:rPr>
      </w:pPr>
      <w:r w:rsidRPr="0066103C">
        <w:rPr>
          <w:i/>
          <w:vertAlign w:val="superscript"/>
        </w:rPr>
        <w:lastRenderedPageBreak/>
        <w:t>15a</w:t>
      </w:r>
      <w:r w:rsidR="004500F7" w:rsidRPr="0066103C">
        <w:rPr>
          <w:i/>
        </w:rPr>
        <w:t>As I, Daniyye’l</w:t>
      </w:r>
      <w:r w:rsidR="00CC03AD" w:rsidRPr="0066103C">
        <w:rPr>
          <w:i/>
        </w:rPr>
        <w:t>, was watching the vision and se</w:t>
      </w:r>
      <w:r w:rsidR="000A3017" w:rsidRPr="0066103C">
        <w:rPr>
          <w:i/>
        </w:rPr>
        <w:t>eking</w:t>
      </w:r>
      <w:r w:rsidR="000A3017" w:rsidRPr="0066103C">
        <w:rPr>
          <w:i/>
          <w:vertAlign w:val="superscript"/>
        </w:rPr>
        <w:t>a</w:t>
      </w:r>
      <w:r w:rsidR="000A3017" w:rsidRPr="0066103C">
        <w:rPr>
          <w:i/>
        </w:rPr>
        <w:t xml:space="preserve"> </w:t>
      </w:r>
      <w:r w:rsidRPr="0066103C">
        <w:rPr>
          <w:i/>
        </w:rPr>
        <w:t>understanding of it,</w:t>
      </w:r>
      <w:r w:rsidR="00CC03AD" w:rsidRPr="0066103C">
        <w:rPr>
          <w:i/>
        </w:rPr>
        <w:t xml:space="preserve"> there</w:t>
      </w:r>
      <w:r w:rsidR="00E03C5D" w:rsidRPr="0066103C">
        <w:rPr>
          <w:i/>
        </w:rPr>
        <w:t>:</w:t>
      </w:r>
      <w:r w:rsidR="00CC03AD" w:rsidRPr="0066103C">
        <w:rPr>
          <w:i/>
        </w:rPr>
        <w:t xml:space="preserve"> standing in </w:t>
      </w:r>
      <w:r w:rsidRPr="0066103C">
        <w:rPr>
          <w:i/>
        </w:rPr>
        <w:t>front of me was someone of man</w:t>
      </w:r>
      <w:r w:rsidRPr="0066103C">
        <w:rPr>
          <w:i/>
          <w:vertAlign w:val="superscript"/>
        </w:rPr>
        <w:t>b</w:t>
      </w:r>
      <w:r w:rsidRPr="0066103C">
        <w:rPr>
          <w:i/>
        </w:rPr>
        <w:t xml:space="preserve">-like appearance, </w:t>
      </w:r>
      <w:r w:rsidRPr="0066103C">
        <w:rPr>
          <w:i/>
          <w:vertAlign w:val="superscript"/>
        </w:rPr>
        <w:t>16</w:t>
      </w:r>
      <w:r w:rsidRPr="0066103C">
        <w:rPr>
          <w:i/>
        </w:rPr>
        <w:t xml:space="preserve">and I heard a human voice </w:t>
      </w:r>
      <w:r w:rsidRPr="0066103C">
        <w:rPr>
          <w:i/>
          <w:vertAlign w:val="superscript"/>
        </w:rPr>
        <w:t>a</w:t>
      </w:r>
      <w:r w:rsidRPr="0066103C">
        <w:rPr>
          <w:i/>
        </w:rPr>
        <w:t>amidst Ulay</w:t>
      </w:r>
      <w:r w:rsidRPr="0066103C">
        <w:rPr>
          <w:i/>
          <w:vertAlign w:val="superscript"/>
        </w:rPr>
        <w:t>a</w:t>
      </w:r>
      <w:r w:rsidR="00CC03AD" w:rsidRPr="0066103C">
        <w:rPr>
          <w:i/>
        </w:rPr>
        <w:t xml:space="preserve"> which called out, “Gabri</w:t>
      </w:r>
      <w:r w:rsidR="00F1307C" w:rsidRPr="0066103C">
        <w:rPr>
          <w:i/>
        </w:rPr>
        <w:t>’</w:t>
      </w:r>
      <w:r w:rsidR="00CC03AD" w:rsidRPr="0066103C">
        <w:rPr>
          <w:i/>
        </w:rPr>
        <w:t>el, explain</w:t>
      </w:r>
      <w:r w:rsidRPr="0066103C">
        <w:rPr>
          <w:i/>
        </w:rPr>
        <w:t xml:space="preserve"> the revelation to this man.” </w:t>
      </w:r>
      <w:r w:rsidRPr="0066103C">
        <w:rPr>
          <w:i/>
          <w:vertAlign w:val="superscript"/>
        </w:rPr>
        <w:t>17</w:t>
      </w:r>
      <w:r w:rsidR="00CC03AD" w:rsidRPr="0066103C">
        <w:rPr>
          <w:i/>
        </w:rPr>
        <w:t xml:space="preserve">He came near the place where I stood. </w:t>
      </w:r>
      <w:r w:rsidRPr="0066103C">
        <w:rPr>
          <w:i/>
        </w:rPr>
        <w:t>When he came, I was overwhelmed</w:t>
      </w:r>
      <w:r w:rsidRPr="0066103C">
        <w:rPr>
          <w:i/>
          <w:vertAlign w:val="superscript"/>
        </w:rPr>
        <w:t>a</w:t>
      </w:r>
      <w:r w:rsidRPr="0066103C">
        <w:rPr>
          <w:i/>
        </w:rPr>
        <w:t xml:space="preserve"> and </w:t>
      </w:r>
      <w:r w:rsidR="00F1307C" w:rsidRPr="0066103C">
        <w:rPr>
          <w:i/>
        </w:rPr>
        <w:t xml:space="preserve">I </w:t>
      </w:r>
      <w:r w:rsidRPr="0066103C">
        <w:rPr>
          <w:i/>
        </w:rPr>
        <w:t>fell dow</w:t>
      </w:r>
      <w:r w:rsidR="00CC03AD" w:rsidRPr="0066103C">
        <w:rPr>
          <w:i/>
        </w:rPr>
        <w:t>n on my face. He said to me, “You mu</w:t>
      </w:r>
      <w:r w:rsidRPr="0066103C">
        <w:rPr>
          <w:i/>
        </w:rPr>
        <w:t>st understand, mortal man, that</w:t>
      </w:r>
      <w:r w:rsidRPr="0066103C">
        <w:rPr>
          <w:i/>
          <w:vertAlign w:val="superscript"/>
        </w:rPr>
        <w:t>b</w:t>
      </w:r>
      <w:r w:rsidR="00CC03AD" w:rsidRPr="0066103C">
        <w:rPr>
          <w:i/>
        </w:rPr>
        <w:t xml:space="preserve"> the vision rel</w:t>
      </w:r>
      <w:r w:rsidRPr="0066103C">
        <w:rPr>
          <w:i/>
        </w:rPr>
        <w:t xml:space="preserve">ates to the time of the end.” </w:t>
      </w:r>
      <w:r w:rsidRPr="0066103C">
        <w:rPr>
          <w:i/>
          <w:vertAlign w:val="superscript"/>
        </w:rPr>
        <w:t>18</w:t>
      </w:r>
      <w:r w:rsidR="00CC03AD" w:rsidRPr="0066103C">
        <w:rPr>
          <w:i/>
        </w:rPr>
        <w:t>While he was speak</w:t>
      </w:r>
      <w:r w:rsidRPr="0066103C">
        <w:rPr>
          <w:i/>
        </w:rPr>
        <w:t>ing to me, I fell into a trance</w:t>
      </w:r>
      <w:r w:rsidRPr="0066103C">
        <w:rPr>
          <w:i/>
          <w:vertAlign w:val="superscript"/>
        </w:rPr>
        <w:t>a</w:t>
      </w:r>
      <w:r w:rsidR="00CC03AD" w:rsidRPr="0066103C">
        <w:rPr>
          <w:i/>
        </w:rPr>
        <w:t xml:space="preserve"> as I lay face down on the ground, but he touched me</w:t>
      </w:r>
      <w:r w:rsidRPr="0066103C">
        <w:rPr>
          <w:i/>
        </w:rPr>
        <w:t xml:space="preserve"> and stood me up in my place, </w:t>
      </w:r>
      <w:r w:rsidRPr="0066103C">
        <w:rPr>
          <w:i/>
          <w:vertAlign w:val="superscript"/>
        </w:rPr>
        <w:t>19</w:t>
      </w:r>
      <w:r w:rsidR="00E03C5D" w:rsidRPr="0066103C">
        <w:rPr>
          <w:i/>
        </w:rPr>
        <w:t>He said, “H</w:t>
      </w:r>
      <w:r w:rsidR="00CC03AD" w:rsidRPr="0066103C">
        <w:rPr>
          <w:i/>
        </w:rPr>
        <w:t xml:space="preserve">ere </w:t>
      </w:r>
      <w:r w:rsidR="00E03C5D" w:rsidRPr="0066103C">
        <w:rPr>
          <w:i/>
        </w:rPr>
        <w:t xml:space="preserve">am I, about </w:t>
      </w:r>
      <w:r w:rsidR="00CC03AD" w:rsidRPr="0066103C">
        <w:rPr>
          <w:i/>
        </w:rPr>
        <w:t xml:space="preserve">to tell </w:t>
      </w:r>
      <w:r w:rsidRPr="0066103C">
        <w:rPr>
          <w:i/>
        </w:rPr>
        <w:t xml:space="preserve">you what is going to happen as </w:t>
      </w:r>
      <w:r w:rsidRPr="0066103C">
        <w:rPr>
          <w:i/>
          <w:vertAlign w:val="superscript"/>
        </w:rPr>
        <w:t>a</w:t>
      </w:r>
      <w:r w:rsidRPr="0066103C">
        <w:rPr>
          <w:i/>
        </w:rPr>
        <w:t>wrath draws to a close,</w:t>
      </w:r>
      <w:r w:rsidRPr="0066103C">
        <w:rPr>
          <w:i/>
          <w:vertAlign w:val="superscript"/>
        </w:rPr>
        <w:t>a</w:t>
      </w:r>
      <w:r w:rsidRPr="0066103C">
        <w:rPr>
          <w:i/>
        </w:rPr>
        <w:t xml:space="preserve"> because </w:t>
      </w:r>
      <w:r w:rsidRPr="0066103C">
        <w:rPr>
          <w:i/>
          <w:vertAlign w:val="superscript"/>
        </w:rPr>
        <w:t>b</w:t>
      </w:r>
      <w:r w:rsidR="00CC03AD" w:rsidRPr="0066103C">
        <w:rPr>
          <w:i/>
        </w:rPr>
        <w:t>at</w:t>
      </w:r>
      <w:r w:rsidRPr="0066103C">
        <w:rPr>
          <w:i/>
        </w:rPr>
        <w:t xml:space="preserve"> a set moment an end will come.</w:t>
      </w:r>
      <w:r w:rsidRPr="0066103C">
        <w:rPr>
          <w:i/>
          <w:vertAlign w:val="superscript"/>
        </w:rPr>
        <w:t>b</w:t>
      </w:r>
      <w:r w:rsidRPr="0066103C">
        <w:rPr>
          <w:i/>
        </w:rPr>
        <w:t xml:space="preserve"> </w:t>
      </w:r>
    </w:p>
    <w:p w:rsidR="00CC03AD" w:rsidRPr="0066103C" w:rsidRDefault="0031798B" w:rsidP="00CC03AD">
      <w:pPr>
        <w:rPr>
          <w:i/>
        </w:rPr>
      </w:pPr>
      <w:r w:rsidRPr="0066103C">
        <w:rPr>
          <w:i/>
          <w:vertAlign w:val="superscript"/>
        </w:rPr>
        <w:t>20</w:t>
      </w:r>
      <w:r w:rsidR="00CC03AD" w:rsidRPr="0066103C">
        <w:rPr>
          <w:i/>
        </w:rPr>
        <w:t>The ram y</w:t>
      </w:r>
      <w:r w:rsidRPr="0066103C">
        <w:rPr>
          <w:i/>
        </w:rPr>
        <w:t>ou saw, which had two horns, is</w:t>
      </w:r>
      <w:r w:rsidRPr="0066103C">
        <w:rPr>
          <w:i/>
          <w:vertAlign w:val="superscript"/>
        </w:rPr>
        <w:t>a</w:t>
      </w:r>
      <w:r w:rsidRPr="0066103C">
        <w:rPr>
          <w:i/>
        </w:rPr>
        <w:t xml:space="preserve"> the kings</w:t>
      </w:r>
      <w:r w:rsidRPr="0066103C">
        <w:rPr>
          <w:i/>
          <w:vertAlign w:val="superscript"/>
        </w:rPr>
        <w:t>b</w:t>
      </w:r>
      <w:r w:rsidR="00CC03AD" w:rsidRPr="0066103C">
        <w:rPr>
          <w:i/>
        </w:rPr>
        <w:t xml:space="preserve"> of Media and Persia. </w:t>
      </w:r>
      <w:r w:rsidR="00732BA6" w:rsidRPr="0066103C">
        <w:rPr>
          <w:i/>
          <w:vertAlign w:val="superscript"/>
        </w:rPr>
        <w:t>21</w:t>
      </w:r>
      <w:r w:rsidR="00CC03AD" w:rsidRPr="0066103C">
        <w:rPr>
          <w:i/>
        </w:rPr>
        <w:t>The buck (the he-goat)</w:t>
      </w:r>
      <w:r w:rsidR="00732BA6" w:rsidRPr="0066103C">
        <w:rPr>
          <w:i/>
          <w:vertAlign w:val="superscript"/>
        </w:rPr>
        <w:t>a</w:t>
      </w:r>
      <w:r w:rsidR="00CC03AD" w:rsidRPr="0066103C">
        <w:rPr>
          <w:i/>
        </w:rPr>
        <w:t xml:space="preserve"> is the king</w:t>
      </w:r>
      <w:r w:rsidR="00732BA6" w:rsidRPr="0066103C">
        <w:rPr>
          <w:i/>
          <w:vertAlign w:val="superscript"/>
        </w:rPr>
        <w:t>b</w:t>
      </w:r>
      <w:r w:rsidR="00CC03AD" w:rsidRPr="0066103C">
        <w:rPr>
          <w:i/>
        </w:rPr>
        <w:t xml:space="preserve"> of Greece,</w:t>
      </w:r>
      <w:r w:rsidR="00732BA6" w:rsidRPr="0066103C">
        <w:rPr>
          <w:i/>
          <w:vertAlign w:val="superscript"/>
        </w:rPr>
        <w:t>c</w:t>
      </w:r>
      <w:r w:rsidR="00CC03AD" w:rsidRPr="0066103C">
        <w:rPr>
          <w:i/>
        </w:rPr>
        <w:t xml:space="preserve"> and the big horn betw</w:t>
      </w:r>
      <w:r w:rsidRPr="0066103C">
        <w:rPr>
          <w:i/>
        </w:rPr>
        <w:t>een its eyes is the first king.</w:t>
      </w:r>
      <w:r w:rsidRPr="0066103C">
        <w:rPr>
          <w:i/>
          <w:vertAlign w:val="superscript"/>
        </w:rPr>
        <w:t>b</w:t>
      </w:r>
      <w:r w:rsidR="00CC03AD" w:rsidRPr="0066103C">
        <w:rPr>
          <w:i/>
        </w:rPr>
        <w:t xml:space="preserve"> </w:t>
      </w:r>
      <w:r w:rsidR="00732BA6" w:rsidRPr="0066103C">
        <w:rPr>
          <w:i/>
          <w:vertAlign w:val="superscript"/>
        </w:rPr>
        <w:t>21</w:t>
      </w:r>
      <w:r w:rsidR="00CC03AD" w:rsidRPr="0066103C">
        <w:rPr>
          <w:i/>
        </w:rPr>
        <w:t>The one which</w:t>
      </w:r>
      <w:r w:rsidR="001D3C21" w:rsidRPr="0066103C">
        <w:rPr>
          <w:i/>
        </w:rPr>
        <w:t xml:space="preserve"> broke and the four which arose</w:t>
      </w:r>
      <w:r w:rsidR="001D3C21" w:rsidRPr="0066103C">
        <w:rPr>
          <w:i/>
          <w:vertAlign w:val="superscript"/>
        </w:rPr>
        <w:t>a</w:t>
      </w:r>
      <w:r w:rsidR="001D3C21" w:rsidRPr="0066103C">
        <w:rPr>
          <w:i/>
        </w:rPr>
        <w:t xml:space="preserve"> in its place: four </w:t>
      </w:r>
      <w:r w:rsidR="001D3C21" w:rsidRPr="0066103C">
        <w:rPr>
          <w:i/>
          <w:vertAlign w:val="superscript"/>
        </w:rPr>
        <w:t>b</w:t>
      </w:r>
      <w:r w:rsidR="001D3C21" w:rsidRPr="0066103C">
        <w:rPr>
          <w:i/>
        </w:rPr>
        <w:t>kingdoms will arise</w:t>
      </w:r>
      <w:r w:rsidR="001D3C21" w:rsidRPr="0066103C">
        <w:rPr>
          <w:i/>
          <w:vertAlign w:val="superscript"/>
        </w:rPr>
        <w:t>b</w:t>
      </w:r>
      <w:r w:rsidR="001D3C21" w:rsidRPr="0066103C">
        <w:rPr>
          <w:i/>
        </w:rPr>
        <w:t xml:space="preserve"> </w:t>
      </w:r>
      <w:r w:rsidR="00CC03AD" w:rsidRPr="0066103C">
        <w:rPr>
          <w:i/>
        </w:rPr>
        <w:t>from</w:t>
      </w:r>
      <w:r w:rsidR="001D3C21" w:rsidRPr="0066103C">
        <w:rPr>
          <w:i/>
        </w:rPr>
        <w:t xml:space="preserve"> its midst,</w:t>
      </w:r>
      <w:r w:rsidR="001D3C21" w:rsidRPr="0066103C">
        <w:rPr>
          <w:i/>
          <w:vertAlign w:val="superscript"/>
        </w:rPr>
        <w:t>c</w:t>
      </w:r>
      <w:r w:rsidR="00CC03AD" w:rsidRPr="0066103C">
        <w:rPr>
          <w:i/>
        </w:rPr>
        <w:t xml:space="preserve"> but without its strength.</w:t>
      </w:r>
    </w:p>
    <w:p w:rsidR="001D3C21" w:rsidRPr="0066103C" w:rsidRDefault="001D3C21" w:rsidP="00CC03AD">
      <w:pPr>
        <w:rPr>
          <w:i/>
        </w:rPr>
      </w:pPr>
    </w:p>
    <w:p w:rsidR="00CC03AD" w:rsidRPr="0066103C" w:rsidRDefault="001D3C21" w:rsidP="00CC03AD">
      <w:pPr>
        <w:rPr>
          <w:i/>
          <w:vertAlign w:val="superscript"/>
        </w:rPr>
      </w:pPr>
      <w:r w:rsidRPr="0066103C">
        <w:rPr>
          <w:i/>
          <w:vertAlign w:val="superscript"/>
        </w:rPr>
        <w:t>23a</w:t>
      </w:r>
      <w:r w:rsidR="00CC03AD" w:rsidRPr="0066103C">
        <w:rPr>
          <w:i/>
        </w:rPr>
        <w:t>As t</w:t>
      </w:r>
      <w:r w:rsidRPr="0066103C">
        <w:rPr>
          <w:i/>
        </w:rPr>
        <w:t>heir kingship draws to a close,</w:t>
      </w:r>
      <w:r w:rsidRPr="0066103C">
        <w:rPr>
          <w:i/>
          <w:vertAlign w:val="superscript"/>
        </w:rPr>
        <w:t>a</w:t>
      </w:r>
    </w:p>
    <w:p w:rsidR="00CC03AD" w:rsidRPr="0066103C" w:rsidRDefault="001D3C21" w:rsidP="00CC03AD">
      <w:pPr>
        <w:rPr>
          <w:i/>
          <w:vertAlign w:val="superscript"/>
        </w:rPr>
      </w:pPr>
      <w:r w:rsidRPr="0066103C">
        <w:rPr>
          <w:i/>
        </w:rPr>
        <w:tab/>
        <w:t>when the rebels</w:t>
      </w:r>
      <w:r w:rsidRPr="0066103C">
        <w:rPr>
          <w:i/>
          <w:vertAlign w:val="superscript"/>
        </w:rPr>
        <w:t>b</w:t>
      </w:r>
      <w:r w:rsidRPr="0066103C">
        <w:rPr>
          <w:i/>
        </w:rPr>
        <w:t xml:space="preserve"> reach full measure,</w:t>
      </w:r>
      <w:r w:rsidRPr="0066103C">
        <w:rPr>
          <w:i/>
          <w:vertAlign w:val="superscript"/>
        </w:rPr>
        <w:t>c</w:t>
      </w:r>
    </w:p>
    <w:p w:rsidR="00CC03AD" w:rsidRPr="0066103C" w:rsidRDefault="001D3C21" w:rsidP="00CC03AD">
      <w:pPr>
        <w:rPr>
          <w:i/>
        </w:rPr>
      </w:pPr>
      <w:r w:rsidRPr="0066103C">
        <w:rPr>
          <w:i/>
        </w:rPr>
        <w:t>A</w:t>
      </w:r>
      <w:r w:rsidR="00CC03AD" w:rsidRPr="0066103C">
        <w:rPr>
          <w:i/>
        </w:rPr>
        <w:t xml:space="preserve"> fierce-looking king will arise,</w:t>
      </w:r>
    </w:p>
    <w:p w:rsidR="00CC03AD" w:rsidRPr="0066103C" w:rsidRDefault="001D3C21" w:rsidP="00CC03AD">
      <w:pPr>
        <w:rPr>
          <w:i/>
          <w:vertAlign w:val="superscript"/>
        </w:rPr>
      </w:pPr>
      <w:r w:rsidRPr="0066103C">
        <w:rPr>
          <w:i/>
        </w:rPr>
        <w:tab/>
        <w:t>expert at enigmas.</w:t>
      </w:r>
      <w:r w:rsidRPr="0066103C">
        <w:rPr>
          <w:i/>
          <w:vertAlign w:val="superscript"/>
        </w:rPr>
        <w:t>d</w:t>
      </w:r>
    </w:p>
    <w:p w:rsidR="001D3C21" w:rsidRPr="0066103C" w:rsidRDefault="001D3C21" w:rsidP="00CC03AD">
      <w:pPr>
        <w:rPr>
          <w:i/>
        </w:rPr>
      </w:pPr>
      <w:r w:rsidRPr="0066103C">
        <w:rPr>
          <w:i/>
          <w:vertAlign w:val="superscript"/>
        </w:rPr>
        <w:t>24</w:t>
      </w:r>
      <w:r w:rsidR="00CC03AD" w:rsidRPr="0066103C">
        <w:rPr>
          <w:i/>
        </w:rPr>
        <w:t>His strength will be migh</w:t>
      </w:r>
      <w:r w:rsidRPr="0066103C">
        <w:rPr>
          <w:i/>
        </w:rPr>
        <w:t xml:space="preserve">ty </w:t>
      </w:r>
    </w:p>
    <w:p w:rsidR="00CC03AD" w:rsidRPr="0066103C" w:rsidRDefault="001D3C21" w:rsidP="00CC03AD">
      <w:pPr>
        <w:rPr>
          <w:i/>
          <w:vertAlign w:val="superscript"/>
        </w:rPr>
      </w:pPr>
      <w:r w:rsidRPr="0066103C">
        <w:rPr>
          <w:i/>
        </w:rPr>
        <w:tab/>
      </w:r>
      <w:r w:rsidRPr="0066103C">
        <w:rPr>
          <w:i/>
          <w:vertAlign w:val="superscript"/>
        </w:rPr>
        <w:t>a</w:t>
      </w:r>
      <w:r w:rsidRPr="0066103C">
        <w:rPr>
          <w:i/>
        </w:rPr>
        <w:t>(but without its strength).</w:t>
      </w:r>
      <w:r w:rsidRPr="0066103C">
        <w:rPr>
          <w:i/>
          <w:vertAlign w:val="superscript"/>
        </w:rPr>
        <w:t>a</w:t>
      </w:r>
    </w:p>
    <w:p w:rsidR="00CC03AD" w:rsidRPr="0066103C" w:rsidRDefault="001D3C21" w:rsidP="00CC03AD">
      <w:pPr>
        <w:rPr>
          <w:i/>
          <w:vertAlign w:val="superscript"/>
        </w:rPr>
      </w:pPr>
      <w:r w:rsidRPr="0066103C">
        <w:rPr>
          <w:i/>
          <w:vertAlign w:val="superscript"/>
        </w:rPr>
        <w:t>b</w:t>
      </w:r>
      <w:r w:rsidR="00CC03AD" w:rsidRPr="0066103C">
        <w:rPr>
          <w:i/>
        </w:rPr>
        <w:t>He wil</w:t>
      </w:r>
      <w:r w:rsidRPr="0066103C">
        <w:rPr>
          <w:i/>
        </w:rPr>
        <w:t>l cause astounding devastation,</w:t>
      </w:r>
      <w:r w:rsidRPr="0066103C">
        <w:rPr>
          <w:i/>
          <w:vertAlign w:val="superscript"/>
        </w:rPr>
        <w:t>b</w:t>
      </w:r>
    </w:p>
    <w:p w:rsidR="00CC03AD" w:rsidRPr="0066103C" w:rsidRDefault="001D3C21" w:rsidP="00CC03AD">
      <w:pPr>
        <w:rPr>
          <w:i/>
        </w:rPr>
      </w:pPr>
      <w:r w:rsidRPr="0066103C">
        <w:rPr>
          <w:i/>
        </w:rPr>
        <w:tab/>
      </w:r>
      <w:r w:rsidR="00CC03AD" w:rsidRPr="0066103C">
        <w:rPr>
          <w:i/>
        </w:rPr>
        <w:t>and succeed in whatever he does.</w:t>
      </w:r>
    </w:p>
    <w:p w:rsidR="00CC03AD" w:rsidRPr="0066103C" w:rsidRDefault="00CC03AD" w:rsidP="00CC03AD">
      <w:pPr>
        <w:rPr>
          <w:i/>
        </w:rPr>
      </w:pPr>
      <w:r w:rsidRPr="0066103C">
        <w:rPr>
          <w:i/>
        </w:rPr>
        <w:t>He will devastate mighty ones,</w:t>
      </w:r>
    </w:p>
    <w:p w:rsidR="00CC03AD" w:rsidRPr="0066103C" w:rsidRDefault="001D3C21" w:rsidP="00CC03AD">
      <w:pPr>
        <w:rPr>
          <w:i/>
          <w:vertAlign w:val="superscript"/>
        </w:rPr>
      </w:pPr>
      <w:r w:rsidRPr="0066103C">
        <w:rPr>
          <w:i/>
          <w:vertAlign w:val="superscript"/>
        </w:rPr>
        <w:tab/>
        <w:t>c</w:t>
      </w:r>
      <w:r w:rsidRPr="0066103C">
        <w:rPr>
          <w:i/>
        </w:rPr>
        <w:t>a people of holy ones,</w:t>
      </w:r>
      <w:r w:rsidRPr="0066103C">
        <w:rPr>
          <w:i/>
          <w:vertAlign w:val="superscript"/>
        </w:rPr>
        <w:t>c</w:t>
      </w:r>
      <w:r w:rsidRPr="0066103C">
        <w:rPr>
          <w:i/>
        </w:rPr>
        <w:t xml:space="preserve"> </w:t>
      </w:r>
      <w:r w:rsidRPr="0066103C">
        <w:rPr>
          <w:i/>
          <w:vertAlign w:val="superscript"/>
        </w:rPr>
        <w:t>25a</w:t>
      </w:r>
      <w:r w:rsidRPr="0066103C">
        <w:rPr>
          <w:i/>
        </w:rPr>
        <w:t>with his skill.</w:t>
      </w:r>
      <w:r w:rsidRPr="0066103C">
        <w:rPr>
          <w:i/>
          <w:vertAlign w:val="superscript"/>
        </w:rPr>
        <w:t>a</w:t>
      </w:r>
    </w:p>
    <w:p w:rsidR="00CC03AD" w:rsidRPr="0066103C" w:rsidRDefault="00CC03AD" w:rsidP="00CC03AD">
      <w:pPr>
        <w:rPr>
          <w:i/>
        </w:rPr>
      </w:pPr>
      <w:r w:rsidRPr="0066103C">
        <w:rPr>
          <w:i/>
        </w:rPr>
        <w:t>He will succeed in deceit by his power,</w:t>
      </w:r>
    </w:p>
    <w:p w:rsidR="00CC03AD" w:rsidRPr="0066103C" w:rsidRDefault="001D3C21" w:rsidP="00CC03AD">
      <w:pPr>
        <w:rPr>
          <w:i/>
        </w:rPr>
      </w:pPr>
      <w:r w:rsidRPr="0066103C">
        <w:rPr>
          <w:i/>
        </w:rPr>
        <w:tab/>
      </w:r>
      <w:r w:rsidRPr="0066103C">
        <w:rPr>
          <w:i/>
          <w:vertAlign w:val="superscript"/>
        </w:rPr>
        <w:t>b</w:t>
      </w:r>
      <w:r w:rsidRPr="0066103C">
        <w:rPr>
          <w:i/>
        </w:rPr>
        <w:t>by his courage</w:t>
      </w:r>
      <w:r w:rsidRPr="0066103C">
        <w:rPr>
          <w:i/>
          <w:vertAlign w:val="superscript"/>
        </w:rPr>
        <w:t>b</w:t>
      </w:r>
      <w:r w:rsidR="00F1307C" w:rsidRPr="0066103C">
        <w:rPr>
          <w:i/>
        </w:rPr>
        <w:t xml:space="preserve"> he will do big</w:t>
      </w:r>
      <w:r w:rsidR="00CC03AD" w:rsidRPr="0066103C">
        <w:rPr>
          <w:i/>
        </w:rPr>
        <w:t xml:space="preserve"> things</w:t>
      </w:r>
      <w:r w:rsidRPr="0066103C">
        <w:rPr>
          <w:i/>
        </w:rPr>
        <w:t>;</w:t>
      </w:r>
    </w:p>
    <w:p w:rsidR="00CC03AD" w:rsidRPr="0066103C" w:rsidRDefault="001D3C21" w:rsidP="00CC03AD">
      <w:pPr>
        <w:rPr>
          <w:i/>
        </w:rPr>
      </w:pPr>
      <w:r w:rsidRPr="0066103C">
        <w:rPr>
          <w:i/>
        </w:rPr>
        <w:t>With ease</w:t>
      </w:r>
      <w:r w:rsidRPr="0066103C">
        <w:rPr>
          <w:i/>
          <w:vertAlign w:val="superscript"/>
        </w:rPr>
        <w:t>c</w:t>
      </w:r>
      <w:r w:rsidRPr="0066103C">
        <w:rPr>
          <w:i/>
        </w:rPr>
        <w:t xml:space="preserve"> he will devastate many,</w:t>
      </w:r>
    </w:p>
    <w:p w:rsidR="00CC03AD" w:rsidRPr="0066103C" w:rsidRDefault="001D3C21" w:rsidP="00CC03AD">
      <w:pPr>
        <w:rPr>
          <w:i/>
        </w:rPr>
      </w:pPr>
      <w:r w:rsidRPr="0066103C">
        <w:rPr>
          <w:i/>
        </w:rPr>
        <w:tab/>
        <w:t xml:space="preserve">and he </w:t>
      </w:r>
      <w:r w:rsidR="00CC03AD" w:rsidRPr="0066103C">
        <w:rPr>
          <w:i/>
        </w:rPr>
        <w:t>will stand against a leader supreme;</w:t>
      </w:r>
    </w:p>
    <w:p w:rsidR="00CC03AD" w:rsidRPr="0066103C" w:rsidRDefault="001D3C21" w:rsidP="00CC03AD">
      <w:pPr>
        <w:rPr>
          <w:i/>
        </w:rPr>
      </w:pPr>
      <w:r w:rsidRPr="0066103C">
        <w:rPr>
          <w:i/>
        </w:rPr>
        <w:tab/>
      </w:r>
      <w:r w:rsidR="00CC03AD" w:rsidRPr="0066103C">
        <w:rPr>
          <w:i/>
        </w:rPr>
        <w:t>then he will break without being touched.</w:t>
      </w:r>
    </w:p>
    <w:p w:rsidR="001D3C21" w:rsidRPr="0066103C" w:rsidRDefault="001D3C21" w:rsidP="00CC03AD">
      <w:pPr>
        <w:rPr>
          <w:i/>
        </w:rPr>
      </w:pPr>
    </w:p>
    <w:p w:rsidR="00CC03AD" w:rsidRPr="0066103C" w:rsidRDefault="001D3C21" w:rsidP="00CC03AD">
      <w:pPr>
        <w:rPr>
          <w:i/>
        </w:rPr>
      </w:pPr>
      <w:r w:rsidRPr="0066103C">
        <w:rPr>
          <w:i/>
          <w:vertAlign w:val="superscript"/>
        </w:rPr>
        <w:t>26</w:t>
      </w:r>
      <w:r w:rsidR="00CC03AD" w:rsidRPr="0066103C">
        <w:rPr>
          <w:i/>
        </w:rPr>
        <w:t>The revelation of evening and morning wh</w:t>
      </w:r>
      <w:r w:rsidR="009A3BD2">
        <w:rPr>
          <w:i/>
        </w:rPr>
        <w:t>ich has been related is trustworthy</w:t>
      </w:r>
      <w:r w:rsidR="00CC03AD" w:rsidRPr="0066103C">
        <w:rPr>
          <w:i/>
        </w:rPr>
        <w:t>. But you are to close up the vision, for it relates to distant days.”</w:t>
      </w:r>
    </w:p>
    <w:p w:rsidR="001D3C21" w:rsidRPr="0066103C" w:rsidRDefault="001D3C21" w:rsidP="00CC03AD">
      <w:pPr>
        <w:rPr>
          <w:i/>
          <w:vertAlign w:val="superscript"/>
        </w:rPr>
      </w:pPr>
    </w:p>
    <w:p w:rsidR="00CC03AD" w:rsidRPr="0066103C" w:rsidRDefault="001D3C21" w:rsidP="00CC03AD">
      <w:pPr>
        <w:rPr>
          <w:i/>
          <w:vertAlign w:val="superscript"/>
        </w:rPr>
      </w:pPr>
      <w:r w:rsidRPr="0066103C">
        <w:rPr>
          <w:i/>
          <w:vertAlign w:val="superscript"/>
        </w:rPr>
        <w:t>27</w:t>
      </w:r>
      <w:r w:rsidR="004500F7" w:rsidRPr="0066103C">
        <w:rPr>
          <w:i/>
        </w:rPr>
        <w:t>I, Daniyye’l</w:t>
      </w:r>
      <w:r w:rsidRPr="0066103C">
        <w:rPr>
          <w:i/>
        </w:rPr>
        <w:t xml:space="preserve">, </w:t>
      </w:r>
      <w:r w:rsidRPr="0066103C">
        <w:rPr>
          <w:i/>
          <w:vertAlign w:val="superscript"/>
        </w:rPr>
        <w:t>a</w:t>
      </w:r>
      <w:r w:rsidRPr="0066103C">
        <w:rPr>
          <w:i/>
        </w:rPr>
        <w:t>fell ill</w:t>
      </w:r>
      <w:r w:rsidRPr="0066103C">
        <w:rPr>
          <w:i/>
          <w:vertAlign w:val="superscript"/>
        </w:rPr>
        <w:t>a</w:t>
      </w:r>
      <w:r w:rsidR="00CC03AD" w:rsidRPr="0066103C">
        <w:rPr>
          <w:i/>
        </w:rPr>
        <w:t xml:space="preserve"> for some days, then I got up and dealt with the king’s business. But I was </w:t>
      </w:r>
      <w:r w:rsidRPr="0066103C">
        <w:rPr>
          <w:i/>
        </w:rPr>
        <w:t xml:space="preserve">overcome by the revelation and </w:t>
      </w:r>
      <w:r w:rsidRPr="0066103C">
        <w:rPr>
          <w:i/>
          <w:vertAlign w:val="superscript"/>
        </w:rPr>
        <w:t>b</w:t>
      </w:r>
      <w:r w:rsidRPr="0066103C">
        <w:rPr>
          <w:i/>
        </w:rPr>
        <w:t>I could not understand it.</w:t>
      </w:r>
      <w:r w:rsidRPr="0066103C">
        <w:rPr>
          <w:i/>
          <w:vertAlign w:val="superscript"/>
        </w:rPr>
        <w:t>b</w:t>
      </w:r>
    </w:p>
    <w:p w:rsidR="00CC03AD" w:rsidRPr="00CC1756" w:rsidRDefault="00CC03AD" w:rsidP="00CC1756">
      <w:pPr>
        <w:pStyle w:val="Heading2"/>
      </w:pPr>
      <w:r w:rsidRPr="00CC1756">
        <w:t>Notes</w:t>
      </w:r>
    </w:p>
    <w:p w:rsidR="00CC03AD" w:rsidRPr="0066103C" w:rsidRDefault="00CC03AD" w:rsidP="00CC03AD">
      <w:r w:rsidRPr="0066103C">
        <w:t xml:space="preserve">1.a. </w:t>
      </w:r>
      <w:r w:rsidR="004500F7" w:rsidRPr="0066103C">
        <w:t>On the spelling, see n. 5:30.a.</w:t>
      </w:r>
    </w:p>
    <w:p w:rsidR="00CC03AD" w:rsidRPr="0066103C" w:rsidRDefault="00CC03AD" w:rsidP="00CC03AD">
      <w:r w:rsidRPr="0066103C">
        <w:t>1.b-b. אחרי hardly denotes merely the redundant observation that this vision</w:t>
      </w:r>
      <w:r w:rsidR="00F1307C" w:rsidRPr="0066103C">
        <w:t xml:space="preserve"> came after the earlier one </w:t>
      </w:r>
      <w:r w:rsidRPr="0066103C">
        <w:t>but that it was different yet related to it in form and content (cf. Ehrlich).</w:t>
      </w:r>
    </w:p>
    <w:p w:rsidR="00CC03AD" w:rsidRPr="0066103C" w:rsidRDefault="00CC03AD" w:rsidP="00CC03AD">
      <w:r w:rsidRPr="0066103C">
        <w:t xml:space="preserve">1.c. הנראה is pointed as </w:t>
      </w:r>
      <w:r w:rsidR="004500F7" w:rsidRPr="0066103C">
        <w:t>perfect</w:t>
      </w:r>
      <w:r w:rsidR="009D58FD">
        <w:t xml:space="preserve">, but </w:t>
      </w:r>
      <w:r w:rsidRPr="0066103C">
        <w:t>GKC 138k</w:t>
      </w:r>
      <w:r w:rsidR="009D58FD">
        <w:t xml:space="preserve"> sees this as a masoretic repointing of</w:t>
      </w:r>
      <w:r w:rsidR="00945C8C">
        <w:t xml:space="preserve"> </w:t>
      </w:r>
      <w:r w:rsidR="009D58FD">
        <w:t>a participle</w:t>
      </w:r>
      <w:r w:rsidRPr="0066103C">
        <w:t>.</w:t>
      </w:r>
    </w:p>
    <w:p w:rsidR="00CC03AD" w:rsidRPr="0066103C" w:rsidRDefault="00CC03AD" w:rsidP="00CC03AD">
      <w:r w:rsidRPr="0066103C">
        <w:t>1.d. Etymologically ל</w:t>
      </w:r>
      <w:r w:rsidR="009D58FD">
        <w:t xml:space="preserve"> </w:t>
      </w:r>
      <w:r w:rsidRPr="0066103C">
        <w:t xml:space="preserve">ל </w:t>
      </w:r>
      <w:r w:rsidR="009D58FD" w:rsidRPr="009D58FD">
        <w:rPr>
          <w:rFonts w:ascii="Arial" w:hAnsi="Arial" w:cs="Arial"/>
        </w:rPr>
        <w:t>ח</w:t>
      </w:r>
      <w:r w:rsidR="009D58FD" w:rsidRPr="009D58FD">
        <w:t xml:space="preserve"> </w:t>
      </w:r>
      <w:r w:rsidRPr="0066103C">
        <w:t>suggests “[at the] beginning,” but in usage בתחלה can mean simply “previously,” like בראשונה (with which it appears</w:t>
      </w:r>
      <w:r w:rsidR="009D58FD">
        <w:t xml:space="preserve"> in Gen 13:3–4; Isa 1:26). T</w:t>
      </w:r>
      <w:r w:rsidRPr="0066103C">
        <w:t xml:space="preserve">his </w:t>
      </w:r>
      <w:r w:rsidR="004500F7" w:rsidRPr="0066103C">
        <w:t xml:space="preserve">meaning fits better </w:t>
      </w:r>
      <w:r w:rsidR="003E5119" w:rsidRPr="0066103C">
        <w:t>here, given that i</w:t>
      </w:r>
      <w:r w:rsidRPr="0066103C">
        <w:t>t would be odd to refer to</w:t>
      </w:r>
      <w:r w:rsidR="004500F7" w:rsidRPr="0066103C">
        <w:t xml:space="preserve"> the immediately preceding chapter</w:t>
      </w:r>
      <w:r w:rsidRPr="0066103C">
        <w:t xml:space="preserve"> as “at the beginni</w:t>
      </w:r>
      <w:r w:rsidR="004500F7" w:rsidRPr="0066103C">
        <w:t>ng” (against Zevit, “The Exegetical Implications of Daniel viii 1, ix 21,” 489</w:t>
      </w:r>
      <w:r w:rsidR="00F1307C" w:rsidRPr="0066103C">
        <w:t>)</w:t>
      </w:r>
      <w:r w:rsidRPr="0066103C">
        <w:t>. Cf. 9:21.</w:t>
      </w:r>
    </w:p>
    <w:p w:rsidR="00CC03AD" w:rsidRPr="0066103C" w:rsidRDefault="00CC03AD" w:rsidP="00CC03AD">
      <w:r w:rsidRPr="0066103C">
        <w:t>2.a-a. ראה ב</w:t>
      </w:r>
      <w:r w:rsidR="004500F7" w:rsidRPr="0066103C">
        <w:t xml:space="preserve"> = “to look [at]</w:t>
      </w:r>
      <w:r w:rsidRPr="0066103C">
        <w:t>” (se</w:t>
      </w:r>
      <w:r w:rsidR="004500F7" w:rsidRPr="0066103C">
        <w:t>e BDB). Of the three o</w:t>
      </w:r>
      <w:r w:rsidR="00721D7C" w:rsidRPr="0066103C">
        <w:t>c</w:t>
      </w:r>
      <w:r w:rsidR="004500F7" w:rsidRPr="0066103C">
        <w:t xml:space="preserve">currences of this verb </w:t>
      </w:r>
      <w:r w:rsidR="00E72483" w:rsidRPr="0066103C">
        <w:t xml:space="preserve">in </w:t>
      </w:r>
      <w:r w:rsidR="000D1837">
        <w:t>v</w:t>
      </w:r>
      <w:r w:rsidR="00E72483" w:rsidRPr="0066103C">
        <w:t xml:space="preserve"> 2 in connection with Daniel’s</w:t>
      </w:r>
      <w:r w:rsidR="004500F7" w:rsidRPr="0066103C">
        <w:t xml:space="preserve"> looking at the visions</w:t>
      </w:r>
      <w:r w:rsidRPr="0066103C">
        <w:t>, OG omits the third, Th the firs</w:t>
      </w:r>
      <w:r w:rsidR="00E72483" w:rsidRPr="0066103C">
        <w:t xml:space="preserve">t two, Syr the second. Whereas </w:t>
      </w:r>
      <w:r w:rsidR="004500F7" w:rsidRPr="0066103C">
        <w:t>OG</w:t>
      </w:r>
      <w:r w:rsidRPr="0066103C">
        <w:t xml:space="preserve"> </w:t>
      </w:r>
      <w:r w:rsidR="004500F7" w:rsidRPr="0066103C">
        <w:t>(through its paraphrase)</w:t>
      </w:r>
      <w:r w:rsidRPr="0066103C">
        <w:t xml:space="preserve"> and Th give the impression that Danie</w:t>
      </w:r>
      <w:r w:rsidR="004500F7" w:rsidRPr="0066103C">
        <w:t>l</w:t>
      </w:r>
      <w:r w:rsidR="00E72483" w:rsidRPr="0066103C">
        <w:t xml:space="preserve"> was physically in Susa (</w:t>
      </w:r>
      <w:r w:rsidRPr="0066103C">
        <w:t>cf. Josephus</w:t>
      </w:r>
      <w:r w:rsidR="00E72483" w:rsidRPr="0066103C">
        <w:t xml:space="preserve">, </w:t>
      </w:r>
      <w:r w:rsidR="00884655">
        <w:rPr>
          <w:i/>
        </w:rPr>
        <w:lastRenderedPageBreak/>
        <w:t>Antiquities</w:t>
      </w:r>
      <w:r w:rsidR="00E72483" w:rsidRPr="0066103C">
        <w:t xml:space="preserve"> 10.11.7. [10.269]), MT’s</w:t>
      </w:r>
      <w:r w:rsidRPr="0066103C">
        <w:t xml:space="preserve"> cumbersome repetitions are perhaps intended to underline that Susa was only t</w:t>
      </w:r>
      <w:r w:rsidR="00017304" w:rsidRPr="0066103C">
        <w:t>h</w:t>
      </w:r>
      <w:r w:rsidR="00E72483" w:rsidRPr="0066103C">
        <w:t>e setting of the vision (see e.g</w:t>
      </w:r>
      <w:r w:rsidR="00017304" w:rsidRPr="0066103C">
        <w:t xml:space="preserve">., Haag, </w:t>
      </w:r>
      <w:r w:rsidR="00017304" w:rsidRPr="0066103C">
        <w:rPr>
          <w:i/>
        </w:rPr>
        <w:t>Daniel</w:t>
      </w:r>
      <w:r w:rsidR="00017304" w:rsidRPr="0066103C">
        <w:t>, 63</w:t>
      </w:r>
      <w:r w:rsidRPr="0066103C">
        <w:t>).</w:t>
      </w:r>
    </w:p>
    <w:p w:rsidR="00CC03AD" w:rsidRPr="0066103C" w:rsidRDefault="00CC03AD" w:rsidP="00CC03AD">
      <w:r w:rsidRPr="0066103C">
        <w:t>2.b. הבירה is in apposition to שושן</w:t>
      </w:r>
      <w:r w:rsidR="004500F7" w:rsidRPr="0066103C">
        <w:t xml:space="preserve"> “Šušan</w:t>
      </w:r>
      <w:r w:rsidRPr="0066103C">
        <w:t>” and thus does not</w:t>
      </w:r>
      <w:r w:rsidR="004500F7" w:rsidRPr="0066103C">
        <w:t xml:space="preserve"> refer to a fortress within the city (against BDB)</w:t>
      </w:r>
      <w:r w:rsidRPr="0066103C">
        <w:t xml:space="preserve"> but denotes Susa as a fortress-c</w:t>
      </w:r>
      <w:r w:rsidR="00E72483" w:rsidRPr="0066103C">
        <w:t>ity (cf. Neh 1:1; Esth 1:2</w:t>
      </w:r>
      <w:r w:rsidRPr="0066103C">
        <w:t>).</w:t>
      </w:r>
    </w:p>
    <w:p w:rsidR="00CC03AD" w:rsidRPr="0066103C" w:rsidRDefault="00721D7C" w:rsidP="00CC03AD">
      <w:r w:rsidRPr="0066103C">
        <w:t>2.c-c. Gate is</w:t>
      </w:r>
      <w:r w:rsidR="00CC03AD" w:rsidRPr="0066103C">
        <w:t xml:space="preserve"> אובל</w:t>
      </w:r>
      <w:r w:rsidRPr="0066103C">
        <w:t>, which</w:t>
      </w:r>
      <w:r w:rsidR="00CC03AD" w:rsidRPr="0066103C">
        <w:t xml:space="preserve"> </w:t>
      </w:r>
      <w:r w:rsidRPr="0066103C">
        <w:t>occurs here only in the OT. EVV</w:t>
      </w:r>
      <w:r w:rsidR="00CC03AD" w:rsidRPr="0066103C">
        <w:t xml:space="preserve"> “canal/river” identifies it with יובל, but the variation is odd, as would be the expression “before the river” (vv 3, 6). OG πύλη, </w:t>
      </w:r>
      <w:r w:rsidR="004500F7" w:rsidRPr="0066103C">
        <w:t>Syr</w:t>
      </w:r>
      <w:r w:rsidR="00CC03AD" w:rsidRPr="0066103C">
        <w:t xml:space="preserve"> </w:t>
      </w:r>
      <w:r w:rsidR="00CC03AD" w:rsidRPr="004A6DFB">
        <w:rPr>
          <w:i/>
        </w:rPr>
        <w:t>’bwl</w:t>
      </w:r>
      <w:r w:rsidR="00CC03AD" w:rsidRPr="0066103C">
        <w:t xml:space="preserve"> </w:t>
      </w:r>
      <w:r w:rsidRPr="0066103C">
        <w:t xml:space="preserve">, Vg </w:t>
      </w:r>
      <w:r w:rsidR="00017304" w:rsidRPr="0066103C">
        <w:rPr>
          <w:i/>
        </w:rPr>
        <w:t>porta</w:t>
      </w:r>
      <w:r w:rsidRPr="0066103C">
        <w:t xml:space="preserve"> suggest</w:t>
      </w:r>
      <w:r w:rsidR="00CC03AD" w:rsidRPr="0066103C">
        <w:t xml:space="preserve"> it rather derives from Akk. </w:t>
      </w:r>
      <w:r w:rsidRPr="004A6DFB">
        <w:rPr>
          <w:i/>
        </w:rPr>
        <w:t>abullu</w:t>
      </w:r>
      <w:r w:rsidRPr="0066103C">
        <w:t xml:space="preserve"> “city-gate”</w:t>
      </w:r>
      <w:r w:rsidR="00017304" w:rsidRPr="0066103C">
        <w:t xml:space="preserve"> (Th transliterates, but Theodoret recognizes that the word means gate)</w:t>
      </w:r>
      <w:r w:rsidRPr="0066103C">
        <w:t>; cf. later Hebrew/Aramaic</w:t>
      </w:r>
      <w:r w:rsidR="00CC03AD" w:rsidRPr="0066103C">
        <w:t xml:space="preserve"> [א]אבול (</w:t>
      </w:r>
      <w:r w:rsidR="00CC03AD" w:rsidRPr="0066103C">
        <w:rPr>
          <w:i/>
        </w:rPr>
        <w:t>DTT</w:t>
      </w:r>
      <w:r w:rsidR="00CC03AD" w:rsidRPr="0066103C">
        <w:t xml:space="preserve">). </w:t>
      </w:r>
      <w:r w:rsidRPr="0066103C">
        <w:t>Waterman (“A Note on Daniel 8 2”</w:t>
      </w:r>
      <w:r w:rsidR="00CC03AD" w:rsidRPr="0066103C">
        <w:t xml:space="preserve">) objects that </w:t>
      </w:r>
      <w:r w:rsidR="00E72483" w:rsidRPr="0066103C">
        <w:t>the word should refer to</w:t>
      </w:r>
      <w:r w:rsidR="00CC03AD" w:rsidRPr="0066103C">
        <w:t xml:space="preserve"> the (main) gate of (the city of) Ulay: but see Ginsberg, </w:t>
      </w:r>
      <w:r w:rsidRPr="0066103C">
        <w:rPr>
          <w:i/>
        </w:rPr>
        <w:t xml:space="preserve">Studies, </w:t>
      </w:r>
      <w:r w:rsidRPr="0066103C">
        <w:t>84</w:t>
      </w:r>
      <w:r w:rsidR="00E72483" w:rsidRPr="0066103C">
        <w:t xml:space="preserve">. </w:t>
      </w:r>
      <w:r w:rsidR="00E72483" w:rsidRPr="0066103C">
        <w:rPr>
          <w:rFonts w:ascii="Arial" w:hAnsi="Arial" w:cs="Arial"/>
        </w:rPr>
        <w:t>אבל</w:t>
      </w:r>
      <w:r w:rsidR="00E72483" w:rsidRPr="0066103C">
        <w:t xml:space="preserve"> (as in vv 3, 6) is perhaps</w:t>
      </w:r>
      <w:r w:rsidR="001A58DF" w:rsidRPr="0066103C">
        <w:t xml:space="preserve"> </w:t>
      </w:r>
      <w:r w:rsidR="00E72483" w:rsidRPr="0066103C">
        <w:t xml:space="preserve">original here; it may have been confused by association with </w:t>
      </w:r>
      <w:r w:rsidR="00E72483" w:rsidRPr="0066103C">
        <w:rPr>
          <w:rFonts w:ascii="Arial" w:hAnsi="Arial" w:cs="Arial"/>
        </w:rPr>
        <w:t>אולי</w:t>
      </w:r>
      <w:r w:rsidR="00E72483" w:rsidRPr="0066103C">
        <w:t xml:space="preserve"> or with </w:t>
      </w:r>
      <w:r w:rsidR="00E72483" w:rsidRPr="0066103C">
        <w:rPr>
          <w:rFonts w:ascii="Arial" w:hAnsi="Arial" w:cs="Arial"/>
        </w:rPr>
        <w:t>יובל</w:t>
      </w:r>
      <w:r w:rsidR="00E72483" w:rsidRPr="0066103C">
        <w:t xml:space="preserve">. </w:t>
      </w:r>
      <w:r w:rsidR="001A58DF" w:rsidRPr="0066103C">
        <w:t>And/or perhaps</w:t>
      </w:r>
      <w:r w:rsidR="00CC03AD" w:rsidRPr="0066103C">
        <w:t xml:space="preserve"> בל[ו]א is a gl</w:t>
      </w:r>
      <w:r w:rsidR="001A4FDC" w:rsidRPr="0066103C">
        <w:t>oss</w:t>
      </w:r>
      <w:r w:rsidR="00CC03AD" w:rsidRPr="0066103C">
        <w:t xml:space="preserve">, so that Daniel is </w:t>
      </w:r>
      <w:r w:rsidR="001A4FDC" w:rsidRPr="0066103C">
        <w:t xml:space="preserve">at the bank of the Ulay. </w:t>
      </w:r>
      <w:r w:rsidR="001A58DF" w:rsidRPr="0066103C">
        <w:t xml:space="preserve">For </w:t>
      </w:r>
      <w:r w:rsidR="001A58DF" w:rsidRPr="0066103C">
        <w:rPr>
          <w:rFonts w:ascii="Arial" w:hAnsi="Arial" w:cs="Arial"/>
        </w:rPr>
        <w:t>אולי</w:t>
      </w:r>
      <w:r w:rsidR="001A58DF" w:rsidRPr="0066103C">
        <w:t xml:space="preserve"> “Ulay,” OG has Ωλαμ (or a variant); Th omits. </w:t>
      </w:r>
      <w:r w:rsidR="001A4FDC" w:rsidRPr="0066103C">
        <w:t>In Hebrew</w:t>
      </w:r>
      <w:r w:rsidR="00CC03AD" w:rsidRPr="0066103C">
        <w:t>, אולי “perhaps” is an expression of hope or fear, reflecting an acceptance of the uncertainty of w</w:t>
      </w:r>
      <w:r w:rsidR="001A4FDC" w:rsidRPr="0066103C">
        <w:t>hat God may do (e.g., Gen 16:2), which would be</w:t>
      </w:r>
      <w:r w:rsidR="00CC03AD" w:rsidRPr="0066103C">
        <w:t xml:space="preserve"> an appropriate feeling in the context (Lacocque), but the </w:t>
      </w:r>
      <w:r w:rsidR="009D58FD">
        <w:t xml:space="preserve">suggestion of </w:t>
      </w:r>
      <w:r w:rsidR="001A4FDC" w:rsidRPr="0066103C">
        <w:t>paronomasia</w:t>
      </w:r>
      <w:r w:rsidR="009D58FD">
        <w:t xml:space="preserve"> is rather subtle</w:t>
      </w:r>
      <w:r w:rsidR="00CC03AD" w:rsidRPr="0066103C">
        <w:t>.</w:t>
      </w:r>
    </w:p>
    <w:p w:rsidR="00CC03AD" w:rsidRPr="0066103C" w:rsidRDefault="00CC03AD" w:rsidP="00CC03AD">
      <w:r w:rsidRPr="0066103C">
        <w:t>3.a.</w:t>
      </w:r>
      <w:r w:rsidR="0047288E" w:rsidRPr="0066103C">
        <w:t xml:space="preserve"> </w:t>
      </w:r>
      <w:r w:rsidRPr="0066103C">
        <w:t xml:space="preserve"> ואראה </w:t>
      </w:r>
      <w:r w:rsidR="0047288E" w:rsidRPr="0066103C">
        <w:rPr>
          <w:rFonts w:ascii="Arial" w:hAnsi="Arial" w:cs="Arial"/>
        </w:rPr>
        <w:t>עיני</w:t>
      </w:r>
      <w:r w:rsidR="0047288E" w:rsidRPr="0066103C">
        <w:t xml:space="preserve"> </w:t>
      </w:r>
      <w:r w:rsidR="0047288E" w:rsidRPr="0066103C">
        <w:rPr>
          <w:rFonts w:ascii="Arial" w:hAnsi="Arial" w:cs="Arial"/>
        </w:rPr>
        <w:t>ואשא</w:t>
      </w:r>
      <w:r w:rsidR="0047288E" w:rsidRPr="0066103C">
        <w:t xml:space="preserve"> </w:t>
      </w:r>
      <w:r w:rsidRPr="0066103C">
        <w:t>“I lifted my eyes and looked”: se</w:t>
      </w:r>
      <w:r w:rsidR="00140540" w:rsidRPr="0066103C">
        <w:t>e n. 4:34.a. A</w:t>
      </w:r>
      <w:r w:rsidRPr="0066103C">
        <w:t xml:space="preserve"> common phrase not distinctive of visions (Hasslberger, </w:t>
      </w:r>
      <w:r w:rsidRPr="0066103C">
        <w:rPr>
          <w:i/>
        </w:rPr>
        <w:t>Hoffnung</w:t>
      </w:r>
      <w:r w:rsidR="0047288E" w:rsidRPr="0066103C">
        <w:rPr>
          <w:i/>
        </w:rPr>
        <w:t xml:space="preserve"> in der Bedrängnis </w:t>
      </w:r>
      <w:r w:rsidRPr="0066103C">
        <w:t>).</w:t>
      </w:r>
    </w:p>
    <w:p w:rsidR="00CC03AD" w:rsidRPr="00B556AC" w:rsidRDefault="00CC03AD" w:rsidP="00CC03AD">
      <w:r w:rsidRPr="0066103C">
        <w:t xml:space="preserve">3.b </w:t>
      </w:r>
      <w:r w:rsidR="0047288E" w:rsidRPr="0066103C">
        <w:rPr>
          <w:rFonts w:ascii="Arial" w:hAnsi="Arial" w:cs="Arial"/>
        </w:rPr>
        <w:t>אחד</w:t>
      </w:r>
      <w:r w:rsidR="0047288E" w:rsidRPr="0066103C">
        <w:t xml:space="preserve"> </w:t>
      </w:r>
      <w:r w:rsidRPr="0066103C">
        <w:t>איל</w:t>
      </w:r>
      <w:r w:rsidR="0047288E" w:rsidRPr="0066103C">
        <w:t xml:space="preserve">  </w:t>
      </w:r>
      <w:r w:rsidR="0047288E" w:rsidRPr="0066103C">
        <w:rPr>
          <w:rFonts w:ascii="Arial" w:hAnsi="Arial" w:cs="Arial"/>
        </w:rPr>
        <w:t>והנה</w:t>
      </w:r>
      <w:r w:rsidR="00140540" w:rsidRPr="0066103C">
        <w:rPr>
          <w:rFonts w:ascii="Arial" w:hAnsi="Arial" w:cs="Arial"/>
        </w:rPr>
        <w:t>,</w:t>
      </w:r>
      <w:r w:rsidR="00945C8C">
        <w:t xml:space="preserve"> </w:t>
      </w:r>
      <w:r w:rsidRPr="0066103C">
        <w:t xml:space="preserve">as </w:t>
      </w:r>
      <w:r w:rsidR="0047288E" w:rsidRPr="0066103C">
        <w:t>in Gen 22:13 according to many textual witnesses</w:t>
      </w:r>
      <w:r w:rsidR="00140540" w:rsidRPr="0066103C">
        <w:t xml:space="preserve"> there</w:t>
      </w:r>
      <w:r w:rsidR="0047288E" w:rsidRPr="0066103C">
        <w:t>;</w:t>
      </w:r>
      <w:r w:rsidR="00140540" w:rsidRPr="0066103C">
        <w:t xml:space="preserve"> but the</w:t>
      </w:r>
      <w:r w:rsidR="001A58DF" w:rsidRPr="0066103C">
        <w:t xml:space="preserve"> </w:t>
      </w:r>
      <w:r w:rsidR="0047288E" w:rsidRPr="0066103C">
        <w:t xml:space="preserve">parallel </w:t>
      </w:r>
      <w:r w:rsidRPr="0066103C">
        <w:t xml:space="preserve">does not seem significant. On אחד = “a,” see GKC 125b; Charles </w:t>
      </w:r>
      <w:r w:rsidR="0047288E" w:rsidRPr="0066103C">
        <w:t>translates “a single.” 4QDan</w:t>
      </w:r>
      <w:r w:rsidR="0047288E" w:rsidRPr="0066103C">
        <w:rPr>
          <w:vertAlign w:val="superscript"/>
        </w:rPr>
        <w:t>a</w:t>
      </w:r>
      <w:r w:rsidR="000610C8" w:rsidRPr="0066103C">
        <w:rPr>
          <w:vertAlign w:val="superscript"/>
        </w:rPr>
        <w:t>b</w:t>
      </w:r>
      <w:r w:rsidR="000610C8" w:rsidRPr="0066103C">
        <w:t xml:space="preserve"> have</w:t>
      </w:r>
      <w:r w:rsidRPr="0066103C">
        <w:t xml:space="preserve"> דול</w:t>
      </w:r>
      <w:r w:rsidR="000610C8" w:rsidRPr="0066103C">
        <w:rPr>
          <w:rFonts w:ascii="Arial" w:hAnsi="Arial" w:cs="Arial"/>
        </w:rPr>
        <w:t xml:space="preserve">ג </w:t>
      </w:r>
      <w:r w:rsidR="000610C8" w:rsidRPr="00B556AC">
        <w:rPr>
          <w:rFonts w:cs="Arial"/>
        </w:rPr>
        <w:t>after</w:t>
      </w:r>
      <w:r w:rsidRPr="00B556AC">
        <w:t xml:space="preserve"> </w:t>
      </w:r>
      <w:r w:rsidR="000610C8" w:rsidRPr="00B556AC">
        <w:rPr>
          <w:rFonts w:ascii="Arial" w:hAnsi="Arial" w:cs="Arial"/>
        </w:rPr>
        <w:t>אחד</w:t>
      </w:r>
      <w:r w:rsidR="00B556AC" w:rsidRPr="00B556AC">
        <w:rPr>
          <w:rFonts w:cs="Arial"/>
        </w:rPr>
        <w:t xml:space="preserve"> (so </w:t>
      </w:r>
      <w:r w:rsidR="00B556AC" w:rsidRPr="00B556AC">
        <w:rPr>
          <w:rFonts w:cs="Arial"/>
          <w:lang w:val="en-NZ"/>
        </w:rPr>
        <w:t>Gzella</w:t>
      </w:r>
      <w:r w:rsidR="00B556AC" w:rsidRPr="00B556AC">
        <w:rPr>
          <w:rFonts w:cs="Arial"/>
          <w:b/>
          <w:lang w:val="en-NZ"/>
        </w:rPr>
        <w:t>).</w:t>
      </w:r>
    </w:p>
    <w:p w:rsidR="00CC03AD" w:rsidRPr="0066103C" w:rsidRDefault="00CC03AD" w:rsidP="00CC03AD">
      <w:r w:rsidRPr="0066103C">
        <w:t>3.c-c.</w:t>
      </w:r>
      <w:r w:rsidR="00945C8C">
        <w:t xml:space="preserve"> </w:t>
      </w:r>
      <w:r w:rsidRPr="0066103C">
        <w:t xml:space="preserve"> </w:t>
      </w:r>
      <w:r w:rsidR="00140540" w:rsidRPr="0066103C">
        <w:t xml:space="preserve"> </w:t>
      </w:r>
      <w:r w:rsidRPr="0066103C">
        <w:t>גבהות</w:t>
      </w:r>
      <w:r w:rsidR="00140540" w:rsidRPr="0066103C">
        <w:t xml:space="preserve">  </w:t>
      </w:r>
      <w:r w:rsidR="00140540" w:rsidRPr="0066103C">
        <w:rPr>
          <w:rFonts w:ascii="Arial" w:hAnsi="Arial" w:cs="Arial"/>
        </w:rPr>
        <w:t>והקרנים</w:t>
      </w:r>
      <w:r w:rsidR="00140540" w:rsidRPr="0066103C">
        <w:t xml:space="preserve"> </w:t>
      </w:r>
      <w:r w:rsidR="00140540" w:rsidRPr="0066103C">
        <w:rPr>
          <w:rFonts w:ascii="Arial" w:hAnsi="Arial" w:cs="Arial"/>
        </w:rPr>
        <w:t>קרנים</w:t>
      </w:r>
      <w:r w:rsidR="00140540" w:rsidRPr="0066103C">
        <w:t xml:space="preserve"> </w:t>
      </w:r>
      <w:r w:rsidRPr="0066103C">
        <w:t>:</w:t>
      </w:r>
      <w:r w:rsidR="00945C8C">
        <w:t xml:space="preserve"> </w:t>
      </w:r>
      <w:r w:rsidR="00140540" w:rsidRPr="0066103C">
        <w:t>NAB</w:t>
      </w:r>
      <w:r w:rsidRPr="0066103C">
        <w:t xml:space="preserve"> omits</w:t>
      </w:r>
      <w:r w:rsidR="000610C8" w:rsidRPr="0066103C">
        <w:t xml:space="preserve"> </w:t>
      </w:r>
      <w:r w:rsidRPr="0066103C">
        <w:t xml:space="preserve"> והקרנים as dittog</w:t>
      </w:r>
      <w:r w:rsidR="00203E22">
        <w:t>.</w:t>
      </w:r>
      <w:r w:rsidR="00140540" w:rsidRPr="0066103C">
        <w:t>, following G; 4QDan</w:t>
      </w:r>
      <w:r w:rsidR="00140540" w:rsidRPr="0066103C">
        <w:rPr>
          <w:vertAlign w:val="superscript"/>
        </w:rPr>
        <w:t>ab</w:t>
      </w:r>
      <w:r w:rsidRPr="0066103C">
        <w:t xml:space="preserve"> add an extra</w:t>
      </w:r>
      <w:r w:rsidR="00945C8C">
        <w:t xml:space="preserve"> </w:t>
      </w:r>
      <w:r w:rsidRPr="0066103C">
        <w:t>קרנים</w:t>
      </w:r>
      <w:r w:rsidR="00453D91" w:rsidRPr="0066103C">
        <w:t>.</w:t>
      </w:r>
    </w:p>
    <w:p w:rsidR="00CC03AD" w:rsidRPr="0066103C" w:rsidRDefault="00140540" w:rsidP="00CC03AD">
      <w:r w:rsidRPr="0066103C">
        <w:t>3.d. NEB</w:t>
      </w:r>
      <w:r w:rsidR="00CC03AD" w:rsidRPr="0066103C">
        <w:t xml:space="preserve"> “behind,” but this is a rarer meaning of באחרנה, and if the phrase were intended to indicate that the two horns were one behind each other rather than alongside each other as usual, one might have expected this point to come earlier in the sentence. OG connects באחרנה with the next sentence, but</w:t>
      </w:r>
      <w:r w:rsidR="001367F3" w:rsidRPr="0066103C">
        <w:t xml:space="preserve"> elsewhere it c</w:t>
      </w:r>
      <w:r w:rsidR="00CC03AD" w:rsidRPr="0066103C">
        <w:t>omes a</w:t>
      </w:r>
      <w:r w:rsidR="001367F3" w:rsidRPr="0066103C">
        <w:t>fter the phrase it qualifies;</w:t>
      </w:r>
      <w:r w:rsidR="00CC03AD" w:rsidRPr="0066103C">
        <w:t xml:space="preserve"> </w:t>
      </w:r>
      <w:r w:rsidR="001367F3" w:rsidRPr="0066103C">
        <w:t xml:space="preserve">it </w:t>
      </w:r>
      <w:r w:rsidR="00CC03AD" w:rsidRPr="0066103C">
        <w:t>thus regularly appears at the end of a sentence.</w:t>
      </w:r>
    </w:p>
    <w:p w:rsidR="00CC03AD" w:rsidRPr="0066103C" w:rsidRDefault="001367F3" w:rsidP="00CC03AD">
      <w:r w:rsidRPr="0066103C">
        <w:t>4.a. 4QDan</w:t>
      </w:r>
      <w:r w:rsidRPr="0066103C">
        <w:rPr>
          <w:vertAlign w:val="superscript"/>
        </w:rPr>
        <w:t>a</w:t>
      </w:r>
      <w:r w:rsidR="00CC03AD" w:rsidRPr="0066103C">
        <w:t xml:space="preserve"> adds ומזרח</w:t>
      </w:r>
      <w:r w:rsidR="00453D91" w:rsidRPr="0066103C">
        <w:t xml:space="preserve"> (“and east”</w:t>
      </w:r>
      <w:r w:rsidR="00CC03AD" w:rsidRPr="0066103C">
        <w:t>); OG has the order east, north, west, south. The Persians did extend their territory eastward, but for MT Persia itself is perhaps eastward enough for anything further to be ignored.</w:t>
      </w:r>
    </w:p>
    <w:p w:rsidR="00CC03AD" w:rsidRPr="0066103C" w:rsidRDefault="00CC03AD" w:rsidP="00CC03AD">
      <w:r w:rsidRPr="0066103C">
        <w:t>4.b. יעמדו: on dislike of the 3rd pl. f</w:t>
      </w:r>
      <w:r w:rsidR="001A58DF" w:rsidRPr="0066103C">
        <w:t>.</w:t>
      </w:r>
      <w:r w:rsidRPr="0066103C">
        <w:t>, see GKC 145pu.</w:t>
      </w:r>
    </w:p>
    <w:p w:rsidR="00CC03AD" w:rsidRPr="0066103C" w:rsidRDefault="00CC03AD" w:rsidP="00CC03AD">
      <w:r w:rsidRPr="0066103C">
        <w:t xml:space="preserve">4.c-c. והגדיל . . . ועשה: frequentative </w:t>
      </w:r>
      <w:r w:rsidRPr="003A423E">
        <w:rPr>
          <w:i/>
        </w:rPr>
        <w:t>waw</w:t>
      </w:r>
      <w:r w:rsidRPr="0066103C">
        <w:t xml:space="preserve"> consec</w:t>
      </w:r>
      <w:r w:rsidR="001367F3" w:rsidRPr="0066103C">
        <w:t>utive</w:t>
      </w:r>
      <w:r w:rsidRPr="0066103C">
        <w:t>s only loosely related to preceding cl</w:t>
      </w:r>
      <w:r w:rsidR="001367F3" w:rsidRPr="0066103C">
        <w:t>ause</w:t>
      </w:r>
      <w:r w:rsidRPr="0066103C">
        <w:t>s (GKC 112dd). הגדיל (cf. vv 8, 11, 25) is an inwardly trans</w:t>
      </w:r>
      <w:r w:rsidR="001367F3" w:rsidRPr="0066103C">
        <w:t>itive</w:t>
      </w:r>
      <w:r w:rsidRPr="0066103C">
        <w:t xml:space="preserve"> or declarative hi</w:t>
      </w:r>
      <w:r w:rsidR="001367F3" w:rsidRPr="0066103C">
        <w:t>phil</w:t>
      </w:r>
      <w:r w:rsidRPr="0066103C">
        <w:t xml:space="preserve"> (“manifest </w:t>
      </w:r>
      <w:r w:rsidR="00F1307C" w:rsidRPr="0066103C">
        <w:t>bign</w:t>
      </w:r>
      <w:r w:rsidRPr="0066103C">
        <w:t>ess”; c</w:t>
      </w:r>
      <w:r w:rsidR="001367F3" w:rsidRPr="0066103C">
        <w:t>f. GKC 53def). More abstract translations</w:t>
      </w:r>
      <w:r w:rsidR="00F1307C" w:rsidRPr="0066103C">
        <w:t xml:space="preserve"> (“grew big</w:t>
      </w:r>
      <w:r w:rsidRPr="0066103C">
        <w:t xml:space="preserve">”/“magnified itself,” </w:t>
      </w:r>
      <w:r w:rsidR="004500F7" w:rsidRPr="0066103C">
        <w:t>EVV</w:t>
      </w:r>
      <w:r w:rsidRPr="0066103C">
        <w:t>) are less likely in this co</w:t>
      </w:r>
      <w:r w:rsidR="001367F3" w:rsidRPr="0066103C">
        <w:t>ntext: see vv 8–11 and n. 8.a-a</w:t>
      </w:r>
      <w:r w:rsidRPr="0066103C">
        <w:t>.</w:t>
      </w:r>
    </w:p>
    <w:p w:rsidR="00CC03AD" w:rsidRPr="0066103C" w:rsidRDefault="00CC03AD" w:rsidP="00CC03AD">
      <w:r w:rsidRPr="0066103C">
        <w:t>5.a. מבין: hardly an Aramaism (against Hartman</w:t>
      </w:r>
      <w:r w:rsidR="001367F3" w:rsidRPr="0066103C">
        <w:t>/Di Lella</w:t>
      </w:r>
      <w:r w:rsidRPr="0066103C">
        <w:t xml:space="preserve">); see </w:t>
      </w:r>
      <w:r w:rsidR="006D7C8F" w:rsidRPr="0066103C">
        <w:t xml:space="preserve">BDB, </w:t>
      </w:r>
      <w:r w:rsidRPr="0066103C">
        <w:t>106.</w:t>
      </w:r>
    </w:p>
    <w:p w:rsidR="00CC03AD" w:rsidRPr="0066103C" w:rsidRDefault="00CC03AD" w:rsidP="00CC03AD">
      <w:r w:rsidRPr="0066103C">
        <w:t>5.b-b.</w:t>
      </w:r>
      <w:r w:rsidR="006D7C8F" w:rsidRPr="0066103C">
        <w:t xml:space="preserve"> </w:t>
      </w:r>
      <w:r w:rsidRPr="0066103C">
        <w:t xml:space="preserve"> העזים</w:t>
      </w:r>
      <w:r w:rsidR="006D7C8F" w:rsidRPr="0066103C">
        <w:t xml:space="preserve">  </w:t>
      </w:r>
      <w:r w:rsidR="006D7C8F" w:rsidRPr="0066103C">
        <w:rPr>
          <w:rFonts w:ascii="Arial" w:hAnsi="Arial" w:cs="Arial"/>
        </w:rPr>
        <w:t>צפיר</w:t>
      </w:r>
      <w:r w:rsidR="006D7C8F" w:rsidRPr="0066103C">
        <w:t xml:space="preserve">. </w:t>
      </w:r>
      <w:r w:rsidR="00453D91" w:rsidRPr="0066103C">
        <w:t>BHS deletes</w:t>
      </w:r>
      <w:r w:rsidR="006D7C8F" w:rsidRPr="0066103C">
        <w:t xml:space="preserve"> </w:t>
      </w:r>
      <w:r w:rsidRPr="0066103C">
        <w:t xml:space="preserve"> ה to make the phrase more regularly indeterminate (“a he-goat of she-goats”); but this is too easy a sim</w:t>
      </w:r>
      <w:r w:rsidR="00E53390" w:rsidRPr="0066103C">
        <w:t>plifying of an anomalous expression</w:t>
      </w:r>
      <w:r w:rsidRPr="0066103C">
        <w:t>. For indeterminate constr</w:t>
      </w:r>
      <w:r w:rsidR="006D7C8F" w:rsidRPr="0066103C">
        <w:t xml:space="preserve">uct followed by </w:t>
      </w:r>
      <w:r w:rsidRPr="0066103C">
        <w:t>determinate abs</w:t>
      </w:r>
      <w:r w:rsidR="006D7C8F" w:rsidRPr="0066103C">
        <w:t>olute</w:t>
      </w:r>
      <w:r w:rsidRPr="0066103C">
        <w:t xml:space="preserve">, see GKC 127e. Jeffrey </w:t>
      </w:r>
      <w:r w:rsidR="006D7C8F" w:rsidRPr="0066103C">
        <w:t xml:space="preserve">has </w:t>
      </w:r>
      <w:r w:rsidRPr="0066103C">
        <w:t>“a buck of the goats,” i.e., the pr</w:t>
      </w:r>
      <w:r w:rsidR="006D7C8F" w:rsidRPr="0066103C">
        <w:t>oud leader of the h</w:t>
      </w:r>
      <w:r w:rsidR="00385238" w:rsidRPr="0066103C">
        <w:t xml:space="preserve">erd; but there are comparable </w:t>
      </w:r>
      <w:r w:rsidRPr="0066103C">
        <w:t>idiomatic phrases</w:t>
      </w:r>
      <w:r w:rsidR="00453D91" w:rsidRPr="0066103C">
        <w:t xml:space="preserve"> such as</w:t>
      </w:r>
      <w:r w:rsidR="006D7C8F" w:rsidRPr="0066103C">
        <w:t xml:space="preserve"> </w:t>
      </w:r>
      <w:r w:rsidRPr="0066103C">
        <w:t xml:space="preserve"> עזים</w:t>
      </w:r>
      <w:r w:rsidR="00453D91" w:rsidRPr="0066103C">
        <w:t xml:space="preserve"> </w:t>
      </w:r>
      <w:r w:rsidR="00453D91" w:rsidRPr="0066103C">
        <w:rPr>
          <w:rFonts w:ascii="Arial" w:hAnsi="Arial" w:cs="Arial"/>
        </w:rPr>
        <w:t>שעיר</w:t>
      </w:r>
      <w:r w:rsidRPr="0066103C">
        <w:t>,</w:t>
      </w:r>
      <w:r w:rsidR="006D7C8F" w:rsidRPr="0066103C">
        <w:t xml:space="preserve"> </w:t>
      </w:r>
      <w:r w:rsidRPr="0066103C">
        <w:t xml:space="preserve"> עזים</w:t>
      </w:r>
      <w:r w:rsidR="00453D91" w:rsidRPr="0066103C">
        <w:t xml:space="preserve"> </w:t>
      </w:r>
      <w:r w:rsidR="00453D91" w:rsidRPr="0066103C">
        <w:rPr>
          <w:rFonts w:ascii="Arial" w:hAnsi="Arial" w:cs="Arial"/>
        </w:rPr>
        <w:t>יגד</w:t>
      </w:r>
      <w:r w:rsidRPr="0066103C">
        <w:t xml:space="preserve"> (</w:t>
      </w:r>
      <w:r w:rsidR="006D7C8F" w:rsidRPr="0066103C">
        <w:t xml:space="preserve">BDB, </w:t>
      </w:r>
      <w:r w:rsidRPr="0066103C">
        <w:t xml:space="preserve">777). </w:t>
      </w:r>
      <w:r w:rsidR="00385238" w:rsidRPr="0066103C">
        <w:t>Rather</w:t>
      </w:r>
      <w:r w:rsidR="006D7C8F" w:rsidRPr="0066103C">
        <w:t>,</w:t>
      </w:r>
      <w:r w:rsidRPr="0066103C">
        <w:t xml:space="preserve"> take the whole phrase as determinate, denoting “the he-goat (who is already in a sense well known </w:t>
      </w:r>
      <w:r w:rsidR="00385238" w:rsidRPr="0066103C">
        <w:t>and is about to be described)”: see GKC 126qr; cf. Marti</w:t>
      </w:r>
      <w:r w:rsidRPr="0066103C">
        <w:t>.</w:t>
      </w:r>
    </w:p>
    <w:p w:rsidR="00CC03AD" w:rsidRPr="0066103C" w:rsidRDefault="00CC03AD" w:rsidP="00CC03AD">
      <w:r w:rsidRPr="0066103C">
        <w:t>5.c. ואין has come virtually to mean</w:t>
      </w:r>
      <w:r w:rsidR="006D7C8F" w:rsidRPr="0066103C">
        <w:t xml:space="preserve"> </w:t>
      </w:r>
      <w:r w:rsidRPr="0066103C">
        <w:t xml:space="preserve"> ולא here and in v 27; </w:t>
      </w:r>
      <w:r w:rsidR="003A423E">
        <w:t xml:space="preserve">see </w:t>
      </w:r>
      <w:r w:rsidR="00E53390" w:rsidRPr="0066103C">
        <w:t>Carmignac, “L</w:t>
      </w:r>
      <w:r w:rsidRPr="0066103C">
        <w:t>a négation אין</w:t>
      </w:r>
      <w:r w:rsidR="006D7C8F" w:rsidRPr="0066103C">
        <w:t xml:space="preserve">,” </w:t>
      </w:r>
      <w:r w:rsidRPr="0066103C">
        <w:t>410–11. Shortening of ואיננו by haplog</w:t>
      </w:r>
      <w:r w:rsidR="00203E22">
        <w:t>.</w:t>
      </w:r>
      <w:r w:rsidRPr="0066103C">
        <w:t xml:space="preserve"> could explain one occurrence, but not two.</w:t>
      </w:r>
    </w:p>
    <w:p w:rsidR="00CC03AD" w:rsidRPr="0066103C" w:rsidRDefault="00CC03AD" w:rsidP="00CC03AD">
      <w:r w:rsidRPr="0066103C">
        <w:t>5.d-d.</w:t>
      </w:r>
      <w:r w:rsidR="00EE60A5" w:rsidRPr="0066103C">
        <w:t xml:space="preserve"> </w:t>
      </w:r>
      <w:r w:rsidRPr="0066103C">
        <w:t xml:space="preserve"> חזות</w:t>
      </w:r>
      <w:r w:rsidR="00EE60A5" w:rsidRPr="0066103C">
        <w:t xml:space="preserve"> </w:t>
      </w:r>
      <w:r w:rsidRPr="0066103C">
        <w:t xml:space="preserve"> </w:t>
      </w:r>
      <w:r w:rsidR="00EE60A5" w:rsidRPr="0066103C">
        <w:rPr>
          <w:rFonts w:ascii="Arial" w:hAnsi="Arial" w:cs="Arial"/>
        </w:rPr>
        <w:t>קרן</w:t>
      </w:r>
      <w:r w:rsidR="00EE60A5" w:rsidRPr="0066103C">
        <w:t xml:space="preserve"> </w:t>
      </w:r>
      <w:r w:rsidRPr="0066103C">
        <w:t>“a horn of visibility.” חזות is missing from G but not from Vg; OG suggests</w:t>
      </w:r>
      <w:r w:rsidR="006D7C8F" w:rsidRPr="0066103C">
        <w:t xml:space="preserve"> </w:t>
      </w:r>
      <w:r w:rsidRPr="0066103C">
        <w:t xml:space="preserve"> אחת</w:t>
      </w:r>
      <w:r w:rsidR="00EE60A5" w:rsidRPr="0066103C">
        <w:t xml:space="preserve"> “one,” but the unusual nature</w:t>
      </w:r>
      <w:r w:rsidRPr="0066103C">
        <w:t xml:space="preserve"> of</w:t>
      </w:r>
      <w:r w:rsidR="006D7C8F" w:rsidRPr="0066103C">
        <w:t xml:space="preserve"> </w:t>
      </w:r>
      <w:r w:rsidRPr="0066103C">
        <w:t xml:space="preserve"> חזות suggests it is original, and a word indicating the notable siz</w:t>
      </w:r>
      <w:r w:rsidR="00E53390" w:rsidRPr="0066103C">
        <w:t>e of the horn seems appropriate</w:t>
      </w:r>
      <w:r w:rsidRPr="0066103C">
        <w:t xml:space="preserve"> (cf. v 8).</w:t>
      </w:r>
      <w:r w:rsidR="006D7C8F" w:rsidRPr="0066103C">
        <w:t xml:space="preserve"> </w:t>
      </w:r>
      <w:r w:rsidRPr="0066103C">
        <w:t xml:space="preserve"> מראה in 2 Sam 23:21 is comparable, but there are also textual problems there.</w:t>
      </w:r>
    </w:p>
    <w:p w:rsidR="00CC03AD" w:rsidRPr="0066103C" w:rsidRDefault="00CC03AD" w:rsidP="00CC03AD">
      <w:r w:rsidRPr="0066103C">
        <w:lastRenderedPageBreak/>
        <w:t xml:space="preserve">7.a-a. Perhaps וראיתיו is </w:t>
      </w:r>
      <w:r w:rsidRPr="003A423E">
        <w:rPr>
          <w:i/>
        </w:rPr>
        <w:t>waw</w:t>
      </w:r>
      <w:r w:rsidRPr="0066103C">
        <w:t xml:space="preserve"> consec</w:t>
      </w:r>
      <w:r w:rsidR="003A423E">
        <w:t>utive</w:t>
      </w:r>
      <w:r w:rsidRPr="0066103C">
        <w:t xml:space="preserve"> and the meaning </w:t>
      </w:r>
      <w:r w:rsidR="00385238" w:rsidRPr="0066103C">
        <w:t xml:space="preserve">is </w:t>
      </w:r>
      <w:r w:rsidRPr="0066103C">
        <w:t>thus past im</w:t>
      </w:r>
      <w:r w:rsidR="004500F7" w:rsidRPr="0066103C">
        <w:t>perfect</w:t>
      </w:r>
      <w:r w:rsidR="000F070C">
        <w:t xml:space="preserve">; </w:t>
      </w:r>
      <w:r w:rsidRPr="0066103C">
        <w:t xml:space="preserve">more likely this is simple </w:t>
      </w:r>
      <w:r w:rsidRPr="003A423E">
        <w:rPr>
          <w:i/>
        </w:rPr>
        <w:t>waw</w:t>
      </w:r>
      <w:r w:rsidRPr="0066103C">
        <w:t xml:space="preserve">, </w:t>
      </w:r>
      <w:r w:rsidR="003A423E">
        <w:t>further ill</w:t>
      </w:r>
      <w:r w:rsidR="00E53390" w:rsidRPr="0066103C">
        <w:t>ustrat</w:t>
      </w:r>
      <w:r w:rsidRPr="0066103C">
        <w:t xml:space="preserve">ing the dissolution of </w:t>
      </w:r>
      <w:r w:rsidRPr="003A423E">
        <w:rPr>
          <w:i/>
        </w:rPr>
        <w:t>waw</w:t>
      </w:r>
      <w:r w:rsidRPr="0066103C">
        <w:t xml:space="preserve"> consec</w:t>
      </w:r>
      <w:r w:rsidR="00385238" w:rsidRPr="0066103C">
        <w:t>utive</w:t>
      </w:r>
      <w:r w:rsidR="00E53390" w:rsidRPr="0066103C">
        <w:t>. But t</w:t>
      </w:r>
      <w:r w:rsidRPr="0066103C">
        <w:t xml:space="preserve">he three following </w:t>
      </w:r>
      <w:r w:rsidRPr="003A423E">
        <w:rPr>
          <w:i/>
        </w:rPr>
        <w:t>waw</w:t>
      </w:r>
      <w:r w:rsidRPr="0066103C">
        <w:t xml:space="preserve"> consec</w:t>
      </w:r>
      <w:r w:rsidR="00385238" w:rsidRPr="0066103C">
        <w:t>utive</w:t>
      </w:r>
      <w:r w:rsidRPr="0066103C">
        <w:t>s plus im</w:t>
      </w:r>
      <w:r w:rsidR="004500F7" w:rsidRPr="0066103C">
        <w:t>perfect</w:t>
      </w:r>
      <w:r w:rsidRPr="0066103C">
        <w:t xml:space="preserve"> may continue the participial construction begun by מגיע “close in” (cf. GKC 116x).</w:t>
      </w:r>
    </w:p>
    <w:p w:rsidR="00CC03AD" w:rsidRPr="0066103C" w:rsidRDefault="00CC03AD" w:rsidP="00CC03AD">
      <w:r w:rsidRPr="0066103C">
        <w:t>8.a-a. מאד</w:t>
      </w:r>
      <w:r w:rsidR="00385238" w:rsidRPr="0066103C">
        <w:t xml:space="preserve"> </w:t>
      </w:r>
      <w:r w:rsidR="00385238" w:rsidRPr="0066103C">
        <w:rPr>
          <w:rFonts w:ascii="Arial" w:hAnsi="Arial" w:cs="Arial"/>
        </w:rPr>
        <w:t>עד</w:t>
      </w:r>
      <w:r w:rsidR="00385238" w:rsidRPr="0066103C">
        <w:t xml:space="preserve"> </w:t>
      </w:r>
      <w:r w:rsidR="00385238" w:rsidRPr="0066103C">
        <w:rPr>
          <w:rFonts w:ascii="Arial" w:hAnsi="Arial" w:cs="Arial"/>
        </w:rPr>
        <w:t>הגדיל</w:t>
      </w:r>
      <w:r w:rsidRPr="0066103C">
        <w:t>. The v</w:t>
      </w:r>
      <w:r w:rsidR="00385238" w:rsidRPr="0066103C">
        <w:t>er</w:t>
      </w:r>
      <w:r w:rsidRPr="0066103C">
        <w:t xml:space="preserve">b which occurred first in v 4 reappears in each of vv 8–11, the forms of expression working </w:t>
      </w:r>
      <w:r w:rsidR="00E025ED" w:rsidRPr="0066103C">
        <w:t xml:space="preserve">towards </w:t>
      </w:r>
      <w:r w:rsidRPr="0066103C">
        <w:t>a climax: simple הגדיל</w:t>
      </w:r>
      <w:r w:rsidR="00F1307C" w:rsidRPr="0066103C">
        <w:t xml:space="preserve"> (“he did big </w:t>
      </w:r>
      <w:r w:rsidRPr="0066103C">
        <w:t xml:space="preserve">things,” v 4); מאד </w:t>
      </w:r>
      <w:r w:rsidR="00385238" w:rsidRPr="0066103C">
        <w:rPr>
          <w:rFonts w:ascii="Arial" w:hAnsi="Arial" w:cs="Arial"/>
        </w:rPr>
        <w:t>עד</w:t>
      </w:r>
      <w:r w:rsidR="00385238" w:rsidRPr="0066103C">
        <w:t xml:space="preserve">  </w:t>
      </w:r>
      <w:r w:rsidRPr="0066103C">
        <w:t>הגדיל</w:t>
      </w:r>
      <w:r w:rsidR="00F1307C" w:rsidRPr="0066103C">
        <w:t xml:space="preserve"> (“he grew very big</w:t>
      </w:r>
      <w:r w:rsidRPr="0066103C">
        <w:t>,” v 8);</w:t>
      </w:r>
      <w:r w:rsidR="00385238" w:rsidRPr="0066103C">
        <w:t xml:space="preserve"> </w:t>
      </w:r>
      <w:r w:rsidRPr="0066103C">
        <w:t xml:space="preserve"> יתר </w:t>
      </w:r>
      <w:r w:rsidR="00FA668C" w:rsidRPr="0066103C">
        <w:t xml:space="preserve"> </w:t>
      </w:r>
      <w:r w:rsidR="00385238" w:rsidRPr="0066103C">
        <w:rPr>
          <w:rFonts w:ascii="Arial" w:hAnsi="Arial" w:cs="Arial"/>
        </w:rPr>
        <w:t>ותגדל</w:t>
      </w:r>
      <w:r w:rsidR="00385238" w:rsidRPr="0066103C">
        <w:t xml:space="preserve"> </w:t>
      </w:r>
      <w:r w:rsidR="00E53390" w:rsidRPr="0066103C">
        <w:t>(“it grew extreme</w:t>
      </w:r>
      <w:r w:rsidRPr="0066103C">
        <w:t>ly</w:t>
      </w:r>
      <w:r w:rsidR="00E53390" w:rsidRPr="0066103C">
        <w:t xml:space="preserve"> big</w:t>
      </w:r>
      <w:r w:rsidRPr="0066103C">
        <w:t>,” v 9), cf. Isa 56:12;</w:t>
      </w:r>
      <w:r w:rsidR="00FA668C" w:rsidRPr="0066103C">
        <w:t xml:space="preserve"> </w:t>
      </w:r>
      <w:r w:rsidRPr="0066103C">
        <w:t xml:space="preserve"> השמים </w:t>
      </w:r>
      <w:r w:rsidR="00FA668C" w:rsidRPr="0066103C">
        <w:rPr>
          <w:rFonts w:ascii="Arial" w:hAnsi="Arial" w:cs="Arial"/>
        </w:rPr>
        <w:t>צבא</w:t>
      </w:r>
      <w:r w:rsidR="00FA668C" w:rsidRPr="0066103C">
        <w:t xml:space="preserve"> </w:t>
      </w:r>
      <w:r w:rsidR="00FA668C" w:rsidRPr="0066103C">
        <w:rPr>
          <w:rFonts w:ascii="Arial" w:hAnsi="Arial" w:cs="Arial"/>
        </w:rPr>
        <w:t>עד</w:t>
      </w:r>
      <w:r w:rsidR="00FA668C" w:rsidRPr="0066103C">
        <w:t xml:space="preserve"> </w:t>
      </w:r>
      <w:r w:rsidR="00FA668C" w:rsidRPr="0066103C">
        <w:rPr>
          <w:rFonts w:ascii="Arial" w:hAnsi="Arial" w:cs="Arial"/>
        </w:rPr>
        <w:t>ותגדל</w:t>
      </w:r>
      <w:r w:rsidR="00FA668C" w:rsidRPr="0066103C">
        <w:t xml:space="preserve"> </w:t>
      </w:r>
      <w:r w:rsidRPr="0066103C">
        <w:t xml:space="preserve">(“it grew </w:t>
      </w:r>
      <w:r w:rsidR="00E53390" w:rsidRPr="0066103C">
        <w:t xml:space="preserve">big to </w:t>
      </w:r>
      <w:r w:rsidRPr="0066103C">
        <w:t>within reach of the heavenly army,” v 10); הגדיל</w:t>
      </w:r>
      <w:r w:rsidR="00FA668C" w:rsidRPr="0066103C">
        <w:t xml:space="preserve"> </w:t>
      </w:r>
      <w:r w:rsidRPr="0066103C">
        <w:t xml:space="preserve"> הצבא </w:t>
      </w:r>
      <w:r w:rsidR="00FA668C" w:rsidRPr="0066103C">
        <w:rPr>
          <w:rFonts w:ascii="Arial" w:hAnsi="Arial" w:cs="Arial"/>
        </w:rPr>
        <w:t>שר</w:t>
      </w:r>
      <w:r w:rsidR="00FA668C" w:rsidRPr="0066103C">
        <w:t xml:space="preserve"> </w:t>
      </w:r>
      <w:r w:rsidR="00FA668C" w:rsidRPr="0066103C">
        <w:rPr>
          <w:rFonts w:ascii="Arial" w:hAnsi="Arial" w:cs="Arial"/>
        </w:rPr>
        <w:t>ועד</w:t>
      </w:r>
      <w:r w:rsidR="00FA668C" w:rsidRPr="0066103C">
        <w:t xml:space="preserve"> </w:t>
      </w:r>
      <w:r w:rsidRPr="0066103C">
        <w:t>(“he grew</w:t>
      </w:r>
      <w:r w:rsidR="00E53390" w:rsidRPr="0066103C">
        <w:t xml:space="preserve"> big to </w:t>
      </w:r>
      <w:r w:rsidRPr="0066103C">
        <w:t>within reach of the leader of the army,” v 11). The more abstract tr</w:t>
      </w:r>
      <w:r w:rsidR="00FA668C" w:rsidRPr="0066103C">
        <w:t>anslation</w:t>
      </w:r>
      <w:r w:rsidR="00F1307C" w:rsidRPr="0066103C">
        <w:t xml:space="preserve"> “grew big</w:t>
      </w:r>
      <w:r w:rsidRPr="0066103C">
        <w:t xml:space="preserve">” is appropriate here </w:t>
      </w:r>
      <w:r w:rsidR="00FA668C" w:rsidRPr="0066103C">
        <w:t xml:space="preserve">in </w:t>
      </w:r>
      <w:r w:rsidR="000C1456" w:rsidRPr="0066103C">
        <w:t>v</w:t>
      </w:r>
      <w:r w:rsidR="00FA668C" w:rsidRPr="0066103C">
        <w:t xml:space="preserve"> 8 </w:t>
      </w:r>
      <w:r w:rsidRPr="0066103C">
        <w:t>(contrast v 4). Vv 8, 11 use hi</w:t>
      </w:r>
      <w:r w:rsidR="00FA668C" w:rsidRPr="0066103C">
        <w:t>phil</w:t>
      </w:r>
      <w:r w:rsidRPr="0066103C">
        <w:t>, vv 9, 1</w:t>
      </w:r>
      <w:r w:rsidR="00E53390" w:rsidRPr="0066103C">
        <w:t xml:space="preserve">0 qal; the difference is </w:t>
      </w:r>
      <w:r w:rsidRPr="0066103C">
        <w:t>stylistic, גדל being one of a number of v</w:t>
      </w:r>
      <w:r w:rsidR="00FA668C" w:rsidRPr="0066103C">
        <w:t xml:space="preserve">erbs which can be used in </w:t>
      </w:r>
      <w:r w:rsidRPr="0066103C">
        <w:t>qal and hi</w:t>
      </w:r>
      <w:r w:rsidR="00FA668C" w:rsidRPr="0066103C">
        <w:t>phil</w:t>
      </w:r>
      <w:r w:rsidRPr="0066103C">
        <w:t xml:space="preserve"> with similar meanings (cf. רשע</w:t>
      </w:r>
      <w:r w:rsidR="00C82646">
        <w:t xml:space="preserve"> “be faithless</w:t>
      </w:r>
      <w:r w:rsidRPr="0066103C">
        <w:t>,” 9:5, 15; חזק “be strong,” 11:5, 7; צלח “be successful,” 11:27, 36). Tr</w:t>
      </w:r>
      <w:r w:rsidR="00FA668C" w:rsidRPr="0066103C">
        <w:t>anslation</w:t>
      </w:r>
      <w:r w:rsidRPr="0066103C">
        <w:t>s</w:t>
      </w:r>
      <w:r w:rsidR="00FA668C" w:rsidRPr="0066103C">
        <w:t xml:space="preserve"> such as “grew arrogant” (GNB) and</w:t>
      </w:r>
      <w:r w:rsidRPr="0066103C">
        <w:t xml:space="preserve"> “m</w:t>
      </w:r>
      <w:r w:rsidR="00FA668C" w:rsidRPr="0066103C">
        <w:t xml:space="preserve">ade a show of its strength” (NEB) are not justified, </w:t>
      </w:r>
      <w:r w:rsidRPr="0066103C">
        <w:t>perhaps not even for hit התגדל</w:t>
      </w:r>
      <w:r w:rsidR="00FA668C" w:rsidRPr="0066103C">
        <w:t xml:space="preserve"> in 11:36, 37</w:t>
      </w:r>
      <w:r w:rsidR="005359E3" w:rsidRPr="0066103C">
        <w:t xml:space="preserve">, though there the preposition changes from </w:t>
      </w:r>
      <w:r w:rsidR="005359E3" w:rsidRPr="0066103C">
        <w:rPr>
          <w:rFonts w:ascii="Arial" w:hAnsi="Arial" w:cs="Arial"/>
        </w:rPr>
        <w:t>עד</w:t>
      </w:r>
      <w:r w:rsidR="005359E3" w:rsidRPr="0066103C">
        <w:t xml:space="preserve"> to the more pejorative </w:t>
      </w:r>
      <w:r w:rsidR="005359E3" w:rsidRPr="0066103C">
        <w:rPr>
          <w:rFonts w:ascii="Arial" w:hAnsi="Arial" w:cs="Arial"/>
        </w:rPr>
        <w:t xml:space="preserve">על </w:t>
      </w:r>
      <w:r w:rsidR="005359E3" w:rsidRPr="0066103C">
        <w:rPr>
          <w:rFonts w:cs="Arial"/>
        </w:rPr>
        <w:t>(cf. Ezek 35:13)</w:t>
      </w:r>
      <w:r w:rsidR="005359E3" w:rsidRPr="0066103C">
        <w:t>.</w:t>
      </w:r>
      <w:r w:rsidR="00E53390" w:rsidRPr="0066103C">
        <w:t xml:space="preserve"> Here, any</w:t>
      </w:r>
      <w:r w:rsidRPr="0066103C">
        <w:t xml:space="preserve"> value judgments emerge from the context in which the v</w:t>
      </w:r>
      <w:r w:rsidR="00FA668C" w:rsidRPr="0066103C">
        <w:t>er</w:t>
      </w:r>
      <w:r w:rsidRPr="0066103C">
        <w:t>b is</w:t>
      </w:r>
      <w:r w:rsidR="005359E3" w:rsidRPr="0066103C">
        <w:t xml:space="preserve"> set</w:t>
      </w:r>
      <w:r w:rsidRPr="0066103C">
        <w:t>. See further n. 25.b-b.</w:t>
      </w:r>
    </w:p>
    <w:p w:rsidR="00CC03AD" w:rsidRPr="0066103C" w:rsidRDefault="00CC03AD" w:rsidP="00CC03AD">
      <w:r w:rsidRPr="0066103C">
        <w:t>8.b-b. וכצצמו is the better attested and more difficult reading than ובעצמו (C and others). כ‍ can be temporal, expressing an exact point of time (virtually “as soon as”;</w:t>
      </w:r>
      <w:r w:rsidR="005359E3" w:rsidRPr="0066103C">
        <w:t xml:space="preserve"> cf. 10:9, 19; 11:4), though NEB</w:t>
      </w:r>
      <w:r w:rsidRPr="0066103C">
        <w:t xml:space="preserve"> takes it concessively (cf. </w:t>
      </w:r>
      <w:r w:rsidRPr="0066103C">
        <w:rPr>
          <w:i/>
        </w:rPr>
        <w:t>HS</w:t>
      </w:r>
      <w:r w:rsidRPr="0066103C">
        <w:t xml:space="preserve"> </w:t>
      </w:r>
      <w:r w:rsidR="000D1837">
        <w:t>258, 262</w:t>
      </w:r>
      <w:r w:rsidRPr="0066103C">
        <w:t>, 505).</w:t>
      </w:r>
    </w:p>
    <w:p w:rsidR="00CC03AD" w:rsidRPr="0066103C" w:rsidRDefault="00CC03AD" w:rsidP="00CC03AD">
      <w:r w:rsidRPr="0066103C">
        <w:t>8.c. MT includes חזות “visibility” here as in v 5, but it is more difficult grammatically (since it precedes “four”), textually (Th omits it; OG ἔτερα suggests it read it as</w:t>
      </w:r>
      <w:r w:rsidR="00C7244F" w:rsidRPr="0066103C">
        <w:t xml:space="preserve"> </w:t>
      </w:r>
      <w:r w:rsidRPr="0066103C">
        <w:t xml:space="preserve"> אחרות</w:t>
      </w:r>
      <w:r w:rsidR="00C7244F" w:rsidRPr="0066103C">
        <w:t xml:space="preserve"> [cf. NAB</w:t>
      </w:r>
      <w:r w:rsidRPr="0066103C">
        <w:t>], but this, too, should follow the numeral, and OG seems to be simplifying the text as in v 5), and contextually (since the four were not notable, as</w:t>
      </w:r>
      <w:r w:rsidR="00C7244F" w:rsidRPr="0066103C">
        <w:t xml:space="preserve"> the one was; cf. v 22; 11:4). I</w:t>
      </w:r>
      <w:r w:rsidRPr="0066103C">
        <w:t>t looks like an intrusion from v 5 (Ehrlich). Hartman</w:t>
      </w:r>
      <w:r w:rsidR="001367F3" w:rsidRPr="0066103C">
        <w:t>/Di Lella</w:t>
      </w:r>
      <w:r w:rsidRPr="0066103C">
        <w:t xml:space="preserve"> sees an Aramaizing pass</w:t>
      </w:r>
      <w:r w:rsidR="00C7244F" w:rsidRPr="0066103C">
        <w:t>ive</w:t>
      </w:r>
      <w:r w:rsidRPr="0066103C">
        <w:t xml:space="preserve"> p</w:t>
      </w:r>
      <w:r w:rsidR="00C7244F" w:rsidRPr="0066103C">
        <w:t>ar</w:t>
      </w:r>
      <w:r w:rsidRPr="0066103C">
        <w:t>t</w:t>
      </w:r>
      <w:r w:rsidR="00C7244F" w:rsidRPr="0066103C">
        <w:t>ici</w:t>
      </w:r>
      <w:r w:rsidRPr="0066103C">
        <w:t>pl</w:t>
      </w:r>
      <w:r w:rsidR="00C7244F" w:rsidRPr="0066103C">
        <w:t xml:space="preserve">e </w:t>
      </w:r>
      <w:r w:rsidRPr="0066103C">
        <w:t xml:space="preserve"> חזיות.</w:t>
      </w:r>
    </w:p>
    <w:p w:rsidR="00CC03AD" w:rsidRPr="0066103C" w:rsidRDefault="00C7244F" w:rsidP="00CC03AD">
      <w:r w:rsidRPr="0066103C">
        <w:t>9.a-a. </w:t>
      </w:r>
      <w:r w:rsidR="00CC03AD" w:rsidRPr="0066103C">
        <w:t>[f</w:t>
      </w:r>
      <w:r w:rsidRPr="0066103C">
        <w:t>.</w:t>
      </w:r>
      <w:r w:rsidR="00CC03AD" w:rsidRPr="0066103C">
        <w:t xml:space="preserve">] קרן אחת </w:t>
      </w:r>
      <w:r w:rsidRPr="0066103C">
        <w:t xml:space="preserve"> </w:t>
      </w:r>
      <w:r w:rsidR="00CC03AD" w:rsidRPr="0066103C">
        <w:t>[m</w:t>
      </w:r>
      <w:r w:rsidRPr="0066103C">
        <w:t>.</w:t>
      </w:r>
      <w:r w:rsidR="00CC03AD" w:rsidRPr="0066103C">
        <w:t>]</w:t>
      </w:r>
      <w:r w:rsidRPr="0066103C">
        <w:t xml:space="preserve"> </w:t>
      </w:r>
      <w:r w:rsidR="00CC03AD" w:rsidRPr="0066103C">
        <w:t xml:space="preserve"> יצא [m</w:t>
      </w:r>
      <w:r w:rsidRPr="0066103C">
        <w:t>.</w:t>
      </w:r>
      <w:r w:rsidR="00CC03AD" w:rsidRPr="0066103C">
        <w:t>]</w:t>
      </w:r>
      <w:r w:rsidRPr="0066103C">
        <w:t xml:space="preserve"> </w:t>
      </w:r>
      <w:r w:rsidR="00CC03AD" w:rsidRPr="0066103C">
        <w:t xml:space="preserve"> מהם</w:t>
      </w:r>
      <w:r w:rsidRPr="0066103C">
        <w:t xml:space="preserve"> </w:t>
      </w:r>
      <w:r w:rsidR="00CC03AD" w:rsidRPr="0066103C">
        <w:t xml:space="preserve"> [f</w:t>
      </w:r>
      <w:r w:rsidRPr="0066103C">
        <w:t>.</w:t>
      </w:r>
      <w:r w:rsidR="00CC03AD" w:rsidRPr="0066103C">
        <w:t>] האחת: on the genders see GKC 135o, 145o.</w:t>
      </w:r>
    </w:p>
    <w:p w:rsidR="00CC03AD" w:rsidRPr="0066103C" w:rsidRDefault="00CC03AD" w:rsidP="00CC03AD">
      <w:r w:rsidRPr="0066103C">
        <w:t>9.b. Taking</w:t>
      </w:r>
      <w:r w:rsidR="00C7244F" w:rsidRPr="0066103C">
        <w:t xml:space="preserve"> </w:t>
      </w:r>
      <w:r w:rsidRPr="0066103C">
        <w:t xml:space="preserve"> אחת</w:t>
      </w:r>
      <w:r w:rsidR="00C7244F" w:rsidRPr="0066103C">
        <w:t xml:space="preserve"> as an Aramaism; NEB “one” takes it in the Heb.</w:t>
      </w:r>
      <w:r w:rsidRPr="0066103C">
        <w:t xml:space="preserve"> sense.</w:t>
      </w:r>
    </w:p>
    <w:p w:rsidR="00CC03AD" w:rsidRPr="0066103C" w:rsidRDefault="00CC03AD" w:rsidP="00CC03AD">
      <w:r w:rsidRPr="0066103C">
        <w:t>9.c. מצעירה, apparently “[a horn] from smallness.” BDB does not note this occurrence of the noun, but the real problem is the prep</w:t>
      </w:r>
      <w:r w:rsidR="00C7244F" w:rsidRPr="0066103C">
        <w:t>osition. Perhaps</w:t>
      </w:r>
      <w:r w:rsidRPr="0066103C">
        <w:t xml:space="preserve"> repoint to the hypothetical noun מִצְיָרָה (Hartman</w:t>
      </w:r>
      <w:r w:rsidR="001367F3" w:rsidRPr="0066103C">
        <w:t>/Di Lella</w:t>
      </w:r>
      <w:r w:rsidRPr="0066103C">
        <w:t>) or מַצְעִירָה (Brockington) (“[a horn of] smallness” = “a small horn”) or emend to</w:t>
      </w:r>
      <w:r w:rsidR="00C7244F" w:rsidRPr="0066103C">
        <w:t xml:space="preserve">     </w:t>
      </w:r>
      <w:r w:rsidRPr="0066103C">
        <w:t xml:space="preserve"> אחרת</w:t>
      </w:r>
      <w:r w:rsidR="00C7244F" w:rsidRPr="0066103C">
        <w:t xml:space="preserve"> </w:t>
      </w:r>
      <w:r w:rsidRPr="0066103C">
        <w:t xml:space="preserve"> צעירה (“another small [horn],” cf. 7:8), which might have become assimilated to מהם</w:t>
      </w:r>
      <w:r w:rsidR="00C7244F" w:rsidRPr="0066103C">
        <w:t xml:space="preserve"> </w:t>
      </w:r>
      <w:r w:rsidRPr="0066103C">
        <w:t xml:space="preserve"> אחת in the preceding line (Bevan).</w:t>
      </w:r>
    </w:p>
    <w:p w:rsidR="00CC03AD" w:rsidRPr="0066103C" w:rsidRDefault="00C7244F" w:rsidP="00CC03AD">
      <w:r w:rsidRPr="0066103C">
        <w:t>9.d. See n. 8.a-a.</w:t>
      </w:r>
    </w:p>
    <w:p w:rsidR="00CC03AD" w:rsidRPr="0066103C" w:rsidRDefault="00CC03AD" w:rsidP="00CC03AD">
      <w:r w:rsidRPr="0066103C">
        <w:t xml:space="preserve">9.e. </w:t>
      </w:r>
      <w:r w:rsidR="004500F7" w:rsidRPr="0066103C">
        <w:t>Syr</w:t>
      </w:r>
      <w:r w:rsidRPr="0066103C">
        <w:t xml:space="preserve"> omits הצבי </w:t>
      </w:r>
      <w:r w:rsidR="00C7244F" w:rsidRPr="0066103C">
        <w:rPr>
          <w:rFonts w:ascii="Arial" w:hAnsi="Arial" w:cs="Arial"/>
        </w:rPr>
        <w:t>ואל</w:t>
      </w:r>
      <w:r w:rsidR="00C7244F" w:rsidRPr="0066103C">
        <w:t xml:space="preserve"> </w:t>
      </w:r>
      <w:r w:rsidRPr="0066103C">
        <w:t>“and to the [embodiment of] beauty,” which may be a gl</w:t>
      </w:r>
      <w:r w:rsidR="00C7244F" w:rsidRPr="0066103C">
        <w:t>oss</w:t>
      </w:r>
      <w:r w:rsidRPr="0066103C">
        <w:t>, but there is no reason to assume that צבי</w:t>
      </w:r>
      <w:r w:rsidR="00C7244F" w:rsidRPr="0066103C">
        <w:rPr>
          <w:rFonts w:ascii="Arial" w:hAnsi="Arial" w:cs="Arial"/>
        </w:rPr>
        <w:t>ה</w:t>
      </w:r>
      <w:r w:rsidR="00C7244F" w:rsidRPr="0066103C">
        <w:t xml:space="preserve"> </w:t>
      </w:r>
      <w:r w:rsidR="00C7244F" w:rsidRPr="0066103C">
        <w:rPr>
          <w:rFonts w:ascii="Arial" w:hAnsi="Arial" w:cs="Arial"/>
        </w:rPr>
        <w:t>ארץ</w:t>
      </w:r>
      <w:r w:rsidR="00945C8C">
        <w:t xml:space="preserve"> </w:t>
      </w:r>
      <w:r w:rsidRPr="0066103C">
        <w:t xml:space="preserve">(“the land of beauty,” 11:16, 41) is the original expression and הצבי </w:t>
      </w:r>
      <w:r w:rsidR="00C7244F" w:rsidRPr="0066103C">
        <w:t xml:space="preserve">is </w:t>
      </w:r>
      <w:r w:rsidRPr="0066103C">
        <w:t xml:space="preserve">an abbreviation (against BHS); see </w:t>
      </w:r>
      <w:r w:rsidRPr="0066103C">
        <w:rPr>
          <w:i/>
        </w:rPr>
        <w:t>Comment</w:t>
      </w:r>
      <w:r w:rsidRPr="0066103C">
        <w:t>.</w:t>
      </w:r>
    </w:p>
    <w:p w:rsidR="00CC03AD" w:rsidRPr="0066103C" w:rsidRDefault="00CC03AD" w:rsidP="00CC03AD">
      <w:r w:rsidRPr="0066103C">
        <w:t>10.a. See n. 8.a-a.</w:t>
      </w:r>
    </w:p>
    <w:p w:rsidR="00CC03AD" w:rsidRPr="0066103C" w:rsidRDefault="00CC03AD" w:rsidP="00CC03AD">
      <w:r w:rsidRPr="0066103C">
        <w:t>10</w:t>
      </w:r>
      <w:r w:rsidR="00C7244F" w:rsidRPr="0066103C">
        <w:t xml:space="preserve">.b. Explicative </w:t>
      </w:r>
      <w:r w:rsidR="00C7244F" w:rsidRPr="003A423E">
        <w:rPr>
          <w:i/>
        </w:rPr>
        <w:t>waw</w:t>
      </w:r>
      <w:r w:rsidR="00C7244F" w:rsidRPr="0066103C">
        <w:t xml:space="preserve"> (see n. 6:28</w:t>
      </w:r>
      <w:r w:rsidRPr="0066103C">
        <w:t>.a); the phrase it introduces may be a gl</w:t>
      </w:r>
      <w:r w:rsidR="00C7244F" w:rsidRPr="0066103C">
        <w:t>oss</w:t>
      </w:r>
      <w:r w:rsidRPr="0066103C">
        <w:t>.</w:t>
      </w:r>
    </w:p>
    <w:p w:rsidR="00CC03AD" w:rsidRPr="0066103C" w:rsidRDefault="00CC03AD" w:rsidP="00CC03AD">
      <w:r w:rsidRPr="0066103C">
        <w:t>11.a. See n. 8.a-a.</w:t>
      </w:r>
    </w:p>
    <w:p w:rsidR="00487278" w:rsidRPr="0066103C" w:rsidRDefault="00CC03AD" w:rsidP="00CC03AD">
      <w:r w:rsidRPr="0066103C">
        <w:t xml:space="preserve">11.b-b. The </w:t>
      </w:r>
      <w:r w:rsidR="00C7244F" w:rsidRPr="0066103C">
        <w:t>verb</w:t>
      </w:r>
      <w:r w:rsidR="00487278" w:rsidRPr="0066103C">
        <w:t>s in</w:t>
      </w:r>
      <w:r w:rsidRPr="0066103C">
        <w:t xml:space="preserve"> v 11b may be read as pass</w:t>
      </w:r>
      <w:r w:rsidR="00A56663" w:rsidRPr="0066103C">
        <w:t>ive</w:t>
      </w:r>
      <w:r w:rsidRPr="0066103C">
        <w:t xml:space="preserve"> (הורם Q, וְהֻשְׁלַךְ cf. G) or as act</w:t>
      </w:r>
      <w:r w:rsidR="00A56663" w:rsidRPr="0066103C">
        <w:t>ive</w:t>
      </w:r>
      <w:r w:rsidRPr="0066103C">
        <w:t xml:space="preserve"> (הרים K, </w:t>
      </w:r>
    </w:p>
    <w:p w:rsidR="00CC03AD" w:rsidRPr="0066103C" w:rsidRDefault="007935FE" w:rsidP="00487278">
      <w:pPr>
        <w:ind w:firstLine="0"/>
      </w:pPr>
      <w:r w:rsidRPr="0066103C">
        <w:rPr>
          <w:rFonts w:ascii="Arial" w:hAnsi="Arial" w:cs="Arial"/>
        </w:rPr>
        <w:t>ךְ</w:t>
      </w:r>
      <w:r w:rsidR="00487278" w:rsidRPr="0066103C">
        <w:rPr>
          <w:rFonts w:ascii="Arial" w:hAnsi="Arial" w:cs="Arial"/>
        </w:rPr>
        <w:t xml:space="preserve"> </w:t>
      </w:r>
      <w:r w:rsidRPr="0066103C">
        <w:rPr>
          <w:rFonts w:ascii="Arial" w:hAnsi="Arial" w:cs="Arial"/>
        </w:rPr>
        <w:t>לֵ</w:t>
      </w:r>
      <w:r w:rsidR="00487278" w:rsidRPr="0066103C">
        <w:rPr>
          <w:rFonts w:ascii="Arial" w:hAnsi="Arial" w:cs="Arial"/>
        </w:rPr>
        <w:t xml:space="preserve"> שְׁ הַ</w:t>
      </w:r>
      <w:r w:rsidRPr="0066103C">
        <w:t xml:space="preserve"> </w:t>
      </w:r>
      <w:r w:rsidR="00487278" w:rsidRPr="0066103C">
        <w:rPr>
          <w:rFonts w:ascii="Arial" w:hAnsi="Arial" w:cs="Arial"/>
        </w:rPr>
        <w:t>וְ</w:t>
      </w:r>
      <w:r w:rsidR="00487278" w:rsidRPr="0066103C">
        <w:t xml:space="preserve"> </w:t>
      </w:r>
      <w:r w:rsidRPr="0066103C">
        <w:t xml:space="preserve">as in </w:t>
      </w:r>
      <w:r w:rsidR="000C1456" w:rsidRPr="0066103C">
        <w:t>v</w:t>
      </w:r>
      <w:r w:rsidRPr="0066103C">
        <w:t xml:space="preserve"> 12, su</w:t>
      </w:r>
      <w:r w:rsidR="00CC03AD" w:rsidRPr="0066103C">
        <w:t xml:space="preserve">ggested by </w:t>
      </w:r>
      <w:r w:rsidR="004500F7" w:rsidRPr="0066103C">
        <w:t>Syr</w:t>
      </w:r>
      <w:r w:rsidR="00CC03AD" w:rsidRPr="0066103C">
        <w:t>, Vg); ממנו means “by him” (</w:t>
      </w:r>
      <w:r w:rsidR="006D7C8F" w:rsidRPr="0066103C">
        <w:t xml:space="preserve">BDB, </w:t>
      </w:r>
      <w:r w:rsidR="00CC03AD" w:rsidRPr="0066103C">
        <w:t>580a) or “from him” correspondingly. The evidence is closely balanced, the meaning similar. Goldstein (“</w:t>
      </w:r>
      <w:r w:rsidR="00A56663" w:rsidRPr="0066103C">
        <w:t xml:space="preserve">The </w:t>
      </w:r>
      <w:r w:rsidR="00CC03AD" w:rsidRPr="0066103C">
        <w:t>Persecution</w:t>
      </w:r>
      <w:r w:rsidR="00A56663" w:rsidRPr="0066103C">
        <w:t xml:space="preserve"> of the Jews by Antiochus IV,” </w:t>
      </w:r>
      <w:r w:rsidR="00CC03AD" w:rsidRPr="0066103C">
        <w:t>142–43) connects וממנו</w:t>
      </w:r>
      <w:r w:rsidR="00A56663" w:rsidRPr="0066103C">
        <w:t xml:space="preserve"> with what precedes and translates</w:t>
      </w:r>
      <w:r w:rsidR="00CC03AD" w:rsidRPr="0066103C">
        <w:t xml:space="preserve"> “and beyond hi</w:t>
      </w:r>
      <w:r w:rsidR="00487278" w:rsidRPr="0066103C">
        <w:t>m” (cf. Gen 48:19). The s.</w:t>
      </w:r>
      <w:r w:rsidR="00CC03AD" w:rsidRPr="0066103C">
        <w:t xml:space="preserve"> v</w:t>
      </w:r>
      <w:r w:rsidR="00A56663" w:rsidRPr="0066103C">
        <w:t>er</w:t>
      </w:r>
      <w:r w:rsidR="00487278" w:rsidRPr="0066103C">
        <w:t>b could</w:t>
      </w:r>
      <w:r w:rsidR="00CC03AD" w:rsidRPr="0066103C">
        <w:t xml:space="preserve"> have a pl. subj</w:t>
      </w:r>
      <w:r w:rsidR="00A56663" w:rsidRPr="0066103C">
        <w:t>ect</w:t>
      </w:r>
      <w:r w:rsidR="00CC03AD" w:rsidRPr="0066103C">
        <w:t>, as required if וצבא</w:t>
      </w:r>
      <w:r w:rsidR="00A56663" w:rsidRPr="0066103C">
        <w:t xml:space="preserve"> is linked with v 11: </w:t>
      </w:r>
      <w:r w:rsidR="00CC03AD" w:rsidRPr="0066103C">
        <w:t>see n. 11.d-d</w:t>
      </w:r>
      <w:r w:rsidR="00A56663" w:rsidRPr="0066103C">
        <w:t xml:space="preserve"> and</w:t>
      </w:r>
      <w:r w:rsidR="00CC03AD" w:rsidRPr="0066103C">
        <w:t xml:space="preserve"> GKC 145o.</w:t>
      </w:r>
    </w:p>
    <w:p w:rsidR="00CC03AD" w:rsidRPr="0066103C" w:rsidRDefault="00CC03AD" w:rsidP="00CC03AD">
      <w:r w:rsidRPr="0066103C">
        <w:t xml:space="preserve">11.c-c. מקדשו </w:t>
      </w:r>
      <w:r w:rsidR="00A56663" w:rsidRPr="0066103C">
        <w:rPr>
          <w:rFonts w:ascii="Arial" w:hAnsi="Arial" w:cs="Arial"/>
        </w:rPr>
        <w:t>מכון</w:t>
      </w:r>
      <w:r w:rsidR="00A56663" w:rsidRPr="0066103C">
        <w:t xml:space="preserve"> </w:t>
      </w:r>
      <w:r w:rsidRPr="0066103C">
        <w:t>comes only here, bu</w:t>
      </w:r>
      <w:r w:rsidR="00A56663" w:rsidRPr="0066103C">
        <w:t>t cf.</w:t>
      </w:r>
      <w:r w:rsidR="00945C8C">
        <w:t xml:space="preserve"> </w:t>
      </w:r>
      <w:r w:rsidRPr="0066103C">
        <w:t xml:space="preserve">compounds </w:t>
      </w:r>
      <w:r w:rsidR="00A56663" w:rsidRPr="0066103C">
        <w:t xml:space="preserve">such </w:t>
      </w:r>
      <w:r w:rsidRPr="0066103C">
        <w:t xml:space="preserve">as שבתו </w:t>
      </w:r>
      <w:r w:rsidR="00A56663" w:rsidRPr="0066103C">
        <w:rPr>
          <w:rFonts w:ascii="Arial" w:hAnsi="Arial" w:cs="Arial"/>
        </w:rPr>
        <w:t>מכון</w:t>
      </w:r>
      <w:r w:rsidR="00A56663" w:rsidRPr="0066103C">
        <w:t xml:space="preserve"> </w:t>
      </w:r>
      <w:r w:rsidRPr="0066103C">
        <w:t xml:space="preserve">(“the place of his dwelling,” e.g., Ps 33:14); כסאו </w:t>
      </w:r>
      <w:r w:rsidR="00A56663" w:rsidRPr="0066103C">
        <w:rPr>
          <w:rFonts w:ascii="Arial" w:hAnsi="Arial" w:cs="Arial"/>
        </w:rPr>
        <w:t>מכון</w:t>
      </w:r>
      <w:r w:rsidR="00A56663" w:rsidRPr="0066103C">
        <w:t xml:space="preserve"> </w:t>
      </w:r>
      <w:r w:rsidRPr="0066103C">
        <w:t>(“the place of his throne,” e.g., Ps 97:2).</w:t>
      </w:r>
    </w:p>
    <w:p w:rsidR="00CC03AD" w:rsidRPr="0066103C" w:rsidRDefault="00CC03AD" w:rsidP="00CC03AD">
      <w:r w:rsidRPr="0066103C">
        <w:t>11.d</w:t>
      </w:r>
      <w:r w:rsidR="000F070C">
        <w:t>-d</w:t>
      </w:r>
      <w:r w:rsidRPr="0066103C">
        <w:t>. Taking וצבא</w:t>
      </w:r>
      <w:r w:rsidR="00A56663" w:rsidRPr="0066103C">
        <w:t xml:space="preserve">, the </w:t>
      </w:r>
      <w:r w:rsidRPr="0066103C">
        <w:t>first word of v 12, wit</w:t>
      </w:r>
      <w:r w:rsidR="00487278" w:rsidRPr="0066103C">
        <w:t>h v 11: so G (cf. BHS); c</w:t>
      </w:r>
      <w:r w:rsidRPr="0066103C">
        <w:t>f. n. 12.a-a. Sanctuary and army are linked in v 13.</w:t>
      </w:r>
    </w:p>
    <w:p w:rsidR="00CC03AD" w:rsidRPr="0066103C" w:rsidRDefault="00A56663" w:rsidP="00CC03AD">
      <w:r w:rsidRPr="0066103C">
        <w:lastRenderedPageBreak/>
        <w:t>12.a-a. The most plausible translation</w:t>
      </w:r>
      <w:r w:rsidR="00CC03AD" w:rsidRPr="0066103C">
        <w:t xml:space="preserve"> of MT </w:t>
      </w:r>
      <w:r w:rsidR="008C427E" w:rsidRPr="0066103C">
        <w:t xml:space="preserve"> </w:t>
      </w:r>
      <w:r w:rsidR="00CC03AD" w:rsidRPr="0066103C">
        <w:t>בפשע</w:t>
      </w:r>
      <w:r w:rsidR="008C427E" w:rsidRPr="0066103C">
        <w:t xml:space="preserve"> </w:t>
      </w:r>
      <w:r w:rsidR="008C427E" w:rsidRPr="0066103C">
        <w:rPr>
          <w:rFonts w:ascii="Arial" w:hAnsi="Arial" w:cs="Arial"/>
        </w:rPr>
        <w:t>התמיד</w:t>
      </w:r>
      <w:r w:rsidR="008C427E" w:rsidRPr="0066103C">
        <w:t xml:space="preserve"> </w:t>
      </w:r>
      <w:r w:rsidR="008C427E" w:rsidRPr="0066103C">
        <w:rPr>
          <w:rFonts w:ascii="Arial" w:hAnsi="Arial" w:cs="Arial"/>
        </w:rPr>
        <w:t>על</w:t>
      </w:r>
      <w:r w:rsidR="008C427E" w:rsidRPr="0066103C">
        <w:t xml:space="preserve"> </w:t>
      </w:r>
      <w:r w:rsidR="00CC03AD" w:rsidRPr="0066103C">
        <w:t xml:space="preserve"> </w:t>
      </w:r>
      <w:r w:rsidR="008C427E" w:rsidRPr="0066103C">
        <w:rPr>
          <w:rFonts w:ascii="Arial" w:hAnsi="Arial" w:cs="Arial"/>
        </w:rPr>
        <w:t>תנתן</w:t>
      </w:r>
      <w:r w:rsidR="008C427E" w:rsidRPr="0066103C">
        <w:t xml:space="preserve"> </w:t>
      </w:r>
      <w:r w:rsidR="008C427E" w:rsidRPr="0066103C">
        <w:rPr>
          <w:rFonts w:ascii="Arial" w:hAnsi="Arial" w:cs="Arial"/>
        </w:rPr>
        <w:t>וצבא</w:t>
      </w:r>
      <w:r w:rsidR="008C427E" w:rsidRPr="0066103C">
        <w:t xml:space="preserve"> </w:t>
      </w:r>
      <w:r w:rsidR="00CC03AD" w:rsidRPr="0066103C">
        <w:t>is “thus an army will be set over the daily offering in an act of rebellion.”</w:t>
      </w:r>
      <w:r w:rsidR="008C427E" w:rsidRPr="0066103C">
        <w:t xml:space="preserve"> </w:t>
      </w:r>
      <w:r w:rsidR="008C427E" w:rsidRPr="0066103C">
        <w:rPr>
          <w:rFonts w:ascii="Arial" w:hAnsi="Arial" w:cs="Arial"/>
        </w:rPr>
        <w:t>על</w:t>
      </w:r>
      <w:r w:rsidR="00CC03AD" w:rsidRPr="0066103C">
        <w:t xml:space="preserve"> נתן regularly means “set over” (</w:t>
      </w:r>
      <w:r w:rsidR="006D7C8F" w:rsidRPr="0066103C">
        <w:t xml:space="preserve">BDB, </w:t>
      </w:r>
      <w:r w:rsidR="00CC03AD" w:rsidRPr="0066103C">
        <w:t xml:space="preserve">680) and the two </w:t>
      </w:r>
      <w:r w:rsidR="008C427E" w:rsidRPr="0066103C">
        <w:t xml:space="preserve">words can hardly be interpreted </w:t>
      </w:r>
      <w:r w:rsidR="00CC03AD" w:rsidRPr="0066103C">
        <w:t xml:space="preserve">independently (against, </w:t>
      </w:r>
      <w:r w:rsidR="008C427E" w:rsidRPr="0066103C">
        <w:t>e.g., NIV</w:t>
      </w:r>
      <w:r w:rsidR="00CC03AD" w:rsidRPr="0066103C">
        <w:t>).</w:t>
      </w:r>
      <w:r w:rsidR="008C427E" w:rsidRPr="0066103C">
        <w:t xml:space="preserve"> </w:t>
      </w:r>
      <w:r w:rsidR="00CC03AD" w:rsidRPr="0066103C">
        <w:t xml:space="preserve"> צבא must surely still mean “army,” not change </w:t>
      </w:r>
      <w:r w:rsidR="008C427E" w:rsidRPr="0066103C">
        <w:t xml:space="preserve">its </w:t>
      </w:r>
      <w:r w:rsidR="00CC03AD" w:rsidRPr="0066103C">
        <w:t>meaning to “warfare” (Driver) or “hard service” (Plöger). It is odd that תנתן is im</w:t>
      </w:r>
      <w:r w:rsidR="004500F7" w:rsidRPr="0066103C">
        <w:t>perfect</w:t>
      </w:r>
      <w:r w:rsidR="00CC03AD" w:rsidRPr="0066103C">
        <w:t xml:space="preserve">, but see </w:t>
      </w:r>
      <w:r w:rsidR="00487278" w:rsidRPr="0066103C">
        <w:t xml:space="preserve">n. 12.b-b and the </w:t>
      </w:r>
      <w:r w:rsidR="00CC03AD" w:rsidRPr="0066103C">
        <w:rPr>
          <w:i/>
        </w:rPr>
        <w:t>Comment</w:t>
      </w:r>
      <w:r w:rsidR="008C427E" w:rsidRPr="0066103C">
        <w:t>. It is also problematic</w:t>
      </w:r>
      <w:r w:rsidR="00CC03AD" w:rsidRPr="0066103C">
        <w:t xml:space="preserve"> that צבא has to be f</w:t>
      </w:r>
      <w:r w:rsidR="008C427E" w:rsidRPr="0066103C">
        <w:t>.</w:t>
      </w:r>
      <w:r w:rsidR="00CC03AD" w:rsidRPr="0066103C">
        <w:t xml:space="preserve"> (it may be so in Isa 40:2, though see Bevan) and to have a different referent from vv 10, 11, 14. These difficulties make one suspect MT. </w:t>
      </w:r>
      <w:r w:rsidR="004500F7" w:rsidRPr="0066103C">
        <w:t>Syr</w:t>
      </w:r>
      <w:r w:rsidR="00CC03AD" w:rsidRPr="0066103C">
        <w:t>, Vg follow MT, but G suggests linking וצבא to v 11 (</w:t>
      </w:r>
      <w:r w:rsidR="008C427E" w:rsidRPr="0066103C">
        <w:t xml:space="preserve">see </w:t>
      </w:r>
      <w:r w:rsidR="00CC03AD" w:rsidRPr="0066103C">
        <w:t>n. 11.d-d), which is an improvement, though v 12 now begins even</w:t>
      </w:r>
      <w:r w:rsidR="00487278" w:rsidRPr="0066103C">
        <w:t xml:space="preserve"> more abruptly. </w:t>
      </w:r>
      <w:r w:rsidR="00CC03AD" w:rsidRPr="0066103C">
        <w:t>Most difficulties stem from the relationship of v 12a to its context; perhaps it is an explanatory gl</w:t>
      </w:r>
      <w:r w:rsidR="008C427E" w:rsidRPr="0066103C">
        <w:t>oss</w:t>
      </w:r>
      <w:r w:rsidR="00CC03AD" w:rsidRPr="0066103C">
        <w:t>.</w:t>
      </w:r>
    </w:p>
    <w:p w:rsidR="00CC03AD" w:rsidRPr="0066103C" w:rsidRDefault="00CC03AD" w:rsidP="00CC03AD">
      <w:r w:rsidRPr="0066103C">
        <w:t>12.b-b. The tense</w:t>
      </w:r>
      <w:r w:rsidR="008C427E" w:rsidRPr="0066103C">
        <w:t>s</w:t>
      </w:r>
      <w:r w:rsidRPr="0066103C">
        <w:t xml:space="preserve"> of ותשלך (simple </w:t>
      </w:r>
      <w:r w:rsidRPr="003A423E">
        <w:rPr>
          <w:i/>
        </w:rPr>
        <w:t>waw</w:t>
      </w:r>
      <w:r w:rsidRPr="0066103C">
        <w:t xml:space="preserve"> plus juss</w:t>
      </w:r>
      <w:r w:rsidR="008C427E" w:rsidRPr="0066103C">
        <w:t>ive</w:t>
      </w:r>
      <w:r w:rsidRPr="0066103C">
        <w:t>),</w:t>
      </w:r>
      <w:r w:rsidR="008C427E" w:rsidRPr="0066103C">
        <w:t xml:space="preserve"> </w:t>
      </w:r>
      <w:r w:rsidRPr="0066103C">
        <w:t xml:space="preserve"> ועשתה and</w:t>
      </w:r>
      <w:r w:rsidR="008C427E" w:rsidRPr="0066103C">
        <w:t xml:space="preserve"> </w:t>
      </w:r>
      <w:r w:rsidRPr="0066103C">
        <w:t xml:space="preserve"> והצליחה (both </w:t>
      </w:r>
      <w:r w:rsidRPr="003A423E">
        <w:rPr>
          <w:i/>
        </w:rPr>
        <w:t>waw</w:t>
      </w:r>
      <w:r w:rsidRPr="0066103C">
        <w:t xml:space="preserve"> plus </w:t>
      </w:r>
      <w:r w:rsidR="004500F7" w:rsidRPr="0066103C">
        <w:t>perfect</w:t>
      </w:r>
      <w:r w:rsidR="00640EDB" w:rsidRPr="0066103C">
        <w:t>) are puzzling; so is the tense</w:t>
      </w:r>
      <w:r w:rsidRPr="0066103C">
        <w:t xml:space="preserve"> of תנתן (im</w:t>
      </w:r>
      <w:r w:rsidR="004500F7" w:rsidRPr="0066103C">
        <w:t>perfect</w:t>
      </w:r>
      <w:r w:rsidRPr="0066103C">
        <w:t xml:space="preserve">) in v 12a. </w:t>
      </w:r>
      <w:r w:rsidR="004500F7" w:rsidRPr="0066103C">
        <w:t>EVV</w:t>
      </w:r>
      <w:r w:rsidR="00640EDB" w:rsidRPr="0066103C">
        <w:t xml:space="preserve"> translate</w:t>
      </w:r>
      <w:r w:rsidRPr="0066103C">
        <w:t xml:space="preserve"> תנתן and ותשלך as past, but they are hardly im</w:t>
      </w:r>
      <w:r w:rsidR="004500F7" w:rsidRPr="0066103C">
        <w:t>perfect</w:t>
      </w:r>
      <w:r w:rsidRPr="0066103C">
        <w:t xml:space="preserve"> in meaning, and this really presupposes emendation to </w:t>
      </w:r>
      <w:r w:rsidRPr="003A423E">
        <w:rPr>
          <w:i/>
        </w:rPr>
        <w:t>waw</w:t>
      </w:r>
      <w:r w:rsidRPr="0066103C">
        <w:t xml:space="preserve"> consec</w:t>
      </w:r>
      <w:r w:rsidR="00640EDB" w:rsidRPr="0066103C">
        <w:t>utive</w:t>
      </w:r>
      <w:r w:rsidRPr="0066103C">
        <w:t xml:space="preserve"> or </w:t>
      </w:r>
      <w:r w:rsidR="004500F7" w:rsidRPr="0066103C">
        <w:t>perfect</w:t>
      </w:r>
      <w:r w:rsidRPr="0066103C">
        <w:t xml:space="preserve"> (cf</w:t>
      </w:r>
      <w:r w:rsidR="000F070C">
        <w:t>. BHS; and</w:t>
      </w:r>
      <w:r w:rsidR="00640EDB" w:rsidRPr="0066103C">
        <w:t xml:space="preserve"> G’s aorists. For RSV</w:t>
      </w:r>
      <w:r w:rsidRPr="0066103C">
        <w:t>’s “was cast down” for ותשלך, see BHS. I take the whole v</w:t>
      </w:r>
      <w:r w:rsidR="00640EDB" w:rsidRPr="0066103C">
        <w:t>erse</w:t>
      </w:r>
      <w:r w:rsidRPr="0066103C">
        <w:t xml:space="preserve"> to have future reference, ותשלך being a final or consec</w:t>
      </w:r>
      <w:r w:rsidR="00640EDB" w:rsidRPr="0066103C">
        <w:t>utive clause</w:t>
      </w:r>
      <w:r w:rsidRPr="0066103C">
        <w:t xml:space="preserve"> (GKC 109c suggests juss</w:t>
      </w:r>
      <w:r w:rsidR="00640EDB" w:rsidRPr="0066103C">
        <w:t>ive is used for rhythmic reasons</w:t>
      </w:r>
      <w:r w:rsidRPr="0066103C">
        <w:t>)</w:t>
      </w:r>
      <w:r w:rsidR="00640EDB" w:rsidRPr="0066103C">
        <w:t>.</w:t>
      </w:r>
    </w:p>
    <w:p w:rsidR="00CC03AD" w:rsidRPr="0066103C" w:rsidRDefault="00CC03AD" w:rsidP="00CC03AD">
      <w:r w:rsidRPr="0066103C">
        <w:t xml:space="preserve">13.a. </w:t>
      </w:r>
      <w:r w:rsidR="004500F7" w:rsidRPr="0066103C">
        <w:t>EVV</w:t>
      </w:r>
      <w:r w:rsidRPr="0066103C">
        <w:t xml:space="preserve"> take ד</w:t>
      </w:r>
      <w:r w:rsidR="00487278" w:rsidRPr="0066103C">
        <w:t xml:space="preserve"> </w:t>
      </w:r>
      <w:r w:rsidR="00487278" w:rsidRPr="0066103C">
        <w:rPr>
          <w:rFonts w:ascii="Arial" w:hAnsi="Arial" w:cs="Arial"/>
        </w:rPr>
        <w:t>ח</w:t>
      </w:r>
      <w:r w:rsidRPr="0066103C">
        <w:t xml:space="preserve"> </w:t>
      </w:r>
      <w:r w:rsidR="00487278" w:rsidRPr="0066103C">
        <w:rPr>
          <w:rFonts w:ascii="Arial" w:hAnsi="Arial" w:cs="Arial"/>
        </w:rPr>
        <w:t>א</w:t>
      </w:r>
      <w:r w:rsidR="00487278" w:rsidRPr="0066103C">
        <w:t xml:space="preserve"> </w:t>
      </w:r>
      <w:r w:rsidRPr="0066103C">
        <w:t>as equivalent to indef</w:t>
      </w:r>
      <w:r w:rsidR="00640EDB" w:rsidRPr="0066103C">
        <w:t>inite</w:t>
      </w:r>
      <w:r w:rsidRPr="0066103C">
        <w:t xml:space="preserve"> art</w:t>
      </w:r>
      <w:r w:rsidR="00640EDB" w:rsidRPr="0066103C">
        <w:t>icle, but it should then</w:t>
      </w:r>
      <w:r w:rsidRPr="0066103C">
        <w:t xml:space="preserve"> follow the word it qualifies, as in v 3 (GKC 125b). Further, אחד . . . </w:t>
      </w:r>
      <w:r w:rsidR="00640EDB" w:rsidRPr="0066103C">
        <w:rPr>
          <w:rFonts w:ascii="Arial" w:hAnsi="Arial" w:cs="Arial"/>
        </w:rPr>
        <w:t>אחד</w:t>
      </w:r>
      <w:r w:rsidRPr="0066103C">
        <w:t xml:space="preserve"> is idiomatic for “one . . . another” (cf. Amos 4:7; see BDB, GKC 125b). This is also a difficulty for Lacocque’s suggestion that the same “holy one” is referred to both times. See further n. 13.c.</w:t>
      </w:r>
    </w:p>
    <w:p w:rsidR="00CC03AD" w:rsidRPr="0066103C" w:rsidRDefault="00CC03AD" w:rsidP="00CC03AD">
      <w:r w:rsidRPr="0066103C">
        <w:t xml:space="preserve">13.b. Taking ויאמר as another </w:t>
      </w:r>
      <w:r w:rsidRPr="003A423E">
        <w:rPr>
          <w:i/>
        </w:rPr>
        <w:t>waw</w:t>
      </w:r>
      <w:r w:rsidRPr="0066103C">
        <w:t xml:space="preserve"> consec</w:t>
      </w:r>
      <w:r w:rsidR="00640EDB" w:rsidRPr="0066103C">
        <w:t>utive following a participle</w:t>
      </w:r>
      <w:r w:rsidRPr="0066103C">
        <w:t xml:space="preserve"> (cf. n. 7.a-a).</w:t>
      </w:r>
    </w:p>
    <w:p w:rsidR="00CC03AD" w:rsidRPr="0066103C" w:rsidRDefault="00CC03AD" w:rsidP="00CC03AD">
      <w:r w:rsidRPr="0066103C">
        <w:t>13.c. Lacocque takes</w:t>
      </w:r>
      <w:r w:rsidR="00640EDB" w:rsidRPr="0066103C">
        <w:t xml:space="preserve"> </w:t>
      </w:r>
      <w:r w:rsidRPr="0066103C">
        <w:t xml:space="preserve"> המדבר </w:t>
      </w:r>
      <w:r w:rsidR="00640EDB" w:rsidRPr="0066103C">
        <w:rPr>
          <w:rFonts w:ascii="Arial" w:hAnsi="Arial" w:cs="Arial"/>
        </w:rPr>
        <w:t>פלמוני</w:t>
      </w:r>
      <w:r w:rsidR="00640EDB" w:rsidRPr="0066103C">
        <w:t xml:space="preserve"> </w:t>
      </w:r>
      <w:r w:rsidRPr="0066103C">
        <w:t>to refer t</w:t>
      </w:r>
      <w:r w:rsidR="00640EDB" w:rsidRPr="0066103C">
        <w:t>o Daniel himself, but he then has to translate</w:t>
      </w:r>
      <w:r w:rsidRPr="0066103C">
        <w:t xml:space="preserve"> אמר (usually “sai</w:t>
      </w:r>
      <w:r w:rsidR="00640EDB" w:rsidRPr="0066103C">
        <w:t>d”) as “asked</w:t>
      </w:r>
      <w:r w:rsidRPr="0066103C">
        <w:t>.</w:t>
      </w:r>
      <w:r w:rsidR="00640EDB" w:rsidRPr="0066103C">
        <w:t>”</w:t>
      </w:r>
      <w:r w:rsidRPr="0066103C">
        <w:t xml:space="preserve"> More likely Daniel’s vision follows the pattern of Zech 1:7–17, where the seer overhears heavenly figures speaking to one another.</w:t>
      </w:r>
    </w:p>
    <w:p w:rsidR="00CC03AD" w:rsidRPr="0066103C" w:rsidRDefault="00640EDB" w:rsidP="00CC03AD">
      <w:r w:rsidRPr="0066103C">
        <w:t>13.d. NEB</w:t>
      </w:r>
      <w:r w:rsidR="00CC03AD" w:rsidRPr="0066103C">
        <w:t xml:space="preserve"> adds מורם, </w:t>
      </w:r>
      <w:r w:rsidRPr="0066103C">
        <w:t>participle</w:t>
      </w:r>
      <w:r w:rsidR="00CC03AD" w:rsidRPr="0066103C">
        <w:t xml:space="preserve"> from רום (“overthrown”—cf. v 11), on the basis of OG.</w:t>
      </w:r>
    </w:p>
    <w:p w:rsidR="00CC03AD" w:rsidRPr="0066103C" w:rsidRDefault="00CC03AD" w:rsidP="00CC03AD">
      <w:r w:rsidRPr="0066103C">
        <w:t>13.e.</w:t>
      </w:r>
      <w:r w:rsidR="00640EDB" w:rsidRPr="0066103C">
        <w:t xml:space="preserve"> BDB takes</w:t>
      </w:r>
      <w:r w:rsidRPr="0066103C">
        <w:t xml:space="preserve"> שמם</w:t>
      </w:r>
      <w:r w:rsidR="00640EDB" w:rsidRPr="0066103C">
        <w:t xml:space="preserve"> as poel participle without a preformative</w:t>
      </w:r>
      <w:r w:rsidRPr="0066103C">
        <w:t xml:space="preserve">, but this is hardly justified by appeal to GKC 52s (puals without מ‍ [which may be qal passives] and piels without </w:t>
      </w:r>
      <w:r w:rsidR="00640EDB" w:rsidRPr="0066103C">
        <w:t xml:space="preserve"> </w:t>
      </w:r>
      <w:r w:rsidRPr="0066103C">
        <w:t xml:space="preserve">מ‍ of </w:t>
      </w:r>
      <w:r w:rsidR="00C7244F" w:rsidRPr="0066103C">
        <w:t>verb</w:t>
      </w:r>
      <w:r w:rsidRPr="0066103C">
        <w:t>s beginning with מ‍). Elsewhere in the OT (incl. 9:18, 26, 27) שמם</w:t>
      </w:r>
      <w:r w:rsidR="00640EDB" w:rsidRPr="0066103C">
        <w:t xml:space="preserve"> is a </w:t>
      </w:r>
      <w:r w:rsidRPr="0066103C">
        <w:t xml:space="preserve">regular qal </w:t>
      </w:r>
      <w:r w:rsidR="00640EDB" w:rsidRPr="0066103C">
        <w:t>participle</w:t>
      </w:r>
      <w:r w:rsidR="00B57997" w:rsidRPr="0066103C">
        <w:t xml:space="preserve">. This participle </w:t>
      </w:r>
      <w:r w:rsidRPr="0066103C">
        <w:t>usually meaning “desolated”—which fits the state of the temple through Ant</w:t>
      </w:r>
      <w:r w:rsidR="00640EDB" w:rsidRPr="0066103C">
        <w:t xml:space="preserve">iochus’s action (Hammer). In later Heb. and </w:t>
      </w:r>
      <w:r w:rsidRPr="0066103C">
        <w:t>Aram., forms of שמם can suggest “be demented”</w:t>
      </w:r>
      <w:r w:rsidR="00487278" w:rsidRPr="0066103C">
        <w:t xml:space="preserve">; this meaning could suggest an </w:t>
      </w:r>
      <w:r w:rsidR="00640EDB" w:rsidRPr="0066103C">
        <w:t>allusion to the derisive entitling</w:t>
      </w:r>
      <w:r w:rsidRPr="0066103C">
        <w:t xml:space="preserve"> of Antiochus Epiphanes, “[God] Manifest,” as Epimanes,</w:t>
      </w:r>
      <w:r w:rsidR="00FE3D2B" w:rsidRPr="0066103C">
        <w:t xml:space="preserve"> “Madman” (Rowley, “The Bilingual Problem of Daniel,” </w:t>
      </w:r>
      <w:r w:rsidR="00B57997" w:rsidRPr="0066103C">
        <w:t>264–65). While s</w:t>
      </w:r>
      <w:r w:rsidRPr="0066103C">
        <w:t>u</w:t>
      </w:r>
      <w:r w:rsidR="00B57997" w:rsidRPr="0066103C">
        <w:t xml:space="preserve">ch polysemy may be present, </w:t>
      </w:r>
      <w:r w:rsidRPr="0066103C">
        <w:t>the</w:t>
      </w:r>
      <w:r w:rsidR="00FE3D2B" w:rsidRPr="0066103C">
        <w:t xml:space="preserve"> basic idea is more likely </w:t>
      </w:r>
      <w:r w:rsidRPr="0066103C">
        <w:t xml:space="preserve">that the rebellion will bring desolation (cf. 9:26–27): i.e., the </w:t>
      </w:r>
      <w:r w:rsidR="00640EDB" w:rsidRPr="0066103C">
        <w:t>participle</w:t>
      </w:r>
      <w:r w:rsidRPr="0066103C">
        <w:t xml:space="preserve"> is act</w:t>
      </w:r>
      <w:r w:rsidR="00FE3D2B" w:rsidRPr="0066103C">
        <w:t>ive in meaning,</w:t>
      </w:r>
      <w:r w:rsidRPr="0066103C">
        <w:t xml:space="preserve"> the natural </w:t>
      </w:r>
      <w:r w:rsidR="00FE3D2B" w:rsidRPr="0066103C">
        <w:t xml:space="preserve">understanding of the </w:t>
      </w:r>
      <w:r w:rsidRPr="0066103C">
        <w:t xml:space="preserve">qal </w:t>
      </w:r>
      <w:r w:rsidR="00640EDB" w:rsidRPr="0066103C">
        <w:t>participle</w:t>
      </w:r>
      <w:r w:rsidR="00FE3D2B" w:rsidRPr="0066103C">
        <w:t xml:space="preserve"> in 9:27 “the desolater” (c</w:t>
      </w:r>
      <w:r w:rsidRPr="0066103C">
        <w:t>f. also Ezek 36:3 MT, defen</w:t>
      </w:r>
      <w:r w:rsidR="00FE3D2B" w:rsidRPr="0066103C">
        <w:t xml:space="preserve">ded by Zimmerli, </w:t>
      </w:r>
      <w:r w:rsidR="00FE3D2B" w:rsidRPr="00A54952">
        <w:rPr>
          <w:i/>
        </w:rPr>
        <w:t>Ezechiel</w:t>
      </w:r>
      <w:r w:rsidR="00FE3D2B" w:rsidRPr="0066103C">
        <w:t>, on the passage)</w:t>
      </w:r>
      <w:r w:rsidRPr="0066103C">
        <w:t>. The poel, too, can have either trans</w:t>
      </w:r>
      <w:r w:rsidR="00FE3D2B" w:rsidRPr="0066103C">
        <w:t>itive</w:t>
      </w:r>
      <w:r w:rsidRPr="0066103C">
        <w:t xml:space="preserve"> or intrans</w:t>
      </w:r>
      <w:r w:rsidR="00FE3D2B" w:rsidRPr="0066103C">
        <w:t>itive</w:t>
      </w:r>
      <w:r w:rsidRPr="0066103C">
        <w:t>/pass</w:t>
      </w:r>
      <w:r w:rsidR="00FE3D2B" w:rsidRPr="0066103C">
        <w:t>ive</w:t>
      </w:r>
      <w:r w:rsidRPr="0066103C">
        <w:t xml:space="preserve"> meaning. Presumably the qal form is chosen to correspond consonantly to ם[י]שמ‍ (see </w:t>
      </w:r>
      <w:r w:rsidRPr="0066103C">
        <w:rPr>
          <w:i/>
        </w:rPr>
        <w:t>Comment</w:t>
      </w:r>
      <w:r w:rsidRPr="0066103C">
        <w:t>), which also explains the omission of the art</w:t>
      </w:r>
      <w:r w:rsidR="00FE3D2B" w:rsidRPr="0066103C">
        <w:t>icle</w:t>
      </w:r>
      <w:r w:rsidRPr="0066103C">
        <w:t xml:space="preserve">. In this connection, there may be further polysemy in the </w:t>
      </w:r>
      <w:r w:rsidR="00C7244F" w:rsidRPr="0066103C">
        <w:t>verb</w:t>
      </w:r>
      <w:r w:rsidRPr="0066103C">
        <w:t xml:space="preserve">’s capacity to suggest </w:t>
      </w:r>
      <w:r w:rsidR="00FE3D2B" w:rsidRPr="0066103C">
        <w:t>“appalling” (cf. v 27, also 4:19 [16]). But the b</w:t>
      </w:r>
      <w:r w:rsidR="00B57997" w:rsidRPr="0066103C">
        <w:t>asic idea of “desolating” fits</w:t>
      </w:r>
      <w:r w:rsidRPr="0066103C">
        <w:t xml:space="preserve"> the stress on desolation (using שמם) in 9:18, 26 in the context of the use of this </w:t>
      </w:r>
      <w:r w:rsidR="00C7244F" w:rsidRPr="0066103C">
        <w:t>verb</w:t>
      </w:r>
      <w:r w:rsidRPr="0066103C">
        <w:t xml:space="preserve"> in 9:27, and on devastation (שחת) in the present context (vv 24, 25); cf.</w:t>
      </w:r>
      <w:r w:rsidR="00FE3D2B" w:rsidRPr="0066103C">
        <w:t xml:space="preserve"> G’s ἐρημώσεως and </w:t>
      </w:r>
      <w:r w:rsidRPr="0066103C">
        <w:t>ἐρημόω in 1 Macc 1:39; 4:38.</w:t>
      </w:r>
    </w:p>
    <w:p w:rsidR="00CC03AD" w:rsidRPr="0066103C" w:rsidRDefault="00CC03AD" w:rsidP="00CC03AD">
      <w:r w:rsidRPr="0066103C">
        <w:t>13.f.</w:t>
      </w:r>
      <w:r w:rsidR="00FE3D2B" w:rsidRPr="0066103C">
        <w:t xml:space="preserve"> </w:t>
      </w:r>
      <w:r w:rsidRPr="0066103C">
        <w:t xml:space="preserve"> תת</w:t>
      </w:r>
      <w:r w:rsidR="00FE3D2B" w:rsidRPr="0066103C">
        <w:t>: the translation</w:t>
      </w:r>
      <w:r w:rsidRPr="0066103C">
        <w:t xml:space="preserve"> of v 13b follows MT, but MT is odd, and one</w:t>
      </w:r>
      <w:r w:rsidR="00FE3D2B" w:rsidRPr="0066103C">
        <w:t xml:space="preserve"> might have expected that a further occurrence</w:t>
      </w:r>
      <w:r w:rsidRPr="0066103C">
        <w:t xml:space="preserve"> of נתן</w:t>
      </w:r>
      <w:r w:rsidR="00B57997" w:rsidRPr="0066103C">
        <w:t xml:space="preserve"> </w:t>
      </w:r>
      <w:r w:rsidRPr="0066103C">
        <w:t>here would refer to the setting</w:t>
      </w:r>
      <w:r w:rsidR="00FE3D2B" w:rsidRPr="0066103C">
        <w:t xml:space="preserve"> up of the pagan altar. Thus NEB</w:t>
      </w:r>
      <w:r w:rsidRPr="0066103C">
        <w:t xml:space="preserve"> moves it before</w:t>
      </w:r>
      <w:r w:rsidR="00FE3D2B" w:rsidRPr="0066103C">
        <w:t xml:space="preserve"> </w:t>
      </w:r>
      <w:r w:rsidRPr="0066103C">
        <w:t xml:space="preserve"> שמם</w:t>
      </w:r>
      <w:r w:rsidR="00FE3D2B" w:rsidRPr="0066103C">
        <w:t xml:space="preserve"> </w:t>
      </w:r>
      <w:r w:rsidR="00FE3D2B" w:rsidRPr="0066103C">
        <w:rPr>
          <w:rFonts w:ascii="Arial" w:hAnsi="Arial" w:cs="Arial"/>
        </w:rPr>
        <w:t>הפשע</w:t>
      </w:r>
      <w:r w:rsidR="00A54952">
        <w:t xml:space="preserve"> and</w:t>
      </w:r>
      <w:r w:rsidRPr="0066103C">
        <w:t xml:space="preserve"> BHS emends to נִתַּן</w:t>
      </w:r>
      <w:r w:rsidR="00A54952">
        <w:t>.</w:t>
      </w:r>
      <w:r w:rsidR="00FE3D2B" w:rsidRPr="0066103C">
        <w:t xml:space="preserve"> </w:t>
      </w:r>
      <w:r w:rsidR="00CF43C4">
        <w:t>Y</w:t>
      </w:r>
      <w:r w:rsidRPr="0066103C">
        <w:t>ephet interprets it absolutely, “the giving/setting,” a further specific reference back to the wording of v 12.</w:t>
      </w:r>
    </w:p>
    <w:p w:rsidR="00CC03AD" w:rsidRPr="0066103C" w:rsidRDefault="00CC03AD" w:rsidP="00CC03AD">
      <w:r w:rsidRPr="0066103C">
        <w:t xml:space="preserve">13.g. </w:t>
      </w:r>
      <w:r w:rsidR="00FE3D2B" w:rsidRPr="0066103C">
        <w:t xml:space="preserve">See </w:t>
      </w:r>
      <w:r w:rsidRPr="0066103C">
        <w:t>GKC 154a, n. 1.</w:t>
      </w:r>
    </w:p>
    <w:p w:rsidR="00CC03AD" w:rsidRPr="0066103C" w:rsidRDefault="00FE3D2B" w:rsidP="00CC03AD">
      <w:r w:rsidRPr="0066103C">
        <w:t>13.h. NEB</w:t>
      </w:r>
      <w:r w:rsidR="00CC03AD" w:rsidRPr="0066103C">
        <w:t xml:space="preserve"> emends צבא to צבי “fairest.”</w:t>
      </w:r>
    </w:p>
    <w:p w:rsidR="00CC03AD" w:rsidRPr="0066103C" w:rsidRDefault="00CC03AD" w:rsidP="00CC03AD">
      <w:r w:rsidRPr="0066103C">
        <w:t>14.a. אלי</w:t>
      </w:r>
      <w:r w:rsidR="00FE3D2B" w:rsidRPr="0066103C">
        <w:t>; G, Vg, Syr</w:t>
      </w:r>
      <w:r w:rsidRPr="0066103C">
        <w:t xml:space="preserve"> have “to him,” but they may be conforming the text to what they expect, rather than reflecting an original אליו. For the seer’s involvement in his vision, cf. Zech 3:5 (where again </w:t>
      </w:r>
      <w:r w:rsidRPr="0066103C">
        <w:lastRenderedPageBreak/>
        <w:t>G removes it). Or has MT understood פלמוני (“individual,” v 13) to refer to Daniel himself, as Lacocque does (n. 13.c)?</w:t>
      </w:r>
    </w:p>
    <w:p w:rsidR="00C97EE4" w:rsidRPr="0066103C" w:rsidRDefault="00FE3D2B" w:rsidP="00CC03AD">
      <w:r w:rsidRPr="0066103C">
        <w:t>14.b-b. Cf. NEB</w:t>
      </w:r>
      <w:r w:rsidR="00CC03AD" w:rsidRPr="0066103C">
        <w:t xml:space="preserve"> for this </w:t>
      </w:r>
      <w:r w:rsidR="00301DE7" w:rsidRPr="0066103C">
        <w:t xml:space="preserve">translation </w:t>
      </w:r>
      <w:r w:rsidR="00CC03AD" w:rsidRPr="0066103C">
        <w:t>of צדק ni</w:t>
      </w:r>
      <w:r w:rsidR="00301DE7" w:rsidRPr="0066103C">
        <w:t>phal</w:t>
      </w:r>
      <w:r w:rsidR="00CC03AD" w:rsidRPr="0066103C">
        <w:t>, which occurs only here; but it differs little from a pass</w:t>
      </w:r>
      <w:r w:rsidR="00301DE7" w:rsidRPr="0066103C">
        <w:t>ive</w:t>
      </w:r>
      <w:r w:rsidR="00CC03AD" w:rsidRPr="0066103C">
        <w:t xml:space="preserve"> “be put right/justified/vindicated” (cf. BDB), which would presumably be a divine pass</w:t>
      </w:r>
      <w:r w:rsidR="00301DE7" w:rsidRPr="0066103C">
        <w:t>ive</w:t>
      </w:r>
      <w:r w:rsidR="00CC03AD" w:rsidRPr="0066103C">
        <w:t xml:space="preserve"> (Porter, </w:t>
      </w:r>
      <w:r w:rsidR="00CC03AD" w:rsidRPr="0066103C">
        <w:rPr>
          <w:i/>
        </w:rPr>
        <w:t>Metaphors</w:t>
      </w:r>
      <w:r w:rsidR="007F18C8" w:rsidRPr="0066103C">
        <w:rPr>
          <w:i/>
        </w:rPr>
        <w:t xml:space="preserve"> and Monsters</w:t>
      </w:r>
      <w:r w:rsidR="00BA4948" w:rsidRPr="0066103C">
        <w:t>, 60). G, Vg “be cleansed” may imply</w:t>
      </w:r>
      <w:r w:rsidR="00CC03AD" w:rsidRPr="0066103C">
        <w:t xml:space="preserve"> taking</w:t>
      </w:r>
      <w:r w:rsidR="00301DE7" w:rsidRPr="0066103C">
        <w:t xml:space="preserve"> </w:t>
      </w:r>
      <w:r w:rsidR="00CC03AD" w:rsidRPr="0066103C">
        <w:t xml:space="preserve"> נצדק as an Ara</w:t>
      </w:r>
      <w:r w:rsidR="000A3017" w:rsidRPr="0066103C">
        <w:t xml:space="preserve">maism. Zimmermann (“The Aramaic Origin of Daniel 8–12,” </w:t>
      </w:r>
      <w:r w:rsidR="00CC03AD" w:rsidRPr="0066103C">
        <w:t>261–62) suggests that it represents Aram. זכי “be cleansed/justified”; the translator then used</w:t>
      </w:r>
      <w:r w:rsidR="000A3017" w:rsidRPr="0066103C">
        <w:t xml:space="preserve"> </w:t>
      </w:r>
      <w:r w:rsidR="00CC03AD" w:rsidRPr="0066103C">
        <w:t xml:space="preserve"> צדק as if it had both meanings. But if the author were translating, or even thinking in Aram., why did he not use Heb. זכה with its meaning “be cleansed”? (BH</w:t>
      </w:r>
      <w:r w:rsidR="000A3017" w:rsidRPr="0066103C">
        <w:t xml:space="preserve"> </w:t>
      </w:r>
      <w:r w:rsidR="00CC03AD" w:rsidRPr="0066103C">
        <w:t xml:space="preserve">זכה also shows the close relationship between “be clean” and “be justified.”) Ginsberg, 41–42, 79–80, says Aram. זכי can only mean “be justified” and posits a confusion with דכי “be clean”; but see </w:t>
      </w:r>
      <w:r w:rsidR="00CC03AD" w:rsidRPr="0066103C">
        <w:rPr>
          <w:i/>
        </w:rPr>
        <w:t>DTT</w:t>
      </w:r>
      <w:r w:rsidR="00CC03AD" w:rsidRPr="0066103C">
        <w:t xml:space="preserve"> on זכי.</w:t>
      </w:r>
      <w:r w:rsidR="00BA4948" w:rsidRPr="0066103C">
        <w:t xml:space="preserve"> </w:t>
      </w:r>
      <w:r w:rsidR="00C97EE4" w:rsidRPr="0066103C">
        <w:t xml:space="preserve">Davidson (“The Meaning of Niṣdaq”) argues that </w:t>
      </w:r>
      <w:r w:rsidR="00527A4A" w:rsidRPr="00A54952">
        <w:rPr>
          <w:i/>
        </w:rPr>
        <w:t>niṣdaq</w:t>
      </w:r>
      <w:r w:rsidR="00527A4A" w:rsidRPr="0066103C">
        <w:t xml:space="preserve"> can mean “</w:t>
      </w:r>
      <w:r w:rsidR="00C97EE4" w:rsidRPr="0066103C">
        <w:t>be put right,</w:t>
      </w:r>
      <w:r w:rsidR="00527A4A" w:rsidRPr="0066103C">
        <w:t>”</w:t>
      </w:r>
      <w:r w:rsidR="00C97EE4" w:rsidRPr="0066103C">
        <w:t xml:space="preserve"> </w:t>
      </w:r>
      <w:r w:rsidR="00527A4A" w:rsidRPr="0066103C">
        <w:t>“</w:t>
      </w:r>
      <w:r w:rsidR="00C97EE4" w:rsidRPr="0066103C">
        <w:t>be shown to be in the right,</w:t>
      </w:r>
      <w:r w:rsidR="00527A4A" w:rsidRPr="0066103C">
        <w:t>”</w:t>
      </w:r>
      <w:r w:rsidR="00C97EE4" w:rsidRPr="0066103C">
        <w:t xml:space="preserve"> </w:t>
      </w:r>
      <w:r w:rsidR="00527A4A" w:rsidRPr="0066103C">
        <w:t>and “</w:t>
      </w:r>
      <w:r w:rsidR="00C97EE4" w:rsidRPr="0066103C">
        <w:t>be cleansed</w:t>
      </w:r>
      <w:r w:rsidR="00527A4A" w:rsidRPr="0066103C">
        <w:t>,” and that all three meanings are appropr</w:t>
      </w:r>
      <w:r w:rsidR="007D463A" w:rsidRPr="0066103C">
        <w:t>iate here (cf. P</w:t>
      </w:r>
      <w:r w:rsidR="007D463A" w:rsidRPr="0066103C">
        <w:rPr>
          <w:rFonts w:eastAsiaTheme="minorHAnsi" w:cs="CenturySchoolbook"/>
        </w:rPr>
        <w:t>röbstle, “A Linguistic Analysis of Daniel, 8:11, 12,” 97).</w:t>
      </w:r>
    </w:p>
    <w:p w:rsidR="00CC03AD" w:rsidRPr="0066103C" w:rsidRDefault="00CC03AD" w:rsidP="00CC03AD">
      <w:r w:rsidRPr="0066103C">
        <w:t xml:space="preserve">15.a-a. Taking the </w:t>
      </w:r>
      <w:r w:rsidRPr="003A423E">
        <w:rPr>
          <w:i/>
        </w:rPr>
        <w:t>waw</w:t>
      </w:r>
      <w:r w:rsidRPr="0066103C">
        <w:t xml:space="preserve"> </w:t>
      </w:r>
      <w:r w:rsidR="000A3017" w:rsidRPr="0066103C">
        <w:t>consecutive</w:t>
      </w:r>
      <w:r w:rsidRPr="0066103C">
        <w:t xml:space="preserve"> as continuing the infinitival </w:t>
      </w:r>
      <w:r w:rsidR="000A3017" w:rsidRPr="0066103C">
        <w:t xml:space="preserve">clause; cf. GKC 114r. </w:t>
      </w:r>
      <w:r w:rsidRPr="0066103C">
        <w:t xml:space="preserve">MT apparently takes the second </w:t>
      </w:r>
      <w:r w:rsidR="000A3017" w:rsidRPr="0066103C">
        <w:t xml:space="preserve">verb </w:t>
      </w:r>
      <w:r w:rsidRPr="0066103C">
        <w:t>as the main cl</w:t>
      </w:r>
      <w:r w:rsidR="000A3017" w:rsidRPr="0066103C">
        <w:t xml:space="preserve">ause—so NEB, </w:t>
      </w:r>
      <w:r w:rsidR="00BB22D2">
        <w:t>N</w:t>
      </w:r>
      <w:r w:rsidR="000A3017" w:rsidRPr="0066103C">
        <w:t>RSV</w:t>
      </w:r>
      <w:r w:rsidRPr="0066103C">
        <w:t>, the latter translating the two clauses as plu</w:t>
      </w:r>
      <w:r w:rsidR="004500F7" w:rsidRPr="0066103C">
        <w:t>perfect</w:t>
      </w:r>
      <w:r w:rsidRPr="0066103C">
        <w:t xml:space="preserve"> and aorist, not as both im</w:t>
      </w:r>
      <w:r w:rsidR="004500F7" w:rsidRPr="0066103C">
        <w:t>perfect</w:t>
      </w:r>
      <w:r w:rsidRPr="0066103C">
        <w:t>; the effect is more prosaic.</w:t>
      </w:r>
    </w:p>
    <w:p w:rsidR="00CC03AD" w:rsidRPr="0066103C" w:rsidRDefault="00CC03AD" w:rsidP="00CC03AD">
      <w:r w:rsidRPr="0066103C">
        <w:t>15.b. גבר (geber): cf. the name גבריאל</w:t>
      </w:r>
      <w:r w:rsidR="00945C8C">
        <w:t xml:space="preserve"> </w:t>
      </w:r>
      <w:r w:rsidR="004D5A94" w:rsidRPr="0066103C">
        <w:t>(Gabriel</w:t>
      </w:r>
      <w:r w:rsidRPr="0066103C">
        <w:t>)</w:t>
      </w:r>
      <w:r w:rsidR="004D5A94" w:rsidRPr="0066103C">
        <w:t xml:space="preserve"> </w:t>
      </w:r>
      <w:r w:rsidRPr="0066103C">
        <w:t>in v 16.</w:t>
      </w:r>
      <w:r w:rsidR="008C0CDA">
        <w:t xml:space="preserve"> Etymologically that</w:t>
      </w:r>
      <w:r w:rsidR="004D5A94" w:rsidRPr="0066103C">
        <w:t xml:space="preserve"> name </w:t>
      </w:r>
      <w:r w:rsidR="00F95949" w:rsidRPr="0066103C">
        <w:t>means “God is my [strong] man” (cf. Collins)</w:t>
      </w:r>
      <w:r w:rsidR="000C44AC" w:rsidRPr="0066103C">
        <w:t xml:space="preserve"> or “my [strong] man is God” (cf. Seow)</w:t>
      </w:r>
      <w:r w:rsidR="00F95949" w:rsidRPr="0066103C">
        <w:t xml:space="preserve">, </w:t>
      </w:r>
      <w:r w:rsidR="004D5A94" w:rsidRPr="0066103C">
        <w:t xml:space="preserve">but the chapter likely thinks </w:t>
      </w:r>
      <w:r w:rsidR="000C44AC" w:rsidRPr="0066103C">
        <w:t xml:space="preserve">of </w:t>
      </w:r>
      <w:r w:rsidR="00BA4948" w:rsidRPr="0066103C">
        <w:t>the name</w:t>
      </w:r>
      <w:r w:rsidR="004D5A94" w:rsidRPr="0066103C">
        <w:t xml:space="preserve"> as a description of Gabriel as a “</w:t>
      </w:r>
      <w:r w:rsidR="0000517E" w:rsidRPr="0066103C">
        <w:t xml:space="preserve">[strong] </w:t>
      </w:r>
      <w:r w:rsidR="004D5A94" w:rsidRPr="0066103C">
        <w:t>man of God.”</w:t>
      </w:r>
    </w:p>
    <w:p w:rsidR="00CC03AD" w:rsidRPr="0066103C" w:rsidRDefault="00CC03AD" w:rsidP="00CC03AD">
      <w:r w:rsidRPr="0066103C">
        <w:t>16.a-a. אולי</w:t>
      </w:r>
      <w:r w:rsidR="00975B24" w:rsidRPr="0066103C">
        <w:t xml:space="preserve"> </w:t>
      </w:r>
      <w:r w:rsidR="00BA4948" w:rsidRPr="0066103C">
        <w:t xml:space="preserve"> </w:t>
      </w:r>
      <w:r w:rsidR="00BA4948" w:rsidRPr="0066103C">
        <w:rPr>
          <w:rFonts w:ascii="Arial" w:hAnsi="Arial" w:cs="Arial"/>
        </w:rPr>
        <w:t>בין</w:t>
      </w:r>
      <w:r w:rsidR="00BA4948" w:rsidRPr="0066103C">
        <w:t xml:space="preserve"> </w:t>
      </w:r>
      <w:r w:rsidR="00975B24" w:rsidRPr="0066103C">
        <w:t>is an odd phrase;</w:t>
      </w:r>
      <w:r w:rsidRPr="0066103C">
        <w:t xml:space="preserve"> like English “between</w:t>
      </w:r>
      <w:r w:rsidR="00975B24" w:rsidRPr="0066103C">
        <w:t>,</w:t>
      </w:r>
      <w:r w:rsidRPr="0066103C">
        <w:t>” בין is not used with a s</w:t>
      </w:r>
      <w:r w:rsidR="00975B24" w:rsidRPr="0066103C">
        <w:t xml:space="preserve">. noun. </w:t>
      </w:r>
      <w:r w:rsidRPr="0066103C">
        <w:t>The phrase is usually taken elliptically, “between [the banks of] the Ulay,” and 12:6–7 may presuppose that understanding, though it uses על “above,” not בין</w:t>
      </w:r>
      <w:r w:rsidR="00975B24" w:rsidRPr="0066103C">
        <w:t>. ἀνὰ μέσον τοῦ Ου</w:t>
      </w:r>
      <w:r w:rsidR="00975B24" w:rsidRPr="0066103C">
        <w:rPr>
          <w:lang w:val="el-GR"/>
        </w:rPr>
        <w:t>β</w:t>
      </w:r>
      <w:r w:rsidRPr="0066103C">
        <w:t>αλ (Th) may give a better interpretati</w:t>
      </w:r>
      <w:r w:rsidR="00975B24" w:rsidRPr="0066103C">
        <w:t xml:space="preserve">on—not that we need </w:t>
      </w:r>
      <w:r w:rsidRPr="0066103C">
        <w:t>read אובל for אולי (against Hartman</w:t>
      </w:r>
      <w:r w:rsidR="001367F3" w:rsidRPr="0066103C">
        <w:t>/Di Lella</w:t>
      </w:r>
      <w:r w:rsidRPr="0066103C">
        <w:t xml:space="preserve">), but that the reference is to the Ulay Gate, amidst which the heavenly being stood. </w:t>
      </w:r>
      <w:r w:rsidR="00975B24" w:rsidRPr="0066103C">
        <w:t xml:space="preserve">This understanding parallels the only other clear occurrence of </w:t>
      </w:r>
      <w:r w:rsidR="00975B24" w:rsidRPr="0066103C">
        <w:rPr>
          <w:rFonts w:ascii="Arial" w:hAnsi="Arial" w:cs="Arial"/>
        </w:rPr>
        <w:t>בין</w:t>
      </w:r>
      <w:r w:rsidR="00975B24" w:rsidRPr="0066103C">
        <w:t xml:space="preserve"> with the s., Num 17:2 (in Isa 44:4 and Jer 48:45 the text is dubious on other grounds). Finkelstein (“‘Mesopotamia,’” </w:t>
      </w:r>
      <w:r w:rsidRPr="0066103C">
        <w:t xml:space="preserve">88–90) notes that the Akk. counterpart of בין, bīrī(t), can also be a noun meaning “middle ground” or “interval,” and sees </w:t>
      </w:r>
      <w:r w:rsidR="00BA4948" w:rsidRPr="0066103C">
        <w:rPr>
          <w:rFonts w:ascii="Arial" w:hAnsi="Arial" w:cs="Arial"/>
        </w:rPr>
        <w:t>לי</w:t>
      </w:r>
      <w:r w:rsidRPr="0066103C">
        <w:t xml:space="preserve">או </w:t>
      </w:r>
      <w:r w:rsidR="001900C6" w:rsidRPr="0066103C">
        <w:rPr>
          <w:rFonts w:ascii="Arial" w:hAnsi="Arial" w:cs="Arial"/>
        </w:rPr>
        <w:t>בין</w:t>
      </w:r>
      <w:r w:rsidR="001900C6" w:rsidRPr="0066103C">
        <w:t xml:space="preserve"> </w:t>
      </w:r>
      <w:r w:rsidRPr="0066103C">
        <w:t>as an Akkadianism designating a peninsula between two streams.</w:t>
      </w:r>
    </w:p>
    <w:p w:rsidR="00CC03AD" w:rsidRPr="0066103C" w:rsidRDefault="00CC03AD" w:rsidP="00CC03AD">
      <w:r w:rsidRPr="0066103C">
        <w:t xml:space="preserve">17.a. </w:t>
      </w:r>
      <w:r w:rsidR="004500F7" w:rsidRPr="0066103C">
        <w:t>EVV</w:t>
      </w:r>
      <w:r w:rsidRPr="0066103C">
        <w:t xml:space="preserve"> “terrified”: but</w:t>
      </w:r>
      <w:r w:rsidR="001900C6" w:rsidRPr="0066103C">
        <w:t xml:space="preserve"> </w:t>
      </w:r>
      <w:r w:rsidRPr="0066103C">
        <w:t xml:space="preserve"> בעת</w:t>
      </w:r>
      <w:r w:rsidR="001900C6" w:rsidRPr="0066103C">
        <w:t xml:space="preserve"> </w:t>
      </w:r>
      <w:r w:rsidRPr="0066103C">
        <w:t>mean</w:t>
      </w:r>
      <w:r w:rsidR="001900C6" w:rsidRPr="0066103C">
        <w:t>s “overwhel</w:t>
      </w:r>
      <w:r w:rsidR="008C0CDA">
        <w:t>m” without specifying the cause. T</w:t>
      </w:r>
      <w:r w:rsidR="00BA4948" w:rsidRPr="0066103C">
        <w:t>he context ca</w:t>
      </w:r>
      <w:r w:rsidRPr="0066103C">
        <w:t>n indicates something other than f</w:t>
      </w:r>
      <w:r w:rsidR="008C0CDA">
        <w:t>ear (e.g., 1 Sam 16:14–15), and f</w:t>
      </w:r>
      <w:r w:rsidRPr="0066103C">
        <w:t>ea</w:t>
      </w:r>
      <w:r w:rsidR="001900C6" w:rsidRPr="0066103C">
        <w:t>r is not indicated here</w:t>
      </w:r>
      <w:r w:rsidR="00BA4948" w:rsidRPr="0066103C">
        <w:t xml:space="preserve"> (see </w:t>
      </w:r>
      <w:r w:rsidR="00BA4948" w:rsidRPr="0066103C">
        <w:rPr>
          <w:i/>
        </w:rPr>
        <w:t>DCH</w:t>
      </w:r>
      <w:r w:rsidR="00BA4948" w:rsidRPr="0066103C">
        <w:t>)</w:t>
      </w:r>
      <w:r w:rsidRPr="0066103C">
        <w:t>; likewise with the nouns בעתה,</w:t>
      </w:r>
      <w:r w:rsidR="001900C6" w:rsidRPr="0066103C">
        <w:t xml:space="preserve"> </w:t>
      </w:r>
      <w:r w:rsidRPr="0066103C">
        <w:t xml:space="preserve"> בעותים.</w:t>
      </w:r>
    </w:p>
    <w:p w:rsidR="00CC03AD" w:rsidRPr="0066103C" w:rsidRDefault="00CC03AD" w:rsidP="00CC03AD">
      <w:r w:rsidRPr="0066103C">
        <w:t xml:space="preserve">17.b. “Because” </w:t>
      </w:r>
      <w:r w:rsidR="001900C6" w:rsidRPr="0066103C">
        <w:t xml:space="preserve">(Montgomery; cf. v 19b, and </w:t>
      </w:r>
      <w:r w:rsidRPr="0066103C">
        <w:t>n. 19.b-b., also 11:27, 35) is less natural after הבן here.</w:t>
      </w:r>
    </w:p>
    <w:p w:rsidR="00CC03AD" w:rsidRPr="0066103C" w:rsidRDefault="00CC03AD" w:rsidP="00CC03AD">
      <w:r w:rsidRPr="0066103C">
        <w:t xml:space="preserve">18.a. Ginsberg takes נרדם as a mistranslation of Aram. דמך, which he says means both “lie” and “sleep,” but </w:t>
      </w:r>
      <w:r w:rsidRPr="0066103C">
        <w:rPr>
          <w:i/>
        </w:rPr>
        <w:t>DTT</w:t>
      </w:r>
      <w:r w:rsidRPr="0066103C">
        <w:t xml:space="preserve"> suggests that דמך means “lie asleep,” not simply “lie down.”</w:t>
      </w:r>
    </w:p>
    <w:p w:rsidR="00CC03AD" w:rsidRPr="0066103C" w:rsidRDefault="00CC03AD" w:rsidP="00CC03AD">
      <w:r w:rsidRPr="0066103C">
        <w:t>19.a-a</w:t>
      </w:r>
      <w:r w:rsidR="001900C6" w:rsidRPr="0066103C">
        <w:t xml:space="preserve">. </w:t>
      </w:r>
      <w:r w:rsidRPr="0066103C">
        <w:t xml:space="preserve"> הזעם </w:t>
      </w:r>
      <w:r w:rsidR="001900C6" w:rsidRPr="0066103C">
        <w:rPr>
          <w:rFonts w:ascii="Arial" w:hAnsi="Arial" w:cs="Arial"/>
        </w:rPr>
        <w:t>באחרית</w:t>
      </w:r>
      <w:r w:rsidR="001900C6" w:rsidRPr="0066103C">
        <w:t xml:space="preserve"> </w:t>
      </w:r>
      <w:r w:rsidRPr="0066103C">
        <w:t>“at the end of the wrath” in the sense of “durin</w:t>
      </w:r>
      <w:r w:rsidR="00BA4948" w:rsidRPr="0066103C">
        <w:t>g the latter part of…</w:t>
      </w:r>
      <w:r w:rsidR="001900C6" w:rsidRPr="0066103C">
        <w:t>” (NIV</w:t>
      </w:r>
      <w:r w:rsidRPr="0066103C">
        <w:t>), not “at [or after] the actual termination of . . .”; see on 2:28.</w:t>
      </w:r>
    </w:p>
    <w:p w:rsidR="00CC03AD" w:rsidRPr="0066103C" w:rsidRDefault="00CC03AD" w:rsidP="00CC03AD">
      <w:r w:rsidRPr="0066103C">
        <w:t xml:space="preserve">19.b-b. Cf. Hasslberger, </w:t>
      </w:r>
      <w:r w:rsidRPr="0066103C">
        <w:rPr>
          <w:i/>
        </w:rPr>
        <w:t>Hoffnung</w:t>
      </w:r>
      <w:r w:rsidR="001900C6" w:rsidRPr="0066103C">
        <w:rPr>
          <w:i/>
        </w:rPr>
        <w:t xml:space="preserve"> in der Bedrängnis</w:t>
      </w:r>
      <w:r w:rsidR="00BA4948" w:rsidRPr="0066103C">
        <w:t>; Young. MT accents</w:t>
      </w:r>
      <w:r w:rsidRPr="0066103C">
        <w:t xml:space="preserve"> </w:t>
      </w:r>
      <w:r w:rsidR="001900C6" w:rsidRPr="0066103C">
        <w:t xml:space="preserve">and G </w:t>
      </w:r>
      <w:r w:rsidRPr="0066103C">
        <w:t>take as constr</w:t>
      </w:r>
      <w:r w:rsidR="001900C6" w:rsidRPr="0066103C">
        <w:t>uct</w:t>
      </w:r>
      <w:r w:rsidRPr="0066103C">
        <w:t xml:space="preserve"> “it will be for the time of the end,” parallel to קץ </w:t>
      </w:r>
      <w:r w:rsidR="001900C6" w:rsidRPr="0066103C">
        <w:rPr>
          <w:rFonts w:ascii="Arial" w:hAnsi="Arial" w:cs="Arial"/>
        </w:rPr>
        <w:t>עת</w:t>
      </w:r>
      <w:r w:rsidR="001900C6" w:rsidRPr="0066103C">
        <w:t xml:space="preserve"> </w:t>
      </w:r>
      <w:r w:rsidRPr="0066103C">
        <w:t xml:space="preserve">in v 17. But that </w:t>
      </w:r>
      <w:r w:rsidR="000A3017" w:rsidRPr="0066103C">
        <w:t xml:space="preserve">clause </w:t>
      </w:r>
      <w:r w:rsidRPr="0066103C">
        <w:t>has החזון as subj</w:t>
      </w:r>
      <w:r w:rsidR="001900C6" w:rsidRPr="0066103C">
        <w:t>ect</w:t>
      </w:r>
      <w:r w:rsidRPr="0066103C">
        <w:t xml:space="preserve">; this </w:t>
      </w:r>
      <w:r w:rsidR="000A3017" w:rsidRPr="0066103C">
        <w:t xml:space="preserve">clause </w:t>
      </w:r>
      <w:r w:rsidRPr="0066103C">
        <w:t>would lack an equivalent (supplied by Th</w:t>
      </w:r>
      <w:r w:rsidRPr="0066103C">
        <w:rPr>
          <w:vertAlign w:val="superscript"/>
        </w:rPr>
        <w:t>AB</w:t>
      </w:r>
      <w:r w:rsidRPr="0066103C">
        <w:t>, cf. BHS). Ginsberg repoints to assimilate to 11:27, but there the phrase as a whole is diffe</w:t>
      </w:r>
      <w:r w:rsidR="001900C6" w:rsidRPr="0066103C">
        <w:t>rent. Calvin assimilates the translation</w:t>
      </w:r>
      <w:r w:rsidRPr="0066103C">
        <w:t xml:space="preserve"> of v 17 to that accepted here for v 19.</w:t>
      </w:r>
      <w:r w:rsidR="00925C35">
        <w:t xml:space="preserve"> </w:t>
      </w:r>
    </w:p>
    <w:p w:rsidR="00CC03AD" w:rsidRPr="0066103C" w:rsidRDefault="00CC03AD" w:rsidP="00CC03AD">
      <w:r w:rsidRPr="0066103C">
        <w:t>20.a. There being no Heb. equivalent to “is,” vv 20–21 simply set visionary feature and interpretation alongside each other (cf. v 22).</w:t>
      </w:r>
    </w:p>
    <w:p w:rsidR="00CC03AD" w:rsidRPr="0066103C" w:rsidRDefault="00CC03AD" w:rsidP="00CC03AD">
      <w:r w:rsidRPr="0066103C">
        <w:t>20.b. “King(s)” need not be changed to “kingdom(s)” in vv 20–21 (against Hartman</w:t>
      </w:r>
      <w:r w:rsidR="001900C6" w:rsidRPr="0066103C">
        <w:t>/Di L</w:t>
      </w:r>
      <w:r w:rsidR="001367F3" w:rsidRPr="0066103C">
        <w:t>ella</w:t>
      </w:r>
      <w:r w:rsidRPr="0066103C">
        <w:t>); Dan</w:t>
      </w:r>
      <w:r w:rsidR="001900C6" w:rsidRPr="0066103C">
        <w:t>iel</w:t>
      </w:r>
      <w:r w:rsidRPr="0066103C">
        <w:t xml:space="preserve"> elsewhere uses the</w:t>
      </w:r>
      <w:r w:rsidR="008C0CDA">
        <w:t xml:space="preserve"> former for the latter, </w:t>
      </w:r>
      <w:r w:rsidR="001900C6" w:rsidRPr="0066103C">
        <w:t>and cf.</w:t>
      </w:r>
      <w:r w:rsidRPr="0066103C">
        <w:t xml:space="preserve"> the m</w:t>
      </w:r>
      <w:r w:rsidR="001900C6" w:rsidRPr="0066103C">
        <w:t>.</w:t>
      </w:r>
      <w:r w:rsidRPr="0066103C">
        <w:t xml:space="preserve"> suff</w:t>
      </w:r>
      <w:r w:rsidR="001900C6" w:rsidRPr="0066103C">
        <w:t>ix</w:t>
      </w:r>
      <w:r w:rsidR="008C0CDA">
        <w:t xml:space="preserve"> in v 23a (</w:t>
      </w:r>
      <w:r w:rsidRPr="0066103C">
        <w:t xml:space="preserve">Hasslberger, </w:t>
      </w:r>
      <w:r w:rsidRPr="0066103C">
        <w:rPr>
          <w:i/>
        </w:rPr>
        <w:t>Hoffnung</w:t>
      </w:r>
      <w:r w:rsidR="001900C6" w:rsidRPr="0066103C">
        <w:t xml:space="preserve"> </w:t>
      </w:r>
      <w:r w:rsidR="001900C6" w:rsidRPr="0066103C">
        <w:rPr>
          <w:i/>
        </w:rPr>
        <w:t>in der Bedrängnis</w:t>
      </w:r>
      <w:r w:rsidRPr="0066103C">
        <w:t>).</w:t>
      </w:r>
    </w:p>
    <w:p w:rsidR="00CC03AD" w:rsidRPr="0066103C" w:rsidRDefault="00CC03AD" w:rsidP="00CC03AD">
      <w:r w:rsidRPr="0066103C">
        <w:lastRenderedPageBreak/>
        <w:t xml:space="preserve">21.a. </w:t>
      </w:r>
      <w:r w:rsidR="006A567D" w:rsidRPr="0066103C">
        <w:t xml:space="preserve"> </w:t>
      </w:r>
      <w:r w:rsidRPr="0066103C">
        <w:t>השעיר</w:t>
      </w:r>
      <w:r w:rsidR="006A567D" w:rsidRPr="0066103C">
        <w:t xml:space="preserve"> </w:t>
      </w:r>
      <w:r w:rsidR="006A567D" w:rsidRPr="0066103C">
        <w:rPr>
          <w:rFonts w:ascii="Arial" w:hAnsi="Arial" w:cs="Arial"/>
        </w:rPr>
        <w:t>הצפיר</w:t>
      </w:r>
      <w:r w:rsidRPr="0066103C">
        <w:t xml:space="preserve">, the Aram. and then the Heb. word for “he-goat” instead of the idiomatic expression used earlier (see n. 5.b-b). </w:t>
      </w:r>
      <w:r w:rsidR="004500F7" w:rsidRPr="0066103C">
        <w:t>EVV</w:t>
      </w:r>
      <w:r w:rsidRPr="0066103C">
        <w:t xml:space="preserve"> may be right to take השעיר as an adj</w:t>
      </w:r>
      <w:r w:rsidR="006A567D" w:rsidRPr="0066103C">
        <w:t>ective, “hairy.” G</w:t>
      </w:r>
      <w:r w:rsidRPr="0066103C">
        <w:t xml:space="preserve"> assimilate</w:t>
      </w:r>
      <w:r w:rsidR="006A567D" w:rsidRPr="0066103C">
        <w:t>s</w:t>
      </w:r>
      <w:r w:rsidRPr="0066103C">
        <w:t xml:space="preserve"> to vv 5, 8; more likely הצפיר alone is original and השעיר an explanatory g</w:t>
      </w:r>
      <w:r w:rsidR="00EA1EC4" w:rsidRPr="0066103C">
        <w:t>l</w:t>
      </w:r>
      <w:r w:rsidR="00413BE0" w:rsidRPr="0066103C">
        <w:t>oss</w:t>
      </w:r>
      <w:r w:rsidRPr="0066103C">
        <w:t xml:space="preserve"> (Charles).</w:t>
      </w:r>
    </w:p>
    <w:p w:rsidR="00CC03AD" w:rsidRPr="0066103C" w:rsidRDefault="00CC03AD" w:rsidP="00CC03AD">
      <w:r w:rsidRPr="0066103C">
        <w:t>21.b. See n. 20.b.</w:t>
      </w:r>
    </w:p>
    <w:p w:rsidR="00CC03AD" w:rsidRPr="0066103C" w:rsidRDefault="00CC03AD" w:rsidP="00CC03AD">
      <w:r w:rsidRPr="0066103C">
        <w:t>21.c. יון, the regular BH word for G</w:t>
      </w:r>
      <w:r w:rsidR="00413BE0" w:rsidRPr="0066103C">
        <w:t xml:space="preserve">reece; </w:t>
      </w:r>
      <w:r w:rsidRPr="0066103C">
        <w:t>Ionia made the earliest contacts eastward</w:t>
      </w:r>
      <w:r w:rsidR="00EA1EC4" w:rsidRPr="0066103C">
        <w:t>s</w:t>
      </w:r>
      <w:r w:rsidRPr="0066103C">
        <w:t>.</w:t>
      </w:r>
    </w:p>
    <w:p w:rsidR="00CC03AD" w:rsidRPr="0066103C" w:rsidRDefault="00413BE0" w:rsidP="00CC03AD">
      <w:r w:rsidRPr="0066103C">
        <w:t>22.a. T</w:t>
      </w:r>
      <w:r w:rsidR="00CC03AD" w:rsidRPr="0066103C">
        <w:t xml:space="preserve">he </w:t>
      </w:r>
      <w:r w:rsidR="00CC03AD" w:rsidRPr="003A423E">
        <w:rPr>
          <w:i/>
        </w:rPr>
        <w:t>waw</w:t>
      </w:r>
      <w:r w:rsidR="00CC03AD" w:rsidRPr="0066103C">
        <w:t xml:space="preserve"> </w:t>
      </w:r>
      <w:r w:rsidR="000A3017" w:rsidRPr="0066103C">
        <w:t>consecutive</w:t>
      </w:r>
      <w:r w:rsidR="00CC03AD" w:rsidRPr="0066103C">
        <w:t xml:space="preserve"> </w:t>
      </w:r>
      <w:r w:rsidRPr="0066103C">
        <w:t xml:space="preserve">again </w:t>
      </w:r>
      <w:r w:rsidR="00CC03AD" w:rsidRPr="0066103C">
        <w:t xml:space="preserve">continues the </w:t>
      </w:r>
      <w:r w:rsidR="00640EDB" w:rsidRPr="0066103C">
        <w:t>participial</w:t>
      </w:r>
      <w:r w:rsidR="00CC03AD" w:rsidRPr="0066103C">
        <w:t xml:space="preserve"> construction (see n. 7.a-a. and cf. n. 15.a-a.; GKC 116wx).</w:t>
      </w:r>
    </w:p>
    <w:p w:rsidR="00CC03AD" w:rsidRPr="0066103C" w:rsidRDefault="00CC03AD" w:rsidP="00CC03AD">
      <w:r w:rsidRPr="0066103C">
        <w:t>22.b-b. יעמדנה . . . מלכיות</w:t>
      </w:r>
      <w:r w:rsidR="00413BE0" w:rsidRPr="0066103C">
        <w:t>. Perhaps</w:t>
      </w:r>
      <w:r w:rsidRPr="0066103C">
        <w:t xml:space="preserve"> both are mixed forms, combining יעמדו . . . מלכים</w:t>
      </w:r>
      <w:r w:rsidR="00413BE0" w:rsidRPr="0066103C">
        <w:t xml:space="preserve"> (“kings will arise”; G, Vg</w:t>
      </w:r>
      <w:r w:rsidRPr="0066103C">
        <w:t xml:space="preserve">) and תעמדנה . . . מלכות (“kingdoms will arise”; </w:t>
      </w:r>
      <w:r w:rsidR="004500F7" w:rsidRPr="0066103C">
        <w:t>EVV</w:t>
      </w:r>
      <w:r w:rsidRPr="0066103C">
        <w:t>), though מלכיות</w:t>
      </w:r>
      <w:r w:rsidR="00413BE0" w:rsidRPr="0066103C">
        <w:t xml:space="preserve"> is a </w:t>
      </w:r>
      <w:r w:rsidRPr="0066103C">
        <w:t xml:space="preserve">form </w:t>
      </w:r>
      <w:r w:rsidR="00413BE0" w:rsidRPr="0066103C">
        <w:t xml:space="preserve">from later Heb. </w:t>
      </w:r>
      <w:r w:rsidRPr="0066103C">
        <w:t>(Montgomery) and יעמדנה could be an Aramaism (Ginsberg, 56, cf. GKC 47k), so perhaps the forms are original here.</w:t>
      </w:r>
    </w:p>
    <w:p w:rsidR="00CC03AD" w:rsidRPr="0066103C" w:rsidRDefault="00CC03AD" w:rsidP="00CC03AD">
      <w:r w:rsidRPr="0066103C">
        <w:t xml:space="preserve">22.c. </w:t>
      </w:r>
      <w:r w:rsidR="00413BE0" w:rsidRPr="0066103C">
        <w:t>Reading</w:t>
      </w:r>
      <w:r w:rsidR="006F632D">
        <w:t xml:space="preserve"> </w:t>
      </w:r>
      <w:r w:rsidR="00413BE0" w:rsidRPr="0066103C">
        <w:t xml:space="preserve"> </w:t>
      </w:r>
      <w:r w:rsidR="006F632D" w:rsidRPr="006F632D">
        <w:rPr>
          <w:rFonts w:ascii="Arial" w:hAnsi="Arial" w:cs="Arial"/>
        </w:rPr>
        <w:t>ו</w:t>
      </w:r>
      <w:r w:rsidR="006F632D">
        <w:rPr>
          <w:rFonts w:ascii="Arial" w:hAnsi="Arial" w:cs="Arial"/>
        </w:rPr>
        <w:t xml:space="preserve"> </w:t>
      </w:r>
      <w:r w:rsidR="006F632D" w:rsidRPr="006F632D">
        <w:rPr>
          <w:rFonts w:ascii="Arial" w:hAnsi="Arial" w:cs="Arial"/>
        </w:rPr>
        <w:t>גו</w:t>
      </w:r>
      <w:r w:rsidR="006F632D">
        <w:rPr>
          <w:rFonts w:ascii="Arial" w:hAnsi="Arial" w:cs="Arial"/>
        </w:rPr>
        <w:t xml:space="preserve"> </w:t>
      </w:r>
      <w:r w:rsidR="006F632D" w:rsidRPr="006F632D">
        <w:rPr>
          <w:rFonts w:ascii="Arial" w:hAnsi="Arial" w:cs="Arial"/>
        </w:rPr>
        <w:t>מ</w:t>
      </w:r>
      <w:r w:rsidRPr="0066103C">
        <w:t xml:space="preserve"> (Ginsberg, 56; cf. גו in 3:6</w:t>
      </w:r>
      <w:r w:rsidR="00413BE0" w:rsidRPr="0066103C">
        <w:t>,</w:t>
      </w:r>
      <w:r w:rsidRPr="0066103C">
        <w:t xml:space="preserve"> etc.) rather than מגוי</w:t>
      </w:r>
      <w:r w:rsidR="00413BE0" w:rsidRPr="0066103C">
        <w:t xml:space="preserve"> “from a nation” (MT) or</w:t>
      </w:r>
      <w:r w:rsidRPr="0066103C">
        <w:t>מגויו</w:t>
      </w:r>
      <w:r w:rsidR="00413BE0" w:rsidRPr="0066103C">
        <w:t xml:space="preserve"> “from his nation” (implied by G</w:t>
      </w:r>
      <w:r w:rsidR="00B556AC">
        <w:t>; cf. Gzella</w:t>
      </w:r>
      <w:r w:rsidR="00413BE0" w:rsidRPr="0066103C">
        <w:t>)</w:t>
      </w:r>
      <w:r w:rsidRPr="0066103C">
        <w:t>. Eitan suggests “from the world,” comparing גוי in 12:1.</w:t>
      </w:r>
    </w:p>
    <w:p w:rsidR="00CC03AD" w:rsidRPr="0066103C" w:rsidRDefault="00CC03AD" w:rsidP="00CC03AD">
      <w:r w:rsidRPr="0066103C">
        <w:t>23.a-a. See n. 19.a-a.</w:t>
      </w:r>
    </w:p>
    <w:p w:rsidR="00CC03AD" w:rsidRPr="0066103C" w:rsidRDefault="00CC03AD" w:rsidP="00CC03AD">
      <w:r w:rsidRPr="0066103C">
        <w:t>23.b. BHS repoints הַפְּשָׁעִים</w:t>
      </w:r>
      <w:r w:rsidR="00AD4BBA" w:rsidRPr="0066103C">
        <w:t xml:space="preserve"> (“rebellions</w:t>
      </w:r>
      <w:r w:rsidR="00413BE0" w:rsidRPr="0066103C">
        <w:t>”</w:t>
      </w:r>
      <w:r w:rsidRPr="0066103C">
        <w:t>): cf. G</w:t>
      </w:r>
      <w:r w:rsidR="00AD4BBA" w:rsidRPr="0066103C">
        <w:t>, perhaps assimilating</w:t>
      </w:r>
      <w:r w:rsidRPr="0066103C">
        <w:t xml:space="preserve"> to פשע</w:t>
      </w:r>
      <w:r w:rsidR="0021210D">
        <w:t xml:space="preserve"> in (e.g.)</w:t>
      </w:r>
      <w:r w:rsidR="00AD4BBA" w:rsidRPr="0066103C">
        <w:t xml:space="preserve"> v</w:t>
      </w:r>
      <w:r w:rsidR="000C1456" w:rsidRPr="0066103C">
        <w:t>v</w:t>
      </w:r>
      <w:r w:rsidR="00AD4BBA" w:rsidRPr="0066103C">
        <w:t xml:space="preserve"> 12, 13; 9:24. But t</w:t>
      </w:r>
      <w:r w:rsidRPr="0066103C">
        <w:t>he use of the s</w:t>
      </w:r>
      <w:r w:rsidR="00AD4BBA" w:rsidRPr="0066103C">
        <w:t>.</w:t>
      </w:r>
      <w:r w:rsidRPr="0066103C">
        <w:t xml:space="preserve"> dis</w:t>
      </w:r>
      <w:r w:rsidR="00AD4BBA" w:rsidRPr="0066103C">
        <w:t xml:space="preserve">tinguishes these passages </w:t>
      </w:r>
      <w:r w:rsidRPr="0066103C">
        <w:t>refer</w:t>
      </w:r>
      <w:r w:rsidR="00AD4BBA" w:rsidRPr="0066103C">
        <w:t>ring</w:t>
      </w:r>
      <w:r w:rsidRPr="0066103C">
        <w:t xml:space="preserve"> to “rebellion” rather than “rebels.”</w:t>
      </w:r>
    </w:p>
    <w:p w:rsidR="00CC03AD" w:rsidRPr="0066103C" w:rsidRDefault="00CC03AD" w:rsidP="00CC03AD">
      <w:r w:rsidRPr="0066103C">
        <w:t>23.c. Or “come to an end” (cf. n. 9:24.e-e).</w:t>
      </w:r>
    </w:p>
    <w:p w:rsidR="00CC03AD" w:rsidRPr="0066103C" w:rsidRDefault="00CC03AD" w:rsidP="00CC03AD">
      <w:r w:rsidRPr="0066103C">
        <w:t>23.d. There is no need to take</w:t>
      </w:r>
      <w:r w:rsidR="00AD4BBA" w:rsidRPr="0066103C">
        <w:t xml:space="preserve"> </w:t>
      </w:r>
      <w:r w:rsidRPr="0066103C">
        <w:t xml:space="preserve"> חידות here (alone) to mean sayings intended to deceive (against </w:t>
      </w:r>
      <w:r w:rsidR="004500F7" w:rsidRPr="0066103C">
        <w:t>EVV</w:t>
      </w:r>
      <w:r w:rsidRPr="0066103C">
        <w:t xml:space="preserve">; see </w:t>
      </w:r>
      <w:r w:rsidRPr="0066103C">
        <w:rPr>
          <w:i/>
        </w:rPr>
        <w:t>Comment</w:t>
      </w:r>
      <w:r w:rsidRPr="0066103C">
        <w:t>), though this motif does come in v 25.</w:t>
      </w:r>
    </w:p>
    <w:p w:rsidR="00CC03AD" w:rsidRPr="0066103C" w:rsidRDefault="00CC03AD" w:rsidP="00CC03AD">
      <w:r w:rsidRPr="0066103C">
        <w:t>24.a-a. בכחו</w:t>
      </w:r>
      <w:r w:rsidR="00AD4BBA" w:rsidRPr="0066103C">
        <w:t xml:space="preserve"> </w:t>
      </w:r>
      <w:r w:rsidR="00AD4BBA" w:rsidRPr="0066103C">
        <w:rPr>
          <w:rFonts w:ascii="Arial" w:hAnsi="Arial" w:cs="Arial"/>
        </w:rPr>
        <w:t>ולא</w:t>
      </w:r>
      <w:r w:rsidR="00AD4BBA" w:rsidRPr="0066103C">
        <w:t>, as in v 22;</w:t>
      </w:r>
      <w:r w:rsidRPr="0066103C">
        <w:t xml:space="preserve"> the meaning is likely the same (against </w:t>
      </w:r>
      <w:r w:rsidR="004500F7" w:rsidRPr="0066103C">
        <w:t>Syr</w:t>
      </w:r>
      <w:r w:rsidR="00AD4BBA" w:rsidRPr="0066103C">
        <w:t>, JB): the line reaffirms</w:t>
      </w:r>
      <w:r w:rsidRPr="0066103C">
        <w:t xml:space="preserve"> that this king’s strength, too, does not bear comparing with his great predecessor’s. But G omits, and such a qualifying of the description of Antio</w:t>
      </w:r>
      <w:r w:rsidR="00AD4BBA" w:rsidRPr="0066103C">
        <w:t xml:space="preserve">chus’s power is unexpected </w:t>
      </w:r>
      <w:r w:rsidRPr="0066103C">
        <w:t>as v</w:t>
      </w:r>
      <w:r w:rsidR="00AD4BBA" w:rsidRPr="0066103C">
        <w:t>v 23–25 build up the suspense; perhaps</w:t>
      </w:r>
      <w:r w:rsidRPr="0066103C">
        <w:t xml:space="preserve"> </w:t>
      </w:r>
      <w:r w:rsidR="00EA1EC4" w:rsidRPr="0066103C">
        <w:t xml:space="preserve">a </w:t>
      </w:r>
      <w:r w:rsidRPr="0066103C">
        <w:t>gl</w:t>
      </w:r>
      <w:r w:rsidR="00AD4BBA" w:rsidRPr="0066103C">
        <w:t>oss</w:t>
      </w:r>
      <w:r w:rsidRPr="0066103C">
        <w:t xml:space="preserve"> from v 22, either accidental or introducing a negative evaluation of Antiochus.</w:t>
      </w:r>
    </w:p>
    <w:p w:rsidR="00CC03AD" w:rsidRPr="0066103C" w:rsidRDefault="00CC03AD" w:rsidP="00CC03AD">
      <w:r w:rsidRPr="0066103C">
        <w:t>24.b-b</w:t>
      </w:r>
      <w:r w:rsidR="00183425" w:rsidRPr="0066103C">
        <w:t xml:space="preserve"> </w:t>
      </w:r>
      <w:r w:rsidRPr="0066103C">
        <w:t xml:space="preserve"> ישחית </w:t>
      </w:r>
      <w:r w:rsidR="00183425" w:rsidRPr="0066103C">
        <w:t xml:space="preserve"> </w:t>
      </w:r>
      <w:r w:rsidR="00183425" w:rsidRPr="0066103C">
        <w:rPr>
          <w:rFonts w:ascii="Arial" w:hAnsi="Arial" w:cs="Arial"/>
        </w:rPr>
        <w:t>נפלאות</w:t>
      </w:r>
      <w:r w:rsidR="0021210D">
        <w:t xml:space="preserve"> :</w:t>
      </w:r>
      <w:r w:rsidRPr="0066103C">
        <w:t>“</w:t>
      </w:r>
      <w:r w:rsidR="00183425" w:rsidRPr="0066103C">
        <w:t xml:space="preserve"> [with] astounding acts he will destroy</w:t>
      </w:r>
      <w:r w:rsidR="0021210D">
        <w:t>”; see GKC 100d, 118mp</w:t>
      </w:r>
      <w:r w:rsidRPr="0066103C">
        <w:t>. 11:36 has</w:t>
      </w:r>
      <w:r w:rsidR="00183425" w:rsidRPr="0066103C">
        <w:t xml:space="preserve"> </w:t>
      </w:r>
      <w:r w:rsidRPr="0066103C">
        <w:t xml:space="preserve"> נפלאות </w:t>
      </w:r>
      <w:r w:rsidR="00183425" w:rsidRPr="0066103C">
        <w:rPr>
          <w:rFonts w:ascii="Arial" w:hAnsi="Arial" w:cs="Arial"/>
        </w:rPr>
        <w:t>ידבר</w:t>
      </w:r>
      <w:r w:rsidR="00183425" w:rsidRPr="0066103C">
        <w:t xml:space="preserve"> “he will speak astounding things,</w:t>
      </w:r>
      <w:r w:rsidRPr="0066103C">
        <w:t>” and Hartman</w:t>
      </w:r>
      <w:r w:rsidR="001367F3" w:rsidRPr="0066103C">
        <w:t>/Di Lella</w:t>
      </w:r>
      <w:r w:rsidR="00183425" w:rsidRPr="0066103C">
        <w:t xml:space="preserve"> assimilates 8:24 to it, while Bevan </w:t>
      </w:r>
      <w:r w:rsidRPr="0066103C">
        <w:t>emends</w:t>
      </w:r>
      <w:r w:rsidR="00183425" w:rsidRPr="0066103C">
        <w:t xml:space="preserve"> </w:t>
      </w:r>
      <w:r w:rsidRPr="0066103C">
        <w:t xml:space="preserve"> ישחית to</w:t>
      </w:r>
      <w:r w:rsidR="00183425" w:rsidRPr="0066103C">
        <w:t xml:space="preserve"> </w:t>
      </w:r>
      <w:r w:rsidRPr="0066103C">
        <w:t xml:space="preserve"> ישיח or</w:t>
      </w:r>
      <w:r w:rsidR="00183425" w:rsidRPr="0066103C">
        <w:t xml:space="preserve"> </w:t>
      </w:r>
      <w:r w:rsidRPr="0066103C">
        <w:t xml:space="preserve"> ישחח “he will utter”; but such a meaning of</w:t>
      </w:r>
      <w:r w:rsidR="00183425" w:rsidRPr="0066103C">
        <w:t xml:space="preserve"> </w:t>
      </w:r>
      <w:r w:rsidRPr="0066103C">
        <w:t xml:space="preserve"> שיח is not clearly instanced and this seems an implausible way to achieve an unnecessary end.</w:t>
      </w:r>
    </w:p>
    <w:p w:rsidR="00CC03AD" w:rsidRPr="0066103C" w:rsidRDefault="00183425" w:rsidP="00CC03AD">
      <w:r w:rsidRPr="0066103C">
        <w:t xml:space="preserve">24.c. Explicative </w:t>
      </w:r>
      <w:r w:rsidRPr="003A423E">
        <w:rPr>
          <w:i/>
        </w:rPr>
        <w:t>waw</w:t>
      </w:r>
      <w:r w:rsidRPr="0066103C">
        <w:t xml:space="preserve"> (n. 6:28</w:t>
      </w:r>
      <w:r w:rsidR="00CC03AD" w:rsidRPr="0066103C">
        <w:t>.a); the phrase may be a gl</w:t>
      </w:r>
      <w:r w:rsidRPr="0066103C">
        <w:t>oss</w:t>
      </w:r>
      <w:r w:rsidR="00CC03AD" w:rsidRPr="0066103C">
        <w:t xml:space="preserve"> (Bentzen) or </w:t>
      </w:r>
      <w:r w:rsidRPr="0066103C">
        <w:t xml:space="preserve">may </w:t>
      </w:r>
      <w:r w:rsidR="00CC03AD" w:rsidRPr="0066103C">
        <w:t>be misplaced from v 25 (BHS)—see n. 25.a-a.</w:t>
      </w:r>
    </w:p>
    <w:p w:rsidR="00CC03AD" w:rsidRPr="0066103C" w:rsidRDefault="00CC03AD" w:rsidP="00CC03AD">
      <w:r w:rsidRPr="0066103C">
        <w:t xml:space="preserve">25.a-a. Cf. Hasslberger, </w:t>
      </w:r>
      <w:r w:rsidRPr="0066103C">
        <w:rPr>
          <w:i/>
        </w:rPr>
        <w:t>Hoffnung</w:t>
      </w:r>
      <w:r w:rsidR="00183425" w:rsidRPr="0066103C">
        <w:rPr>
          <w:i/>
        </w:rPr>
        <w:t xml:space="preserve"> in der Bedrängnis</w:t>
      </w:r>
      <w:r w:rsidRPr="0066103C">
        <w:t xml:space="preserve">. Montgomery takes as </w:t>
      </w:r>
      <w:r w:rsidR="004406E8">
        <w:t>an extraposed phrase (</w:t>
      </w:r>
      <w:r w:rsidRPr="0066103C">
        <w:t>casus pendens</w:t>
      </w:r>
      <w:r w:rsidR="004406E8">
        <w:t>)</w:t>
      </w:r>
      <w:r w:rsidR="00C942C8">
        <w:t xml:space="preserve"> to begin v. 25</w:t>
      </w:r>
      <w:r w:rsidRPr="0066103C">
        <w:t>, but examples and cross-ref</w:t>
      </w:r>
      <w:r w:rsidR="004441C6" w:rsidRPr="0066103C">
        <w:t>erence</w:t>
      </w:r>
      <w:r w:rsidRPr="0066103C">
        <w:t xml:space="preserve">s in </w:t>
      </w:r>
      <w:r w:rsidRPr="0066103C">
        <w:rPr>
          <w:i/>
        </w:rPr>
        <w:t>TTH</w:t>
      </w:r>
      <w:r w:rsidR="004441C6" w:rsidRPr="0066103C">
        <w:t>,</w:t>
      </w:r>
      <w:r w:rsidRPr="0066103C">
        <w:t xml:space="preserve"> 123; GKC 143 include none that are so abrupt (Qoh 5:6 comes nearest). OG presupposes קדשים after ועל (Graetz), dropped by haplog</w:t>
      </w:r>
      <w:r w:rsidR="00203E22">
        <w:t>.</w:t>
      </w:r>
      <w:r w:rsidRPr="0066103C">
        <w:t xml:space="preserve"> (cf. end of v 24).</w:t>
      </w:r>
    </w:p>
    <w:p w:rsidR="00CC03AD" w:rsidRPr="0066103C" w:rsidRDefault="00CC03AD" w:rsidP="00CC03AD">
      <w:r w:rsidRPr="0066103C">
        <w:t>25.b-b. Taking בלבבו</w:t>
      </w:r>
      <w:r w:rsidR="0021210D">
        <w:t>,</w:t>
      </w:r>
      <w:r w:rsidRPr="0066103C">
        <w:t xml:space="preserve"> </w:t>
      </w:r>
      <w:r w:rsidR="0021210D">
        <w:t xml:space="preserve">literally </w:t>
      </w:r>
      <w:r w:rsidRPr="0066103C">
        <w:t>“in/by his heart/mind</w:t>
      </w:r>
      <w:r w:rsidR="0021210D">
        <w:t>,</w:t>
      </w:r>
      <w:r w:rsidRPr="0066103C">
        <w:t xml:space="preserve">” as parallel to בידו “in/by his hand” in the previous line. For לבב “courage” cf. 11:25, similarly linked with כח “power.” </w:t>
      </w:r>
      <w:r w:rsidR="00F1307C" w:rsidRPr="0066103C">
        <w:t>“In his mind [he will grow big</w:t>
      </w:r>
      <w:r w:rsidRPr="0066103C">
        <w:t>]” (</w:t>
      </w:r>
      <w:r w:rsidR="004500F7" w:rsidRPr="0066103C">
        <w:t>EVV</w:t>
      </w:r>
      <w:r w:rsidRPr="0066103C">
        <w:t xml:space="preserve">) is difficult to parallel, and </w:t>
      </w:r>
      <w:r w:rsidR="004441C6" w:rsidRPr="0066103C">
        <w:t xml:space="preserve">on the verb </w:t>
      </w:r>
      <w:r w:rsidRPr="0066103C">
        <w:t>see further n. 4.c-c.</w:t>
      </w:r>
      <w:r w:rsidR="004441C6" w:rsidRPr="0066103C">
        <w:t>, n. 8.a-a</w:t>
      </w:r>
      <w:r w:rsidRPr="0066103C">
        <w:t>; here, too, there is no need to understand it as suggesting pretension, fo</w:t>
      </w:r>
      <w:r w:rsidR="00F1307C" w:rsidRPr="0066103C">
        <w:t>r the king really does “do big</w:t>
      </w:r>
      <w:r w:rsidRPr="0066103C">
        <w:t xml:space="preserve"> things.”</w:t>
      </w:r>
    </w:p>
    <w:p w:rsidR="00CC03AD" w:rsidRPr="0066103C" w:rsidRDefault="00CC03AD" w:rsidP="00CC03AD">
      <w:r w:rsidRPr="0066103C">
        <w:t xml:space="preserve">25.c. </w:t>
      </w:r>
      <w:r w:rsidR="004500F7" w:rsidRPr="0066103C">
        <w:t>EVV</w:t>
      </w:r>
      <w:r w:rsidRPr="0066103C">
        <w:t xml:space="preserve"> generally refer בשלוה here and in 11:21, 24 to the (apparent) security of those who are attacked, unawares. It more naturally refers to the attacker himself: cf. Th, Vg; </w:t>
      </w:r>
      <w:r w:rsidR="004500F7" w:rsidRPr="0066103C">
        <w:t>Syr</w:t>
      </w:r>
      <w:r w:rsidRPr="0066103C">
        <w:t xml:space="preserve"> (which lacks it at 11</w:t>
      </w:r>
      <w:r w:rsidR="004441C6" w:rsidRPr="0066103C">
        <w:t>:24); OG (but in 11:21, 24 ἐξά</w:t>
      </w:r>
      <w:r w:rsidRPr="0066103C">
        <w:t>πινα: if</w:t>
      </w:r>
      <w:r w:rsidR="004441C6" w:rsidRPr="0066103C">
        <w:t xml:space="preserve"> </w:t>
      </w:r>
      <w:r w:rsidRPr="0066103C">
        <w:t xml:space="preserve"> בשלוה means “suddenly” it is an Aramaism—so Hartman</w:t>
      </w:r>
      <w:r w:rsidR="001367F3" w:rsidRPr="0066103C">
        <w:t>/Di Lella</w:t>
      </w:r>
      <w:r w:rsidRPr="0066103C">
        <w:t xml:space="preserve"> also </w:t>
      </w:r>
      <w:r w:rsidR="004441C6" w:rsidRPr="0066103C">
        <w:t>here at 8:25); also JB</w:t>
      </w:r>
      <w:r w:rsidRPr="0066103C">
        <w:t xml:space="preserve"> at 11:21, 24.</w:t>
      </w:r>
    </w:p>
    <w:p w:rsidR="00CC03AD" w:rsidRPr="0066103C" w:rsidRDefault="00CC03AD" w:rsidP="00CC03AD">
      <w:r w:rsidRPr="0066103C">
        <w:t xml:space="preserve">27.a-a. ונחליתי </w:t>
      </w:r>
      <w:r w:rsidR="004441C6" w:rsidRPr="0066103C">
        <w:rPr>
          <w:rFonts w:ascii="Arial" w:hAnsi="Arial" w:cs="Arial"/>
        </w:rPr>
        <w:t>נהייתי</w:t>
      </w:r>
      <w:r w:rsidR="004441C6" w:rsidRPr="0066103C">
        <w:t xml:space="preserve"> </w:t>
      </w:r>
      <w:r w:rsidRPr="0066103C">
        <w:t xml:space="preserve">“I fell [?] and was ill”; for the first </w:t>
      </w:r>
      <w:r w:rsidR="00C7244F" w:rsidRPr="0066103C">
        <w:t>verb</w:t>
      </w:r>
      <w:r w:rsidRPr="0066103C">
        <w:t xml:space="preserve"> BDB</w:t>
      </w:r>
      <w:r w:rsidR="004441C6" w:rsidRPr="0066103C">
        <w:t xml:space="preserve">’s “I came to an end” is </w:t>
      </w:r>
      <w:r w:rsidRPr="0066103C">
        <w:t>dubious. OG omits; Ehrlich suggests dittog. Rather see n. 2:1.c.</w:t>
      </w:r>
    </w:p>
    <w:p w:rsidR="00CC03AD" w:rsidRPr="0066103C" w:rsidRDefault="004441C6" w:rsidP="00CC03AD">
      <w:r w:rsidRPr="0066103C">
        <w:t>27.b-b. G, Vg translate</w:t>
      </w:r>
      <w:r w:rsidR="00CC03AD" w:rsidRPr="0066103C">
        <w:t xml:space="preserve"> מבין </w:t>
      </w:r>
      <w:r w:rsidRPr="0066103C">
        <w:rPr>
          <w:rFonts w:ascii="Arial" w:hAnsi="Arial" w:cs="Arial"/>
        </w:rPr>
        <w:t>ואין</w:t>
      </w:r>
      <w:r w:rsidRPr="0066103C">
        <w:t xml:space="preserve"> </w:t>
      </w:r>
      <w:r w:rsidR="00CC03AD" w:rsidRPr="0066103C">
        <w:t>“and no one could understand/explain it”; but אין has already been used as virtually equivalent to</w:t>
      </w:r>
      <w:r w:rsidRPr="0066103C">
        <w:t xml:space="preserve"> </w:t>
      </w:r>
      <w:r w:rsidR="00CC03AD" w:rsidRPr="0066103C">
        <w:t xml:space="preserve"> לא “not” in a similar </w:t>
      </w:r>
      <w:r w:rsidR="000A3017" w:rsidRPr="0066103C">
        <w:t xml:space="preserve">clause </w:t>
      </w:r>
      <w:r w:rsidR="00CC03AD" w:rsidRPr="0066103C">
        <w:t>in v 5 where the sub</w:t>
      </w:r>
      <w:r w:rsidRPr="0066103C">
        <w:t>ject</w:t>
      </w:r>
      <w:r w:rsidR="00CC03AD" w:rsidRPr="0066103C">
        <w:t xml:space="preserve"> of the previous </w:t>
      </w:r>
      <w:r w:rsidR="000A3017" w:rsidRPr="0066103C">
        <w:t xml:space="preserve">clause </w:t>
      </w:r>
      <w:r w:rsidR="00CC03AD" w:rsidRPr="0066103C">
        <w:t>has to be the subj</w:t>
      </w:r>
      <w:r w:rsidRPr="0066103C">
        <w:t>ect</w:t>
      </w:r>
      <w:r w:rsidR="00CC03AD" w:rsidRPr="0066103C">
        <w:t xml:space="preserve"> of the ואין cl</w:t>
      </w:r>
      <w:r w:rsidRPr="0066103C">
        <w:t>ause, and this understanding is also natural</w:t>
      </w:r>
      <w:r w:rsidR="00CC03AD" w:rsidRPr="0066103C">
        <w:t xml:space="preserve"> here.</w:t>
      </w:r>
    </w:p>
    <w:p w:rsidR="00CC03AD" w:rsidRPr="00CC1756" w:rsidRDefault="00CC03AD" w:rsidP="00CC1756">
      <w:pPr>
        <w:pStyle w:val="Heading2"/>
      </w:pPr>
      <w:r w:rsidRPr="00CC1756">
        <w:lastRenderedPageBreak/>
        <w:t>Form/Structure/Setting</w:t>
      </w:r>
    </w:p>
    <w:p w:rsidR="00CC03AD" w:rsidRPr="0066103C" w:rsidRDefault="00CC03AD" w:rsidP="00AF6220">
      <w:pPr>
        <w:pStyle w:val="Heading3"/>
      </w:pPr>
      <w:r w:rsidRPr="0066103C">
        <w:t>Form</w:t>
      </w:r>
    </w:p>
    <w:p w:rsidR="00CC03AD" w:rsidRPr="0066103C" w:rsidRDefault="00CC03AD" w:rsidP="00CC03AD"/>
    <w:p w:rsidR="00CC03AD" w:rsidRPr="0066103C" w:rsidRDefault="00CC03AD" w:rsidP="00CC03AD">
      <w:r w:rsidRPr="0066103C">
        <w:t>The chapter is the report of a symbolic vision. It uses the term חזון six</w:t>
      </w:r>
      <w:r w:rsidR="00E03C5D" w:rsidRPr="0066103C">
        <w:t xml:space="preserve"> times (vv 1, 2, 2, 13, 15, 26), and</w:t>
      </w:r>
      <w:r w:rsidRPr="0066103C">
        <w:t xml:space="preserve"> also expressions for “appear”/“see”/“look” (vv 1, 1, 2, 2, 2, 3, 3, 4, 5, 6, 7, 15, 20), the preposition כ‍ “like,” the demonstrative particle הנה</w:t>
      </w:r>
      <w:r w:rsidR="00E03C5D" w:rsidRPr="0066103C">
        <w:t xml:space="preserve"> (“there</w:t>
      </w:r>
      <w:r w:rsidRPr="0066103C">
        <w:t>”</w:t>
      </w:r>
      <w:r w:rsidR="00E03C5D" w:rsidRPr="0066103C">
        <w:t>/”here”,</w:t>
      </w:r>
      <w:r w:rsidRPr="0066103C">
        <w:t xml:space="preserve"> vv 3, 5, 15, 19), and terms such as רדם “fall into a trance</w:t>
      </w:r>
      <w:r w:rsidR="00E03C5D" w:rsidRPr="0066103C">
        <w:t>,</w:t>
      </w:r>
      <w:r w:rsidRPr="0066103C">
        <w:t xml:space="preserve">” </w:t>
      </w:r>
      <w:r w:rsidR="00E03C5D" w:rsidRPr="0066103C">
        <w:t xml:space="preserve">which are </w:t>
      </w:r>
      <w:r w:rsidRPr="0066103C">
        <w:t>characteristic of vision reports. The root חזה appears also as חזות (“conspicuous,” v 5, recurring in v 8 MT [see n. 8.c]). The symbolic nature of the vision is indirectly noted by the use of terms for “(cause to) understand,” vv 15, 16, 17, 19, 23. The chapter also uses מראה to denote not only appearance (v 15) but (verbal) revelation (vv 16, 26, 27); the auditory a</w:t>
      </w:r>
      <w:r w:rsidR="00E03C5D" w:rsidRPr="0066103C">
        <w:t>spect to the vision is important</w:t>
      </w:r>
      <w:r w:rsidRPr="0066103C">
        <w:t xml:space="preserve"> (cf. שמע</w:t>
      </w:r>
      <w:r w:rsidR="00E03C5D" w:rsidRPr="0066103C">
        <w:t xml:space="preserve"> “hear,” vv 13, 16). The vision’</w:t>
      </w:r>
      <w:r w:rsidRPr="0066103C">
        <w:t>s broad contours follow those o</w:t>
      </w:r>
      <w:r w:rsidR="00E03C5D" w:rsidRPr="0066103C">
        <w:t>f chap. 7 and earlier visions. I</w:t>
      </w:r>
      <w:r w:rsidRPr="0066103C">
        <w:t>t includes a</w:t>
      </w:r>
      <w:r w:rsidR="00814299" w:rsidRPr="0066103C">
        <w:t xml:space="preserve"> narrative introduction giving a date and geographical reference</w:t>
      </w:r>
      <w:r w:rsidRPr="0066103C">
        <w:t xml:space="preserve">, which helps to establish the </w:t>
      </w:r>
      <w:r w:rsidR="00E03C5D" w:rsidRPr="0066103C">
        <w:t>vision’s actuality</w:t>
      </w:r>
      <w:r w:rsidRPr="0066103C">
        <w:t>. There follows the symb</w:t>
      </w:r>
      <w:r w:rsidR="00E03C5D" w:rsidRPr="0066103C">
        <w:t>olic vision itself. O</w:t>
      </w:r>
      <w:r w:rsidRPr="0066103C">
        <w:t xml:space="preserve">ne </w:t>
      </w:r>
      <w:r w:rsidR="00E03C5D" w:rsidRPr="0066103C">
        <w:t xml:space="preserve">then </w:t>
      </w:r>
      <w:r w:rsidRPr="0066103C">
        <w:t>expects a description of the seer’s respo</w:t>
      </w:r>
      <w:r w:rsidR="00E03C5D" w:rsidRPr="0066103C">
        <w:t>nse and puzzlement (cf. 7:15); i</w:t>
      </w:r>
      <w:r w:rsidRPr="0066103C">
        <w:t>n chap. 8 this is syntactically incorporated into</w:t>
      </w:r>
      <w:r w:rsidR="00814299" w:rsidRPr="0066103C">
        <w:t xml:space="preserve"> the initiative from heaven which</w:t>
      </w:r>
      <w:r w:rsidRPr="0066103C">
        <w:t xml:space="preserve"> brings the vision’s interpretation to the seer (vv 15–19). This elaborate section takes the form of the description of an epiphany (cf. Ezek 8; also the more elabo</w:t>
      </w:r>
      <w:r w:rsidR="00E03C5D" w:rsidRPr="0066103C">
        <w:t>rate equivalent in Dan 10) which</w:t>
      </w:r>
      <w:r w:rsidRPr="0066103C">
        <w:t xml:space="preserve"> establishes the heavenly authority of the explanation</w:t>
      </w:r>
      <w:r w:rsidR="00991C5B" w:rsidRPr="0066103C">
        <w:t xml:space="preserve">. This explanation </w:t>
      </w:r>
      <w:r w:rsidRPr="0066103C">
        <w:t>follows in the next major section</w:t>
      </w:r>
      <w:r w:rsidR="00991C5B" w:rsidRPr="0066103C">
        <w:t xml:space="preserve"> (vv 20-26), an interpret</w:t>
      </w:r>
      <w:r w:rsidRPr="0066103C">
        <w:t xml:space="preserve">ive vision </w:t>
      </w:r>
      <w:r w:rsidR="00814299" w:rsidRPr="0066103C">
        <w:t xml:space="preserve">elucidating </w:t>
      </w:r>
      <w:r w:rsidRPr="0066103C">
        <w:t>the symbolic vision. It opens with the characteristic noun clauses of an interpretation, but changes to verbal clauses as it moves to providing information about events that were not precisely represented in the vision. The climactic importance of these ver</w:t>
      </w:r>
      <w:r w:rsidR="00814299" w:rsidRPr="0066103C">
        <w:t xml:space="preserve">ses is emphasized by the </w:t>
      </w:r>
      <w:r w:rsidRPr="0066103C">
        <w:t>rhythm and occasional parallelism</w:t>
      </w:r>
      <w:r w:rsidR="00814299" w:rsidRPr="0066103C">
        <w:t>; v</w:t>
      </w:r>
      <w:r w:rsidR="000D1837">
        <w:t>v</w:t>
      </w:r>
      <w:r w:rsidR="00814299" w:rsidRPr="0066103C">
        <w:t xml:space="preserve"> 23-25 are poetic in form</w:t>
      </w:r>
      <w:r w:rsidRPr="0066103C">
        <w:t>. Finally there is a conclusion to the vision as a whole</w:t>
      </w:r>
      <w:r w:rsidR="00991C5B" w:rsidRPr="0066103C">
        <w:t xml:space="preserve"> and a narrative closure (v </w:t>
      </w:r>
      <w:r w:rsidRPr="0066103C">
        <w:t xml:space="preserve">27) corresponding to 2:46; 7:28; also Ezek 3:15. </w:t>
      </w:r>
      <w:r w:rsidR="00991C5B" w:rsidRPr="0066103C">
        <w:t xml:space="preserve">The “I, Daniel” formula appears at the three appropriate key points (vv 1, 15, 27; see chap. 7 Form). </w:t>
      </w:r>
      <w:r w:rsidRPr="0066103C">
        <w:t xml:space="preserve">The symbolic vision and the portrait of the fierce-looking king parallel texts such as the Animal Apocalypse in </w:t>
      </w:r>
      <w:r w:rsidRPr="0066103C">
        <w:rPr>
          <w:i/>
        </w:rPr>
        <w:t>1 Enoch</w:t>
      </w:r>
      <w:r w:rsidRPr="0066103C">
        <w:t xml:space="preserve"> and the </w:t>
      </w:r>
      <w:r w:rsidR="00814299" w:rsidRPr="0066103C">
        <w:t xml:space="preserve">Akkadian </w:t>
      </w:r>
      <w:r w:rsidRPr="0066103C">
        <w:t>dyn</w:t>
      </w:r>
      <w:r w:rsidR="00814299" w:rsidRPr="0066103C">
        <w:t>astic prophecy;</w:t>
      </w:r>
      <w:r w:rsidRPr="0066103C">
        <w:t xml:space="preserve"> chap. 8 is fo</w:t>
      </w:r>
      <w:r w:rsidR="00E025ED" w:rsidRPr="0066103C">
        <w:t xml:space="preserve">r the most part a </w:t>
      </w:r>
      <w:r w:rsidR="00814299" w:rsidRPr="0066103C">
        <w:t xml:space="preserve">similar </w:t>
      </w:r>
      <w:r w:rsidR="00E025ED" w:rsidRPr="0066103C">
        <w:t>quasi-prediction</w:t>
      </w:r>
      <w:r w:rsidR="00557BB9" w:rsidRPr="0066103C">
        <w:t xml:space="preserve"> (see chap. 2</w:t>
      </w:r>
      <w:r w:rsidRPr="0066103C">
        <w:t xml:space="preserve"> </w:t>
      </w:r>
      <w:r w:rsidRPr="0066103C">
        <w:rPr>
          <w:i/>
        </w:rPr>
        <w:t>Form</w:t>
      </w:r>
      <w:r w:rsidRPr="0066103C">
        <w:t xml:space="preserve">, chaps. 10–12 </w:t>
      </w:r>
      <w:r w:rsidRPr="0066103C">
        <w:rPr>
          <w:i/>
        </w:rPr>
        <w:t>Form</w:t>
      </w:r>
      <w:r w:rsidRPr="0066103C">
        <w:t xml:space="preserve">). </w:t>
      </w:r>
    </w:p>
    <w:p w:rsidR="00CC03AD" w:rsidRPr="0066103C" w:rsidRDefault="00CC03AD" w:rsidP="00CC03AD">
      <w:r w:rsidRPr="0066103C">
        <w:t>Although Daniel links this vision wit</w:t>
      </w:r>
      <w:r w:rsidR="00991C5B" w:rsidRPr="0066103C">
        <w:t>h the one in c</w:t>
      </w:r>
      <w:r w:rsidR="00814299" w:rsidRPr="0066103C">
        <w:t>hap. 7 (v 1), visionary dreams like those in chaps. 2; 4; and 7</w:t>
      </w:r>
      <w:r w:rsidR="00991C5B" w:rsidRPr="0066103C">
        <w:t xml:space="preserve"> are now over. Chaps. 8–12 are not dreams, and the </w:t>
      </w:r>
      <w:r w:rsidRPr="0066103C">
        <w:t>characteristic terms to denote a dream-vision (see 7</w:t>
      </w:r>
      <w:r w:rsidR="00991C5B" w:rsidRPr="0066103C">
        <w:t>:1, 2, 7, 13) do not appear</w:t>
      </w:r>
      <w:r w:rsidRPr="0066103C">
        <w:t xml:space="preserve">; OG’s addition </w:t>
      </w:r>
      <w:r w:rsidR="00991C5B" w:rsidRPr="0066103C">
        <w:t>of το</w:t>
      </w:r>
      <w:r w:rsidR="00991C5B" w:rsidRPr="0066103C">
        <w:rPr>
          <w:lang w:val="el-GR"/>
        </w:rPr>
        <w:t>ῦ</w:t>
      </w:r>
      <w:r w:rsidR="00991C5B" w:rsidRPr="0066103C">
        <w:t xml:space="preserve"> ἐνυπνίου (“of the </w:t>
      </w:r>
      <w:r w:rsidRPr="0066103C">
        <w:t>dream,” v 2) highlights this</w:t>
      </w:r>
      <w:r w:rsidR="00991C5B" w:rsidRPr="0066103C">
        <w:t xml:space="preserve"> lack in MT</w:t>
      </w:r>
      <w:r w:rsidRPr="0066103C">
        <w:t xml:space="preserve">. Daniel is awake for the symbolic vision, though he is put into a deep sleep for a short time in v 18 (cf. 10:9–11). This motif, like the dream form elsewhere, deepens the sense of transcendent mystery about the experience being described, and thus </w:t>
      </w:r>
      <w:r w:rsidR="00991C5B" w:rsidRPr="0066103C">
        <w:t xml:space="preserve">heightens </w:t>
      </w:r>
      <w:r w:rsidRPr="0066103C">
        <w:t>the authority of th</w:t>
      </w:r>
      <w:r w:rsidR="00991C5B" w:rsidRPr="0066103C">
        <w:t>e revelation that issues from the vision</w:t>
      </w:r>
      <w:r w:rsidRPr="0066103C">
        <w:t>. Like a dream, such trancelike sleep cannot be humanly generated: it ind</w:t>
      </w:r>
      <w:r w:rsidR="00991C5B" w:rsidRPr="0066103C">
        <w:t>icates supernatural involvement.</w:t>
      </w:r>
      <w:r w:rsidR="00991C5B" w:rsidRPr="0066103C">
        <w:rPr>
          <w:rStyle w:val="FootnoteReference"/>
        </w:rPr>
        <w:footnoteReference w:id="283"/>
      </w:r>
    </w:p>
    <w:p w:rsidR="000C1456" w:rsidRPr="0066103C" w:rsidRDefault="00CC03AD" w:rsidP="00CC03AD">
      <w:r w:rsidRPr="0066103C">
        <w:t>O</w:t>
      </w:r>
      <w:r w:rsidR="003541A7" w:rsidRPr="0066103C">
        <w:t xml:space="preserve">n the use of symbols, see </w:t>
      </w:r>
      <w:r w:rsidRPr="0066103C">
        <w:t xml:space="preserve">Dan 7 </w:t>
      </w:r>
      <w:r w:rsidRPr="0066103C">
        <w:rPr>
          <w:i/>
        </w:rPr>
        <w:t>Form</w:t>
      </w:r>
      <w:r w:rsidR="00E87A8B" w:rsidRPr="0066103C">
        <w:t>. Like th</w:t>
      </w:r>
      <w:r w:rsidRPr="0066103C">
        <w:t xml:space="preserve">e </w:t>
      </w:r>
      <w:r w:rsidR="00E87A8B" w:rsidRPr="0066103C">
        <w:t xml:space="preserve">ones </w:t>
      </w:r>
      <w:r w:rsidRPr="0066103C">
        <w:t>in chap. 7, these symbols are not merely a code of random ciphers. They indicate that the entity described possesses qualities belonging to the symbol (e.g., a horn suggests strength); they call to mind a body of ideas, images, and values attaching to them in their interrelationships, which are (selectively) projec</w:t>
      </w:r>
      <w:r w:rsidR="003541A7" w:rsidRPr="0066103C">
        <w:t>ted onto the entity symbolized. T</w:t>
      </w:r>
      <w:r w:rsidRPr="0066103C">
        <w:t>hus the king “breaks” (v 25), a term which literally applies rather to the horn that symbolizes him. But the symbolism of chap. 8 involves less of the mythic or poetic than that of chap. 7</w:t>
      </w:r>
      <w:r w:rsidR="00115B16">
        <w:t>.</w:t>
      </w:r>
      <w:r w:rsidR="003541A7" w:rsidRPr="0066103C">
        <w:t xml:space="preserve"> </w:t>
      </w:r>
      <w:r w:rsidR="00115B16">
        <w:t>The anthropomorphic image of God does not appear here.</w:t>
      </w:r>
      <w:r w:rsidR="00115B16">
        <w:rPr>
          <w:rStyle w:val="FootnoteReference"/>
        </w:rPr>
        <w:footnoteReference w:id="284"/>
      </w:r>
      <w:r w:rsidR="00115B16">
        <w:t xml:space="preserve"> </w:t>
      </w:r>
      <w:r w:rsidR="003541A7" w:rsidRPr="0066103C">
        <w:t>While v</w:t>
      </w:r>
      <w:r w:rsidR="000C1456" w:rsidRPr="0066103C">
        <w:t>v</w:t>
      </w:r>
      <w:r w:rsidR="00D7285F" w:rsidRPr="0066103C">
        <w:t xml:space="preserve"> 23-25 are poetic in form</w:t>
      </w:r>
      <w:r w:rsidR="003541A7" w:rsidRPr="0066103C">
        <w:t xml:space="preserve">, </w:t>
      </w:r>
      <w:r w:rsidR="006D0023" w:rsidRPr="0066103C">
        <w:t xml:space="preserve">bringing the </w:t>
      </w:r>
      <w:r w:rsidR="003541A7" w:rsidRPr="0066103C">
        <w:t xml:space="preserve">interpretive </w:t>
      </w:r>
      <w:r w:rsidR="006D0023" w:rsidRPr="0066103C">
        <w:t xml:space="preserve">vision </w:t>
      </w:r>
      <w:r w:rsidR="006D0023" w:rsidRPr="0066103C">
        <w:lastRenderedPageBreak/>
        <w:t>to a climax</w:t>
      </w:r>
      <w:r w:rsidR="003541A7" w:rsidRPr="0066103C">
        <w:t>,</w:t>
      </w:r>
      <w:r w:rsidR="00D7285F" w:rsidRPr="0066103C">
        <w:rPr>
          <w:rStyle w:val="FootnoteReference"/>
        </w:rPr>
        <w:footnoteReference w:id="285"/>
      </w:r>
      <w:r w:rsidR="003541A7" w:rsidRPr="0066103C">
        <w:t xml:space="preserve"> </w:t>
      </w:r>
      <w:r w:rsidR="000C1456" w:rsidRPr="0066103C">
        <w:t>they do so partly throu</w:t>
      </w:r>
      <w:r w:rsidR="003541A7" w:rsidRPr="0066103C">
        <w:t>gh taking the form of a dynastic prophecy</w:t>
      </w:r>
      <w:r w:rsidR="000C1456" w:rsidRPr="0066103C">
        <w:t xml:space="preserve"> of the kind that will come more fully in chap. 11.</w:t>
      </w:r>
      <w:r w:rsidR="000C1456" w:rsidRPr="0066103C">
        <w:rPr>
          <w:vertAlign w:val="superscript"/>
        </w:rPr>
        <w:footnoteReference w:id="286"/>
      </w:r>
    </w:p>
    <w:p w:rsidR="00526C27" w:rsidRPr="0066103C" w:rsidRDefault="003541A7" w:rsidP="00CC03AD">
      <w:pPr>
        <w:rPr>
          <w:vertAlign w:val="superscript"/>
        </w:rPr>
      </w:pPr>
      <w:r w:rsidRPr="0066103C">
        <w:t xml:space="preserve">Compared with chap. 7, the vision thus </w:t>
      </w:r>
      <w:r w:rsidR="00CC03AD" w:rsidRPr="0066103C">
        <w:t>refers less to events or realities beyon</w:t>
      </w:r>
      <w:r w:rsidRPr="0066103C">
        <w:t>d present experience, and it is</w:t>
      </w:r>
      <w:r w:rsidR="00CC03AD" w:rsidRPr="0066103C">
        <w:t xml:space="preserve"> less cryptic, unless the aspects of 7:4–7 that are cryptic to us were not so to the origin</w:t>
      </w:r>
      <w:r w:rsidRPr="0066103C">
        <w:t>al audience. Conversely, it</w:t>
      </w:r>
      <w:r w:rsidR="00CC03AD" w:rsidRPr="0066103C">
        <w:t xml:space="preserve"> contains more literal description of the small horn’s deeds, which makes the symbolism more transparent (in theory: in practice, the literal description is now cryptic to u</w:t>
      </w:r>
      <w:r w:rsidRPr="0066103C">
        <w:t>s in a way it, too, may not originally</w:t>
      </w:r>
      <w:r w:rsidR="00CC03AD" w:rsidRPr="0066103C">
        <w:t xml:space="preserve"> have been). To oversimplify, chap. 7 is myth, chap. 8 is allegory.</w:t>
      </w:r>
      <w:r w:rsidR="00E87A8B" w:rsidRPr="0066103C">
        <w:rPr>
          <w:rStyle w:val="FootnoteReference"/>
        </w:rPr>
        <w:footnoteReference w:id="287"/>
      </w:r>
      <w:r w:rsidR="00CC03AD" w:rsidRPr="0066103C">
        <w:t xml:space="preserve"> The symbolic vision in chap. 7 comes</w:t>
      </w:r>
      <w:r w:rsidRPr="0066103C">
        <w:t xml:space="preserve"> to a</w:t>
      </w:r>
      <w:r w:rsidR="00CC03AD" w:rsidRPr="0066103C">
        <w:t xml:space="preserve"> climax with this transition to myth, while </w:t>
      </w:r>
      <w:r w:rsidRPr="0066103C">
        <w:t>the symbolic vision in chap. 8 comes to its</w:t>
      </w:r>
      <w:r w:rsidR="00CC03AD" w:rsidRPr="0066103C">
        <w:t xml:space="preserve"> climax with a date. Chap. 7 is an impressionist painting open to several interpretations, chap. 8 a political cartoon with the names of the characters incorporated to make sure the reader understands it. As exercises in theology and com</w:t>
      </w:r>
      <w:r w:rsidR="00E87A8B" w:rsidRPr="0066103C">
        <w:t>munication, the two visions thereby</w:t>
      </w:r>
      <w:r w:rsidR="00CC03AD" w:rsidRPr="0066103C">
        <w:t xml:space="preserve"> complement each other. Chap. 7 is deep, allusive, imaginative; chap. 8 is </w:t>
      </w:r>
      <w:r w:rsidRPr="0066103C">
        <w:t xml:space="preserve">sober, explicit, concrete. Consequently, </w:t>
      </w:r>
      <w:r w:rsidR="00CC03AD" w:rsidRPr="0066103C">
        <w:t>the identification of the empires and kings in chap. 8 is all but universally agreed, wherea</w:t>
      </w:r>
      <w:r w:rsidRPr="0066103C">
        <w:t>s the identification of th</w:t>
      </w:r>
      <w:r w:rsidR="00CC03AD" w:rsidRPr="0066103C">
        <w:t>e</w:t>
      </w:r>
      <w:r w:rsidRPr="0066103C">
        <w:t xml:space="preserve"> ones</w:t>
      </w:r>
      <w:r w:rsidR="00CC03AD" w:rsidRPr="0066103C">
        <w:t xml:space="preserve"> in chap. 7 leaves more room for dispute. Chap. 8 interprets chap. 7 for us (it i</w:t>
      </w:r>
      <w:r w:rsidR="00E87A8B" w:rsidRPr="0066103C">
        <w:t>s a sort of midrash on chap. 7</w:t>
      </w:r>
      <w:r w:rsidR="00CC03AD" w:rsidRPr="0066103C">
        <w:t>);</w:t>
      </w:r>
      <w:r w:rsidR="00E87A8B" w:rsidRPr="0066103C">
        <w:rPr>
          <w:rStyle w:val="FootnoteReference"/>
        </w:rPr>
        <w:footnoteReference w:id="288"/>
      </w:r>
      <w:r w:rsidR="00CC03AD" w:rsidRPr="0066103C">
        <w:t xml:space="preserve"> chap. 7 reminds us that the historical realities </w:t>
      </w:r>
      <w:r w:rsidR="00E87A8B" w:rsidRPr="0066103C">
        <w:t xml:space="preserve">named in chap. 8 </w:t>
      </w:r>
      <w:r w:rsidR="00CC03AD" w:rsidRPr="0066103C">
        <w:t>are but one set of historical referents of its symbols. It implies a broader horizon.</w:t>
      </w:r>
      <w:r w:rsidR="00526C27" w:rsidRPr="0066103C">
        <w:t xml:space="preserve"> </w:t>
      </w:r>
      <w:r w:rsidR="001B68F6" w:rsidRPr="0066103C">
        <w:t>Following</w:t>
      </w:r>
      <w:r w:rsidR="00CC03AD" w:rsidRPr="0066103C">
        <w:t xml:space="preserve"> the general form of chap. 7</w:t>
      </w:r>
      <w:r w:rsidR="001B68F6" w:rsidRPr="0066103C">
        <w:t xml:space="preserve"> and of earlier visions may add to the credibility and pedigree of chap. 8</w:t>
      </w:r>
      <w:r w:rsidR="00526C27" w:rsidRPr="0066103C">
        <w:t>.</w:t>
      </w:r>
      <w:r w:rsidR="001B68F6" w:rsidRPr="0066103C">
        <w:rPr>
          <w:vertAlign w:val="superscript"/>
        </w:rPr>
        <w:footnoteReference w:id="289"/>
      </w:r>
      <w:r w:rsidR="001B68F6" w:rsidRPr="0066103C">
        <w:rPr>
          <w:vertAlign w:val="superscript"/>
        </w:rPr>
        <w:t xml:space="preserve"> </w:t>
      </w:r>
    </w:p>
    <w:p w:rsidR="00CC03AD" w:rsidRPr="0066103C" w:rsidRDefault="00526C27" w:rsidP="00CC03AD">
      <w:r w:rsidRPr="0066103C">
        <w:t>I</w:t>
      </w:r>
      <w:r w:rsidR="00CC03AD" w:rsidRPr="0066103C">
        <w:t>t is also influenced by earlier scriptures</w:t>
      </w:r>
      <w:r w:rsidR="007F18C8" w:rsidRPr="0066103C">
        <w:t>,</w:t>
      </w:r>
      <w:r w:rsidR="001B68F6" w:rsidRPr="0066103C">
        <w:rPr>
          <w:vertAlign w:val="superscript"/>
        </w:rPr>
        <w:footnoteReference w:id="290"/>
      </w:r>
      <w:r w:rsidR="001B68F6" w:rsidRPr="0066103C">
        <w:t xml:space="preserve"> and this</w:t>
      </w:r>
      <w:r w:rsidR="00CC03AD" w:rsidRPr="0066103C">
        <w:t xml:space="preserve"> inclination to scriptural allusion counterbalances its less profound use of symbolism. </w:t>
      </w:r>
      <w:r w:rsidRPr="0066103C">
        <w:t>T</w:t>
      </w:r>
      <w:r w:rsidR="001B68F6" w:rsidRPr="0066103C">
        <w:t>he</w:t>
      </w:r>
      <w:r w:rsidR="00CC03AD" w:rsidRPr="0066103C">
        <w:t xml:space="preserve"> depth and resonance suggested by mythic allusion or tensive symbol in chap. 7 is suggested by scriptural allusion in chap. 8. Even the mythic allusions in vv 10–11 have already been taken up into </w:t>
      </w:r>
      <w:r w:rsidR="00A84751" w:rsidRPr="0066103C">
        <w:t xml:space="preserve">the </w:t>
      </w:r>
      <w:r w:rsidR="00CC03AD" w:rsidRPr="0066103C">
        <w:t>scripture</w:t>
      </w:r>
      <w:r w:rsidR="00A84751" w:rsidRPr="0066103C">
        <w:t>s</w:t>
      </w:r>
      <w:r w:rsidR="00CC03AD" w:rsidRPr="0066103C">
        <w:t xml:space="preserve"> in Isa 14.</w:t>
      </w:r>
      <w:r w:rsidR="008A1127">
        <w:rPr>
          <w:rStyle w:val="FootnoteReference"/>
        </w:rPr>
        <w:footnoteReference w:id="291"/>
      </w:r>
      <w:r w:rsidRPr="0066103C">
        <w:t xml:space="preserve"> </w:t>
      </w:r>
      <w:r w:rsidR="00CC03AD" w:rsidRPr="0066103C">
        <w:t xml:space="preserve">Aspects of Daniel’s description of his experience in vv 1–2 and of the epiphany in vv 15–18 correspond to aspects of Ezekiel’s: the provision of date and geographical setting (vv 1–2; cf. Ezek 1:1–3); the visionary journey to the scene of what is to be revealed (v 2; cf. Ezek 8:3); the location by a river (? vv 2, 3, 6; cf. Ezek 1:1–3—Ezekiel’s physical, not his visionary location); the one of </w:t>
      </w:r>
      <w:r w:rsidR="001B68F6" w:rsidRPr="0066103C">
        <w:t>hu</w:t>
      </w:r>
      <w:r w:rsidR="00CC03AD" w:rsidRPr="0066103C">
        <w:t>manlike appearance (v 15; cf. Ezek 8:2 [see BHS]); the form of address, “mortal man” (אדם</w:t>
      </w:r>
      <w:r w:rsidR="001B68F6" w:rsidRPr="0066103C">
        <w:t xml:space="preserve"> </w:t>
      </w:r>
      <w:r w:rsidR="001B68F6" w:rsidRPr="0066103C">
        <w:rPr>
          <w:rFonts w:ascii="Arial" w:hAnsi="Arial" w:cs="Arial"/>
        </w:rPr>
        <w:t>בן</w:t>
      </w:r>
      <w:r w:rsidR="00CC03AD" w:rsidRPr="0066103C">
        <w:t xml:space="preserve">, v 17; cf. Ezek 2:1; 8:5; etc.); </w:t>
      </w:r>
      <w:r w:rsidR="001B68F6" w:rsidRPr="0066103C">
        <w:t xml:space="preserve">and </w:t>
      </w:r>
      <w:r w:rsidR="00CC03AD" w:rsidRPr="0066103C">
        <w:t>the setting upright of one who falls on his face to the ground (vv 17–1</w:t>
      </w:r>
      <w:r w:rsidRPr="0066103C">
        <w:t xml:space="preserve">8; Ezek 1:28–2:2; 3:23–24). </w:t>
      </w:r>
      <w:r w:rsidR="00CC03AD" w:rsidRPr="0066103C">
        <w:t xml:space="preserve">Daniel’s vision report is not </w:t>
      </w:r>
      <w:r w:rsidR="001B68F6" w:rsidRPr="0066103C">
        <w:t>an acc</w:t>
      </w:r>
      <w:r w:rsidRPr="0066103C">
        <w:t>ount of a call, like Ezek 1–3; a</w:t>
      </w:r>
      <w:r w:rsidR="00CC03AD" w:rsidRPr="0066103C">
        <w:t xml:space="preserve">s a vision of the </w:t>
      </w:r>
      <w:r w:rsidR="0060517A" w:rsidRPr="0066103C">
        <w:t xml:space="preserve">sanctuary desecration </w:t>
      </w:r>
      <w:r w:rsidR="00CC03AD" w:rsidRPr="0066103C">
        <w:t xml:space="preserve">and </w:t>
      </w:r>
      <w:r w:rsidR="001B68F6" w:rsidRPr="0066103C">
        <w:t xml:space="preserve">of </w:t>
      </w:r>
      <w:r w:rsidR="00CC03AD" w:rsidRPr="0066103C">
        <w:t>the desolating reb</w:t>
      </w:r>
      <w:r w:rsidR="0060517A" w:rsidRPr="0066103C">
        <w:t>ellion (vv 11–12), it corresponds in substance</w:t>
      </w:r>
      <w:r w:rsidR="00CC03AD" w:rsidRPr="0066103C">
        <w:t xml:space="preserve"> th</w:t>
      </w:r>
      <w:r w:rsidR="0060517A" w:rsidRPr="0066103C">
        <w:t>ough not in forms of expression</w:t>
      </w:r>
      <w:r w:rsidR="00CC03AD" w:rsidRPr="0066103C">
        <w:t xml:space="preserve"> rather to Ezek 8.</w:t>
      </w:r>
    </w:p>
    <w:p w:rsidR="0060517A" w:rsidRPr="0066103C" w:rsidRDefault="00CC03AD" w:rsidP="00CC03AD">
      <w:r w:rsidRPr="0066103C">
        <w:t>The celestial dialogu</w:t>
      </w:r>
      <w:r w:rsidR="001B68F6" w:rsidRPr="0066103C">
        <w:t>e introducing the interpre</w:t>
      </w:r>
      <w:r w:rsidRPr="0066103C">
        <w:t xml:space="preserve">tive part of the vision (vv 13–19) also reflects Zechariah’s visions. The first of these </w:t>
      </w:r>
      <w:r w:rsidR="00526C27" w:rsidRPr="0066103C">
        <w:t xml:space="preserve">visions </w:t>
      </w:r>
      <w:r w:rsidRPr="0066103C">
        <w:t>(Zech 1:7–17) features dialogue between humanlike figures, including a supernatural messenger who explains the vision to Zechariah.</w:t>
      </w:r>
      <w:r w:rsidR="0060517A" w:rsidRPr="0066103C">
        <w:t xml:space="preserve"> Yahweh’s aide asks “how long” (</w:t>
      </w:r>
      <w:r w:rsidRPr="0066103C">
        <w:t>מתי</w:t>
      </w:r>
      <w:r w:rsidR="0060517A" w:rsidRPr="0066103C">
        <w:t xml:space="preserve"> </w:t>
      </w:r>
      <w:r w:rsidR="0060517A" w:rsidRPr="0066103C">
        <w:rPr>
          <w:rFonts w:ascii="Arial" w:hAnsi="Arial" w:cs="Arial"/>
        </w:rPr>
        <w:t>עד</w:t>
      </w:r>
      <w:r w:rsidRPr="0066103C">
        <w:t xml:space="preserve">) Yahweh is </w:t>
      </w:r>
      <w:r w:rsidR="0060517A" w:rsidRPr="0066103C">
        <w:t xml:space="preserve">going </w:t>
      </w:r>
      <w:r w:rsidRPr="0066103C">
        <w:t xml:space="preserve">to be wrathful (זעם) </w:t>
      </w:r>
      <w:r w:rsidR="00E025ED" w:rsidRPr="0066103C">
        <w:t xml:space="preserve">towards </w:t>
      </w:r>
      <w:r w:rsidRPr="0066103C">
        <w:t xml:space="preserve">Jerusalem and Judah, </w:t>
      </w:r>
      <w:r w:rsidR="0060517A" w:rsidRPr="0066103C">
        <w:t xml:space="preserve">beyond the seventy years of which Jeremiah spoke, </w:t>
      </w:r>
      <w:r w:rsidRPr="0066103C">
        <w:t xml:space="preserve">and </w:t>
      </w:r>
      <w:r w:rsidR="0060517A" w:rsidRPr="0066103C">
        <w:t xml:space="preserve">he </w:t>
      </w:r>
      <w:r w:rsidRPr="0066103C">
        <w:t>is reassured that the moment of restoration and vindication is comi</w:t>
      </w:r>
      <w:r w:rsidR="0060517A" w:rsidRPr="0066103C">
        <w:t>ng (cf. Dan 8:13, 14, 19; 9:2). But t</w:t>
      </w:r>
      <w:r w:rsidRPr="0066103C">
        <w:t>he isolated parallel with the “How long” of Isa 6:11 is likely coincidental;</w:t>
      </w:r>
      <w:r w:rsidR="0060517A" w:rsidRPr="0066103C">
        <w:rPr>
          <w:rStyle w:val="FootnoteReference"/>
        </w:rPr>
        <w:footnoteReference w:id="292"/>
      </w:r>
      <w:r w:rsidR="0060517A" w:rsidRPr="0066103C">
        <w:t xml:space="preserve"> while</w:t>
      </w:r>
      <w:r w:rsidRPr="0066103C">
        <w:t xml:space="preserve"> the ta</w:t>
      </w:r>
      <w:r w:rsidR="0060517A" w:rsidRPr="0066103C">
        <w:t>lk of “wrath” in Isa 10 is back</w:t>
      </w:r>
      <w:r w:rsidRPr="0066103C">
        <w:t xml:space="preserve">ground to Dan 9 and 11 but not specifically to Dan 8. </w:t>
      </w:r>
    </w:p>
    <w:p w:rsidR="00CC03AD" w:rsidRPr="0066103C" w:rsidRDefault="00CC03AD" w:rsidP="00CC03AD">
      <w:r w:rsidRPr="0066103C">
        <w:lastRenderedPageBreak/>
        <w:t>In Zechariah’s second vision (</w:t>
      </w:r>
      <w:r w:rsidR="00B24BC0" w:rsidRPr="0066103C">
        <w:t>1:18-21 [2:1–4</w:t>
      </w:r>
      <w:r w:rsidRPr="0066103C">
        <w:t>]), four horns have scattered Judah, Israel, and Jerusalem; these horns of the nations will be knocked down (cf. Dan 8:24–25). The third vision (2:</w:t>
      </w:r>
      <w:r w:rsidR="00B24BC0" w:rsidRPr="0066103C">
        <w:t>1-4 [5–8</w:t>
      </w:r>
      <w:r w:rsidRPr="0066103C">
        <w:t>]) features another dialogue involving both celestial beings and Zechariah himself; it uses the very rare term הלז</w:t>
      </w:r>
      <w:r w:rsidR="00B24BC0" w:rsidRPr="0066103C">
        <w:t xml:space="preserve"> “this man,” which </w:t>
      </w:r>
      <w:r w:rsidR="00BB2397" w:rsidRPr="0066103C">
        <w:t>appears in Dan 8:16. The</w:t>
      </w:r>
      <w:r w:rsidRPr="0066103C">
        <w:t xml:space="preserve"> links with Zechariah hint </w:t>
      </w:r>
      <w:r w:rsidR="00B24BC0" w:rsidRPr="0066103C">
        <w:t xml:space="preserve">that </w:t>
      </w:r>
      <w:r w:rsidRPr="0066103C">
        <w:t>Dan</w:t>
      </w:r>
      <w:r w:rsidR="00B24BC0" w:rsidRPr="0066103C">
        <w:t xml:space="preserve"> 8 belongs with a way of thinking represented more explicitly in chap. 9: the Judahite</w:t>
      </w:r>
      <w:r w:rsidRPr="0066103C">
        <w:t>s’ position lo</w:t>
      </w:r>
      <w:r w:rsidR="00B24BC0" w:rsidRPr="0066103C">
        <w:t>ng after the sixth century is still an experience of subjugation and repression</w:t>
      </w:r>
      <w:r w:rsidRPr="0066103C">
        <w:t xml:space="preserve">. Visions </w:t>
      </w:r>
      <w:r w:rsidR="00B24BC0" w:rsidRPr="0066103C">
        <w:t xml:space="preserve">that are thus </w:t>
      </w:r>
      <w:r w:rsidRPr="0066103C">
        <w:t xml:space="preserve">analogous to Zechariah’s are </w:t>
      </w:r>
      <w:r w:rsidR="00B24BC0" w:rsidRPr="0066103C">
        <w:t>brought into relationship</w:t>
      </w:r>
      <w:r w:rsidRPr="0066103C">
        <w:t xml:space="preserve"> to an </w:t>
      </w:r>
      <w:r w:rsidR="00B24BC0" w:rsidRPr="0066103C">
        <w:t xml:space="preserve">End centuries </w:t>
      </w:r>
      <w:r w:rsidR="0035361A" w:rsidRPr="0066103C">
        <w:t xml:space="preserve">after </w:t>
      </w:r>
      <w:r w:rsidR="00B24BC0" w:rsidRPr="0066103C">
        <w:t>hi</w:t>
      </w:r>
      <w:r w:rsidRPr="0066103C">
        <w:t xml:space="preserve">s time by </w:t>
      </w:r>
      <w:r w:rsidR="00B24BC0" w:rsidRPr="0066103C">
        <w:t xml:space="preserve">the </w:t>
      </w:r>
      <w:r w:rsidR="0035361A" w:rsidRPr="0066103C">
        <w:t>allusion in vv 17 and</w:t>
      </w:r>
      <w:r w:rsidRPr="0066103C">
        <w:t xml:space="preserve"> 19 to Habakkuk’s comment that</w:t>
      </w:r>
      <w:r w:rsidR="00945C8C">
        <w:t xml:space="preserve"> </w:t>
      </w:r>
      <w:r w:rsidRPr="0066103C">
        <w:t>לקץ</w:t>
      </w:r>
      <w:r w:rsidR="0035361A" w:rsidRPr="0066103C">
        <w:t xml:space="preserve"> </w:t>
      </w:r>
      <w:r w:rsidR="0035361A" w:rsidRPr="0066103C">
        <w:rPr>
          <w:rFonts w:ascii="Arial" w:hAnsi="Arial" w:cs="Arial"/>
        </w:rPr>
        <w:t>ויפח</w:t>
      </w:r>
      <w:r w:rsidR="0035361A" w:rsidRPr="0066103C">
        <w:t xml:space="preserve"> </w:t>
      </w:r>
      <w:r w:rsidR="0035361A" w:rsidRPr="0066103C">
        <w:rPr>
          <w:rFonts w:ascii="Arial" w:hAnsi="Arial" w:cs="Arial"/>
        </w:rPr>
        <w:t>ד</w:t>
      </w:r>
      <w:r w:rsidR="0035361A" w:rsidRPr="0066103C">
        <w:t xml:space="preserve"> </w:t>
      </w:r>
      <w:r w:rsidR="0035361A" w:rsidRPr="0066103C">
        <w:rPr>
          <w:rFonts w:ascii="Arial" w:hAnsi="Arial" w:cs="Arial"/>
        </w:rPr>
        <w:t>למוע</w:t>
      </w:r>
      <w:r w:rsidRPr="0066103C">
        <w:t xml:space="preserve"> </w:t>
      </w:r>
      <w:r w:rsidR="0035361A" w:rsidRPr="0066103C">
        <w:rPr>
          <w:rFonts w:ascii="Arial" w:hAnsi="Arial" w:cs="Arial"/>
        </w:rPr>
        <w:t>חזון</w:t>
      </w:r>
      <w:r w:rsidR="0035361A" w:rsidRPr="0066103C">
        <w:t xml:space="preserve"> </w:t>
      </w:r>
      <w:r w:rsidRPr="0066103C">
        <w:t>(“the vision relates to the appointed time and pants [?] for the end”; Hab 2:3); compare the systematic application of Ha</w:t>
      </w:r>
      <w:r w:rsidR="00B24BC0" w:rsidRPr="0066103C">
        <w:t>bakkuk to such an End in 1QpHab</w:t>
      </w:r>
      <w:r w:rsidRPr="0066103C">
        <w:t>.</w:t>
      </w:r>
    </w:p>
    <w:p w:rsidR="00CC03AD" w:rsidRPr="0066103C" w:rsidRDefault="00BB2397" w:rsidP="00CC03AD">
      <w:r w:rsidRPr="0066103C">
        <w:t>The seer gives a</w:t>
      </w:r>
      <w:r w:rsidR="00CC03AD" w:rsidRPr="0066103C">
        <w:t xml:space="preserve"> key theological a</w:t>
      </w:r>
      <w:r w:rsidRPr="0066103C">
        <w:t xml:space="preserve">ssessment of Antiochus </w:t>
      </w:r>
      <w:r w:rsidR="00CC03AD" w:rsidRPr="0066103C">
        <w:t xml:space="preserve">by taking up the myth of a subordinate celestial being </w:t>
      </w:r>
      <w:r w:rsidR="00EB26A0" w:rsidRPr="0066103C">
        <w:t>who seeks</w:t>
      </w:r>
      <w:r w:rsidR="00CC03AD" w:rsidRPr="0066103C">
        <w:t xml:space="preserve"> to usur</w:t>
      </w:r>
      <w:r w:rsidR="00EB26A0" w:rsidRPr="0066103C">
        <w:t xml:space="preserve">p the place of God himself, the myth already </w:t>
      </w:r>
      <w:r w:rsidR="00CC03AD" w:rsidRPr="0066103C">
        <w:t>applied to a historical figure, the king of Babylon, in Isa 14 (kings are described as goats [עתודים</w:t>
      </w:r>
      <w:r w:rsidR="00EB26A0" w:rsidRPr="0066103C">
        <w:t>] in Isa 14:9). The myth is here reapplied.</w:t>
      </w:r>
      <w:r w:rsidR="00EB26A0" w:rsidRPr="0066103C">
        <w:rPr>
          <w:rStyle w:val="FootnoteReference"/>
        </w:rPr>
        <w:footnoteReference w:id="293"/>
      </w:r>
      <w:r w:rsidR="00945C8C">
        <w:t xml:space="preserve"> </w:t>
      </w:r>
      <w:r w:rsidR="00CC03AD" w:rsidRPr="0066103C">
        <w:t xml:space="preserve">The mythic language </w:t>
      </w:r>
      <w:r w:rsidR="00EB26A0" w:rsidRPr="0066103C">
        <w:t>adapted in</w:t>
      </w:r>
      <w:r w:rsidR="00CC03AD" w:rsidRPr="0066103C">
        <w:t xml:space="preserve"> Isa 14 is given precision by the more literal language of the laments in</w:t>
      </w:r>
      <w:r w:rsidRPr="0066103C">
        <w:t xml:space="preserve"> Isa 59:1–15; 63:7–64:11 [12]. Th</w:t>
      </w:r>
      <w:r w:rsidR="00CC03AD" w:rsidRPr="0066103C">
        <w:t>ere already truth has fallen in the public squares and cannot be found (</w:t>
      </w:r>
      <w:r w:rsidR="00EB26A0" w:rsidRPr="0066103C">
        <w:t xml:space="preserve">Isa </w:t>
      </w:r>
      <w:r w:rsidR="00CC03AD" w:rsidRPr="0066103C">
        <w:t>59:14–15; cf. Dan 8:12), and God’s sanctuary is trampled down by Israel’s adversaries (</w:t>
      </w:r>
      <w:r w:rsidR="00EB26A0" w:rsidRPr="0066103C">
        <w:t xml:space="preserve">Isa </w:t>
      </w:r>
      <w:r w:rsidR="00CC03AD" w:rsidRPr="0066103C">
        <w:t xml:space="preserve">63:15, 18; cf. Dan 8:11, 13). </w:t>
      </w:r>
      <w:r w:rsidR="00EB26A0" w:rsidRPr="0066103C">
        <w:t>In the context of these links, the parallel</w:t>
      </w:r>
      <w:r w:rsidR="00CC03AD" w:rsidRPr="0066103C">
        <w:t xml:space="preserve"> between the three occurrences of פשע in Isa 59:12, 13 and the two in Dan 8:12, 13 may n</w:t>
      </w:r>
      <w:r w:rsidR="00EB26A0" w:rsidRPr="0066103C">
        <w:t>ot be coincidental; nor may the parallel</w:t>
      </w:r>
      <w:r w:rsidR="00CC03AD" w:rsidRPr="0066103C">
        <w:t xml:space="preserve"> between the description of Jerusalem as a desolation (שממה</w:t>
      </w:r>
      <w:r w:rsidR="00EB26A0" w:rsidRPr="0066103C">
        <w:t>) in Isa 64:10 [9</w:t>
      </w:r>
      <w:r w:rsidR="00CC03AD" w:rsidRPr="0066103C">
        <w:t xml:space="preserve">] and </w:t>
      </w:r>
      <w:r w:rsidR="00EB26A0" w:rsidRPr="0066103C">
        <w:t xml:space="preserve">the </w:t>
      </w:r>
      <w:r w:rsidR="00CC03AD" w:rsidRPr="0066103C">
        <w:t>mention of the desolating rebellion (שמם</w:t>
      </w:r>
      <w:r w:rsidR="00EB26A0" w:rsidRPr="0066103C">
        <w:t xml:space="preserve"> </w:t>
      </w:r>
      <w:r w:rsidR="00EB26A0" w:rsidRPr="0066103C">
        <w:rPr>
          <w:rFonts w:ascii="Arial" w:hAnsi="Arial" w:cs="Arial"/>
        </w:rPr>
        <w:t>הפשע</w:t>
      </w:r>
      <w:r w:rsidR="00CC03AD" w:rsidRPr="0066103C">
        <w:t>) in Dan 8:13. Isa 63:9 also pictures Israel looked after b</w:t>
      </w:r>
      <w:r w:rsidR="00EB26A0" w:rsidRPr="0066103C">
        <w:t xml:space="preserve">y Yahweh’s personal aide, whose </w:t>
      </w:r>
      <w:r w:rsidR="00CC03AD" w:rsidRPr="0066103C">
        <w:t>position may be analogous to that of the leader of the army in Dan 8:11. Earlier, Isa 52:14; 53:12 provides terms (שחת, עצומים, רבים</w:t>
      </w:r>
      <w:r w:rsidR="00EB26A0" w:rsidRPr="0066103C">
        <w:t>) that appear in Dan 8:24–25</w:t>
      </w:r>
      <w:r w:rsidR="00CC03AD" w:rsidRPr="0066103C">
        <w:t>.</w:t>
      </w:r>
      <w:r w:rsidR="00EB26A0" w:rsidRPr="0066103C">
        <w:rPr>
          <w:rStyle w:val="FootnoteReference"/>
        </w:rPr>
        <w:footnoteReference w:id="294"/>
      </w:r>
    </w:p>
    <w:p w:rsidR="00CC03AD" w:rsidRPr="0066103C" w:rsidRDefault="00CC03AD" w:rsidP="00CC03AD">
      <w:r w:rsidRPr="0066103C">
        <w:t xml:space="preserve">The quasi-predictive animal allegories of Daniel and </w:t>
      </w:r>
      <w:r w:rsidRPr="0066103C">
        <w:rPr>
          <w:i/>
        </w:rPr>
        <w:t>1</w:t>
      </w:r>
      <w:r w:rsidR="00EB26A0" w:rsidRPr="0066103C">
        <w:rPr>
          <w:i/>
        </w:rPr>
        <w:t xml:space="preserve"> Enoch</w:t>
      </w:r>
      <w:r w:rsidR="00EB26A0" w:rsidRPr="0066103C">
        <w:t xml:space="preserve"> take up a tradition going</w:t>
      </w:r>
      <w:r w:rsidRPr="0066103C">
        <w:t xml:space="preserve"> back to Gen 49 via Ezekiel’s nature allegories (e.g., Ezek 15; 17; 19; also 39:18). </w:t>
      </w:r>
      <w:r w:rsidRPr="0066103C">
        <w:rPr>
          <w:i/>
        </w:rPr>
        <w:t>1 Enoch</w:t>
      </w:r>
      <w:r w:rsidRPr="0066103C">
        <w:t xml:space="preserve"> 90 illustrates the motif of a horn growing, fighting, and breaking in a way parallel to Dan 8. The vision of ram and goat also has varied extrabiblical background. These two animals are the signs under which Persia and Syria appear in the zodiac</w:t>
      </w:r>
      <w:r w:rsidR="00EB26A0" w:rsidRPr="0066103C">
        <w:t>.</w:t>
      </w:r>
      <w:r w:rsidR="00EB26A0" w:rsidRPr="0066103C">
        <w:rPr>
          <w:rStyle w:val="FootnoteReference"/>
        </w:rPr>
        <w:footnoteReference w:id="295"/>
      </w:r>
      <w:r w:rsidRPr="0066103C">
        <w:t xml:space="preserve"> Indeed, there is nothing distinctively Jewish about the portrait of the ram and goat (vv 3–8a). It could have existed already and been taken into the vision as a whole.</w:t>
      </w:r>
      <w:r w:rsidR="00EB26A0" w:rsidRPr="0066103C">
        <w:rPr>
          <w:rStyle w:val="FootnoteReference"/>
        </w:rPr>
        <w:footnoteReference w:id="296"/>
      </w:r>
      <w:r w:rsidRPr="0066103C">
        <w:t xml:space="preserve"> The horns have a varied background in Babylonian omen-literature, as well as in OT and wider Semitic symbolism (cf. Dan 7 </w:t>
      </w:r>
      <w:r w:rsidRPr="0066103C">
        <w:rPr>
          <w:i/>
        </w:rPr>
        <w:t>Form</w:t>
      </w:r>
      <w:r w:rsidRPr="0066103C">
        <w:t>). Stylized aspects of the description of Antiochus’s tyra</w:t>
      </w:r>
      <w:r w:rsidR="00EB26A0" w:rsidRPr="0066103C">
        <w:t>nny (vv 23–25) appear</w:t>
      </w:r>
      <w:r w:rsidRPr="0066103C">
        <w:t xml:space="preserve"> i</w:t>
      </w:r>
      <w:r w:rsidR="00EB26A0" w:rsidRPr="0066103C">
        <w:t>n Greek writers</w:t>
      </w:r>
      <w:r w:rsidR="000823F7" w:rsidRPr="0066103C">
        <w:t>,</w:t>
      </w:r>
      <w:r w:rsidR="00EB26A0" w:rsidRPr="0066103C">
        <w:rPr>
          <w:rStyle w:val="FootnoteReference"/>
        </w:rPr>
        <w:footnoteReference w:id="297"/>
      </w:r>
      <w:r w:rsidRPr="0066103C">
        <w:t xml:space="preserve"> </w:t>
      </w:r>
      <w:r w:rsidR="000823F7" w:rsidRPr="0066103C">
        <w:t>while</w:t>
      </w:r>
      <w:r w:rsidRPr="0066103C">
        <w:t xml:space="preserve"> the characterization of Antiochus as the clever transgressor due for his comeuppance </w:t>
      </w:r>
      <w:r w:rsidR="000823F7" w:rsidRPr="0066103C">
        <w:t xml:space="preserve">compares </w:t>
      </w:r>
      <w:r w:rsidRPr="0066103C">
        <w:t>with the link between wisdom and pride already made in Isa 10:13; Ezek 28:2–5 (</w:t>
      </w:r>
      <w:r w:rsidR="000823F7" w:rsidRPr="0066103C">
        <w:t xml:space="preserve">where </w:t>
      </w:r>
      <w:r w:rsidRPr="0066103C">
        <w:t xml:space="preserve">the king of Tyre </w:t>
      </w:r>
      <w:r w:rsidR="000823F7" w:rsidRPr="0066103C">
        <w:t xml:space="preserve">is </w:t>
      </w:r>
      <w:r w:rsidRPr="0066103C">
        <w:t>compared with Daniel!).</w:t>
      </w:r>
      <w:r w:rsidR="00EB26A0" w:rsidRPr="0066103C">
        <w:rPr>
          <w:rStyle w:val="FootnoteReference"/>
        </w:rPr>
        <w:footnoteReference w:id="298"/>
      </w:r>
      <w:r w:rsidRPr="0066103C">
        <w:t xml:space="preserve"> On the background of the 2,300 days, see </w:t>
      </w:r>
      <w:r w:rsidRPr="0066103C">
        <w:rPr>
          <w:i/>
        </w:rPr>
        <w:t>Comment</w:t>
      </w:r>
      <w:r w:rsidRPr="0066103C">
        <w:t>.</w:t>
      </w:r>
    </w:p>
    <w:p w:rsidR="00CC03AD" w:rsidRPr="0066103C" w:rsidRDefault="00CC03AD" w:rsidP="00CC03AD">
      <w:r w:rsidRPr="0066103C">
        <w:t>It has been assumed that the mythic and poetic aspects to chap. 7 suggest that it reflects a “real” visionary experience, while the more concrete aspects to chap. 8 suggest that it is a more consciously contrived elaboration or expansion of part of chap. 7. Both these assumptions can be questioned.</w:t>
      </w:r>
    </w:p>
    <w:p w:rsidR="00CC03AD" w:rsidRPr="0066103C" w:rsidRDefault="00CC03AD" w:rsidP="00AF6220">
      <w:pPr>
        <w:pStyle w:val="Heading3"/>
      </w:pPr>
      <w:r w:rsidRPr="0066103C">
        <w:t>Structure</w:t>
      </w:r>
    </w:p>
    <w:p w:rsidR="00CC03AD" w:rsidRPr="0066103C" w:rsidRDefault="00CC03AD" w:rsidP="00CC03AD"/>
    <w:p w:rsidR="00CC03AD" w:rsidRPr="0066103C" w:rsidRDefault="00CC03AD" w:rsidP="00CC03AD">
      <w:r w:rsidRPr="0066103C">
        <w:lastRenderedPageBreak/>
        <w:t xml:space="preserve">1–2a </w:t>
      </w:r>
      <w:r w:rsidR="00581DB5" w:rsidRPr="0066103C">
        <w:tab/>
      </w:r>
      <w:r w:rsidRPr="0066103C">
        <w:t>Introduction: date and place</w:t>
      </w:r>
    </w:p>
    <w:p w:rsidR="00CC03AD" w:rsidRPr="0066103C" w:rsidRDefault="00CC03AD" w:rsidP="00CC03AD">
      <w:r w:rsidRPr="0066103C">
        <w:t xml:space="preserve">2b–14 </w:t>
      </w:r>
      <w:r w:rsidR="00581DB5" w:rsidRPr="0066103C">
        <w:tab/>
      </w:r>
      <w:r w:rsidRPr="0066103C">
        <w:t>Symbolic vision (beginning בראתי</w:t>
      </w:r>
      <w:r w:rsidR="00581DB5" w:rsidRPr="0066103C">
        <w:t xml:space="preserve"> </w:t>
      </w:r>
      <w:r w:rsidR="00581DB5" w:rsidRPr="0066103C">
        <w:rPr>
          <w:rFonts w:ascii="Arial" w:hAnsi="Arial" w:cs="Arial"/>
        </w:rPr>
        <w:t>ויהי</w:t>
      </w:r>
      <w:r w:rsidRPr="0066103C">
        <w:t>)</w:t>
      </w:r>
    </w:p>
    <w:p w:rsidR="00CC03AD" w:rsidRPr="0066103C" w:rsidRDefault="00581DB5" w:rsidP="00CC03AD">
      <w:r w:rsidRPr="0066103C">
        <w:tab/>
      </w:r>
      <w:r w:rsidR="00CC03AD" w:rsidRPr="0066103C">
        <w:t xml:space="preserve">2b </w:t>
      </w:r>
      <w:r w:rsidRPr="0066103C">
        <w:tab/>
      </w:r>
      <w:r w:rsidR="00CC03AD" w:rsidRPr="0066103C">
        <w:t>the seer’s circumstances</w:t>
      </w:r>
    </w:p>
    <w:p w:rsidR="00CC03AD" w:rsidRPr="0066103C" w:rsidRDefault="00581DB5" w:rsidP="00CC03AD">
      <w:r w:rsidRPr="0066103C">
        <w:tab/>
      </w:r>
      <w:r w:rsidR="00CC03AD" w:rsidRPr="0066103C">
        <w:t xml:space="preserve">3–4 </w:t>
      </w:r>
      <w:r w:rsidRPr="0066103C">
        <w:tab/>
      </w:r>
      <w:r w:rsidR="00CC03AD" w:rsidRPr="0066103C">
        <w:t>ram</w:t>
      </w:r>
    </w:p>
    <w:p w:rsidR="00CC03AD" w:rsidRPr="0066103C" w:rsidRDefault="00581DB5" w:rsidP="00CC03AD">
      <w:r w:rsidRPr="0066103C">
        <w:tab/>
      </w:r>
      <w:r w:rsidRPr="0066103C">
        <w:tab/>
      </w:r>
      <w:r w:rsidR="00CC03AD" w:rsidRPr="0066103C">
        <w:t>3 its appearance</w:t>
      </w:r>
    </w:p>
    <w:p w:rsidR="00CC03AD" w:rsidRPr="0066103C" w:rsidRDefault="00581DB5" w:rsidP="00CC03AD">
      <w:r w:rsidRPr="0066103C">
        <w:tab/>
      </w:r>
      <w:r w:rsidRPr="0066103C">
        <w:tab/>
      </w:r>
      <w:r w:rsidR="00CC03AD" w:rsidRPr="0066103C">
        <w:t>4 its activity</w:t>
      </w:r>
    </w:p>
    <w:p w:rsidR="00CC03AD" w:rsidRPr="0066103C" w:rsidRDefault="00581DB5" w:rsidP="00CC03AD">
      <w:r w:rsidRPr="0066103C">
        <w:tab/>
      </w:r>
      <w:r w:rsidR="00CC03AD" w:rsidRPr="0066103C">
        <w:t xml:space="preserve">5–12 </w:t>
      </w:r>
      <w:r w:rsidRPr="0066103C">
        <w:tab/>
      </w:r>
      <w:r w:rsidR="00CC03AD" w:rsidRPr="0066103C">
        <w:t>goat</w:t>
      </w:r>
    </w:p>
    <w:p w:rsidR="00CC03AD" w:rsidRPr="0066103C" w:rsidRDefault="00581DB5" w:rsidP="00CC03AD">
      <w:r w:rsidRPr="0066103C">
        <w:tab/>
      </w:r>
      <w:r w:rsidRPr="0066103C">
        <w:tab/>
      </w:r>
      <w:r w:rsidR="00CC03AD" w:rsidRPr="0066103C">
        <w:t xml:space="preserve">5 </w:t>
      </w:r>
      <w:r w:rsidRPr="0066103C">
        <w:tab/>
      </w:r>
      <w:r w:rsidR="00CC03AD" w:rsidRPr="0066103C">
        <w:t>its arrival</w:t>
      </w:r>
    </w:p>
    <w:p w:rsidR="00CC03AD" w:rsidRPr="0066103C" w:rsidRDefault="00581DB5" w:rsidP="00CC03AD">
      <w:r w:rsidRPr="0066103C">
        <w:tab/>
      </w:r>
      <w:r w:rsidRPr="0066103C">
        <w:tab/>
      </w:r>
      <w:r w:rsidR="00CC03AD" w:rsidRPr="0066103C">
        <w:t xml:space="preserve">6–7 </w:t>
      </w:r>
      <w:r w:rsidRPr="0066103C">
        <w:tab/>
      </w:r>
      <w:r w:rsidR="00CC03AD" w:rsidRPr="0066103C">
        <w:t>its activity</w:t>
      </w:r>
    </w:p>
    <w:p w:rsidR="00CC03AD" w:rsidRPr="0066103C" w:rsidRDefault="00581DB5" w:rsidP="00CC03AD">
      <w:r w:rsidRPr="0066103C">
        <w:tab/>
      </w:r>
      <w:r w:rsidRPr="0066103C">
        <w:tab/>
      </w:r>
      <w:r w:rsidR="00CC03AD" w:rsidRPr="0066103C">
        <w:t xml:space="preserve">8a </w:t>
      </w:r>
      <w:r w:rsidRPr="0066103C">
        <w:tab/>
      </w:r>
      <w:r w:rsidR="00CC03AD" w:rsidRPr="0066103C">
        <w:t>its increase</w:t>
      </w:r>
    </w:p>
    <w:p w:rsidR="00CC03AD" w:rsidRPr="0066103C" w:rsidRDefault="00581DB5" w:rsidP="00CC03AD">
      <w:r w:rsidRPr="0066103C">
        <w:tab/>
      </w:r>
      <w:r w:rsidRPr="0066103C">
        <w:tab/>
      </w:r>
      <w:r w:rsidR="00CC03AD" w:rsidRPr="0066103C">
        <w:t xml:space="preserve">8b </w:t>
      </w:r>
      <w:r w:rsidRPr="0066103C">
        <w:tab/>
      </w:r>
      <w:r w:rsidR="00CC03AD" w:rsidRPr="0066103C">
        <w:t>its shattering and new growth</w:t>
      </w:r>
    </w:p>
    <w:p w:rsidR="00CC03AD" w:rsidRPr="0066103C" w:rsidRDefault="00581DB5" w:rsidP="00CC03AD">
      <w:r w:rsidRPr="0066103C">
        <w:tab/>
      </w:r>
      <w:r w:rsidRPr="0066103C">
        <w:tab/>
      </w:r>
      <w:r w:rsidR="0098368F" w:rsidRPr="0066103C">
        <w:tab/>
        <w:t>9-12</w:t>
      </w:r>
      <w:r w:rsidR="0098368F" w:rsidRPr="0066103C">
        <w:tab/>
      </w:r>
      <w:r w:rsidR="00CC03AD" w:rsidRPr="0066103C">
        <w:t>its small horn</w:t>
      </w:r>
    </w:p>
    <w:p w:rsidR="00CC03AD" w:rsidRPr="0066103C" w:rsidRDefault="0098368F" w:rsidP="00CC03AD">
      <w:r w:rsidRPr="0066103C">
        <w:tab/>
      </w:r>
      <w:r w:rsidRPr="0066103C">
        <w:tab/>
      </w:r>
      <w:r w:rsidRPr="0066103C">
        <w:tab/>
      </w:r>
      <w:r w:rsidRPr="0066103C">
        <w:tab/>
      </w:r>
      <w:r w:rsidR="00CC03AD" w:rsidRPr="0066103C">
        <w:t>9 its arrival</w:t>
      </w:r>
    </w:p>
    <w:p w:rsidR="00CC03AD" w:rsidRPr="0066103C" w:rsidRDefault="0098368F" w:rsidP="00CC03AD">
      <w:r w:rsidRPr="0066103C">
        <w:tab/>
      </w:r>
      <w:r w:rsidRPr="0066103C">
        <w:tab/>
      </w:r>
      <w:r w:rsidRPr="0066103C">
        <w:tab/>
      </w:r>
      <w:r w:rsidRPr="0066103C">
        <w:tab/>
      </w:r>
      <w:r w:rsidR="00CC03AD" w:rsidRPr="0066103C">
        <w:t>10–12 its activity</w:t>
      </w:r>
    </w:p>
    <w:p w:rsidR="00CC03AD" w:rsidRPr="0066103C" w:rsidRDefault="0098368F" w:rsidP="00CC03AD">
      <w:r w:rsidRPr="0066103C">
        <w:tab/>
      </w:r>
      <w:r w:rsidRPr="0066103C">
        <w:tab/>
      </w:r>
      <w:r w:rsidRPr="0066103C">
        <w:tab/>
      </w:r>
      <w:r w:rsidRPr="0066103C">
        <w:tab/>
      </w:r>
      <w:r w:rsidRPr="0066103C">
        <w:tab/>
      </w:r>
      <w:r w:rsidR="00CC03AD" w:rsidRPr="0066103C">
        <w:t>10 in relation to the heavenly army</w:t>
      </w:r>
    </w:p>
    <w:p w:rsidR="00CC03AD" w:rsidRPr="0066103C" w:rsidRDefault="0098368F" w:rsidP="00CC03AD">
      <w:r w:rsidRPr="0066103C">
        <w:tab/>
      </w:r>
      <w:r w:rsidRPr="0066103C">
        <w:tab/>
      </w:r>
      <w:r w:rsidRPr="0066103C">
        <w:tab/>
      </w:r>
      <w:r w:rsidRPr="0066103C">
        <w:tab/>
      </w:r>
      <w:r w:rsidRPr="0066103C">
        <w:tab/>
      </w:r>
      <w:r w:rsidR="00CC03AD" w:rsidRPr="0066103C">
        <w:t>11 in relation to the army leader</w:t>
      </w:r>
    </w:p>
    <w:p w:rsidR="00CC03AD" w:rsidRPr="0066103C" w:rsidRDefault="0098368F" w:rsidP="00CC03AD">
      <w:r w:rsidRPr="0066103C">
        <w:tab/>
      </w:r>
      <w:r w:rsidRPr="0066103C">
        <w:tab/>
      </w:r>
      <w:r w:rsidRPr="0066103C">
        <w:tab/>
      </w:r>
      <w:r w:rsidRPr="0066103C">
        <w:tab/>
      </w:r>
      <w:r w:rsidRPr="0066103C">
        <w:tab/>
      </w:r>
      <w:r w:rsidR="00CC03AD" w:rsidRPr="0066103C">
        <w:t>12 in relation to the sanctuary</w:t>
      </w:r>
    </w:p>
    <w:p w:rsidR="00CC03AD" w:rsidRPr="0066103C" w:rsidRDefault="0098368F" w:rsidP="00CC03AD">
      <w:r w:rsidRPr="0066103C">
        <w:tab/>
      </w:r>
      <w:r w:rsidR="00CC03AD" w:rsidRPr="0066103C">
        <w:t xml:space="preserve">13–14 </w:t>
      </w:r>
      <w:r w:rsidRPr="0066103C">
        <w:tab/>
      </w:r>
      <w:r w:rsidR="00CC03AD" w:rsidRPr="0066103C">
        <w:t>the limit set to the visionary events</w:t>
      </w:r>
    </w:p>
    <w:p w:rsidR="00CC03AD" w:rsidRPr="0066103C" w:rsidRDefault="0098368F" w:rsidP="00CC03AD">
      <w:r w:rsidRPr="0066103C">
        <w:tab/>
      </w:r>
      <w:r w:rsidRPr="0066103C">
        <w:tab/>
      </w:r>
      <w:r w:rsidR="00CC03AD" w:rsidRPr="0066103C">
        <w:t>13 one holy one asks</w:t>
      </w:r>
    </w:p>
    <w:p w:rsidR="00CC03AD" w:rsidRPr="0066103C" w:rsidRDefault="0098368F" w:rsidP="00CC03AD">
      <w:r w:rsidRPr="0066103C">
        <w:tab/>
      </w:r>
      <w:r w:rsidRPr="0066103C">
        <w:tab/>
      </w:r>
      <w:r w:rsidR="00CC03AD" w:rsidRPr="0066103C">
        <w:t>14 another holy one explains</w:t>
      </w:r>
    </w:p>
    <w:p w:rsidR="00CC03AD" w:rsidRPr="0066103C" w:rsidRDefault="0098368F" w:rsidP="00CC03AD">
      <w:r w:rsidRPr="0066103C">
        <w:t xml:space="preserve">15–26 </w:t>
      </w:r>
      <w:r w:rsidRPr="0066103C">
        <w:tab/>
        <w:t>Interpre</w:t>
      </w:r>
      <w:r w:rsidR="00CC03AD" w:rsidRPr="0066103C">
        <w:t>tive vision (beginning בראתי</w:t>
      </w:r>
      <w:r w:rsidRPr="0066103C">
        <w:t xml:space="preserve"> </w:t>
      </w:r>
      <w:r w:rsidRPr="0066103C">
        <w:rPr>
          <w:rFonts w:ascii="Arial" w:hAnsi="Arial" w:cs="Arial"/>
        </w:rPr>
        <w:t>ויהי</w:t>
      </w:r>
      <w:r w:rsidR="00CC03AD" w:rsidRPr="0066103C">
        <w:t>)</w:t>
      </w:r>
    </w:p>
    <w:p w:rsidR="00CC03AD" w:rsidRPr="0066103C" w:rsidRDefault="0098368F" w:rsidP="00CC03AD">
      <w:r w:rsidRPr="0066103C">
        <w:tab/>
      </w:r>
      <w:r w:rsidR="00CC03AD" w:rsidRPr="0066103C">
        <w:t xml:space="preserve">15–19 </w:t>
      </w:r>
      <w:r w:rsidRPr="0066103C">
        <w:tab/>
      </w:r>
      <w:r w:rsidR="00CC03AD" w:rsidRPr="0066103C">
        <w:t>epiphany of interpreter</w:t>
      </w:r>
    </w:p>
    <w:p w:rsidR="00CC03AD" w:rsidRPr="0066103C" w:rsidRDefault="0098368F" w:rsidP="00CC03AD">
      <w:r w:rsidRPr="0066103C">
        <w:tab/>
      </w:r>
      <w:r w:rsidRPr="0066103C">
        <w:tab/>
      </w:r>
      <w:r w:rsidR="00CC03AD" w:rsidRPr="0066103C">
        <w:t xml:space="preserve">15a </w:t>
      </w:r>
      <w:r w:rsidRPr="0066103C">
        <w:tab/>
      </w:r>
      <w:r w:rsidR="00CC03AD" w:rsidRPr="0066103C">
        <w:t>the seer’s circumstances</w:t>
      </w:r>
    </w:p>
    <w:p w:rsidR="00CC03AD" w:rsidRPr="0066103C" w:rsidRDefault="0098368F" w:rsidP="00CC03AD">
      <w:r w:rsidRPr="0066103C">
        <w:tab/>
      </w:r>
      <w:r w:rsidRPr="0066103C">
        <w:tab/>
      </w:r>
      <w:r w:rsidR="00CC03AD" w:rsidRPr="0066103C">
        <w:t xml:space="preserve">15b </w:t>
      </w:r>
      <w:r w:rsidRPr="0066103C">
        <w:tab/>
      </w:r>
      <w:r w:rsidR="00CC03AD" w:rsidRPr="0066103C">
        <w:t>the interpreter appears</w:t>
      </w:r>
    </w:p>
    <w:p w:rsidR="00CC03AD" w:rsidRPr="0066103C" w:rsidRDefault="0098368F" w:rsidP="00CC03AD">
      <w:r w:rsidRPr="0066103C">
        <w:tab/>
      </w:r>
      <w:r w:rsidRPr="0066103C">
        <w:tab/>
      </w:r>
      <w:r w:rsidR="00CC03AD" w:rsidRPr="0066103C">
        <w:t xml:space="preserve">16 </w:t>
      </w:r>
      <w:r w:rsidRPr="0066103C">
        <w:tab/>
      </w:r>
      <w:r w:rsidR="00CC03AD" w:rsidRPr="0066103C">
        <w:t>the interpreter commissioned</w:t>
      </w:r>
    </w:p>
    <w:p w:rsidR="00CC03AD" w:rsidRPr="0066103C" w:rsidRDefault="0098368F" w:rsidP="00CC03AD">
      <w:r w:rsidRPr="0066103C">
        <w:tab/>
      </w:r>
      <w:r w:rsidRPr="0066103C">
        <w:tab/>
      </w:r>
      <w:r w:rsidR="00CC03AD" w:rsidRPr="0066103C">
        <w:t xml:space="preserve">17a </w:t>
      </w:r>
      <w:r w:rsidRPr="0066103C">
        <w:tab/>
      </w:r>
      <w:r w:rsidR="00CC03AD" w:rsidRPr="0066103C">
        <w:t>the interpreter approaches</w:t>
      </w:r>
    </w:p>
    <w:p w:rsidR="00CC03AD" w:rsidRPr="0066103C" w:rsidRDefault="0098368F" w:rsidP="00CC03AD">
      <w:r w:rsidRPr="0066103C">
        <w:tab/>
      </w:r>
      <w:r w:rsidRPr="0066103C">
        <w:tab/>
      </w:r>
      <w:r w:rsidR="00CC03AD" w:rsidRPr="0066103C">
        <w:t xml:space="preserve">17b </w:t>
      </w:r>
      <w:r w:rsidRPr="0066103C">
        <w:tab/>
      </w:r>
      <w:r w:rsidR="00CC03AD" w:rsidRPr="0066103C">
        <w:t>the interpreter speaks</w:t>
      </w:r>
    </w:p>
    <w:p w:rsidR="00CC03AD" w:rsidRPr="0066103C" w:rsidRDefault="0098368F" w:rsidP="00CC03AD">
      <w:r w:rsidRPr="0066103C">
        <w:tab/>
      </w:r>
      <w:r w:rsidRPr="0066103C">
        <w:tab/>
      </w:r>
      <w:r w:rsidR="00CC03AD" w:rsidRPr="0066103C">
        <w:t xml:space="preserve">18 </w:t>
      </w:r>
      <w:r w:rsidRPr="0066103C">
        <w:tab/>
      </w:r>
      <w:r w:rsidR="00CC03AD" w:rsidRPr="0066103C">
        <w:t>the seer’s response</w:t>
      </w:r>
    </w:p>
    <w:p w:rsidR="00CC03AD" w:rsidRPr="0066103C" w:rsidRDefault="0098368F" w:rsidP="00CC03AD">
      <w:r w:rsidRPr="0066103C">
        <w:tab/>
      </w:r>
      <w:r w:rsidRPr="0066103C">
        <w:tab/>
      </w:r>
      <w:r w:rsidR="00CC03AD" w:rsidRPr="0066103C">
        <w:t xml:space="preserve">19 </w:t>
      </w:r>
      <w:r w:rsidRPr="0066103C">
        <w:tab/>
      </w:r>
      <w:r w:rsidR="00CC03AD" w:rsidRPr="0066103C">
        <w:t>the interpreter’s introduction to the message</w:t>
      </w:r>
    </w:p>
    <w:p w:rsidR="00CC03AD" w:rsidRPr="0066103C" w:rsidRDefault="0098368F" w:rsidP="00CC03AD">
      <w:r w:rsidRPr="0066103C">
        <w:tab/>
      </w:r>
      <w:r w:rsidR="00CC03AD" w:rsidRPr="0066103C">
        <w:t xml:space="preserve">20–26 </w:t>
      </w:r>
      <w:r w:rsidRPr="0066103C">
        <w:tab/>
      </w:r>
      <w:r w:rsidR="00CC03AD" w:rsidRPr="0066103C">
        <w:t>message of interpreter</w:t>
      </w:r>
    </w:p>
    <w:p w:rsidR="00CC03AD" w:rsidRPr="0066103C" w:rsidRDefault="0098368F" w:rsidP="00CC03AD">
      <w:r w:rsidRPr="0066103C">
        <w:tab/>
      </w:r>
      <w:r w:rsidRPr="0066103C">
        <w:tab/>
      </w:r>
      <w:r w:rsidR="00CC03AD" w:rsidRPr="0066103C">
        <w:t xml:space="preserve">20 </w:t>
      </w:r>
      <w:r w:rsidRPr="0066103C">
        <w:tab/>
      </w:r>
      <w:r w:rsidR="00CC03AD" w:rsidRPr="0066103C">
        <w:t>the ram interpreted</w:t>
      </w:r>
    </w:p>
    <w:p w:rsidR="00CC03AD" w:rsidRPr="0066103C" w:rsidRDefault="0098368F" w:rsidP="00CC03AD">
      <w:r w:rsidRPr="0066103C">
        <w:tab/>
      </w:r>
      <w:r w:rsidRPr="0066103C">
        <w:tab/>
      </w:r>
      <w:r w:rsidR="00CC03AD" w:rsidRPr="0066103C">
        <w:t xml:space="preserve">21 </w:t>
      </w:r>
      <w:r w:rsidRPr="0066103C">
        <w:tab/>
      </w:r>
      <w:r w:rsidR="00CC03AD" w:rsidRPr="0066103C">
        <w:t>the goat interpreted</w:t>
      </w:r>
    </w:p>
    <w:p w:rsidR="00CC03AD" w:rsidRPr="0066103C" w:rsidRDefault="0098368F" w:rsidP="00CC03AD">
      <w:r w:rsidRPr="0066103C">
        <w:tab/>
      </w:r>
      <w:r w:rsidRPr="0066103C">
        <w:tab/>
      </w:r>
      <w:r w:rsidR="00CC03AD" w:rsidRPr="0066103C">
        <w:t xml:space="preserve">22 </w:t>
      </w:r>
      <w:r w:rsidRPr="0066103C">
        <w:tab/>
      </w:r>
      <w:r w:rsidR="00CC03AD" w:rsidRPr="0066103C">
        <w:t>the shattering and new growth interpreted</w:t>
      </w:r>
    </w:p>
    <w:p w:rsidR="00CC03AD" w:rsidRPr="0066103C" w:rsidRDefault="0098368F" w:rsidP="00CC03AD">
      <w:r w:rsidRPr="0066103C">
        <w:tab/>
      </w:r>
      <w:r w:rsidRPr="0066103C">
        <w:tab/>
      </w:r>
      <w:r w:rsidR="00CC03AD" w:rsidRPr="0066103C">
        <w:t xml:space="preserve">23–25 </w:t>
      </w:r>
      <w:r w:rsidRPr="0066103C">
        <w:tab/>
      </w:r>
      <w:r w:rsidR="00CC03AD" w:rsidRPr="0066103C">
        <w:t>the fierce-looking king</w:t>
      </w:r>
    </w:p>
    <w:p w:rsidR="00CC03AD" w:rsidRPr="0066103C" w:rsidRDefault="0098368F" w:rsidP="00CC03AD">
      <w:r w:rsidRPr="0066103C">
        <w:tab/>
      </w:r>
      <w:r w:rsidRPr="0066103C">
        <w:tab/>
      </w:r>
      <w:r w:rsidRPr="0066103C">
        <w:tab/>
      </w:r>
      <w:r w:rsidR="00CC03AD" w:rsidRPr="0066103C">
        <w:t xml:space="preserve">23 </w:t>
      </w:r>
      <w:r w:rsidRPr="0066103C">
        <w:tab/>
      </w:r>
      <w:r w:rsidR="00CC03AD" w:rsidRPr="0066103C">
        <w:t>his rise</w:t>
      </w:r>
    </w:p>
    <w:p w:rsidR="00CC03AD" w:rsidRPr="0066103C" w:rsidRDefault="0098368F" w:rsidP="00CC03AD">
      <w:r w:rsidRPr="0066103C">
        <w:tab/>
      </w:r>
      <w:r w:rsidRPr="0066103C">
        <w:tab/>
      </w:r>
      <w:r w:rsidRPr="0066103C">
        <w:tab/>
      </w:r>
      <w:r w:rsidR="00CC03AD" w:rsidRPr="0066103C">
        <w:t xml:space="preserve">24–25a </w:t>
      </w:r>
      <w:r w:rsidRPr="0066103C">
        <w:tab/>
      </w:r>
      <w:r w:rsidR="00CC03AD" w:rsidRPr="0066103C">
        <w:t>his success</w:t>
      </w:r>
    </w:p>
    <w:p w:rsidR="00CC03AD" w:rsidRPr="0066103C" w:rsidRDefault="0098368F" w:rsidP="00CC03AD">
      <w:r w:rsidRPr="0066103C">
        <w:tab/>
      </w:r>
      <w:r w:rsidRPr="0066103C">
        <w:tab/>
      </w:r>
      <w:r w:rsidRPr="0066103C">
        <w:tab/>
      </w:r>
      <w:r w:rsidR="00CC03AD" w:rsidRPr="0066103C">
        <w:t>25b his fall</w:t>
      </w:r>
    </w:p>
    <w:p w:rsidR="00CC03AD" w:rsidRPr="0066103C" w:rsidRDefault="0098368F" w:rsidP="00CC03AD">
      <w:r w:rsidRPr="0066103C">
        <w:tab/>
      </w:r>
      <w:r w:rsidRPr="0066103C">
        <w:tab/>
      </w:r>
      <w:r w:rsidR="00CC03AD" w:rsidRPr="0066103C">
        <w:t xml:space="preserve">26 </w:t>
      </w:r>
      <w:r w:rsidRPr="0066103C">
        <w:tab/>
      </w:r>
      <w:r w:rsidR="00CC03AD" w:rsidRPr="0066103C">
        <w:t>concluding affirmation and instruction</w:t>
      </w:r>
    </w:p>
    <w:p w:rsidR="00CC03AD" w:rsidRPr="0066103C" w:rsidRDefault="00CC03AD" w:rsidP="00CC03AD">
      <w:r w:rsidRPr="0066103C">
        <w:t>27 Conclusion: the visionary’s response</w:t>
      </w:r>
      <w:r w:rsidR="003D1AB1" w:rsidRPr="0066103C">
        <w:rPr>
          <w:rStyle w:val="FootnoteReference"/>
        </w:rPr>
        <w:footnoteReference w:id="299"/>
      </w:r>
    </w:p>
    <w:p w:rsidR="0098368F" w:rsidRPr="0066103C" w:rsidRDefault="0098368F" w:rsidP="00CC03AD"/>
    <w:p w:rsidR="00E53094" w:rsidRPr="0066103C" w:rsidRDefault="00CC03AD" w:rsidP="00CC03AD">
      <w:r w:rsidRPr="0066103C">
        <w:t xml:space="preserve">Like chap. 7, chap. 8 uses introductory formulae to mark significant transition points. Thus vv 3 and 5 have long visionary formulae to introduce the ram and the goat; in v 8b the resumptive reference to the goat’s strength fulfills a </w:t>
      </w:r>
      <w:r w:rsidR="001E50B5" w:rsidRPr="0066103C">
        <w:t>similar function</w:t>
      </w:r>
      <w:r w:rsidRPr="0066103C">
        <w:t>.</w:t>
      </w:r>
      <w:r w:rsidR="001E50B5" w:rsidRPr="0066103C">
        <w:rPr>
          <w:rStyle w:val="FootnoteReference"/>
        </w:rPr>
        <w:footnoteReference w:id="300"/>
      </w:r>
      <w:r w:rsidRPr="0066103C">
        <w:t xml:space="preserve"> The symbolic vision builds up to v 12, as the same elements recur in the portrait of ram, goat, and small horn: each appears, acts aggressively, enjoys </w:t>
      </w:r>
      <w:r w:rsidRPr="0066103C">
        <w:lastRenderedPageBreak/>
        <w:t>success, but then falls. The sections of the symbolic vision characteristically open with noun clauses—an unusual number of these appear here—then change to verbal clauses. The effect is to draw attention to ongoing, enduring situations, then to punctiliar, changing events. The symbolic vision comes to its climax with a string of verbal clauses i</w:t>
      </w:r>
      <w:r w:rsidR="001E50B5" w:rsidRPr="0066103C">
        <w:t>n vv</w:t>
      </w:r>
      <w:r w:rsidR="00E53094" w:rsidRPr="0066103C">
        <w:t xml:space="preserve"> 11–12</w:t>
      </w:r>
      <w:r w:rsidRPr="0066103C">
        <w:t>.</w:t>
      </w:r>
      <w:r w:rsidR="00E53094" w:rsidRPr="0066103C">
        <w:rPr>
          <w:rStyle w:val="FootnoteReference"/>
        </w:rPr>
        <w:footnoteReference w:id="301"/>
      </w:r>
      <w:r w:rsidR="00E53094" w:rsidRPr="0066103C">
        <w:t xml:space="preserve"> It</w:t>
      </w:r>
      <w:r w:rsidRPr="0066103C">
        <w:t xml:space="preserve"> encourages us to view</w:t>
      </w:r>
      <w:r w:rsidR="00E53094" w:rsidRPr="0066103C">
        <w:t xml:space="preserve"> the small horn’s career in </w:t>
      </w:r>
      <w:r w:rsidRPr="0066103C">
        <w:t>ligh</w:t>
      </w:r>
      <w:r w:rsidR="00E53094" w:rsidRPr="0066103C">
        <w:t>t of patterns in earlier world</w:t>
      </w:r>
      <w:r w:rsidRPr="0066103C">
        <w:t xml:space="preserve"> history (the story of the ram and the goat), </w:t>
      </w:r>
      <w:r w:rsidR="00E53094" w:rsidRPr="0066103C">
        <w:t xml:space="preserve">of </w:t>
      </w:r>
      <w:r w:rsidRPr="0066103C">
        <w:t xml:space="preserve">the visions of Zechariah, and </w:t>
      </w:r>
      <w:r w:rsidR="00E53094" w:rsidRPr="0066103C">
        <w:t xml:space="preserve">of </w:t>
      </w:r>
      <w:r w:rsidRPr="0066103C">
        <w:t xml:space="preserve">the myth of the rebellion against the </w:t>
      </w:r>
      <w:r w:rsidR="00E53094" w:rsidRPr="0066103C">
        <w:t>heavens’ authority; in each,</w:t>
      </w:r>
      <w:r w:rsidRPr="0066103C">
        <w:t xml:space="preserve"> the assertive powers get their comeuppance. </w:t>
      </w:r>
    </w:p>
    <w:p w:rsidR="00CC03AD" w:rsidRPr="0066103C" w:rsidRDefault="00E53094" w:rsidP="00CC03AD">
      <w:r w:rsidRPr="0066103C">
        <w:t>T</w:t>
      </w:r>
      <w:r w:rsidR="00CC03AD" w:rsidRPr="0066103C">
        <w:t>he port</w:t>
      </w:r>
      <w:r w:rsidRPr="0066103C">
        <w:t>rait of the small horn</w:t>
      </w:r>
      <w:r w:rsidR="00CC03AD" w:rsidRPr="0066103C">
        <w:t xml:space="preserve"> stops short of this final element. The symbolic vision thus terminates at a surprising point and leaves us in suspense. Here there is no visionary presentation of judgment, restoration, or reign of God, and there will be no direct promise of it till the very end of the </w:t>
      </w:r>
      <w:r w:rsidR="00045B09" w:rsidRPr="0066103C">
        <w:t>interpretive</w:t>
      </w:r>
      <w:r w:rsidR="00CC03AD" w:rsidRPr="0066103C">
        <w:t xml:space="preserve"> vision (v 25b). While vv 13–14 do not directly resolve the tension set by vv 8b–12, they bring the symbolic vision to a further climax with their transition from portraying animals to portrayin</w:t>
      </w:r>
      <w:r w:rsidR="006C0850" w:rsidRPr="0066103C">
        <w:t>g celestial beings. The</w:t>
      </w:r>
      <w:r w:rsidR="00CC03AD" w:rsidRPr="0066103C">
        <w:t xml:space="preserve"> conversation </w:t>
      </w:r>
      <w:r w:rsidR="006C0850" w:rsidRPr="0066103C">
        <w:t>between these beings i</w:t>
      </w:r>
      <w:r w:rsidR="00CC03AD" w:rsidRPr="0066103C">
        <w:t>ndicates that the small</w:t>
      </w:r>
      <w:r w:rsidRPr="0066103C">
        <w:t xml:space="preserve"> horn is under control. I</w:t>
      </w:r>
      <w:r w:rsidR="00CC03AD" w:rsidRPr="0066103C">
        <w:t>t does not reveal wha</w:t>
      </w:r>
      <w:r w:rsidRPr="0066103C">
        <w:t>t will happen to it, which</w:t>
      </w:r>
      <w:r w:rsidR="00CC03AD" w:rsidRPr="0066103C">
        <w:t xml:space="preserve"> is left for the climactic line of the </w:t>
      </w:r>
      <w:r w:rsidR="006C0850" w:rsidRPr="0066103C">
        <w:t xml:space="preserve">interpretive </w:t>
      </w:r>
      <w:r w:rsidR="00CC03AD" w:rsidRPr="0066103C">
        <w:t xml:space="preserve">vision in v 25. Our anticipation of that </w:t>
      </w:r>
      <w:r w:rsidRPr="0066103C">
        <w:t xml:space="preserve">revelation is heightened </w:t>
      </w:r>
      <w:r w:rsidR="006C0850" w:rsidRPr="0066103C">
        <w:t xml:space="preserve">as vv 13–14 presuppose </w:t>
      </w:r>
      <w:r w:rsidR="00CC03AD" w:rsidRPr="0066103C">
        <w:t>somet</w:t>
      </w:r>
      <w:r w:rsidR="006C0850" w:rsidRPr="0066103C">
        <w:t>hing of the sort without announcing it</w:t>
      </w:r>
      <w:r w:rsidR="00CC03AD" w:rsidRPr="0066103C">
        <w:t>. Here, however, another concern surfaces, the question of how long the crisis is to last. This concern is highlighted by its coming at the climax of the vision and by the tr</w:t>
      </w:r>
      <w:r w:rsidR="00AA0821">
        <w:t>ansition from vision to auditory experuence</w:t>
      </w:r>
      <w:r w:rsidR="00CC03AD" w:rsidRPr="0066103C">
        <w:t xml:space="preserve"> and from an earthly scene to a dialogue between supernatural beings.</w:t>
      </w:r>
      <w:r w:rsidRPr="0066103C">
        <w:rPr>
          <w:rStyle w:val="FootnoteReference"/>
        </w:rPr>
        <w:footnoteReference w:id="302"/>
      </w:r>
    </w:p>
    <w:p w:rsidR="00CC03AD" w:rsidRPr="0066103C" w:rsidRDefault="00CC03AD" w:rsidP="00CC03AD">
      <w:r w:rsidRPr="0066103C">
        <w:t>The symbolic vision comes to an end with a celest</w:t>
      </w:r>
      <w:r w:rsidR="00045B09" w:rsidRPr="0066103C">
        <w:t>ial conversation; the interpre</w:t>
      </w:r>
      <w:r w:rsidRPr="0066103C">
        <w:t xml:space="preserve">tive vision opens with a celestial conversation. While the symbolic vision gives nearly twice as much space to the ram and the goat as it gives to the small horn, the </w:t>
      </w:r>
      <w:r w:rsidR="00045B09" w:rsidRPr="0066103C">
        <w:t>interpretive</w:t>
      </w:r>
      <w:r w:rsidRPr="0066103C">
        <w:t xml:space="preserve"> vision gives less space to the kings of Medo-Persia and Greece than to the final, fierce-looking king. As usual, some aspects of the symbolic vision are not explicitly interpreted, while some aspects of the </w:t>
      </w:r>
      <w:r w:rsidR="00045B09" w:rsidRPr="0066103C">
        <w:t>interpretive</w:t>
      </w:r>
      <w:r w:rsidRPr="0066103C">
        <w:t xml:space="preserve"> vision have no antecedent in the symbolic vision. Formally, vv 20–25 do interpret vv 3–12 by identifying the chief referents of the</w:t>
      </w:r>
      <w:r w:rsidR="00045B09" w:rsidRPr="0066103C">
        <w:t xml:space="preserve"> symbolic vision, but they </w:t>
      </w:r>
      <w:r w:rsidRPr="0066103C">
        <w:t xml:space="preserve">tell the audience </w:t>
      </w:r>
      <w:r w:rsidR="00045B09" w:rsidRPr="0066103C">
        <w:t xml:space="preserve">only </w:t>
      </w:r>
      <w:r w:rsidRPr="0066103C">
        <w:t>what they could work out and will h</w:t>
      </w:r>
      <w:r w:rsidR="00667380" w:rsidRPr="0066103C">
        <w:t>ave worked out for themselves. T</w:t>
      </w:r>
      <w:r w:rsidRPr="0066103C">
        <w:t xml:space="preserve">he symbols for the various nations are of transparent significance. In a sense it was the symbolic vision that was </w:t>
      </w:r>
      <w:r w:rsidR="00045B09" w:rsidRPr="0066103C">
        <w:t>interpretive</w:t>
      </w:r>
      <w:r w:rsidRPr="0066103C">
        <w:t xml:space="preserve">: it was designed to suggest the significance of the history </w:t>
      </w:r>
      <w:r w:rsidR="00045B09" w:rsidRPr="0066103C">
        <w:t xml:space="preserve">that </w:t>
      </w:r>
      <w:r w:rsidRPr="0066103C">
        <w:t xml:space="preserve">the audience knew. The kingdoms named in vv 20–21 have been portrayed so as to show that they embody more </w:t>
      </w:r>
      <w:r w:rsidR="00667380" w:rsidRPr="0066103C">
        <w:t>than they themselves are. They embody</w:t>
      </w:r>
      <w:r w:rsidR="00045B09" w:rsidRPr="0066103C">
        <w:t xml:space="preserve"> trans-</w:t>
      </w:r>
      <w:r w:rsidRPr="0066103C">
        <w:t>historica</w:t>
      </w:r>
      <w:r w:rsidR="00667380" w:rsidRPr="0066103C">
        <w:t xml:space="preserve">l, supernatural realities. The function of vv 23–25 </w:t>
      </w:r>
      <w:r w:rsidRPr="0066103C">
        <w:t>is not</w:t>
      </w:r>
      <w:r w:rsidR="00667380" w:rsidRPr="0066103C">
        <w:t xml:space="preserve"> to</w:t>
      </w:r>
      <w:r w:rsidRPr="0066103C">
        <w:t xml:space="preserve"> explain ciphers from earlier verses but </w:t>
      </w:r>
      <w:r w:rsidR="00667380" w:rsidRPr="0066103C">
        <w:t xml:space="preserve">to </w:t>
      </w:r>
      <w:r w:rsidRPr="0066103C">
        <w:t xml:space="preserve">complement one set of enigmatic sayings with another set. Thus in vv 20–25 a portrait in terms of animals and astrological motifs is complemented by a portrait of a human-superhuman aggressor who still, however, remains </w:t>
      </w:r>
      <w:r w:rsidR="001E50B5" w:rsidRPr="0066103C">
        <w:t>i</w:t>
      </w:r>
      <w:r w:rsidR="00045B09" w:rsidRPr="0066103C">
        <w:t>ncognito</w:t>
      </w:r>
      <w:r w:rsidRPr="0066103C">
        <w:t>.</w:t>
      </w:r>
      <w:r w:rsidR="00045B09" w:rsidRPr="0066103C">
        <w:rPr>
          <w:rStyle w:val="FootnoteReference"/>
        </w:rPr>
        <w:footnoteReference w:id="303"/>
      </w:r>
      <w:r w:rsidRPr="0066103C">
        <w:t xml:space="preserve"> In the manner of chap. 7, chap. 8 marks the importance of vv 23–25 as the vision’s climax by a transition to a rhythmic prosody with some parallelism. The importance of this climax is heightened by the expansion on the contents of the original vision that it offers, especially by the unheralded conclusion in the last line of v 25. The arrangement of the cola contributes to the sense of working to a climax. Verse 23 compr</w:t>
      </w:r>
      <w:r w:rsidR="00045B09" w:rsidRPr="0066103C">
        <w:t>ises two balancing bicola (a-a’, b-b’</w:t>
      </w:r>
      <w:r w:rsidRPr="0066103C">
        <w:t>). Verse 24 comprises two bico</w:t>
      </w:r>
      <w:r w:rsidR="00045B09" w:rsidRPr="0066103C">
        <w:t>la arranged chiastically (a-b-b’-a’</w:t>
      </w:r>
      <w:r w:rsidRPr="0066103C">
        <w:t xml:space="preserve">); omitting the bracketed phrase as a gloss improves the prosody, but </w:t>
      </w:r>
      <w:r w:rsidR="00045B09" w:rsidRPr="0066103C">
        <w:t xml:space="preserve">it is not </w:t>
      </w:r>
      <w:r w:rsidRPr="0066103C">
        <w:t>necessary. In OG, at least (see n. 25.a-a), v 25 begins with two further bico</w:t>
      </w:r>
      <w:r w:rsidR="00045B09" w:rsidRPr="0066103C">
        <w:t>la arranged chiastically (a-b-b’-a’</w:t>
      </w:r>
      <w:r w:rsidRPr="0066103C">
        <w:t>), then a further bicolon (taking up ועל and יד from the first) carries the deeds of the previous four to an even greater height of enormity, and finally resolves the tension by declaring the divine response.</w:t>
      </w:r>
    </w:p>
    <w:p w:rsidR="00CC03AD" w:rsidRPr="0066103C" w:rsidRDefault="00CC03AD" w:rsidP="00CC03AD">
      <w:r w:rsidRPr="0066103C">
        <w:t>A number of expressions recur through the chapter: גדל</w:t>
      </w:r>
      <w:r w:rsidR="00F1307C" w:rsidRPr="0066103C">
        <w:t xml:space="preserve"> “become big</w:t>
      </w:r>
      <w:r w:rsidRPr="0066103C">
        <w:t xml:space="preserve">,” vv 4, 8, 9, 10, 11, 25 (see n. 4.c-c., n. 8.a-a); עמד “stand”/“arise”/“place,” vv 3, 4, 7, 15, 17, 18, 18, 22, 22, 23, 25; שלך “throw down,” vv 7, 11, 12; רמס “trample,” vv 7, 10, 13; יד “hand”/“power,” vv 4, 7, 25 (the first two with מציל </w:t>
      </w:r>
      <w:r w:rsidRPr="0066103C">
        <w:lastRenderedPageBreak/>
        <w:t xml:space="preserve">“rescue”); כח “strength,” vv 6, 7, 22, 24, 24; עצם “might,” vv 8, 24, 24; cf. the use of עשה “act” in vv 4, 12, 24. These repetitions help to bind together </w:t>
      </w:r>
      <w:r w:rsidR="00FF4F3A">
        <w:t>the symbolic vision, the</w:t>
      </w:r>
      <w:r w:rsidRPr="0066103C">
        <w:t xml:space="preserve"> epiphany</w:t>
      </w:r>
      <w:r w:rsidR="00FF4F3A">
        <w:t xml:space="preserve"> by a celestial being</w:t>
      </w:r>
      <w:r w:rsidRPr="0066103C">
        <w:t xml:space="preserve">, and the </w:t>
      </w:r>
      <w:r w:rsidR="00045B09" w:rsidRPr="0066103C">
        <w:t>interpretive</w:t>
      </w:r>
      <w:r w:rsidRPr="0066103C">
        <w:t xml:space="preserve"> vision. They have a cumulative effect in establishing the tone of what is being described as it repeats itself through the story of the Medo-Persian empire, Alexander and his successors, and Antiochus.</w:t>
      </w:r>
      <w:r w:rsidR="00667380" w:rsidRPr="0066103C">
        <w:t xml:space="preserve"> T</w:t>
      </w:r>
      <w:r w:rsidR="004D5564" w:rsidRPr="0066103C">
        <w:t xml:space="preserve">he repetition </w:t>
      </w:r>
      <w:r w:rsidR="00667380" w:rsidRPr="0066103C">
        <w:t xml:space="preserve">also </w:t>
      </w:r>
      <w:r w:rsidR="004D5564" w:rsidRPr="0066103C">
        <w:t>serves to suggest that there is nothing so frighteningly novel about what is happening in this great crisis in Jerusalem.</w:t>
      </w:r>
      <w:r w:rsidR="004D5564" w:rsidRPr="0066103C">
        <w:rPr>
          <w:rStyle w:val="FootnoteReference"/>
        </w:rPr>
        <w:footnoteReference w:id="304"/>
      </w:r>
      <w:r w:rsidR="004D5564" w:rsidRPr="0066103C">
        <w:t xml:space="preserve"> </w:t>
      </w:r>
    </w:p>
    <w:p w:rsidR="00667380" w:rsidRPr="0066103C" w:rsidRDefault="00CC03AD" w:rsidP="00CC03AD">
      <w:r w:rsidRPr="0066103C">
        <w:t>The atmosphere of thrusting aggression conveyed by these terms is furthered by a series of expressions suggesting directions of movement. The ram charges west, north, and south (v 4). The goat comes from the west over the whole earth (v 5). Its four horns grow toward</w:t>
      </w:r>
      <w:r w:rsidR="00045B09" w:rsidRPr="0066103C">
        <w:t>s</w:t>
      </w:r>
      <w:r w:rsidRPr="0066103C">
        <w:t xml:space="preserve"> the four points of the compass (v 8). The small horn grows south, east, and </w:t>
      </w:r>
      <w:r w:rsidR="00E025ED" w:rsidRPr="0066103C">
        <w:t xml:space="preserve">towards </w:t>
      </w:r>
      <w:r w:rsidRPr="0066103C">
        <w:t>Palestine (v 9). This aggressive movement then moves onto a different plane, to reach to the celestial army and the commander of that army (vv 10, 11). Alongside the references here to השמים</w:t>
      </w:r>
      <w:r w:rsidR="00045B09" w:rsidRPr="0066103C">
        <w:t xml:space="preserve"> (“</w:t>
      </w:r>
      <w:r w:rsidRPr="0066103C">
        <w:t xml:space="preserve">the heavens,” vv 8, 10) appear a number of references to ארץ[ה] (“the earth/ground,” vv 5, 5, 7, 10, 12, 18): both </w:t>
      </w:r>
      <w:r w:rsidR="00667380" w:rsidRPr="0066103C">
        <w:t xml:space="preserve">terms </w:t>
      </w:r>
      <w:r w:rsidRPr="0066103C">
        <w:t>are capable of referring both to the this-worldly plane and to movement between earth and heaven. Spatial allusions in the chapter actually begin with the book’s most elaborate determining of Daniel’s own—visionary—location, Elam/Susa/the Ul</w:t>
      </w:r>
      <w:r w:rsidR="00045B09" w:rsidRPr="0066103C">
        <w:t xml:space="preserve">ay (v 2). </w:t>
      </w:r>
    </w:p>
    <w:p w:rsidR="00CC03AD" w:rsidRPr="0066103C" w:rsidRDefault="00045B09" w:rsidP="00CC03AD">
      <w:r w:rsidRPr="0066103C">
        <w:t>The spatial allusions</w:t>
      </w:r>
      <w:r w:rsidR="00CC03AD" w:rsidRPr="0066103C">
        <w:t xml:space="preserve"> are complemented by a series of temporal references. These</w:t>
      </w:r>
      <w:r w:rsidR="00667380" w:rsidRPr="0066103C">
        <w:t xml:space="preserve"> allusions also</w:t>
      </w:r>
      <w:r w:rsidR="00CC03AD" w:rsidRPr="0066103C">
        <w:t xml:space="preserve"> begin with Daniel’s visionary time (v 1), but they cluster at the transition from the symbolic vision to the </w:t>
      </w:r>
      <w:r w:rsidRPr="0066103C">
        <w:t>interpretive</w:t>
      </w:r>
      <w:r w:rsidR="00CC03AD" w:rsidRPr="0066103C">
        <w:t xml:space="preserve"> vision (vv 13–19). A holy one asks</w:t>
      </w:r>
      <w:r w:rsidRPr="0066103C">
        <w:t xml:space="preserve"> </w:t>
      </w:r>
      <w:r w:rsidRPr="0066103C">
        <w:rPr>
          <w:rFonts w:ascii="Arial" w:hAnsi="Arial" w:cs="Arial"/>
        </w:rPr>
        <w:t>י</w:t>
      </w:r>
      <w:r w:rsidRPr="0066103C">
        <w:t xml:space="preserve"> </w:t>
      </w:r>
      <w:r w:rsidRPr="0066103C">
        <w:rPr>
          <w:rFonts w:ascii="Arial" w:hAnsi="Arial" w:cs="Arial"/>
        </w:rPr>
        <w:t>מת</w:t>
      </w:r>
      <w:r w:rsidRPr="0066103C">
        <w:t xml:space="preserve"> </w:t>
      </w:r>
      <w:r w:rsidR="00CC03AD" w:rsidRPr="0066103C">
        <w:t xml:space="preserve"> </w:t>
      </w:r>
      <w:r w:rsidRPr="0066103C">
        <w:rPr>
          <w:rFonts w:ascii="Arial" w:hAnsi="Arial" w:cs="Arial"/>
        </w:rPr>
        <w:t>עד</w:t>
      </w:r>
      <w:r w:rsidRPr="0066103C">
        <w:t xml:space="preserve"> </w:t>
      </w:r>
      <w:r w:rsidR="00CC03AD" w:rsidRPr="0066103C">
        <w:t>“how long” the crisis is to last</w:t>
      </w:r>
      <w:r w:rsidRPr="0066103C">
        <w:t>,</w:t>
      </w:r>
      <w:r w:rsidR="00CC03AD" w:rsidRPr="0066103C">
        <w:t xml:space="preserve"> and another sets its term. Gabriel tells Daniel that the vision relates to the time of the end and that an end will come at an appointed time; the events will happen</w:t>
      </w:r>
      <w:r w:rsidRPr="0066103C">
        <w:t xml:space="preserve"> </w:t>
      </w:r>
      <w:r w:rsidRPr="0066103C">
        <w:rPr>
          <w:rFonts w:ascii="Arial" w:hAnsi="Arial" w:cs="Arial"/>
        </w:rPr>
        <w:t>הזעם</w:t>
      </w:r>
      <w:r w:rsidRPr="0066103C">
        <w:t xml:space="preserve">  </w:t>
      </w:r>
      <w:r w:rsidR="00CC03AD" w:rsidRPr="0066103C">
        <w:t xml:space="preserve"> באחרית</w:t>
      </w:r>
      <w:r w:rsidRPr="0066103C">
        <w:t xml:space="preserve"> </w:t>
      </w:r>
      <w:r w:rsidR="00CC03AD" w:rsidRPr="0066103C">
        <w:t xml:space="preserve"> “as wrath draws to a close,” and Antiochus will arise</w:t>
      </w:r>
      <w:r w:rsidR="00E025ED" w:rsidRPr="0066103C">
        <w:t xml:space="preserve"> </w:t>
      </w:r>
      <w:r w:rsidR="00E025ED" w:rsidRPr="0066103C">
        <w:rPr>
          <w:rFonts w:ascii="Arial" w:hAnsi="Arial" w:cs="Arial"/>
        </w:rPr>
        <w:t>מלכותם</w:t>
      </w:r>
      <w:r w:rsidR="00E025ED" w:rsidRPr="0066103C">
        <w:t xml:space="preserve"> </w:t>
      </w:r>
      <w:r w:rsidR="00CC03AD" w:rsidRPr="0066103C">
        <w:t xml:space="preserve"> באחרית</w:t>
      </w:r>
      <w:r w:rsidR="00E025ED" w:rsidRPr="0066103C">
        <w:t xml:space="preserve"> </w:t>
      </w:r>
      <w:r w:rsidR="00667380" w:rsidRPr="0066103C">
        <w:t xml:space="preserve"> </w:t>
      </w:r>
      <w:r w:rsidR="00CC03AD" w:rsidRPr="0066103C">
        <w:t xml:space="preserve">“as </w:t>
      </w:r>
      <w:r w:rsidR="00667380" w:rsidRPr="0066103C">
        <w:t>their kingship draws to a close</w:t>
      </w:r>
      <w:r w:rsidR="00CC03AD" w:rsidRPr="0066103C">
        <w:t xml:space="preserve">” </w:t>
      </w:r>
      <w:r w:rsidR="00667380" w:rsidRPr="0066103C">
        <w:t>(</w:t>
      </w:r>
      <w:r w:rsidR="00CC03AD" w:rsidRPr="0066103C">
        <w:t>v 23). In v 26 Gabriel finally brings these two temporal motifs together, describing the burden of the revelation in terms of how long the crisis is to last, and declaring that it relates to</w:t>
      </w:r>
      <w:r w:rsidR="00945C8C">
        <w:t xml:space="preserve"> </w:t>
      </w:r>
      <w:r w:rsidR="00CC03AD" w:rsidRPr="0066103C">
        <w:t xml:space="preserve">רבים </w:t>
      </w:r>
      <w:r w:rsidR="00E025ED" w:rsidRPr="0066103C">
        <w:t xml:space="preserve"> </w:t>
      </w:r>
      <w:r w:rsidR="00E025ED" w:rsidRPr="0066103C">
        <w:rPr>
          <w:rFonts w:ascii="Arial" w:hAnsi="Arial" w:cs="Arial"/>
        </w:rPr>
        <w:t>ימים</w:t>
      </w:r>
      <w:r w:rsidR="00E025ED" w:rsidRPr="0066103C">
        <w:t xml:space="preserve"> </w:t>
      </w:r>
      <w:r w:rsidR="00CC03AD" w:rsidRPr="0066103C">
        <w:t xml:space="preserve">“distant days.” The narrative even includes a related temporal expression (ימים “some days”) in its conclusion (v 27), as it had begun with a chronological note (v 1). The effect of these various characteristics of the chapter is to combine a strong sense of aggressive horizontal movement, aggressive movement between </w:t>
      </w:r>
      <w:r w:rsidR="00E025ED" w:rsidRPr="0066103C">
        <w:t xml:space="preserve">the </w:t>
      </w:r>
      <w:r w:rsidR="00CC03AD" w:rsidRPr="0066103C">
        <w:t xml:space="preserve">earth and </w:t>
      </w:r>
      <w:r w:rsidR="00E025ED" w:rsidRPr="0066103C">
        <w:t xml:space="preserve">the </w:t>
      </w:r>
      <w:r w:rsidR="00CC03AD" w:rsidRPr="0066103C">
        <w:t>heaven</w:t>
      </w:r>
      <w:r w:rsidR="00E025ED" w:rsidRPr="0066103C">
        <w:t>s</w:t>
      </w:r>
      <w:r w:rsidR="00CC03AD" w:rsidRPr="0066103C">
        <w:t>, and temporal constraint.</w:t>
      </w:r>
    </w:p>
    <w:p w:rsidR="00CC03AD" w:rsidRPr="0066103C" w:rsidRDefault="00CC03AD" w:rsidP="00CC03AD">
      <w:r w:rsidRPr="0066103C">
        <w:t>There is some redundancy within vv 15–19; perhaps v 19 is in a narrower sense an introduction to vv 20–25, v 26 then being a corresponding co</w:t>
      </w:r>
      <w:r w:rsidR="00E025ED" w:rsidRPr="0066103C">
        <w:t>nclusion to the interpretation</w:t>
      </w:r>
      <w:r w:rsidRPr="0066103C">
        <w:t>.</w:t>
      </w:r>
      <w:r w:rsidR="00E025ED" w:rsidRPr="0066103C">
        <w:rPr>
          <w:rStyle w:val="FootnoteReference"/>
        </w:rPr>
        <w:footnoteReference w:id="305"/>
      </w:r>
      <w:r w:rsidRPr="0066103C">
        <w:t xml:space="preserve"> Scholars who trace a recensional history behind chap. 7 find a parallel one behind chap. 8:</w:t>
      </w:r>
      <w:r w:rsidR="00E025ED" w:rsidRPr="0066103C">
        <w:rPr>
          <w:rStyle w:val="FootnoteReference"/>
        </w:rPr>
        <w:footnoteReference w:id="306"/>
      </w:r>
      <w:r w:rsidRPr="0066103C">
        <w:t xml:space="preserve"> e.g., vv 13–14, 16–17, 26a, 27b may be attributed to the author of Dan 9, who is especially concerned with the timing of the crisis. In addition, vv 18–19 may be attributed to the author of Dan 10–12, with which they share a distinctive use of נרדם (“fell into a deep sleep, 8:18; 10:9) and a less supra-historical way of talking about the End than that of v 17 (compare 10:14; 11:27, 25 with v 19).</w:t>
      </w:r>
    </w:p>
    <w:p w:rsidR="00CC03AD" w:rsidRPr="0066103C" w:rsidRDefault="00CC03AD" w:rsidP="00AF6220">
      <w:pPr>
        <w:pStyle w:val="Heading3"/>
      </w:pPr>
      <w:r w:rsidRPr="0066103C">
        <w:t>Setting</w:t>
      </w:r>
    </w:p>
    <w:p w:rsidR="00CC03AD" w:rsidRPr="0066103C" w:rsidRDefault="00CC03AD" w:rsidP="00CC03AD"/>
    <w:p w:rsidR="00CC03AD" w:rsidRPr="0066103C" w:rsidRDefault="00BF1CBB" w:rsidP="00CC03AD">
      <w:r w:rsidRPr="0066103C">
        <w:t>Given that this</w:t>
      </w:r>
      <w:r w:rsidR="008D6427">
        <w:t xml:space="preserve"> vision’s</w:t>
      </w:r>
      <w:r w:rsidR="00CC03AD" w:rsidRPr="0066103C">
        <w:t xml:space="preserve"> historical setting lies just after the fulfillment of its portrait of the wicked acts of the small horn/fierce-looking king and before the reversal promised in vv 14b, 25b. The point of suspense at which v 12 stops is the point of suspense at which the vision’s au</w:t>
      </w:r>
      <w:r w:rsidRPr="0066103C">
        <w:t>dience lives, the</w:t>
      </w:r>
      <w:r w:rsidR="00CC03AD" w:rsidRPr="0066103C">
        <w:t xml:space="preserve"> time between the </w:t>
      </w:r>
      <w:r w:rsidRPr="0066103C">
        <w:t xml:space="preserve">sanctuary’s desecration </w:t>
      </w:r>
      <w:r w:rsidR="00E06F59" w:rsidRPr="0066103C">
        <w:t xml:space="preserve">in December 167 </w:t>
      </w:r>
      <w:r w:rsidR="00CC03AD" w:rsidRPr="0066103C">
        <w:t>and its re</w:t>
      </w:r>
      <w:r w:rsidR="00E06F59" w:rsidRPr="0066103C">
        <w:t xml:space="preserve">storation in December 164. The </w:t>
      </w:r>
      <w:r w:rsidR="00CC03AD" w:rsidRPr="0066103C">
        <w:t xml:space="preserve">deeds of Antiochus </w:t>
      </w:r>
      <w:r w:rsidRPr="0066103C">
        <w:t>to which it refers perhaps indicate</w:t>
      </w:r>
      <w:r w:rsidR="00CC03AD" w:rsidRPr="0066103C">
        <w:t xml:space="preserve"> a slightly later period than that to which chap. 7 </w:t>
      </w:r>
      <w:r w:rsidR="00CC03AD" w:rsidRPr="0066103C">
        <w:lastRenderedPageBreak/>
        <w:t xml:space="preserve">belongs. The vision comes from conservative rather than reformist groups within the Jewish community. Its concern with the </w:t>
      </w:r>
      <w:r w:rsidRPr="0066103C">
        <w:t xml:space="preserve">sanctuary’s violation </w:t>
      </w:r>
      <w:r w:rsidR="00CC03AD" w:rsidRPr="0066103C">
        <w:t>hardly need point t</w:t>
      </w:r>
      <w:r w:rsidR="00E06F59" w:rsidRPr="0066103C">
        <w:t>o a priestly circle; many other people</w:t>
      </w:r>
      <w:r w:rsidR="00CC03AD" w:rsidRPr="0066103C">
        <w:t xml:space="preserve"> would be concerned about the sanctuary, and the sanctuary is by no means the chapter’s exclusive focus (see vv 23–25). Neither need the expectation that the fierce-looking king will break without being touched suggest that the vision had its background in an antimilit</w:t>
      </w:r>
      <w:r w:rsidR="00F74682">
        <w:t>arist group within conservative Jews.</w:t>
      </w:r>
    </w:p>
    <w:p w:rsidR="00CC03AD" w:rsidRPr="0066103C" w:rsidRDefault="00CC03AD" w:rsidP="00CC03AD">
      <w:r w:rsidRPr="0066103C">
        <w:t>In its literary setting, v 1 makes a double link with chap. 7: the date is just after</w:t>
      </w:r>
      <w:r w:rsidR="00667380" w:rsidRPr="0066103C">
        <w:t>,</w:t>
      </w:r>
      <w:r w:rsidRPr="0066103C">
        <w:t xml:space="preserve"> and the vision explicitly follows on that earlier one. The date also links the vision of An</w:t>
      </w:r>
      <w:r w:rsidR="00E06F59" w:rsidRPr="0066103C">
        <w:t>tiochus’s sacrilege</w:t>
      </w:r>
      <w:r w:rsidRPr="0066103C">
        <w:t xml:space="preserve"> with the reign of the sacrilegious Belshazzar of whom we read in chap. 5. The chapter supplements the vision of oppression and judgment contained in chap. 7. It reaffirms the pro</w:t>
      </w:r>
      <w:r w:rsidR="00E06F59" w:rsidRPr="0066103C">
        <w:t xml:space="preserve">mise of chap. 7, perhaps in </w:t>
      </w:r>
      <w:r w:rsidRPr="0066103C">
        <w:t xml:space="preserve">light of a worsening situation. Repetition in itself also functions to strengthen the main impression conveyed by the previous vision (see Dan 6 </w:t>
      </w:r>
      <w:r w:rsidRPr="0066103C">
        <w:rPr>
          <w:i/>
        </w:rPr>
        <w:t>Setting</w:t>
      </w:r>
      <w:r w:rsidRPr="0066103C">
        <w:t>). Similar to chap. 7 in length, the chapter also divides into halves that resemble the corresponding halves of chap. 7 in length and structure.</w:t>
      </w:r>
    </w:p>
    <w:tbl>
      <w:tblPr>
        <w:tblW w:w="0" w:type="auto"/>
        <w:tblLook w:val="04A0" w:firstRow="1" w:lastRow="0" w:firstColumn="1" w:lastColumn="0" w:noHBand="0" w:noVBand="1"/>
      </w:tblPr>
      <w:tblGrid>
        <w:gridCol w:w="2130"/>
        <w:gridCol w:w="1782"/>
        <w:gridCol w:w="2100"/>
        <w:gridCol w:w="1782"/>
        <w:gridCol w:w="1782"/>
      </w:tblGrid>
      <w:tr w:rsidR="00CC03AD" w:rsidRPr="0066103C" w:rsidTr="006D0023">
        <w:trPr>
          <w:gridAfter w:val="2"/>
          <w:wAfter w:w="3564" w:type="dxa"/>
        </w:trPr>
        <w:tc>
          <w:tcPr>
            <w:tcW w:w="2130" w:type="dxa"/>
          </w:tcPr>
          <w:p w:rsidR="00CC03AD" w:rsidRPr="0066103C" w:rsidRDefault="00CC03AD" w:rsidP="00CC03AD">
            <w:r w:rsidRPr="0066103C">
              <w:t> </w:t>
            </w:r>
          </w:p>
        </w:tc>
        <w:tc>
          <w:tcPr>
            <w:tcW w:w="1782" w:type="dxa"/>
          </w:tcPr>
          <w:p w:rsidR="00CC03AD" w:rsidRPr="0066103C" w:rsidRDefault="00CC03AD" w:rsidP="00E06F59">
            <w:pPr>
              <w:ind w:firstLine="0"/>
            </w:pPr>
          </w:p>
        </w:tc>
        <w:tc>
          <w:tcPr>
            <w:tcW w:w="2100" w:type="dxa"/>
          </w:tcPr>
          <w:p w:rsidR="00CC03AD" w:rsidRPr="0066103C" w:rsidRDefault="00CC03AD" w:rsidP="00E06F59">
            <w:pPr>
              <w:ind w:firstLine="0"/>
            </w:pPr>
          </w:p>
        </w:tc>
      </w:tr>
      <w:tr w:rsidR="006D0023" w:rsidRPr="0066103C" w:rsidTr="006D0023">
        <w:tc>
          <w:tcPr>
            <w:tcW w:w="2130" w:type="dxa"/>
          </w:tcPr>
          <w:p w:rsidR="006D0023" w:rsidRPr="0066103C" w:rsidRDefault="006D0023" w:rsidP="00CC03AD">
            <w:r w:rsidRPr="0066103C">
              <w:t> </w:t>
            </w:r>
          </w:p>
        </w:tc>
        <w:tc>
          <w:tcPr>
            <w:tcW w:w="1782" w:type="dxa"/>
          </w:tcPr>
          <w:p w:rsidR="006D0023" w:rsidRPr="0066103C" w:rsidRDefault="006D0023" w:rsidP="000C44AC">
            <w:pPr>
              <w:ind w:firstLine="0"/>
            </w:pPr>
            <w:r w:rsidRPr="0066103C">
              <w:t>Symbolic vision</w:t>
            </w:r>
          </w:p>
        </w:tc>
        <w:tc>
          <w:tcPr>
            <w:tcW w:w="2100" w:type="dxa"/>
          </w:tcPr>
          <w:p w:rsidR="006D0023" w:rsidRPr="0066103C" w:rsidRDefault="006D0023" w:rsidP="00E06F59">
            <w:pPr>
              <w:ind w:firstLine="0"/>
            </w:pPr>
          </w:p>
          <w:p w:rsidR="006D0023" w:rsidRPr="0066103C" w:rsidRDefault="006D0023" w:rsidP="00E06F59">
            <w:pPr>
              <w:ind w:firstLine="0"/>
            </w:pPr>
            <w:r w:rsidRPr="0066103C">
              <w:t>Chap. 8</w:t>
            </w:r>
          </w:p>
        </w:tc>
        <w:tc>
          <w:tcPr>
            <w:tcW w:w="1782" w:type="dxa"/>
          </w:tcPr>
          <w:p w:rsidR="006D0023" w:rsidRPr="0066103C" w:rsidRDefault="006D0023" w:rsidP="006D0023">
            <w:pPr>
              <w:ind w:right="-432" w:firstLine="0"/>
            </w:pPr>
            <w:r w:rsidRPr="0066103C">
              <w:t>Interpretive vision</w:t>
            </w:r>
          </w:p>
          <w:p w:rsidR="006D0023" w:rsidRPr="0066103C" w:rsidRDefault="006D0023" w:rsidP="00E06F59">
            <w:pPr>
              <w:ind w:firstLine="0"/>
            </w:pPr>
            <w:r w:rsidRPr="0066103C">
              <w:t>Chap. 7</w:t>
            </w:r>
          </w:p>
        </w:tc>
        <w:tc>
          <w:tcPr>
            <w:tcW w:w="1782" w:type="dxa"/>
          </w:tcPr>
          <w:p w:rsidR="006D0023" w:rsidRPr="0066103C" w:rsidRDefault="006D0023" w:rsidP="00E06F59">
            <w:pPr>
              <w:ind w:firstLine="0"/>
            </w:pPr>
          </w:p>
          <w:p w:rsidR="006D0023" w:rsidRPr="0066103C" w:rsidRDefault="006D0023" w:rsidP="00E06F59">
            <w:pPr>
              <w:ind w:firstLine="0"/>
            </w:pPr>
            <w:r w:rsidRPr="0066103C">
              <w:t>Chap. 8</w:t>
            </w:r>
          </w:p>
        </w:tc>
      </w:tr>
      <w:tr w:rsidR="006D0023" w:rsidRPr="0066103C" w:rsidTr="006D0023">
        <w:tc>
          <w:tcPr>
            <w:tcW w:w="2130" w:type="dxa"/>
          </w:tcPr>
          <w:p w:rsidR="006D0023" w:rsidRPr="0066103C" w:rsidRDefault="006D0023" w:rsidP="00E06F59">
            <w:pPr>
              <w:ind w:firstLine="0"/>
            </w:pPr>
            <w:r w:rsidRPr="0066103C">
              <w:t>Introduction</w:t>
            </w:r>
          </w:p>
        </w:tc>
        <w:tc>
          <w:tcPr>
            <w:tcW w:w="1782" w:type="dxa"/>
          </w:tcPr>
          <w:p w:rsidR="006D0023" w:rsidRPr="0066103C" w:rsidRDefault="006D0023" w:rsidP="00E06F59">
            <w:pPr>
              <w:ind w:firstLine="0"/>
            </w:pPr>
            <w:r w:rsidRPr="0066103C">
              <w:t>1</w:t>
            </w:r>
          </w:p>
        </w:tc>
        <w:tc>
          <w:tcPr>
            <w:tcW w:w="2100" w:type="dxa"/>
          </w:tcPr>
          <w:p w:rsidR="006D0023" w:rsidRPr="0066103C" w:rsidRDefault="006D0023" w:rsidP="00E06F59">
            <w:pPr>
              <w:ind w:firstLine="0"/>
            </w:pPr>
            <w:r w:rsidRPr="0066103C">
              <w:t>1–2</w:t>
            </w:r>
          </w:p>
        </w:tc>
        <w:tc>
          <w:tcPr>
            <w:tcW w:w="1782" w:type="dxa"/>
          </w:tcPr>
          <w:p w:rsidR="006D0023" w:rsidRPr="0066103C" w:rsidRDefault="006D0023" w:rsidP="00E06F59">
            <w:pPr>
              <w:ind w:firstLine="0"/>
            </w:pPr>
            <w:r w:rsidRPr="0066103C">
              <w:t>16</w:t>
            </w:r>
          </w:p>
        </w:tc>
        <w:tc>
          <w:tcPr>
            <w:tcW w:w="1782" w:type="dxa"/>
          </w:tcPr>
          <w:p w:rsidR="006D0023" w:rsidRPr="0066103C" w:rsidRDefault="006D0023" w:rsidP="00E06F59">
            <w:pPr>
              <w:ind w:firstLine="0"/>
            </w:pPr>
            <w:r w:rsidRPr="0066103C">
              <w:t>15–19</w:t>
            </w:r>
          </w:p>
        </w:tc>
      </w:tr>
      <w:tr w:rsidR="006D0023" w:rsidRPr="0066103C" w:rsidTr="006D0023">
        <w:tc>
          <w:tcPr>
            <w:tcW w:w="2130" w:type="dxa"/>
          </w:tcPr>
          <w:p w:rsidR="006D0023" w:rsidRPr="0066103C" w:rsidRDefault="006D0023" w:rsidP="00E06F59">
            <w:pPr>
              <w:ind w:firstLine="0"/>
            </w:pPr>
            <w:r w:rsidRPr="0066103C">
              <w:t>Summary</w:t>
            </w:r>
          </w:p>
        </w:tc>
        <w:tc>
          <w:tcPr>
            <w:tcW w:w="1782" w:type="dxa"/>
          </w:tcPr>
          <w:p w:rsidR="006D0023" w:rsidRPr="0066103C" w:rsidRDefault="006D0023" w:rsidP="00E06F59">
            <w:pPr>
              <w:ind w:firstLine="0"/>
            </w:pPr>
            <w:r w:rsidRPr="0066103C">
              <w:t>2–3</w:t>
            </w:r>
          </w:p>
        </w:tc>
        <w:tc>
          <w:tcPr>
            <w:tcW w:w="2100" w:type="dxa"/>
          </w:tcPr>
          <w:p w:rsidR="006D0023" w:rsidRPr="0066103C" w:rsidRDefault="006D0023" w:rsidP="00E06F59">
            <w:pPr>
              <w:ind w:firstLine="0"/>
            </w:pPr>
            <w:r w:rsidRPr="0066103C">
              <w:t> </w:t>
            </w:r>
          </w:p>
        </w:tc>
        <w:tc>
          <w:tcPr>
            <w:tcW w:w="1782" w:type="dxa"/>
          </w:tcPr>
          <w:p w:rsidR="006D0023" w:rsidRPr="0066103C" w:rsidRDefault="006D0023" w:rsidP="00E06F59">
            <w:pPr>
              <w:ind w:firstLine="0"/>
            </w:pPr>
            <w:r w:rsidRPr="0066103C">
              <w:t>17–18</w:t>
            </w:r>
          </w:p>
        </w:tc>
        <w:tc>
          <w:tcPr>
            <w:tcW w:w="1782" w:type="dxa"/>
          </w:tcPr>
          <w:p w:rsidR="006D0023" w:rsidRPr="0066103C" w:rsidRDefault="006D0023" w:rsidP="00E06F59">
            <w:pPr>
              <w:ind w:firstLine="0"/>
            </w:pPr>
            <w:r w:rsidRPr="0066103C">
              <w:t> </w:t>
            </w:r>
          </w:p>
        </w:tc>
      </w:tr>
      <w:tr w:rsidR="006D0023" w:rsidRPr="0066103C" w:rsidTr="006D0023">
        <w:tc>
          <w:tcPr>
            <w:tcW w:w="2130" w:type="dxa"/>
          </w:tcPr>
          <w:p w:rsidR="006D0023" w:rsidRPr="0066103C" w:rsidRDefault="006D0023" w:rsidP="00E06F59">
            <w:pPr>
              <w:ind w:firstLine="0"/>
            </w:pPr>
            <w:r w:rsidRPr="0066103C">
              <w:t>Babylon</w:t>
            </w:r>
          </w:p>
        </w:tc>
        <w:tc>
          <w:tcPr>
            <w:tcW w:w="1782" w:type="dxa"/>
          </w:tcPr>
          <w:p w:rsidR="006D0023" w:rsidRPr="0066103C" w:rsidRDefault="006D0023" w:rsidP="00E06F59">
            <w:pPr>
              <w:ind w:firstLine="0"/>
            </w:pPr>
            <w:r w:rsidRPr="0066103C">
              <w:t>4</w:t>
            </w:r>
          </w:p>
        </w:tc>
        <w:tc>
          <w:tcPr>
            <w:tcW w:w="2100" w:type="dxa"/>
          </w:tcPr>
          <w:p w:rsidR="006D0023" w:rsidRPr="0066103C" w:rsidRDefault="006D0023" w:rsidP="00E06F59">
            <w:pPr>
              <w:ind w:firstLine="0"/>
            </w:pPr>
            <w:r w:rsidRPr="0066103C">
              <w:t>(1)</w:t>
            </w:r>
          </w:p>
        </w:tc>
        <w:tc>
          <w:tcPr>
            <w:tcW w:w="1782" w:type="dxa"/>
          </w:tcPr>
          <w:p w:rsidR="006D0023" w:rsidRPr="0066103C" w:rsidRDefault="006D0023" w:rsidP="00E06F59">
            <w:pPr>
              <w:ind w:firstLine="0"/>
            </w:pPr>
            <w:r w:rsidRPr="0066103C">
              <w:t> </w:t>
            </w:r>
          </w:p>
        </w:tc>
        <w:tc>
          <w:tcPr>
            <w:tcW w:w="1782" w:type="dxa"/>
          </w:tcPr>
          <w:p w:rsidR="006D0023" w:rsidRPr="0066103C" w:rsidRDefault="006D0023" w:rsidP="00E06F59">
            <w:pPr>
              <w:ind w:firstLine="0"/>
            </w:pPr>
            <w:r w:rsidRPr="0066103C">
              <w:t> </w:t>
            </w:r>
          </w:p>
        </w:tc>
      </w:tr>
      <w:tr w:rsidR="006D0023" w:rsidRPr="0066103C" w:rsidTr="006D0023">
        <w:tc>
          <w:tcPr>
            <w:tcW w:w="2130" w:type="dxa"/>
          </w:tcPr>
          <w:p w:rsidR="006D0023" w:rsidRPr="0066103C" w:rsidRDefault="006D0023" w:rsidP="00E06F59">
            <w:pPr>
              <w:ind w:firstLine="0"/>
            </w:pPr>
            <w:r w:rsidRPr="0066103C">
              <w:t>Media</w:t>
            </w:r>
          </w:p>
        </w:tc>
        <w:tc>
          <w:tcPr>
            <w:tcW w:w="1782" w:type="dxa"/>
          </w:tcPr>
          <w:p w:rsidR="006D0023" w:rsidRPr="0066103C" w:rsidRDefault="006D0023" w:rsidP="00E06F59">
            <w:pPr>
              <w:ind w:firstLine="0"/>
            </w:pPr>
            <w:r w:rsidRPr="0066103C">
              <w:t>5</w:t>
            </w:r>
          </w:p>
        </w:tc>
        <w:tc>
          <w:tcPr>
            <w:tcW w:w="2100" w:type="dxa"/>
          </w:tcPr>
          <w:p w:rsidR="006D0023" w:rsidRPr="0066103C" w:rsidRDefault="006D0023" w:rsidP="00E06F59">
            <w:pPr>
              <w:ind w:firstLine="0"/>
            </w:pPr>
            <w:r w:rsidRPr="0066103C">
              <w:t>(2) 3–4</w:t>
            </w:r>
          </w:p>
        </w:tc>
        <w:tc>
          <w:tcPr>
            <w:tcW w:w="1782" w:type="dxa"/>
          </w:tcPr>
          <w:p w:rsidR="006D0023" w:rsidRPr="0066103C" w:rsidRDefault="006D0023" w:rsidP="00E06F59">
            <w:pPr>
              <w:ind w:firstLine="0"/>
            </w:pPr>
            <w:r w:rsidRPr="0066103C">
              <w:t> </w:t>
            </w:r>
          </w:p>
        </w:tc>
        <w:tc>
          <w:tcPr>
            <w:tcW w:w="1782" w:type="dxa"/>
          </w:tcPr>
          <w:p w:rsidR="006D0023" w:rsidRPr="0066103C" w:rsidRDefault="006D0023" w:rsidP="00E06F59">
            <w:pPr>
              <w:ind w:firstLine="0"/>
            </w:pPr>
            <w:r w:rsidRPr="0066103C">
              <w:t>20</w:t>
            </w:r>
          </w:p>
        </w:tc>
      </w:tr>
      <w:tr w:rsidR="006D0023" w:rsidRPr="0066103C" w:rsidTr="006D0023">
        <w:tc>
          <w:tcPr>
            <w:tcW w:w="2130" w:type="dxa"/>
          </w:tcPr>
          <w:p w:rsidR="006D0023" w:rsidRPr="0066103C" w:rsidRDefault="006D0023" w:rsidP="00E06F59">
            <w:pPr>
              <w:ind w:firstLine="0"/>
            </w:pPr>
            <w:r w:rsidRPr="0066103C">
              <w:t>Persia</w:t>
            </w:r>
          </w:p>
        </w:tc>
        <w:tc>
          <w:tcPr>
            <w:tcW w:w="1782" w:type="dxa"/>
          </w:tcPr>
          <w:p w:rsidR="006D0023" w:rsidRPr="0066103C" w:rsidRDefault="006D0023" w:rsidP="00E06F59">
            <w:pPr>
              <w:ind w:firstLine="0"/>
            </w:pPr>
            <w:r w:rsidRPr="0066103C">
              <w:t>6</w:t>
            </w:r>
          </w:p>
        </w:tc>
        <w:tc>
          <w:tcPr>
            <w:tcW w:w="2100" w:type="dxa"/>
          </w:tcPr>
          <w:p w:rsidR="006D0023" w:rsidRPr="0066103C" w:rsidRDefault="006D0023" w:rsidP="00E06F59">
            <w:pPr>
              <w:ind w:firstLine="0"/>
            </w:pPr>
            <w:r w:rsidRPr="0066103C">
              <w:t>3–4</w:t>
            </w:r>
          </w:p>
        </w:tc>
        <w:tc>
          <w:tcPr>
            <w:tcW w:w="1782" w:type="dxa"/>
          </w:tcPr>
          <w:p w:rsidR="006D0023" w:rsidRPr="0066103C" w:rsidRDefault="006D0023" w:rsidP="00E06F59">
            <w:pPr>
              <w:ind w:firstLine="0"/>
            </w:pPr>
            <w:r w:rsidRPr="0066103C">
              <w:t> </w:t>
            </w:r>
          </w:p>
        </w:tc>
        <w:tc>
          <w:tcPr>
            <w:tcW w:w="1782" w:type="dxa"/>
          </w:tcPr>
          <w:p w:rsidR="006D0023" w:rsidRPr="0066103C" w:rsidRDefault="006D0023" w:rsidP="00E06F59">
            <w:pPr>
              <w:ind w:firstLine="0"/>
            </w:pPr>
            <w:r w:rsidRPr="0066103C">
              <w:t>20</w:t>
            </w:r>
          </w:p>
        </w:tc>
      </w:tr>
      <w:tr w:rsidR="006D0023" w:rsidRPr="0066103C" w:rsidTr="006D0023">
        <w:tc>
          <w:tcPr>
            <w:tcW w:w="2130" w:type="dxa"/>
          </w:tcPr>
          <w:p w:rsidR="006D0023" w:rsidRPr="0066103C" w:rsidRDefault="006D0023" w:rsidP="00E06F59">
            <w:pPr>
              <w:ind w:firstLine="0"/>
            </w:pPr>
            <w:r w:rsidRPr="0066103C">
              <w:t>Greece: Alexander</w:t>
            </w:r>
          </w:p>
        </w:tc>
        <w:tc>
          <w:tcPr>
            <w:tcW w:w="1782" w:type="dxa"/>
          </w:tcPr>
          <w:p w:rsidR="006D0023" w:rsidRPr="0066103C" w:rsidRDefault="006D0023" w:rsidP="00E06F59">
            <w:pPr>
              <w:ind w:firstLine="0"/>
            </w:pPr>
            <w:r w:rsidRPr="0066103C">
              <w:t>7a</w:t>
            </w:r>
          </w:p>
        </w:tc>
        <w:tc>
          <w:tcPr>
            <w:tcW w:w="2100" w:type="dxa"/>
          </w:tcPr>
          <w:p w:rsidR="006D0023" w:rsidRPr="0066103C" w:rsidRDefault="006D0023" w:rsidP="00E06F59">
            <w:pPr>
              <w:ind w:firstLine="0"/>
            </w:pPr>
            <w:r w:rsidRPr="0066103C">
              <w:t>5–8</w:t>
            </w:r>
          </w:p>
        </w:tc>
        <w:tc>
          <w:tcPr>
            <w:tcW w:w="1782" w:type="dxa"/>
          </w:tcPr>
          <w:p w:rsidR="006D0023" w:rsidRPr="0066103C" w:rsidRDefault="006D0023" w:rsidP="00E06F59">
            <w:pPr>
              <w:ind w:firstLine="0"/>
            </w:pPr>
            <w:r w:rsidRPr="0066103C">
              <w:t>19, 23</w:t>
            </w:r>
          </w:p>
        </w:tc>
        <w:tc>
          <w:tcPr>
            <w:tcW w:w="1782" w:type="dxa"/>
          </w:tcPr>
          <w:p w:rsidR="006D0023" w:rsidRPr="0066103C" w:rsidRDefault="006D0023" w:rsidP="00E06F59">
            <w:pPr>
              <w:ind w:firstLine="0"/>
            </w:pPr>
            <w:r w:rsidRPr="0066103C">
              <w:t>21</w:t>
            </w:r>
          </w:p>
        </w:tc>
      </w:tr>
      <w:tr w:rsidR="006D0023" w:rsidRPr="0066103C" w:rsidTr="006D0023">
        <w:tc>
          <w:tcPr>
            <w:tcW w:w="2130" w:type="dxa"/>
          </w:tcPr>
          <w:p w:rsidR="006D0023" w:rsidRPr="0066103C" w:rsidRDefault="006D0023" w:rsidP="00E06F59">
            <w:pPr>
              <w:ind w:firstLine="0"/>
            </w:pPr>
            <w:r w:rsidRPr="0066103C">
              <w:t>His successors</w:t>
            </w:r>
          </w:p>
        </w:tc>
        <w:tc>
          <w:tcPr>
            <w:tcW w:w="1782" w:type="dxa"/>
          </w:tcPr>
          <w:p w:rsidR="006D0023" w:rsidRPr="0066103C" w:rsidRDefault="006D0023" w:rsidP="00E06F59">
            <w:pPr>
              <w:ind w:firstLine="0"/>
            </w:pPr>
            <w:r w:rsidRPr="0066103C">
              <w:t>7b</w:t>
            </w:r>
          </w:p>
        </w:tc>
        <w:tc>
          <w:tcPr>
            <w:tcW w:w="2100" w:type="dxa"/>
          </w:tcPr>
          <w:p w:rsidR="006D0023" w:rsidRPr="0066103C" w:rsidRDefault="006D0023" w:rsidP="00E06F59">
            <w:pPr>
              <w:ind w:firstLine="0"/>
            </w:pPr>
            <w:r w:rsidRPr="0066103C">
              <w:t>8b</w:t>
            </w:r>
          </w:p>
        </w:tc>
        <w:tc>
          <w:tcPr>
            <w:tcW w:w="1782" w:type="dxa"/>
          </w:tcPr>
          <w:p w:rsidR="006D0023" w:rsidRPr="0066103C" w:rsidRDefault="006D0023" w:rsidP="00E06F59">
            <w:pPr>
              <w:ind w:firstLine="0"/>
            </w:pPr>
            <w:r w:rsidRPr="0066103C">
              <w:t>20a, 24a</w:t>
            </w:r>
          </w:p>
        </w:tc>
        <w:tc>
          <w:tcPr>
            <w:tcW w:w="1782" w:type="dxa"/>
          </w:tcPr>
          <w:p w:rsidR="006D0023" w:rsidRPr="0066103C" w:rsidRDefault="006D0023" w:rsidP="00E06F59">
            <w:pPr>
              <w:ind w:firstLine="0"/>
            </w:pPr>
            <w:r w:rsidRPr="0066103C">
              <w:t>22–23a</w:t>
            </w:r>
          </w:p>
        </w:tc>
      </w:tr>
      <w:tr w:rsidR="006D0023" w:rsidRPr="0066103C" w:rsidTr="006D0023">
        <w:tc>
          <w:tcPr>
            <w:tcW w:w="2130" w:type="dxa"/>
          </w:tcPr>
          <w:p w:rsidR="006D0023" w:rsidRPr="0066103C" w:rsidRDefault="006D0023" w:rsidP="00E06F59">
            <w:pPr>
              <w:ind w:firstLine="0"/>
            </w:pPr>
            <w:r w:rsidRPr="0066103C">
              <w:t xml:space="preserve">    Antiochus</w:t>
            </w:r>
          </w:p>
        </w:tc>
        <w:tc>
          <w:tcPr>
            <w:tcW w:w="1782" w:type="dxa"/>
          </w:tcPr>
          <w:p w:rsidR="006D0023" w:rsidRPr="0066103C" w:rsidRDefault="006D0023" w:rsidP="00E06F59">
            <w:pPr>
              <w:ind w:firstLine="0"/>
            </w:pPr>
            <w:r w:rsidRPr="0066103C">
              <w:t>8</w:t>
            </w:r>
          </w:p>
        </w:tc>
        <w:tc>
          <w:tcPr>
            <w:tcW w:w="2100" w:type="dxa"/>
          </w:tcPr>
          <w:p w:rsidR="006D0023" w:rsidRPr="0066103C" w:rsidRDefault="006D0023" w:rsidP="00E06F59">
            <w:pPr>
              <w:ind w:firstLine="0"/>
            </w:pPr>
            <w:r w:rsidRPr="0066103C">
              <w:t>9–12</w:t>
            </w:r>
          </w:p>
        </w:tc>
        <w:tc>
          <w:tcPr>
            <w:tcW w:w="1782" w:type="dxa"/>
          </w:tcPr>
          <w:p w:rsidR="006D0023" w:rsidRPr="0066103C" w:rsidRDefault="006D0023" w:rsidP="00E06F59">
            <w:pPr>
              <w:ind w:firstLine="0"/>
            </w:pPr>
            <w:r w:rsidRPr="0066103C">
              <w:t>20b–22, 24b–25</w:t>
            </w:r>
          </w:p>
        </w:tc>
        <w:tc>
          <w:tcPr>
            <w:tcW w:w="1782" w:type="dxa"/>
          </w:tcPr>
          <w:p w:rsidR="006D0023" w:rsidRPr="0066103C" w:rsidRDefault="006D0023" w:rsidP="00E06F59">
            <w:pPr>
              <w:ind w:firstLine="0"/>
            </w:pPr>
            <w:r w:rsidRPr="0066103C">
              <w:t>23b–25a</w:t>
            </w:r>
          </w:p>
        </w:tc>
      </w:tr>
      <w:tr w:rsidR="006D0023" w:rsidRPr="0066103C" w:rsidTr="006D0023">
        <w:tc>
          <w:tcPr>
            <w:tcW w:w="2130" w:type="dxa"/>
          </w:tcPr>
          <w:p w:rsidR="006D0023" w:rsidRPr="0066103C" w:rsidRDefault="006D0023" w:rsidP="00E06F59">
            <w:pPr>
              <w:ind w:firstLine="0"/>
            </w:pPr>
            <w:r w:rsidRPr="0066103C">
              <w:t xml:space="preserve">    God’s judgment</w:t>
            </w:r>
          </w:p>
        </w:tc>
        <w:tc>
          <w:tcPr>
            <w:tcW w:w="1782" w:type="dxa"/>
          </w:tcPr>
          <w:p w:rsidR="006D0023" w:rsidRPr="0066103C" w:rsidRDefault="006D0023" w:rsidP="00E06F59">
            <w:pPr>
              <w:ind w:firstLine="0"/>
            </w:pPr>
            <w:r w:rsidRPr="0066103C">
              <w:t>9–12</w:t>
            </w:r>
          </w:p>
        </w:tc>
        <w:tc>
          <w:tcPr>
            <w:tcW w:w="2100" w:type="dxa"/>
          </w:tcPr>
          <w:p w:rsidR="006D0023" w:rsidRPr="0066103C" w:rsidRDefault="006D0023" w:rsidP="00E06F59">
            <w:pPr>
              <w:ind w:firstLine="0"/>
            </w:pPr>
            <w:r w:rsidRPr="0066103C">
              <w:t> </w:t>
            </w:r>
          </w:p>
        </w:tc>
        <w:tc>
          <w:tcPr>
            <w:tcW w:w="1782" w:type="dxa"/>
          </w:tcPr>
          <w:p w:rsidR="006D0023" w:rsidRPr="0066103C" w:rsidRDefault="006D0023" w:rsidP="00E06F59">
            <w:pPr>
              <w:ind w:firstLine="0"/>
            </w:pPr>
            <w:r w:rsidRPr="0066103C">
              <w:t>26</w:t>
            </w:r>
          </w:p>
        </w:tc>
        <w:tc>
          <w:tcPr>
            <w:tcW w:w="1782" w:type="dxa"/>
          </w:tcPr>
          <w:p w:rsidR="006D0023" w:rsidRPr="0066103C" w:rsidRDefault="006D0023" w:rsidP="00E06F59">
            <w:pPr>
              <w:ind w:firstLine="0"/>
            </w:pPr>
            <w:r w:rsidRPr="0066103C">
              <w:t>25b</w:t>
            </w:r>
          </w:p>
        </w:tc>
      </w:tr>
      <w:tr w:rsidR="006D0023" w:rsidRPr="0066103C" w:rsidTr="006D0023">
        <w:tc>
          <w:tcPr>
            <w:tcW w:w="2130" w:type="dxa"/>
          </w:tcPr>
          <w:p w:rsidR="006D0023" w:rsidRPr="0066103C" w:rsidRDefault="006D0023" w:rsidP="00E06F59">
            <w:pPr>
              <w:ind w:firstLine="0"/>
            </w:pPr>
            <w:r w:rsidRPr="0066103C">
              <w:t>God’s purpose restored</w:t>
            </w:r>
          </w:p>
        </w:tc>
        <w:tc>
          <w:tcPr>
            <w:tcW w:w="1782" w:type="dxa"/>
          </w:tcPr>
          <w:p w:rsidR="006D0023" w:rsidRPr="0066103C" w:rsidRDefault="006D0023" w:rsidP="00E06F59">
            <w:pPr>
              <w:ind w:firstLine="0"/>
            </w:pPr>
            <w:r w:rsidRPr="0066103C">
              <w:t>13–14</w:t>
            </w:r>
          </w:p>
        </w:tc>
        <w:tc>
          <w:tcPr>
            <w:tcW w:w="2100" w:type="dxa"/>
          </w:tcPr>
          <w:p w:rsidR="006D0023" w:rsidRPr="0066103C" w:rsidRDefault="006D0023" w:rsidP="00E06F59">
            <w:pPr>
              <w:ind w:firstLine="0"/>
            </w:pPr>
            <w:r w:rsidRPr="0066103C">
              <w:t>13–14</w:t>
            </w:r>
          </w:p>
        </w:tc>
        <w:tc>
          <w:tcPr>
            <w:tcW w:w="1782" w:type="dxa"/>
          </w:tcPr>
          <w:p w:rsidR="006D0023" w:rsidRPr="0066103C" w:rsidRDefault="006D0023" w:rsidP="00E06F59">
            <w:pPr>
              <w:ind w:firstLine="0"/>
            </w:pPr>
            <w:r w:rsidRPr="0066103C">
              <w:t>27</w:t>
            </w:r>
          </w:p>
        </w:tc>
        <w:tc>
          <w:tcPr>
            <w:tcW w:w="1782" w:type="dxa"/>
          </w:tcPr>
          <w:p w:rsidR="006D0023" w:rsidRPr="0066103C" w:rsidRDefault="006D0023" w:rsidP="00E06F59">
            <w:pPr>
              <w:ind w:firstLine="0"/>
            </w:pPr>
            <w:r w:rsidRPr="0066103C">
              <w:t> </w:t>
            </w:r>
          </w:p>
        </w:tc>
      </w:tr>
      <w:tr w:rsidR="006D0023" w:rsidRPr="0066103C" w:rsidTr="006D0023">
        <w:tc>
          <w:tcPr>
            <w:tcW w:w="2130" w:type="dxa"/>
          </w:tcPr>
          <w:p w:rsidR="006D0023" w:rsidRPr="0066103C" w:rsidRDefault="006D0023" w:rsidP="00E06F59">
            <w:pPr>
              <w:ind w:firstLine="0"/>
            </w:pPr>
            <w:r w:rsidRPr="0066103C">
              <w:t>Conclusion</w:t>
            </w:r>
          </w:p>
        </w:tc>
        <w:tc>
          <w:tcPr>
            <w:tcW w:w="1782" w:type="dxa"/>
          </w:tcPr>
          <w:p w:rsidR="006D0023" w:rsidRPr="0066103C" w:rsidRDefault="006D0023" w:rsidP="00E06F59">
            <w:pPr>
              <w:ind w:firstLine="0"/>
            </w:pPr>
            <w:r w:rsidRPr="0066103C">
              <w:t>15</w:t>
            </w:r>
          </w:p>
        </w:tc>
        <w:tc>
          <w:tcPr>
            <w:tcW w:w="2100" w:type="dxa"/>
          </w:tcPr>
          <w:p w:rsidR="006D0023" w:rsidRPr="0066103C" w:rsidRDefault="006D0023" w:rsidP="00E06F59">
            <w:pPr>
              <w:ind w:firstLine="0"/>
            </w:pPr>
            <w:r w:rsidRPr="0066103C">
              <w:t>(15)</w:t>
            </w:r>
          </w:p>
        </w:tc>
        <w:tc>
          <w:tcPr>
            <w:tcW w:w="1782" w:type="dxa"/>
          </w:tcPr>
          <w:p w:rsidR="006D0023" w:rsidRPr="0066103C" w:rsidRDefault="006D0023" w:rsidP="00E06F59">
            <w:pPr>
              <w:ind w:firstLine="0"/>
            </w:pPr>
            <w:r w:rsidRPr="0066103C">
              <w:t>28</w:t>
            </w:r>
          </w:p>
        </w:tc>
        <w:tc>
          <w:tcPr>
            <w:tcW w:w="1782" w:type="dxa"/>
          </w:tcPr>
          <w:p w:rsidR="006D0023" w:rsidRPr="0066103C" w:rsidRDefault="006D0023" w:rsidP="00E06F59">
            <w:pPr>
              <w:ind w:firstLine="0"/>
            </w:pPr>
            <w:r w:rsidRPr="0066103C">
              <w:t>26–27</w:t>
            </w:r>
          </w:p>
        </w:tc>
      </w:tr>
    </w:tbl>
    <w:p w:rsidR="00E06F59" w:rsidRPr="0066103C" w:rsidRDefault="00E06F59" w:rsidP="00CC03AD"/>
    <w:p w:rsidR="00CC03AD" w:rsidRPr="0066103C" w:rsidRDefault="00CC03AD" w:rsidP="00CC03AD">
      <w:r w:rsidRPr="0066103C">
        <w:t>The comparison highlights chap. 8’s lack of any overall sche</w:t>
      </w:r>
      <w:r w:rsidR="00365F8C">
        <w:t>me for the time from the Babylonian period</w:t>
      </w:r>
      <w:r w:rsidRPr="0066103C">
        <w:t xml:space="preserve"> to Antiochus. </w:t>
      </w:r>
      <w:r w:rsidR="00E06F59" w:rsidRPr="0066103C">
        <w:t>It concentrates more</w:t>
      </w:r>
      <w:r w:rsidRPr="0066103C">
        <w:t xml:space="preserve"> on the Greek period, giving particular attention in the symbolic vision to Alexander and slightly more attention to his successors. Its more concrete portrayal of Antiochus’s actions also conveys a deeper sense of</w:t>
      </w:r>
      <w:r w:rsidR="00667380" w:rsidRPr="0066103C">
        <w:t xml:space="preserve"> appal</w:t>
      </w:r>
      <w:r w:rsidRPr="0066103C">
        <w:t xml:space="preserve">ment at what is envisaged, and the seer’s reaction to the epiphany is one of shock unparalleled in chap. 7. It lacks the divine judgment scene but </w:t>
      </w:r>
      <w:r w:rsidR="00E06F59" w:rsidRPr="0066103C">
        <w:t xml:space="preserve">it </w:t>
      </w:r>
      <w:r w:rsidRPr="0066103C">
        <w:t xml:space="preserve">includes the heavenly dialogue that opens the </w:t>
      </w:r>
      <w:r w:rsidR="00045B09" w:rsidRPr="0066103C">
        <w:t>interpretive</w:t>
      </w:r>
      <w:r w:rsidR="00E06F59" w:rsidRPr="0066103C">
        <w:t xml:space="preserve"> vision. The </w:t>
      </w:r>
      <w:r w:rsidRPr="0066103C">
        <w:t>nature of God’s judgment and the positive fulf</w:t>
      </w:r>
      <w:r w:rsidR="00E06F59" w:rsidRPr="0066103C">
        <w:t xml:space="preserve">illment of his purpose is </w:t>
      </w:r>
      <w:r w:rsidRPr="0066103C">
        <w:t xml:space="preserve">differently conceived in 7:9–14, 26–27 and </w:t>
      </w:r>
      <w:r w:rsidR="00E06F59" w:rsidRPr="0066103C">
        <w:t xml:space="preserve">in </w:t>
      </w:r>
      <w:r w:rsidRPr="0066103C">
        <w:t>8:13–14, 25b; in particular, the focus on the kingdom in previous chapters is supplemented by an interest in the temple here.</w:t>
      </w:r>
      <w:r w:rsidR="0014156C">
        <w:rPr>
          <w:rStyle w:val="FootnoteReference"/>
        </w:rPr>
        <w:footnoteReference w:id="307"/>
      </w:r>
    </w:p>
    <w:p w:rsidR="004E32B0" w:rsidRPr="0066103C" w:rsidRDefault="00CC03AD" w:rsidP="00CC03AD">
      <w:r w:rsidRPr="0066103C">
        <w:t>With c</w:t>
      </w:r>
      <w:r w:rsidR="00667380" w:rsidRPr="0066103C">
        <w:t>hap. 8, Hebrew resumes. T</w:t>
      </w:r>
      <w:r w:rsidRPr="0066103C">
        <w:t>he transition from Hebrew to A</w:t>
      </w:r>
      <w:r w:rsidR="00E06F59" w:rsidRPr="0066103C">
        <w:t>ramaic at 2:4a</w:t>
      </w:r>
      <w:r w:rsidR="00667380" w:rsidRPr="0066103C">
        <w:t xml:space="preserve"> fulfilled a rhetorical function</w:t>
      </w:r>
      <w:r w:rsidR="00E06F59" w:rsidRPr="0066103C">
        <w:t xml:space="preserve">; it is not </w:t>
      </w:r>
      <w:r w:rsidRPr="0066103C">
        <w:t xml:space="preserve">so clear that </w:t>
      </w:r>
      <w:r w:rsidR="00667380" w:rsidRPr="0066103C">
        <w:t xml:space="preserve">the return to Hebrew fulfills </w:t>
      </w:r>
      <w:r w:rsidRPr="0066103C">
        <w:t>a rhe</w:t>
      </w:r>
      <w:r w:rsidR="00667380" w:rsidRPr="0066103C">
        <w:t xml:space="preserve">torical function, as is </w:t>
      </w:r>
      <w:r w:rsidRPr="0066103C">
        <w:t>the case with the equivalent transition in Ezra</w:t>
      </w:r>
      <w:r w:rsidR="00667380" w:rsidRPr="0066103C">
        <w:t>. The return</w:t>
      </w:r>
      <w:r w:rsidR="00F94C24" w:rsidRPr="0066103C">
        <w:t xml:space="preserve"> does go along with a movement from a broader look at the empires in chap. 7 to a closer focus on the last of the four empires</w:t>
      </w:r>
      <w:r w:rsidR="00667380" w:rsidRPr="0066103C">
        <w:t>’</w:t>
      </w:r>
      <w:r w:rsidR="00F94C24" w:rsidRPr="0066103C">
        <w:t xml:space="preserve"> action against the Jewish people in chaps. 8–12</w:t>
      </w:r>
      <w:r w:rsidR="00E06F59" w:rsidRPr="0066103C">
        <w:t>.</w:t>
      </w:r>
      <w:r w:rsidR="00DA7268" w:rsidRPr="0066103C">
        <w:rPr>
          <w:vertAlign w:val="superscript"/>
        </w:rPr>
        <w:footnoteReference w:id="308"/>
      </w:r>
      <w:r w:rsidR="00E06F59" w:rsidRPr="0066103C">
        <w:t xml:space="preserve"> </w:t>
      </w:r>
      <w:r w:rsidR="00A74C4F" w:rsidRPr="0066103C">
        <w:t xml:space="preserve">Once again </w:t>
      </w:r>
      <w:r w:rsidR="00A74C4F" w:rsidRPr="0066103C">
        <w:rPr>
          <w:bCs/>
        </w:rPr>
        <w:t>“Language enacts identity” but here “</w:t>
      </w:r>
      <w:r w:rsidR="00A74C4F" w:rsidRPr="0066103C">
        <w:t>the empire makes no further claim on the reader</w:t>
      </w:r>
      <w:r w:rsidR="00A74C4F" w:rsidRPr="0066103C">
        <w:rPr>
          <w:bCs/>
        </w:rPr>
        <w:t>.”</w:t>
      </w:r>
      <w:r w:rsidR="00A74C4F" w:rsidRPr="0066103C">
        <w:rPr>
          <w:bCs/>
          <w:vertAlign w:val="superscript"/>
        </w:rPr>
        <w:footnoteReference w:id="309"/>
      </w:r>
      <w:r w:rsidR="00667380" w:rsidRPr="0066103C">
        <w:rPr>
          <w:bCs/>
        </w:rPr>
        <w:t xml:space="preserve"> </w:t>
      </w:r>
      <w:r w:rsidR="00147D44">
        <w:rPr>
          <w:bCs/>
        </w:rPr>
        <w:t xml:space="preserve">The chapters are written in varying forms of Hebrew. Chaps 8 and 10—12 are </w:t>
      </w:r>
      <w:r w:rsidR="00147D44">
        <w:t xml:space="preserve">less </w:t>
      </w:r>
      <w:r w:rsidR="00147D44">
        <w:lastRenderedPageBreak/>
        <w:t>consistent in their</w:t>
      </w:r>
      <w:r w:rsidRPr="0066103C">
        <w:t xml:space="preserve"> use of </w:t>
      </w:r>
      <w:r w:rsidRPr="003A423E">
        <w:rPr>
          <w:i/>
        </w:rPr>
        <w:t>waw</w:t>
      </w:r>
      <w:r w:rsidRPr="0066103C">
        <w:t xml:space="preserve"> consecutive and </w:t>
      </w:r>
      <w:r w:rsidR="00E06F59" w:rsidRPr="0066103C">
        <w:t xml:space="preserve">in </w:t>
      </w:r>
      <w:r w:rsidR="00147D44">
        <w:t>their word order, use</w:t>
      </w:r>
      <w:r w:rsidRPr="0066103C">
        <w:t xml:space="preserve"> pronouns in a distinctive way, </w:t>
      </w:r>
      <w:r w:rsidR="00147D44">
        <w:t>omit</w:t>
      </w:r>
      <w:r w:rsidR="00D07CC9" w:rsidRPr="0066103C">
        <w:t xml:space="preserve"> to match the gender of words to one another, </w:t>
      </w:r>
      <w:r w:rsidR="00147D44">
        <w:t>and often lack</w:t>
      </w:r>
      <w:r w:rsidRPr="0066103C">
        <w:t xml:space="preserve"> the simplicity character</w:t>
      </w:r>
      <w:r w:rsidR="00A74C4F" w:rsidRPr="0066103C">
        <w:t>istic of classical Hebrew prose.</w:t>
      </w:r>
      <w:r w:rsidR="00E06F59" w:rsidRPr="0066103C">
        <w:rPr>
          <w:rStyle w:val="FootnoteReference"/>
        </w:rPr>
        <w:footnoteReference w:id="310"/>
      </w:r>
      <w:r w:rsidR="00453F1D">
        <w:t xml:space="preserve"> But these distinctives function rhetorically in connection with the “stories” that the chapters tell.</w:t>
      </w:r>
      <w:r w:rsidR="004D443C">
        <w:t xml:space="preserve"> “The Hebrew of the Book of Daniel is a very carefully crafted composition. Daniel 8 reveals this.”</w:t>
      </w:r>
      <w:r w:rsidR="00453F1D">
        <w:rPr>
          <w:rStyle w:val="FootnoteReference"/>
        </w:rPr>
        <w:footnoteReference w:id="311"/>
      </w:r>
      <w:r w:rsidR="00453F1D">
        <w:t xml:space="preserve"> </w:t>
      </w:r>
      <w:r w:rsidR="00A74C4F" w:rsidRPr="0066103C">
        <w:t>T</w:t>
      </w:r>
      <w:r w:rsidRPr="0066103C">
        <w:t>hese characteristics are more marked than they were in chap. 1, which might suggest different authorship</w:t>
      </w:r>
      <w:r w:rsidR="00A74C4F" w:rsidRPr="0066103C">
        <w:t>,</w:t>
      </w:r>
      <w:r w:rsidR="00E06F59" w:rsidRPr="0066103C">
        <w:rPr>
          <w:rStyle w:val="FootnoteReference"/>
        </w:rPr>
        <w:footnoteReference w:id="312"/>
      </w:r>
      <w:r w:rsidR="00A74C4F" w:rsidRPr="0066103C">
        <w:t xml:space="preserve"> and s</w:t>
      </w:r>
      <w:r w:rsidRPr="0066103C">
        <w:t xml:space="preserve">ome </w:t>
      </w:r>
      <w:r w:rsidR="00E06F59" w:rsidRPr="0066103C">
        <w:t xml:space="preserve">of these characteristics </w:t>
      </w:r>
      <w:r w:rsidRPr="0066103C">
        <w:t>can be seen as influenced by Aramaic and as resulting from translation from Aramaic.</w:t>
      </w:r>
      <w:r w:rsidR="00E06F59" w:rsidRPr="0066103C">
        <w:rPr>
          <w:rStyle w:val="FootnoteReference"/>
        </w:rPr>
        <w:footnoteReference w:id="313"/>
      </w:r>
      <w:r w:rsidRPr="0066103C">
        <w:t xml:space="preserve"> The Hebrew must at least have been written by someone who was as much </w:t>
      </w:r>
      <w:r w:rsidR="00464FCD" w:rsidRPr="0066103C">
        <w:t>or more at home in Aramaic</w:t>
      </w:r>
      <w:r w:rsidRPr="0066103C">
        <w:t xml:space="preserve"> </w:t>
      </w:r>
      <w:r w:rsidR="00464FCD" w:rsidRPr="0066103C">
        <w:t>(</w:t>
      </w:r>
      <w:r w:rsidRPr="0066103C">
        <w:t xml:space="preserve">though some of the oddities </w:t>
      </w:r>
      <w:r w:rsidR="00BA4822" w:rsidRPr="0066103C">
        <w:t>explained</w:t>
      </w:r>
      <w:r w:rsidRPr="0066103C">
        <w:t xml:space="preserve"> by the translation theory presuppose that he was both a po</w:t>
      </w:r>
      <w:r w:rsidR="00BA4822" w:rsidRPr="0066103C">
        <w:t>or Hebraist and a poor Aramaist</w:t>
      </w:r>
      <w:r w:rsidR="004E32B0" w:rsidRPr="0066103C">
        <w:t xml:space="preserve">. </w:t>
      </w:r>
      <w:r w:rsidR="009B6F1E" w:rsidRPr="0066103C">
        <w:t>Perhaps “the disturbed nature of the language reflects the intensity of the crisis that concerns the seer. It may be that Daniel actually saw things he could not describe any better than this, or he may have deliberately chosen to use rather confused language because of the awfulness of the sacrilege he refers to—the profanation of the Temple itself.”</w:t>
      </w:r>
      <w:r w:rsidR="009B6F1E" w:rsidRPr="0066103C">
        <w:rPr>
          <w:rStyle w:val="FootnoteReference"/>
        </w:rPr>
        <w:footnoteReference w:id="314"/>
      </w:r>
      <w:r w:rsidR="004E32B0" w:rsidRPr="0066103C">
        <w:t xml:space="preserve"> The effect on readers might be to draw attention to the fact that author and readers live in “a strange and difficult new world” but also a covenantal world.</w:t>
      </w:r>
      <w:r w:rsidR="004E32B0" w:rsidRPr="0066103C">
        <w:rPr>
          <w:bCs/>
          <w:vertAlign w:val="superscript"/>
        </w:rPr>
        <w:footnoteReference w:id="315"/>
      </w:r>
      <w:r w:rsidR="004E32B0" w:rsidRPr="0066103C">
        <w:t xml:space="preserve"> To write in Hebrew, the language of the Torah, and to take up the themes of the Prophets, was an act of resistance.</w:t>
      </w:r>
      <w:r w:rsidR="004E32B0" w:rsidRPr="0066103C">
        <w:rPr>
          <w:vertAlign w:val="superscript"/>
        </w:rPr>
        <w:footnoteReference w:id="316"/>
      </w:r>
      <w:r w:rsidR="004E32B0" w:rsidRPr="0066103C">
        <w:t xml:space="preserve"> It was perhaps also “a sign of hope, for now Daniel returns to the language of his youth, the language of his freedom.”</w:t>
      </w:r>
      <w:r w:rsidR="004E32B0" w:rsidRPr="0066103C">
        <w:rPr>
          <w:vertAlign w:val="superscript"/>
        </w:rPr>
        <w:footnoteReference w:id="317"/>
      </w:r>
      <w:r w:rsidR="004E32B0" w:rsidRPr="0066103C">
        <w:t xml:space="preserve"> </w:t>
      </w:r>
    </w:p>
    <w:p w:rsidR="00CC03AD" w:rsidRPr="0066103C" w:rsidRDefault="00CC03AD" w:rsidP="00CC03AD">
      <w:r w:rsidRPr="0066103C">
        <w:t>Chap. 8 is the last of the book’s symbolic visions; the succeeding revelations are more verbal than visual</w:t>
      </w:r>
      <w:r w:rsidR="004E32B0" w:rsidRPr="0066103C">
        <w:t>. They are</w:t>
      </w:r>
      <w:r w:rsidRPr="0066103C">
        <w:t xml:space="preserve"> s</w:t>
      </w:r>
      <w:r w:rsidR="004E32B0" w:rsidRPr="0066103C">
        <w:t>till cryptic but not symbolic. Given that t</w:t>
      </w:r>
      <w:r w:rsidRPr="0066103C">
        <w:t xml:space="preserve">he explanation of the symbolic vision in chap. </w:t>
      </w:r>
      <w:r w:rsidR="004E32B0" w:rsidRPr="0066103C">
        <w:t xml:space="preserve">8 actually explains little, </w:t>
      </w:r>
      <w:r w:rsidRPr="0066103C">
        <w:t xml:space="preserve">this </w:t>
      </w:r>
      <w:r w:rsidR="004E32B0" w:rsidRPr="0066103C">
        <w:t xml:space="preserve">lack </w:t>
      </w:r>
      <w:r w:rsidRPr="0066103C">
        <w:t>prepares the way for the following vision</w:t>
      </w:r>
      <w:r w:rsidR="00BA4822" w:rsidRPr="0066103C">
        <w:t xml:space="preserve">(s). V </w:t>
      </w:r>
      <w:r w:rsidRPr="0066103C">
        <w:t>27b thus leads into chaps. 9 and 10–12, which offer further reaffirmation and more explanation of the vision’s fundamental perspective. The cha</w:t>
      </w:r>
      <w:r w:rsidR="00BA4822" w:rsidRPr="0066103C">
        <w:t>pter’s connection with the Babylonian period</w:t>
      </w:r>
      <w:r w:rsidRPr="0066103C">
        <w:t xml:space="preserve"> (its setting in the reign of the sacrilegious Belshazzar) links with the focus on the</w:t>
      </w:r>
      <w:r w:rsidR="00BA4822" w:rsidRPr="0066103C">
        <w:t xml:space="preserve"> question of how long this oppression is to last which</w:t>
      </w:r>
      <w:r w:rsidRPr="0066103C">
        <w:t xml:space="preserve"> concerns chap. 9. Its epipha</w:t>
      </w:r>
      <w:r w:rsidR="00E025ED" w:rsidRPr="0066103C">
        <w:t>ny and detailed quasi-prediction</w:t>
      </w:r>
      <w:r w:rsidRPr="0066103C">
        <w:t xml:space="preserve"> are paralleled on a larger scale by those of chaps. 10–12.</w:t>
      </w:r>
    </w:p>
    <w:p w:rsidR="00CC03AD" w:rsidRPr="00CC1756" w:rsidRDefault="00CC03AD" w:rsidP="00CC1756">
      <w:pPr>
        <w:pStyle w:val="Heading2"/>
      </w:pPr>
      <w:r w:rsidRPr="00CC1756">
        <w:t>Comment</w:t>
      </w:r>
    </w:p>
    <w:p w:rsidR="00CC03AD" w:rsidRPr="0066103C" w:rsidRDefault="00CC03AD" w:rsidP="00CC03AD">
      <w:r w:rsidRPr="00377441">
        <w:rPr>
          <w:b/>
        </w:rPr>
        <w:t>1–2</w:t>
      </w:r>
      <w:r w:rsidRPr="0066103C">
        <w:t xml:space="preserve"> The date links back with chap. 7; it might indicate that in reality two years have passed since that vision.</w:t>
      </w:r>
      <w:r w:rsidR="00897E67" w:rsidRPr="0066103C">
        <w:rPr>
          <w:rStyle w:val="FootnoteReference"/>
        </w:rPr>
        <w:footnoteReference w:id="318"/>
      </w:r>
      <w:r w:rsidRPr="0066103C">
        <w:t xml:space="preserve"> The third year of Bels</w:t>
      </w:r>
      <w:r w:rsidR="005921D7">
        <w:t xml:space="preserve">hazzar was c. </w:t>
      </w:r>
      <w:r w:rsidR="00897E67" w:rsidRPr="0066103C">
        <w:t>548/47; see 7:1 Comment</w:t>
      </w:r>
      <w:r w:rsidRPr="0066103C">
        <w:t>.</w:t>
      </w:r>
      <w:r w:rsidR="00897E67" w:rsidRPr="0066103C">
        <w:rPr>
          <w:rStyle w:val="FootnoteReference"/>
        </w:rPr>
        <w:footnoteReference w:id="319"/>
      </w:r>
    </w:p>
    <w:p w:rsidR="005921D7" w:rsidRDefault="002B0CA6" w:rsidP="00CC03AD">
      <w:r w:rsidRPr="0066103C">
        <w:t xml:space="preserve">Daniel is in </w:t>
      </w:r>
      <w:r w:rsidR="00CC03AD" w:rsidRPr="0066103C">
        <w:t>Elam</w:t>
      </w:r>
      <w:r w:rsidR="00D75A69">
        <w:t xml:space="preserve"> in his vision</w:t>
      </w:r>
      <w:r w:rsidR="005921D7">
        <w:t>; the account</w:t>
      </w:r>
      <w:r w:rsidR="005921D7" w:rsidRPr="005921D7">
        <w:t xml:space="preserve"> presupposes a visionary journey such as Ezekiel experienced (see </w:t>
      </w:r>
      <w:r w:rsidR="005921D7" w:rsidRPr="005921D7">
        <w:rPr>
          <w:i/>
        </w:rPr>
        <w:t>Form</w:t>
      </w:r>
      <w:r w:rsidR="005921D7" w:rsidRPr="005921D7">
        <w:t>), a journey which has taken the subject far from his bodily setting.</w:t>
      </w:r>
      <w:r w:rsidR="005921D7" w:rsidRPr="005921D7">
        <w:rPr>
          <w:vertAlign w:val="superscript"/>
        </w:rPr>
        <w:footnoteReference w:id="320"/>
      </w:r>
      <w:r w:rsidR="005921D7">
        <w:t xml:space="preserve"> </w:t>
      </w:r>
      <w:r w:rsidRPr="0066103C">
        <w:t xml:space="preserve">Elam </w:t>
      </w:r>
      <w:r w:rsidR="00CC03AD" w:rsidRPr="0066103C">
        <w:t>lies</w:t>
      </w:r>
      <w:r w:rsidR="00AE2C2B" w:rsidRPr="0066103C">
        <w:t xml:space="preserve"> between Babylon and Persia; it</w:t>
      </w:r>
      <w:r w:rsidR="00CC03AD" w:rsidRPr="0066103C">
        <w:t xml:space="preserve"> corresponds to </w:t>
      </w:r>
      <w:r w:rsidR="00464FCD" w:rsidRPr="0066103C">
        <w:t xml:space="preserve">the Iranian province of </w:t>
      </w:r>
      <w:r w:rsidR="00CC03AD" w:rsidRPr="0066103C">
        <w:t>Khuzistan, north of t</w:t>
      </w:r>
      <w:r w:rsidR="00897E67" w:rsidRPr="0066103C">
        <w:t xml:space="preserve">he Persian Gulf. In 548/47 </w:t>
      </w:r>
      <w:r w:rsidR="005921D7">
        <w:t>it wiould likely</w:t>
      </w:r>
      <w:r w:rsidR="00CC03AD" w:rsidRPr="0066103C">
        <w:t xml:space="preserve"> still </w:t>
      </w:r>
      <w:r w:rsidR="005921D7">
        <w:t xml:space="preserve">have </w:t>
      </w:r>
      <w:r w:rsidR="00CC03AD" w:rsidRPr="0066103C">
        <w:t>belonged t</w:t>
      </w:r>
      <w:r w:rsidR="004D5564" w:rsidRPr="0066103C">
        <w:t xml:space="preserve">o Babylon, but </w:t>
      </w:r>
      <w:r w:rsidR="00CC03AD" w:rsidRPr="0066103C">
        <w:t xml:space="preserve">the chapter presupposes the status </w:t>
      </w:r>
      <w:r w:rsidR="00CC03AD" w:rsidRPr="0066103C">
        <w:lastRenderedPageBreak/>
        <w:t xml:space="preserve">and circumstances of </w:t>
      </w:r>
      <w:r w:rsidR="00AE2C2B" w:rsidRPr="0066103C">
        <w:t>Susa</w:t>
      </w:r>
      <w:r w:rsidR="00897E67" w:rsidRPr="0066103C">
        <w:t xml:space="preserve"> </w:t>
      </w:r>
      <w:r w:rsidR="00AE2C2B" w:rsidRPr="0066103C">
        <w:t>after Persia became the great power</w:t>
      </w:r>
      <w:r w:rsidR="005921D7">
        <w:t>.</w:t>
      </w:r>
      <w:r w:rsidR="007F24DA" w:rsidRPr="0066103C">
        <w:rPr>
          <w:vertAlign w:val="superscript"/>
        </w:rPr>
        <w:footnoteReference w:id="321"/>
      </w:r>
      <w:r w:rsidR="005921D7">
        <w:t xml:space="preserve"> Whereas Susa</w:t>
      </w:r>
      <w:r w:rsidR="00CC03AD" w:rsidRPr="0066103C">
        <w:t xml:space="preserve"> had b</w:t>
      </w:r>
      <w:r w:rsidR="004D5564" w:rsidRPr="0066103C">
        <w:t xml:space="preserve">een destroyed by Asshurbanipal, </w:t>
      </w:r>
      <w:r w:rsidR="00CC03AD" w:rsidRPr="0066103C">
        <w:t>Darius I rebuilt it as a forti</w:t>
      </w:r>
      <w:r w:rsidR="00897E67" w:rsidRPr="0066103C">
        <w:t>fied city, beginning in 521.</w:t>
      </w:r>
      <w:r w:rsidR="00CC03AD" w:rsidRPr="0066103C">
        <w:t xml:space="preserve"> Elam was then a province of the Persian empire, and in Jewish thinking </w:t>
      </w:r>
      <w:r w:rsidR="007F24DA" w:rsidRPr="0066103C">
        <w:t xml:space="preserve">Susa was </w:t>
      </w:r>
      <w:r w:rsidR="005921D7">
        <w:t xml:space="preserve">the seat of the </w:t>
      </w:r>
      <w:r w:rsidR="00AE2C2B" w:rsidRPr="0066103C">
        <w:t>empire (Neh 1:1; Esth 1:2). Subsequently i</w:t>
      </w:r>
      <w:r w:rsidR="00CC03AD" w:rsidRPr="0066103C">
        <w:t xml:space="preserve">t was within the Seleucid empire; Antiochus </w:t>
      </w:r>
      <w:r w:rsidR="00897E67" w:rsidRPr="0066103C">
        <w:t>III was killed there in 187.</w:t>
      </w:r>
      <w:r w:rsidR="00AE2C2B" w:rsidRPr="0066103C">
        <w:t xml:space="preserve"> Its</w:t>
      </w:r>
      <w:r w:rsidR="00CC03AD" w:rsidRPr="0066103C">
        <w:t xml:space="preserve"> ruin</w:t>
      </w:r>
      <w:r w:rsidR="00AE2C2B" w:rsidRPr="0066103C">
        <w:t xml:space="preserve">s lie near the River Karun, but the names and </w:t>
      </w:r>
      <w:r w:rsidR="00CC03AD" w:rsidRPr="0066103C">
        <w:t>locations of the watercourses in the area seem to have changed over the centuries</w:t>
      </w:r>
      <w:r w:rsidR="007F24DA" w:rsidRPr="0066103C">
        <w:t>.</w:t>
      </w:r>
      <w:r w:rsidR="007F24DA" w:rsidRPr="0066103C">
        <w:rPr>
          <w:rStyle w:val="FootnoteReference"/>
        </w:rPr>
        <w:footnoteReference w:id="322"/>
      </w:r>
      <w:r w:rsidR="00CC03AD" w:rsidRPr="0066103C">
        <w:t xml:space="preserve"> Ulay is</w:t>
      </w:r>
      <w:r w:rsidR="00AE2C2B" w:rsidRPr="0066103C">
        <w:t>, however,</w:t>
      </w:r>
      <w:r w:rsidR="00CC03AD" w:rsidRPr="0066103C">
        <w:t xml:space="preserve"> an ancient name for a waterway near Susa. The vision is located at a gate </w:t>
      </w:r>
      <w:r w:rsidR="00AE2C2B" w:rsidRPr="0066103C">
        <w:t>opening</w:t>
      </w:r>
      <w:r w:rsidR="00CC03AD" w:rsidRPr="0066103C">
        <w:t xml:space="preserve"> </w:t>
      </w:r>
      <w:r w:rsidR="00E025ED" w:rsidRPr="0066103C">
        <w:t xml:space="preserve">towards </w:t>
      </w:r>
      <w:r w:rsidR="00CC03AD" w:rsidRPr="0066103C">
        <w:t xml:space="preserve">a waterway, in the tradition of Ezekiel’s vision by the Kebar canal (cf. </w:t>
      </w:r>
      <w:r w:rsidR="007F24DA" w:rsidRPr="0066103C">
        <w:t xml:space="preserve">Dan </w:t>
      </w:r>
      <w:r w:rsidR="00CC03AD" w:rsidRPr="0066103C">
        <w:t xml:space="preserve">10:4; 12:5–7; </w:t>
      </w:r>
      <w:r w:rsidR="00CC03AD" w:rsidRPr="0066103C">
        <w:rPr>
          <w:i/>
        </w:rPr>
        <w:t>1 Enoch</w:t>
      </w:r>
      <w:r w:rsidR="00CC03AD" w:rsidRPr="0066103C">
        <w:t xml:space="preserve"> 13.7–8; also Pharaoh’s </w:t>
      </w:r>
      <w:r w:rsidR="00AE2C2B" w:rsidRPr="0066103C">
        <w:t xml:space="preserve">dream set at a river, Gen 41). </w:t>
      </w:r>
    </w:p>
    <w:p w:rsidR="00980CB8" w:rsidRPr="0066103C" w:rsidRDefault="00CC03AD" w:rsidP="00CC03AD">
      <w:r w:rsidRPr="005921D7">
        <w:rPr>
          <w:b/>
        </w:rPr>
        <w:t>3–4</w:t>
      </w:r>
      <w:r w:rsidRPr="0066103C">
        <w:t xml:space="preserve"> Within the OT and elsewhere, leaders are often symbolized by animals such as the ram and the goat (see </w:t>
      </w:r>
      <w:r w:rsidRPr="0066103C">
        <w:rPr>
          <w:i/>
        </w:rPr>
        <w:t>Form</w:t>
      </w:r>
      <w:r w:rsidR="007F24DA" w:rsidRPr="0066103C">
        <w:t>). Ram and goat</w:t>
      </w:r>
      <w:r w:rsidRPr="0066103C">
        <w:t>, which are singled out in Ezek 34:17, are both clean animal</w:t>
      </w:r>
      <w:r w:rsidR="009E484B" w:rsidRPr="0066103C">
        <w:t xml:space="preserve">s; contrast the unclean hybrids </w:t>
      </w:r>
      <w:r w:rsidRPr="0066103C">
        <w:t>and fi</w:t>
      </w:r>
      <w:r w:rsidR="009E484B" w:rsidRPr="0066103C">
        <w:t xml:space="preserve">erce predators </w:t>
      </w:r>
      <w:r w:rsidRPr="0066103C">
        <w:t xml:space="preserve">that represent nations in Dan 7 and in </w:t>
      </w:r>
      <w:r w:rsidRPr="0066103C">
        <w:rPr>
          <w:i/>
        </w:rPr>
        <w:t>1 Enoch</w:t>
      </w:r>
      <w:r w:rsidRPr="0066103C">
        <w:t xml:space="preserve"> 89–90.</w:t>
      </w:r>
      <w:r w:rsidR="007F24DA" w:rsidRPr="0066103C">
        <w:rPr>
          <w:rStyle w:val="FootnoteReference"/>
        </w:rPr>
        <w:footnoteReference w:id="323"/>
      </w:r>
      <w:r w:rsidR="00C73736" w:rsidRPr="0066103C">
        <w:t xml:space="preserve"> So ram and goat</w:t>
      </w:r>
      <w:r w:rsidRPr="0066103C">
        <w:t xml:space="preserve"> are less fearful or objectionable symbols of authority and power. The ram might be readily identi</w:t>
      </w:r>
      <w:r w:rsidR="00980CB8" w:rsidRPr="0066103C">
        <w:t>fiable as a symbol for Persia: i</w:t>
      </w:r>
      <w:r w:rsidRPr="0066103C">
        <w:t>n the zodiac, Persia was under Aries, the ram</w:t>
      </w:r>
      <w:r w:rsidR="009E484B" w:rsidRPr="0066103C">
        <w:t>, and the</w:t>
      </w:r>
      <w:r w:rsidRPr="0066103C">
        <w:t xml:space="preserve"> name Ulay (</w:t>
      </w:r>
      <w:r w:rsidR="005921D7" w:rsidRPr="005921D7">
        <w:rPr>
          <w:rFonts w:ascii="Arial" w:hAnsi="Arial" w:cs="Arial"/>
        </w:rPr>
        <w:t>לי</w:t>
      </w:r>
      <w:r w:rsidRPr="0066103C">
        <w:t>או</w:t>
      </w:r>
      <w:r w:rsidR="00980CB8" w:rsidRPr="0066103C">
        <w:t xml:space="preserve">) could bring to mind </w:t>
      </w:r>
      <w:r w:rsidRPr="0066103C">
        <w:t>the word for ram (איל</w:t>
      </w:r>
      <w:r w:rsidR="00C73736" w:rsidRPr="0066103C">
        <w:t>).</w:t>
      </w:r>
      <w:r w:rsidR="003408C8" w:rsidRPr="0066103C">
        <w:rPr>
          <w:vertAlign w:val="superscript"/>
        </w:rPr>
        <w:footnoteReference w:id="324"/>
      </w:r>
      <w:r w:rsidR="00C73736" w:rsidRPr="0066103C">
        <w:t xml:space="preserve"> </w:t>
      </w:r>
      <w:r w:rsidRPr="0066103C">
        <w:t xml:space="preserve">According to </w:t>
      </w:r>
      <w:r w:rsidR="002D6C6F">
        <w:t xml:space="preserve">the </w:t>
      </w:r>
      <w:r w:rsidRPr="0066103C">
        <w:t xml:space="preserve">Ammianus </w:t>
      </w:r>
      <w:r w:rsidR="002D6C6F">
        <w:t>Marcellinus, the fourth century AD Roman historian</w:t>
      </w:r>
      <w:r w:rsidRPr="0066103C">
        <w:t xml:space="preserve"> </w:t>
      </w:r>
      <w:r w:rsidR="002D6C6F">
        <w:t>(</w:t>
      </w:r>
      <w:r w:rsidR="002D6C6F">
        <w:rPr>
          <w:i/>
        </w:rPr>
        <w:t xml:space="preserve">History </w:t>
      </w:r>
      <w:r w:rsidRPr="0066103C">
        <w:t>10.1</w:t>
      </w:r>
      <w:r w:rsidR="002D6C6F">
        <w:t>)</w:t>
      </w:r>
      <w:r w:rsidRPr="0066103C">
        <w:t xml:space="preserve">, Persian kings </w:t>
      </w:r>
      <w:r w:rsidR="00980CB8" w:rsidRPr="0066103C">
        <w:t xml:space="preserve">on the march </w:t>
      </w:r>
      <w:r w:rsidR="005921D7">
        <w:t xml:space="preserve">carried a gold ram’s </w:t>
      </w:r>
      <w:r w:rsidRPr="0066103C">
        <w:t xml:space="preserve">head. </w:t>
      </w:r>
    </w:p>
    <w:p w:rsidR="00CC03AD" w:rsidRPr="0066103C" w:rsidRDefault="00CC03AD" w:rsidP="00CC03AD">
      <w:r w:rsidRPr="0066103C">
        <w:t>The two horns on the single ram then suggest Media and Persia, here recognized to be one yet distinguishable. Persia entered the world stage later than Media but ultimately</w:t>
      </w:r>
      <w:r w:rsidR="003408C8" w:rsidRPr="0066103C">
        <w:t xml:space="preserve"> played a more major part. V 4 more likely describes</w:t>
      </w:r>
      <w:r w:rsidRPr="0066103C">
        <w:t xml:space="preserve"> Medo-Persia’s initial triumphs </w:t>
      </w:r>
      <w:r w:rsidR="002D6C6F">
        <w:t>(</w:t>
      </w:r>
      <w:r w:rsidRPr="0066103C">
        <w:t>u</w:t>
      </w:r>
      <w:r w:rsidR="002D6C6F">
        <w:t xml:space="preserve">nder Cyrus) </w:t>
      </w:r>
      <w:r w:rsidR="003408C8" w:rsidRPr="0066103C">
        <w:t>in Turkey</w:t>
      </w:r>
      <w:r w:rsidRPr="0066103C">
        <w:t xml:space="preserve"> and Babylon than later victories over Egypt (</w:t>
      </w:r>
      <w:r w:rsidR="002D6C6F">
        <w:t xml:space="preserve">under </w:t>
      </w:r>
      <w:r w:rsidRPr="0066103C">
        <w:t>Cambyses), Scythia and Greece (</w:t>
      </w:r>
      <w:r w:rsidR="002D6C6F">
        <w:t xml:space="preserve">under </w:t>
      </w:r>
      <w:r w:rsidRPr="0066103C">
        <w:t>Darius), and Athens itself (</w:t>
      </w:r>
      <w:r w:rsidR="002D6C6F">
        <w:t xml:space="preserve">under </w:t>
      </w:r>
      <w:r w:rsidRPr="0066103C">
        <w:t xml:space="preserve">Xerxes), since Daniel suggests the order “west and north and south.” </w:t>
      </w:r>
      <w:r w:rsidR="00EF2BBD">
        <w:t>Cyrus’</w:t>
      </w:r>
      <w:r w:rsidRPr="0066103C">
        <w:t xml:space="preserve"> victories to the east are omitted: from a Palestinian perspective he is </w:t>
      </w:r>
      <w:r w:rsidR="00980CB8" w:rsidRPr="0066103C">
        <w:t xml:space="preserve">already </w:t>
      </w:r>
      <w:r w:rsidRPr="0066103C">
        <w:t>the ruler of the east (Isa 41:2).</w:t>
      </w:r>
      <w:r w:rsidR="00FC5190">
        <w:rPr>
          <w:rStyle w:val="FootnoteReference"/>
        </w:rPr>
        <w:footnoteReference w:id="325"/>
      </w:r>
    </w:p>
    <w:p w:rsidR="00CC03AD" w:rsidRDefault="00CC03AD" w:rsidP="00CC03AD">
      <w:r w:rsidRPr="0066103C">
        <w:t>There is nothing inh</w:t>
      </w:r>
      <w:r w:rsidR="00980CB8" w:rsidRPr="0066103C">
        <w:t>erently wrong with</w:t>
      </w:r>
      <w:r w:rsidR="00F1307C" w:rsidRPr="0066103C">
        <w:t xml:space="preserve"> “doing big</w:t>
      </w:r>
      <w:r w:rsidRPr="0066103C">
        <w:t xml:space="preserve"> things” (הגדיל</w:t>
      </w:r>
      <w:r w:rsidR="00980CB8" w:rsidRPr="0066103C">
        <w:t xml:space="preserve">); but the expression is </w:t>
      </w:r>
      <w:r w:rsidRPr="0066103C">
        <w:t xml:space="preserve">used in an unequivocally good sense </w:t>
      </w:r>
      <w:r w:rsidR="00980CB8" w:rsidRPr="0066103C">
        <w:t xml:space="preserve">only </w:t>
      </w:r>
      <w:r w:rsidRPr="0066103C">
        <w:t>of G</w:t>
      </w:r>
      <w:r w:rsidR="002D6C6F">
        <w:t>od (1 Sam 12:24; Ps 126:2, 3). O</w:t>
      </w:r>
      <w:r w:rsidRPr="0066103C">
        <w:t>f human beings it tends to suggest arrogance (Jer 48:26; Joel 2:20; Zeph 2:10; Ps 35:26</w:t>
      </w:r>
      <w:r w:rsidR="003408C8" w:rsidRPr="0066103C">
        <w:t>; Ps 55:12 [13</w:t>
      </w:r>
      <w:r w:rsidRPr="0066103C">
        <w:t>]), or at least achievement at someone else</w:t>
      </w:r>
      <w:r w:rsidR="003408C8" w:rsidRPr="0066103C">
        <w:t>’s expense (Zeph 2:8; Lam 1:9). H</w:t>
      </w:r>
      <w:r w:rsidRPr="0066103C">
        <w:t xml:space="preserve">ere </w:t>
      </w:r>
      <w:r w:rsidR="003408C8" w:rsidRPr="0066103C">
        <w:t xml:space="preserve">it is </w:t>
      </w:r>
      <w:r w:rsidRPr="0066103C">
        <w:t xml:space="preserve">achievement that presages calamity. The expression has the foreboding ambiguity </w:t>
      </w:r>
      <w:r w:rsidR="00F1307C" w:rsidRPr="0066103C">
        <w:t>of the mouth speaking big</w:t>
      </w:r>
      <w:r w:rsidRPr="0066103C">
        <w:t xml:space="preserve"> things in 7:8, 20.</w:t>
      </w:r>
    </w:p>
    <w:p w:rsidR="000A5AA1" w:rsidRPr="0066103C" w:rsidRDefault="000A5AA1" w:rsidP="00CC03AD">
      <w:r>
        <w:t>There are no divine passaive v</w:t>
      </w:r>
      <w:r w:rsidR="002D6C6F">
        <w:t>erbs in the description of the</w:t>
      </w:r>
      <w:r>
        <w:t xml:space="preserve"> animals. “Divine activity is not visibly or directly c</w:t>
      </w:r>
      <w:r w:rsidR="002D6C6F">
        <w:t>ausative, and the work of the r</w:t>
      </w:r>
      <w:r>
        <w:t>am and the goat appear to be self-propelled…. These beasts are not under divine commission. History in v</w:t>
      </w:r>
      <w:r w:rsidR="000D1837">
        <w:t>v</w:t>
      </w:r>
      <w:r>
        <w:t xml:space="preserve"> 3-12 appears to obey its own rhythms.”</w:t>
      </w:r>
      <w:r>
        <w:rPr>
          <w:rStyle w:val="FootnoteReference"/>
        </w:rPr>
        <w:footnoteReference w:id="326"/>
      </w:r>
    </w:p>
    <w:p w:rsidR="00453F1D" w:rsidRDefault="00CC03AD" w:rsidP="00CC03AD">
      <w:r w:rsidRPr="000A5AA1">
        <w:rPr>
          <w:b/>
        </w:rPr>
        <w:t>5–8</w:t>
      </w:r>
      <w:r w:rsidRPr="0066103C">
        <w:t xml:space="preserve"> The opening resumptive phrase heralds a new development. The goat is a less frequent symbol for leadership than the ram (see Isa 14:9; Zech 10:3), but goats are fierce creatures, more powerful than sheep (cf. Jer 50:8). The imperial leader</w:t>
      </w:r>
      <w:r w:rsidR="003408C8" w:rsidRPr="0066103C">
        <w:t xml:space="preserve">ship more powerful than </w:t>
      </w:r>
      <w:r w:rsidRPr="0066103C">
        <w:t>Persia</w:t>
      </w:r>
      <w:r w:rsidR="003408C8" w:rsidRPr="0066103C">
        <w:t>’s</w:t>
      </w:r>
      <w:r w:rsidRPr="0066103C">
        <w:t xml:space="preserve"> will be Alexander’s. The goat might inherently suggest the post-Alexandrian Greek </w:t>
      </w:r>
      <w:r w:rsidR="003408C8" w:rsidRPr="0066103C">
        <w:t>empire of the Seleucids;</w:t>
      </w:r>
      <w:r w:rsidRPr="0066103C">
        <w:t xml:space="preserve"> as the zodiac placed Persia under the ram, so it placed Syria under the horned goat, Capricorn. </w:t>
      </w:r>
      <w:r w:rsidR="00453F1D">
        <w:t>Further, like the hybrids of chap. 7, the goat may have demonic connotations.</w:t>
      </w:r>
      <w:r w:rsidR="00453F1D">
        <w:rPr>
          <w:rStyle w:val="FootnoteReference"/>
        </w:rPr>
        <w:footnoteReference w:id="327"/>
      </w:r>
    </w:p>
    <w:p w:rsidR="00CC03AD" w:rsidRPr="0066103C" w:rsidRDefault="00CC03AD" w:rsidP="00CC03AD">
      <w:r w:rsidRPr="0066103C">
        <w:t>The notion of the unicorn (cf. the sirussu) may derive from the profile relie</w:t>
      </w:r>
      <w:r w:rsidR="003408C8" w:rsidRPr="0066103C">
        <w:t>fs that merge two horns as one</w:t>
      </w:r>
      <w:r w:rsidRPr="0066103C">
        <w:t>.</w:t>
      </w:r>
      <w:r w:rsidR="003408C8" w:rsidRPr="0066103C">
        <w:rPr>
          <w:rStyle w:val="FootnoteReference"/>
        </w:rPr>
        <w:footnoteReference w:id="328"/>
      </w:r>
      <w:r w:rsidRPr="0066103C">
        <w:t xml:space="preserve"> The description of Alexander’s flying advance recalls that of Cyrus in Isa 41:3 and the winged leopard of Dan 7:6 (cf. 1 Macc 1:1–4). Over a period of four</w:t>
      </w:r>
      <w:r w:rsidR="003408C8" w:rsidRPr="0066103C">
        <w:t xml:space="preserve"> years between 334 and 331 </w:t>
      </w:r>
      <w:r w:rsidR="003408C8" w:rsidRPr="0066103C">
        <w:lastRenderedPageBreak/>
        <w:t xml:space="preserve">Alexander </w:t>
      </w:r>
      <w:r w:rsidRPr="0066103C">
        <w:t xml:space="preserve">demolished the Persian empire and established an empire of his own extending from Europe to India. On the breakup of his empire, see 11:4 </w:t>
      </w:r>
      <w:r w:rsidRPr="0066103C">
        <w:rPr>
          <w:i/>
        </w:rPr>
        <w:t>Comment</w:t>
      </w:r>
      <w:r w:rsidRPr="0066103C">
        <w:t>.</w:t>
      </w:r>
    </w:p>
    <w:p w:rsidR="00215CE5" w:rsidRPr="0066103C" w:rsidRDefault="00CC03AD" w:rsidP="00215CE5">
      <w:r w:rsidRPr="000A5AA1">
        <w:rPr>
          <w:b/>
        </w:rPr>
        <w:t xml:space="preserve">9 </w:t>
      </w:r>
      <w:r w:rsidR="00215CE5" w:rsidRPr="0066103C">
        <w:t>Rashi takes the small horn to be Titus, so t</w:t>
      </w:r>
      <w:r w:rsidR="00583B1E" w:rsidRPr="0066103C">
        <w:t xml:space="preserve">hat </w:t>
      </w:r>
      <w:r w:rsidR="00C44540">
        <w:t xml:space="preserve">what </w:t>
      </w:r>
      <w:r w:rsidR="00583B1E" w:rsidRPr="0066103C">
        <w:t>follows refers to the destruction of the Second Temple</w:t>
      </w:r>
      <w:r w:rsidR="00203BA4" w:rsidRPr="0066103C">
        <w:t>, and some Christian comm</w:t>
      </w:r>
      <w:r w:rsidR="002D6C6F">
        <w:t>entators adopt</w:t>
      </w:r>
      <w:r w:rsidR="00215CE5" w:rsidRPr="0066103C">
        <w:t xml:space="preserve"> the same approach</w:t>
      </w:r>
      <w:r w:rsidR="00C44540">
        <w:t xml:space="preserve"> or relate the s</w:t>
      </w:r>
      <w:r w:rsidR="00BB3FCC">
        <w:t>mall horn to a subsequent anti-m</w:t>
      </w:r>
      <w:r w:rsidR="00C44540">
        <w:t>essiah figure</w:t>
      </w:r>
      <w:r w:rsidR="00215CE5" w:rsidRPr="0066103C">
        <w:t>.</w:t>
      </w:r>
      <w:r w:rsidR="00414034" w:rsidRPr="0066103C">
        <w:rPr>
          <w:rStyle w:val="FootnoteReference"/>
        </w:rPr>
        <w:footnoteReference w:id="329"/>
      </w:r>
      <w:r w:rsidR="00203BA4" w:rsidRPr="0066103C">
        <w:t xml:space="preserve"> </w:t>
      </w:r>
      <w:r w:rsidR="00215CE5" w:rsidRPr="0066103C">
        <w:t>This understanding links logical</w:t>
      </w:r>
      <w:r w:rsidR="00020DE3" w:rsidRPr="0066103C">
        <w:t>ly with the identifying</w:t>
      </w:r>
      <w:r w:rsidR="00215CE5" w:rsidRPr="0066103C">
        <w:t xml:space="preserve"> of Rome as the fourth creature in chap. 7, and it </w:t>
      </w:r>
      <w:r w:rsidR="00203BA4" w:rsidRPr="0066103C">
        <w:t xml:space="preserve">facilitates an interpretation </w:t>
      </w:r>
      <w:r w:rsidR="00020DE3" w:rsidRPr="0066103C">
        <w:t xml:space="preserve">of this </w:t>
      </w:r>
      <w:r w:rsidR="00203BA4" w:rsidRPr="0066103C">
        <w:t>pas</w:t>
      </w:r>
      <w:r w:rsidR="00020DE3" w:rsidRPr="0066103C">
        <w:t>sage as pointing to the action</w:t>
      </w:r>
      <w:r w:rsidR="00203BA4" w:rsidRPr="0066103C">
        <w:t xml:space="preserve"> of the continuing embodiments of Rome in </w:t>
      </w:r>
      <w:r w:rsidR="00020DE3" w:rsidRPr="0066103C">
        <w:t>the church (</w:t>
      </w:r>
      <w:r w:rsidR="00203BA4" w:rsidRPr="0066103C">
        <w:t>p</w:t>
      </w:r>
      <w:r w:rsidR="00020DE3" w:rsidRPr="0066103C">
        <w:t>ersecuting Jews)</w:t>
      </w:r>
      <w:r w:rsidR="00203BA4" w:rsidRPr="0066103C">
        <w:t xml:space="preserve"> or</w:t>
      </w:r>
      <w:r w:rsidR="00020DE3" w:rsidRPr="0066103C">
        <w:t xml:space="preserve"> more specifically</w:t>
      </w:r>
      <w:r w:rsidR="00203BA4" w:rsidRPr="0066103C">
        <w:t xml:space="preserve"> of </w:t>
      </w:r>
      <w:r w:rsidR="00020DE3" w:rsidRPr="0066103C">
        <w:t>Catholics (persecuting Protestants)</w:t>
      </w:r>
      <w:r w:rsidR="00203BA4" w:rsidRPr="0066103C">
        <w:t>.</w:t>
      </w:r>
      <w:r w:rsidR="00215CE5" w:rsidRPr="0066103C">
        <w:t xml:space="preserve"> But in the context of this vision, the small horn growing from the Seleucid line is Antiochus IV. He was an insignificant person compared with Alexander, the youngest of several brothers who had no right to the throne, a hostage in Rome through much of his earlier life, and a king who would treat Judah ignobly—even if from a broader historical perspective he was an impressive ruler. On his expeditions and deeds, see 11:21–45 </w:t>
      </w:r>
      <w:r w:rsidR="00215CE5" w:rsidRPr="0066103C">
        <w:rPr>
          <w:i/>
        </w:rPr>
        <w:t>Comment</w:t>
      </w:r>
      <w:r w:rsidR="00215CE5" w:rsidRPr="0066103C">
        <w:t>.</w:t>
      </w:r>
    </w:p>
    <w:p w:rsidR="00CC03AD" w:rsidRPr="0066103C" w:rsidRDefault="00CC03AD" w:rsidP="00CC03AD">
      <w:r w:rsidRPr="0066103C">
        <w:t>“The fairest” (הצבי</w:t>
      </w:r>
      <w:r w:rsidR="00020DE3" w:rsidRPr="0066103C">
        <w:t>) refers to</w:t>
      </w:r>
      <w:r w:rsidRPr="0066103C">
        <w:t xml:space="preserve"> the land of Israel, the l</w:t>
      </w:r>
      <w:r w:rsidR="00080BFD" w:rsidRPr="0066103C">
        <w:t>and</w:t>
      </w:r>
      <w:r w:rsidR="00020DE3" w:rsidRPr="0066103C">
        <w:t xml:space="preserve"> flowing with milk and honey; the term</w:t>
      </w:r>
      <w:r w:rsidR="00080BFD" w:rsidRPr="0066103C">
        <w:t xml:space="preserve"> comes</w:t>
      </w:r>
      <w:r w:rsidRPr="0066103C">
        <w:t xml:space="preserve"> in Ezek 20:6, 15, of which the allusion here may be a reminiscence. The word is used i</w:t>
      </w:r>
      <w:r w:rsidR="00080BFD" w:rsidRPr="0066103C">
        <w:t xml:space="preserve">n phrases denoting both the </w:t>
      </w:r>
      <w:r w:rsidR="003408C8" w:rsidRPr="0066103C">
        <w:t>country</w:t>
      </w:r>
      <w:r w:rsidRPr="0066103C">
        <w:t xml:space="preserve"> </w:t>
      </w:r>
      <w:r w:rsidR="00080BFD" w:rsidRPr="0066103C">
        <w:t xml:space="preserve">(Dan </w:t>
      </w:r>
      <w:r w:rsidRPr="0066103C">
        <w:t xml:space="preserve">11:16, 41; Jer 3:19; </w:t>
      </w:r>
      <w:r w:rsidRPr="0066103C">
        <w:rPr>
          <w:i/>
        </w:rPr>
        <w:t>1 Enoch</w:t>
      </w:r>
      <w:r w:rsidR="00080BFD" w:rsidRPr="0066103C">
        <w:t xml:space="preserve"> 89.40)</w:t>
      </w:r>
      <w:r w:rsidRPr="0066103C">
        <w:t xml:space="preserve"> and th</w:t>
      </w:r>
      <w:r w:rsidR="00080BFD" w:rsidRPr="0066103C">
        <w:t>e hill of Zion in particular (Dan</w:t>
      </w:r>
      <w:r w:rsidRPr="0066103C">
        <w:t xml:space="preserve"> </w:t>
      </w:r>
      <w:r w:rsidR="00080BFD" w:rsidRPr="0066103C">
        <w:t xml:space="preserve">11:45; </w:t>
      </w:r>
      <w:r w:rsidR="003408C8" w:rsidRPr="0066103C">
        <w:t xml:space="preserve">cf. 1 Macc 2:12; also </w:t>
      </w:r>
      <w:r w:rsidRPr="0066103C">
        <w:t>the city of Babylon in Isa 13:19). Both refere</w:t>
      </w:r>
      <w:r w:rsidR="002D6C6F">
        <w:t>nces are appropriate in this context</w:t>
      </w:r>
      <w:r w:rsidR="003408C8" w:rsidRPr="0066103C">
        <w:t>. P</w:t>
      </w:r>
      <w:r w:rsidRPr="0066103C">
        <w:t xml:space="preserve">arallel expressions </w:t>
      </w:r>
      <w:r w:rsidR="003408C8" w:rsidRPr="0066103C">
        <w:t xml:space="preserve">are </w:t>
      </w:r>
      <w:r w:rsidRPr="0066103C">
        <w:t xml:space="preserve">צבי </w:t>
      </w:r>
      <w:r w:rsidR="00080BFD" w:rsidRPr="0066103C">
        <w:rPr>
          <w:rFonts w:ascii="Arial" w:hAnsi="Arial" w:cs="Arial"/>
        </w:rPr>
        <w:t>נחלת</w:t>
      </w:r>
      <w:r w:rsidR="00080BFD" w:rsidRPr="0066103C">
        <w:t xml:space="preserve"> “fair possession” (Jer 3:19); </w:t>
      </w:r>
      <w:r w:rsidRPr="0066103C">
        <w:t xml:space="preserve"> חמדה ארץ</w:t>
      </w:r>
      <w:r w:rsidR="00080BFD" w:rsidRPr="0066103C">
        <w:t xml:space="preserve"> “lovely land</w:t>
      </w:r>
      <w:r w:rsidRPr="0066103C">
        <w:t>”</w:t>
      </w:r>
      <w:r w:rsidR="00080BFD" w:rsidRPr="0066103C">
        <w:t>(</w:t>
      </w:r>
      <w:r w:rsidRPr="0066103C">
        <w:t xml:space="preserve"> Jer 3:19; Zech 7:14; Ps 106:24</w:t>
      </w:r>
      <w:r w:rsidR="00080BFD" w:rsidRPr="0066103C">
        <w:t>)</w:t>
      </w:r>
      <w:r w:rsidRPr="0066103C">
        <w:t xml:space="preserve">; חפץ </w:t>
      </w:r>
      <w:r w:rsidR="00080BFD" w:rsidRPr="0066103C">
        <w:rPr>
          <w:rFonts w:ascii="Arial" w:hAnsi="Arial" w:cs="Arial"/>
        </w:rPr>
        <w:t>ארץ</w:t>
      </w:r>
      <w:r w:rsidR="00080BFD" w:rsidRPr="0066103C">
        <w:t xml:space="preserve"> “delightful land</w:t>
      </w:r>
      <w:r w:rsidRPr="0066103C">
        <w:t xml:space="preserve">” </w:t>
      </w:r>
      <w:r w:rsidR="00080BFD" w:rsidRPr="0066103C">
        <w:t>(</w:t>
      </w:r>
      <w:r w:rsidRPr="0066103C">
        <w:t>Mal 3:12</w:t>
      </w:r>
      <w:r w:rsidR="00080BFD" w:rsidRPr="0066103C">
        <w:t>)</w:t>
      </w:r>
      <w:r w:rsidR="002D6C6F">
        <w:t>,</w:t>
      </w:r>
      <w:r w:rsidRPr="0066103C">
        <w:t xml:space="preserve"> and descriptions of Zion as נוף </w:t>
      </w:r>
      <w:r w:rsidR="00080BFD" w:rsidRPr="0066103C">
        <w:rPr>
          <w:rFonts w:ascii="Arial" w:hAnsi="Arial" w:cs="Arial"/>
        </w:rPr>
        <w:t>יפה</w:t>
      </w:r>
      <w:r w:rsidR="00080BFD" w:rsidRPr="0066103C">
        <w:t xml:space="preserve"> “beautiful in loftiness</w:t>
      </w:r>
      <w:r w:rsidRPr="0066103C">
        <w:t xml:space="preserve">” </w:t>
      </w:r>
      <w:r w:rsidR="00080BFD" w:rsidRPr="0066103C">
        <w:t>(Ps 48:2 [3</w:t>
      </w:r>
      <w:r w:rsidRPr="0066103C">
        <w:t xml:space="preserve">]; יפי </w:t>
      </w:r>
      <w:r w:rsidR="00080BFD" w:rsidRPr="0066103C">
        <w:rPr>
          <w:rFonts w:ascii="Arial" w:hAnsi="Arial" w:cs="Arial"/>
        </w:rPr>
        <w:t>מכלל</w:t>
      </w:r>
      <w:r w:rsidR="00080BFD" w:rsidRPr="0066103C">
        <w:t xml:space="preserve"> “totality of beauty</w:t>
      </w:r>
      <w:r w:rsidRPr="0066103C">
        <w:t xml:space="preserve">” </w:t>
      </w:r>
      <w:r w:rsidR="00080BFD" w:rsidRPr="0066103C">
        <w:t>(</w:t>
      </w:r>
      <w:r w:rsidRPr="0066103C">
        <w:t xml:space="preserve">Ps 50:2; </w:t>
      </w:r>
      <w:r w:rsidR="002D6C6F">
        <w:t>cf. Lam 2:15; also Ezek 27:3, regarding</w:t>
      </w:r>
      <w:r w:rsidRPr="0066103C">
        <w:t xml:space="preserve"> Tyre</w:t>
      </w:r>
      <w:r w:rsidR="00080BFD" w:rsidRPr="0066103C">
        <w:t>)</w:t>
      </w:r>
      <w:r w:rsidRPr="0066103C">
        <w:t>.</w:t>
      </w:r>
    </w:p>
    <w:p w:rsidR="00CC03AD" w:rsidRPr="0066103C" w:rsidRDefault="00CC03AD" w:rsidP="00CC03AD">
      <w:r w:rsidRPr="00E26DEF">
        <w:rPr>
          <w:b/>
        </w:rPr>
        <w:t>10–11</w:t>
      </w:r>
      <w:r w:rsidRPr="0066103C">
        <w:t xml:space="preserve"> In the interpretation of the small horn’s attack on the heavenly army ( השמים</w:t>
      </w:r>
      <w:r w:rsidR="00080BFD" w:rsidRPr="0066103C">
        <w:t xml:space="preserve"> </w:t>
      </w:r>
      <w:r w:rsidR="00080BFD" w:rsidRPr="0066103C">
        <w:rPr>
          <w:rFonts w:ascii="Arial" w:hAnsi="Arial" w:cs="Arial"/>
        </w:rPr>
        <w:t>צבא</w:t>
      </w:r>
      <w:r w:rsidR="00080BFD" w:rsidRPr="0066103C">
        <w:t xml:space="preserve"> </w:t>
      </w:r>
      <w:r w:rsidRPr="0066103C">
        <w:t xml:space="preserve">) similar issues arise to those raised by chap. 7. </w:t>
      </w:r>
      <w:r w:rsidR="00020DE3" w:rsidRPr="0066103C">
        <w:t xml:space="preserve">The reference to the sanctuary </w:t>
      </w:r>
      <w:r w:rsidRPr="0066103C">
        <w:t>could suggest that the heavenly army is the Jewish people, or the priest</w:t>
      </w:r>
      <w:r w:rsidR="00B106CE">
        <w:t>hood in particular, viewed as having</w:t>
      </w:r>
      <w:r w:rsidRPr="0066103C">
        <w:t xml:space="preserve"> heavenly significance because of their relationship with the G</w:t>
      </w:r>
      <w:r w:rsidR="00020DE3" w:rsidRPr="0066103C">
        <w:t>od of heaven. They are the Yahweh’</w:t>
      </w:r>
      <w:r w:rsidRPr="0066103C">
        <w:t xml:space="preserve">s armies (Exod 7:4; cf. 6:26; 12:17, 51; Num 33:1); they are his heavenly children (2 Macc 7:34). It is they who are attacked by Antiochus (1 Macc 1:29–38). Yet the people </w:t>
      </w:r>
      <w:r w:rsidR="00020DE3" w:rsidRPr="0066103C">
        <w:t xml:space="preserve">who are here </w:t>
      </w:r>
      <w:r w:rsidRPr="0066103C">
        <w:t>attacked include “some of th</w:t>
      </w:r>
      <w:r w:rsidR="00020DE3" w:rsidRPr="0066103C">
        <w:t>e stars,” which rather suggests that the heavenly army is</w:t>
      </w:r>
      <w:r w:rsidRPr="0066103C">
        <w:t xml:space="preserve"> a supernatural body. Elsewhere “the heavenly army” denotes the actual stars in the heavens (Isa 34:4; cf. Gen 2:1; Ps 33:6), and more commonly the stars as personalized objects of worship (Deut 4:19; Jer 8:2; Zeph 1:5). The stars in the heavens ar</w:t>
      </w:r>
      <w:r w:rsidR="00020DE3" w:rsidRPr="0066103C">
        <w:t>e Yahweh’s servants (Judg 5:20), and Dan 12:3</w:t>
      </w:r>
      <w:r w:rsidRPr="0066103C">
        <w:t xml:space="preserve"> promises that the faithful are destined to shine like the stars. The notion of attacking the stars, which goes back to Isa 14:13, is applied retrospectively to Antiochus i</w:t>
      </w:r>
      <w:r w:rsidR="00B106CE">
        <w:t>n 2 Macc 9:10,</w:t>
      </w:r>
      <w:r w:rsidR="00506334" w:rsidRPr="0066103C">
        <w:t xml:space="preserve"> and from 169 BC</w:t>
      </w:r>
      <w:r w:rsidRPr="0066103C">
        <w:t xml:space="preserve"> Antiochus’s coins picture his </w:t>
      </w:r>
      <w:r w:rsidR="00A1423A" w:rsidRPr="0066103C">
        <w:t>head surmounted with a star;</w:t>
      </w:r>
      <w:r w:rsidRPr="0066103C">
        <w:t xml:space="preserve"> he entitles himself King Antioch</w:t>
      </w:r>
      <w:r w:rsidR="00506334" w:rsidRPr="0066103C">
        <w:t>us God Manifest (Βασιλευς Αντιο</w:t>
      </w:r>
      <w:r w:rsidR="00506334" w:rsidRPr="0066103C">
        <w:rPr>
          <w:lang w:val="el-GR"/>
        </w:rPr>
        <w:t>χ</w:t>
      </w:r>
      <w:r w:rsidR="00A1423A" w:rsidRPr="0066103C">
        <w:t>ος Θεος Επιφανης). P</w:t>
      </w:r>
      <w:r w:rsidRPr="0066103C">
        <w:t>er</w:t>
      </w:r>
      <w:r w:rsidR="00506334" w:rsidRPr="0066103C">
        <w:t xml:space="preserve">haps </w:t>
      </w:r>
      <w:r w:rsidRPr="0066103C">
        <w:t>an atta</w:t>
      </w:r>
      <w:r w:rsidR="00506334" w:rsidRPr="0066103C">
        <w:t xml:space="preserve">ck on the </w:t>
      </w:r>
      <w:r w:rsidRPr="0066103C">
        <w:t xml:space="preserve">temple, </w:t>
      </w:r>
      <w:r w:rsidR="00506334" w:rsidRPr="0066103C">
        <w:t xml:space="preserve">on </w:t>
      </w:r>
      <w:r w:rsidRPr="0066103C">
        <w:t xml:space="preserve">the people of Israel, and </w:t>
      </w:r>
      <w:r w:rsidR="00506334" w:rsidRPr="0066103C">
        <w:t xml:space="preserve">on </w:t>
      </w:r>
      <w:r w:rsidRPr="0066103C">
        <w:t>the</w:t>
      </w:r>
      <w:r w:rsidR="00506334" w:rsidRPr="0066103C">
        <w:t xml:space="preserve"> priesthood is seen as</w:t>
      </w:r>
      <w:r w:rsidRPr="0066103C">
        <w:t xml:space="preserve"> implicitly an attack on the God worshiped there and on his supernatural associates who ident</w:t>
      </w:r>
      <w:r w:rsidR="00B106CE">
        <w:t>ify</w:t>
      </w:r>
      <w:r w:rsidR="00506334" w:rsidRPr="0066103C">
        <w:t xml:space="preserve"> with Israel (so 4Q Serek Šîrôt, the Angelic Liturgy)</w:t>
      </w:r>
      <w:r w:rsidRPr="0066103C">
        <w:t>.</w:t>
      </w:r>
      <w:r w:rsidR="00506334" w:rsidRPr="0066103C">
        <w:rPr>
          <w:rStyle w:val="FootnoteReference"/>
        </w:rPr>
        <w:footnoteReference w:id="330"/>
      </w:r>
      <w:r w:rsidRPr="0066103C">
        <w:t xml:space="preserve"> But the manner of expression is allusive, as in chap. 7.</w:t>
      </w:r>
    </w:p>
    <w:p w:rsidR="00CC03AD" w:rsidRPr="0066103C" w:rsidRDefault="00CC03AD" w:rsidP="00CC03AD">
      <w:r w:rsidRPr="0066103C">
        <w:t>The fall of some of the</w:t>
      </w:r>
      <w:r w:rsidR="00506334" w:rsidRPr="0066103C">
        <w:t xml:space="preserve"> heavenly army/stars has a </w:t>
      </w:r>
      <w:r w:rsidRPr="0066103C">
        <w:t xml:space="preserve">different significance from that in </w:t>
      </w:r>
      <w:r w:rsidRPr="0066103C">
        <w:rPr>
          <w:i/>
        </w:rPr>
        <w:t>1 Enoch</w:t>
      </w:r>
      <w:r w:rsidRPr="0066103C">
        <w:t xml:space="preserve"> 6; 86. </w:t>
      </w:r>
      <w:r w:rsidR="00506334" w:rsidRPr="0066103C">
        <w:t>T</w:t>
      </w:r>
      <w:r w:rsidRPr="0066103C">
        <w:t>heir be</w:t>
      </w:r>
      <w:r w:rsidR="00506334" w:rsidRPr="0066103C">
        <w:t xml:space="preserve">ing thrown down and trampled </w:t>
      </w:r>
      <w:r w:rsidRPr="0066103C">
        <w:t>presupposes t</w:t>
      </w:r>
      <w:r w:rsidR="00506334" w:rsidRPr="0066103C">
        <w:t xml:space="preserve">hat the small horn is now </w:t>
      </w:r>
      <w:r w:rsidRPr="0066103C">
        <w:t xml:space="preserve">portrayed by synecdoche in terms appropriate to earthly leaders </w:t>
      </w:r>
      <w:r w:rsidR="00A1423A" w:rsidRPr="0066103C">
        <w:t xml:space="preserve">who are </w:t>
      </w:r>
      <w:r w:rsidRPr="0066103C">
        <w:t>also symbolized by animals (cf. v 7; also 7:7, 19, 23). The same portray</w:t>
      </w:r>
      <w:r w:rsidR="00B106CE">
        <w:t xml:space="preserve">al continues in vv 11–13 as sanctuary and </w:t>
      </w:r>
      <w:r w:rsidRPr="0066103C">
        <w:t>truth are overthrown, and sanctuary and army ar</w:t>
      </w:r>
      <w:r w:rsidR="00506334" w:rsidRPr="0066103C">
        <w:t>e given over to be trampled</w:t>
      </w:r>
      <w:r w:rsidR="00A1423A" w:rsidRPr="0066103C">
        <w:t>. Army,</w:t>
      </w:r>
      <w:r w:rsidRPr="0066103C">
        <w:t xml:space="preserve"> sanctuary</w:t>
      </w:r>
      <w:r w:rsidR="00A1423A" w:rsidRPr="0066103C">
        <w:t>, and truth are all</w:t>
      </w:r>
      <w:r w:rsidRPr="0066103C">
        <w:t xml:space="preserve"> victims of t</w:t>
      </w:r>
      <w:r w:rsidR="00506334" w:rsidRPr="0066103C">
        <w:t>he goat’s charging and butting</w:t>
      </w:r>
      <w:r w:rsidRPr="0066103C">
        <w:t>.</w:t>
      </w:r>
      <w:r w:rsidR="00506334" w:rsidRPr="0066103C">
        <w:rPr>
          <w:rStyle w:val="FootnoteReference"/>
        </w:rPr>
        <w:footnoteReference w:id="331"/>
      </w:r>
      <w:r w:rsidR="00A1423A" w:rsidRPr="0066103C">
        <w:t xml:space="preserve"> The king himself</w:t>
      </w:r>
      <w:r w:rsidRPr="0066103C">
        <w:t xml:space="preserve"> becomes momentarily </w:t>
      </w:r>
      <w:r w:rsidR="006E750A" w:rsidRPr="0066103C">
        <w:t>visible in v 11a (“He grew…</w:t>
      </w:r>
      <w:r w:rsidRPr="0066103C">
        <w:t>”).</w:t>
      </w:r>
    </w:p>
    <w:p w:rsidR="00687D24" w:rsidRDefault="00CC03AD" w:rsidP="00CC03AD">
      <w:r w:rsidRPr="0066103C">
        <w:lastRenderedPageBreak/>
        <w:t xml:space="preserve">The </w:t>
      </w:r>
      <w:r w:rsidR="00A1423A" w:rsidRPr="0066103C">
        <w:t xml:space="preserve">question of the </w:t>
      </w:r>
      <w:r w:rsidRPr="0066103C">
        <w:t xml:space="preserve">identity of </w:t>
      </w:r>
      <w:r w:rsidR="00A1423A" w:rsidRPr="0066103C">
        <w:t>the army leader is also complicated</w:t>
      </w:r>
      <w:r w:rsidRPr="0066103C">
        <w:t xml:space="preserve">. In 1:7–11, 18; 11:5, שר </w:t>
      </w:r>
      <w:r w:rsidR="00B106CE">
        <w:t xml:space="preserve">(leader) </w:t>
      </w:r>
      <w:r w:rsidRPr="0066103C">
        <w:t>denotes a foreign official; in 9:6, 8, an Israelite leader; in 10:13, 20, 21; 12:1, heavenly beings. In 1 Chr 24:5; 2 Chr 36:14; Ezra 8:24, 29; 10:5, it denotes leaders among the priest</w:t>
      </w:r>
      <w:r w:rsidR="00A1423A" w:rsidRPr="0066103C">
        <w:t xml:space="preserve">hood. But </w:t>
      </w:r>
      <w:r w:rsidR="006E750A" w:rsidRPr="0066103C">
        <w:t xml:space="preserve"> </w:t>
      </w:r>
      <w:r w:rsidRPr="0066103C">
        <w:t xml:space="preserve">הצבא </w:t>
      </w:r>
      <w:r w:rsidR="006E750A" w:rsidRPr="0066103C">
        <w:rPr>
          <w:rFonts w:ascii="Arial" w:hAnsi="Arial" w:cs="Arial"/>
        </w:rPr>
        <w:t>שר</w:t>
      </w:r>
      <w:r w:rsidR="006E750A" w:rsidRPr="0066103C">
        <w:t xml:space="preserve"> </w:t>
      </w:r>
      <w:r w:rsidR="00A1423A" w:rsidRPr="0066103C">
        <w:t xml:space="preserve">is a </w:t>
      </w:r>
      <w:r w:rsidRPr="0066103C">
        <w:t xml:space="preserve">term for an army leader (e.g., </w:t>
      </w:r>
      <w:r w:rsidR="006E750A" w:rsidRPr="0066103C">
        <w:t xml:space="preserve">Gen 21:22; 1 Sam 12:9), and the </w:t>
      </w:r>
      <w:r w:rsidRPr="0066103C">
        <w:t xml:space="preserve">compound expression needs to be understood </w:t>
      </w:r>
      <w:r w:rsidR="006234C4" w:rsidRPr="0066103C">
        <w:t>in light</w:t>
      </w:r>
      <w:r w:rsidRPr="0066103C">
        <w:t xml:space="preserve"> of the refer</w:t>
      </w:r>
      <w:r w:rsidR="00687D24">
        <w:t>ence to “the army” in v 10. It refers to</w:t>
      </w:r>
      <w:r w:rsidRPr="0066103C">
        <w:t xml:space="preserve"> the leader of Israel or of Israel’s celestial equivalents (not, surely, the sun as commander of the heavenly host</w:t>
      </w:r>
      <w:r w:rsidR="006E750A" w:rsidRPr="0066103C">
        <w:t>)</w:t>
      </w:r>
      <w:r w:rsidRPr="0066103C">
        <w:t>.</w:t>
      </w:r>
      <w:r w:rsidR="006E750A" w:rsidRPr="0066103C">
        <w:rPr>
          <w:rStyle w:val="FootnoteReference"/>
        </w:rPr>
        <w:footnoteReference w:id="332"/>
      </w:r>
      <w:r w:rsidR="00687D24">
        <w:t xml:space="preserve"> </w:t>
      </w:r>
    </w:p>
    <w:p w:rsidR="00CC03AD" w:rsidRPr="0066103C" w:rsidRDefault="00687D24" w:rsidP="00CC03AD">
      <w:r>
        <w:t>W</w:t>
      </w:r>
      <w:r w:rsidR="00CC03AD" w:rsidRPr="0066103C">
        <w:t>ho is this leader?</w:t>
      </w:r>
      <w:r>
        <w:t xml:space="preserve"> </w:t>
      </w:r>
      <w:r w:rsidR="00CC03AD" w:rsidRPr="0066103C">
        <w:t xml:space="preserve">The high priest </w:t>
      </w:r>
      <w:r w:rsidR="00A1423A" w:rsidRPr="0066103C">
        <w:t>could be so identified</w:t>
      </w:r>
      <w:r w:rsidR="00CC03AD" w:rsidRPr="0066103C">
        <w:t xml:space="preserve">, and </w:t>
      </w:r>
      <w:r w:rsidR="00B661A9">
        <w:t xml:space="preserve">2 Macc 4 </w:t>
      </w:r>
      <w:r>
        <w:t>reports</w:t>
      </w:r>
      <w:r w:rsidR="00906E73">
        <w:t xml:space="preserve"> the murder of the high priest Onias III </w:t>
      </w:r>
      <w:r w:rsidR="006E750A" w:rsidRPr="0066103C">
        <w:t>in 171, but</w:t>
      </w:r>
      <w:r w:rsidR="00CC03AD" w:rsidRPr="0066103C">
        <w:t xml:space="preserve"> this </w:t>
      </w:r>
      <w:r>
        <w:t>event antedated the incidents related in</w:t>
      </w:r>
      <w:r w:rsidR="00CC03AD" w:rsidRPr="0066103C">
        <w:t xml:space="preserve"> v 10, and Antiochus is </w:t>
      </w:r>
      <w:r w:rsidR="006E750A" w:rsidRPr="0066103C">
        <w:t>not elsewhere blamed for the</w:t>
      </w:r>
      <w:r w:rsidR="00906E73">
        <w:t xml:space="preserve"> murder (</w:t>
      </w:r>
      <w:r w:rsidR="00CC03AD" w:rsidRPr="0066103C">
        <w:t>t</w:t>
      </w:r>
      <w:r w:rsidR="00A1423A" w:rsidRPr="0066103C">
        <w:t>hough see 11:22)</w:t>
      </w:r>
      <w:r>
        <w:t>. Indeed,</w:t>
      </w:r>
      <w:r w:rsidR="00906E73">
        <w:t xml:space="preserve"> the reliability of the 2 Maccabees account has been questioned.</w:t>
      </w:r>
      <w:r w:rsidR="00906E73">
        <w:rPr>
          <w:rStyle w:val="FootnoteReference"/>
        </w:rPr>
        <w:footnoteReference w:id="333"/>
      </w:r>
      <w:r w:rsidR="00A1423A" w:rsidRPr="0066103C">
        <w:t xml:space="preserve"> Perhaps</w:t>
      </w:r>
      <w:r w:rsidR="00CC03AD" w:rsidRPr="0066103C">
        <w:t xml:space="preserve"> the reference is more generally to Antiochus’s usurping the authority of the priesthood over the </w:t>
      </w:r>
      <w:r w:rsidR="006E750A" w:rsidRPr="0066103C">
        <w:t>temple’s religious life</w:t>
      </w:r>
      <w:r w:rsidR="00CC03AD" w:rsidRPr="0066103C">
        <w:t>. B</w:t>
      </w:r>
      <w:r w:rsidR="006E750A" w:rsidRPr="0066103C">
        <w:t>ut b</w:t>
      </w:r>
      <w:r w:rsidR="00CC03AD" w:rsidRPr="0066103C">
        <w:t xml:space="preserve">ehind such </w:t>
      </w:r>
      <w:r w:rsidR="006E750A" w:rsidRPr="0066103C">
        <w:t>an arrogation of power</w:t>
      </w:r>
      <w:r w:rsidR="00CC03AD" w:rsidRPr="0066103C">
        <w:t xml:space="preserve"> is an attack on heaven itself. In Josh 5:13–15 the leader of Yahweh’s army is a celestial being, and the leader of the army here might thus be Michael, though the description of his authority goes beyo</w:t>
      </w:r>
      <w:r w:rsidR="00D24013" w:rsidRPr="0066103C">
        <w:t>nd that of</w:t>
      </w:r>
      <w:r w:rsidR="00A1423A" w:rsidRPr="0066103C">
        <w:t xml:space="preserve"> Michael elsewhere:</w:t>
      </w:r>
      <w:r w:rsidR="00F75D4A" w:rsidRPr="0066103C">
        <w:rPr>
          <w:rStyle w:val="FootnoteReference"/>
        </w:rPr>
        <w:footnoteReference w:id="334"/>
      </w:r>
      <w:r w:rsidR="00D24013" w:rsidRPr="0066103C">
        <w:t xml:space="preserve"> Michael</w:t>
      </w:r>
      <w:r w:rsidR="00CC03AD" w:rsidRPr="0066103C">
        <w:t xml:space="preserve"> is only one of the prominent leaders (10:13), having a special relations</w:t>
      </w:r>
      <w:r>
        <w:t>hip with Israel parallel to the relationship</w:t>
      </w:r>
      <w:r w:rsidR="00CC03AD" w:rsidRPr="0066103C">
        <w:t xml:space="preserve"> of other leaders with Persia or Gree</w:t>
      </w:r>
      <w:r w:rsidR="00D24013" w:rsidRPr="0066103C">
        <w:t>ce (10:21; 12:1). More likely the leader</w:t>
      </w:r>
      <w:r w:rsidR="00CC03AD" w:rsidRPr="0066103C">
        <w:t xml:space="preserve"> is God himself, who is presumably the “leader supreme” ( שרים</w:t>
      </w:r>
      <w:r w:rsidR="00D24013" w:rsidRPr="0066103C">
        <w:t xml:space="preserve"> </w:t>
      </w:r>
      <w:r w:rsidR="00D24013" w:rsidRPr="0066103C">
        <w:rPr>
          <w:rFonts w:ascii="Arial" w:hAnsi="Arial" w:cs="Arial"/>
        </w:rPr>
        <w:t>שר</w:t>
      </w:r>
      <w:r w:rsidR="00D24013" w:rsidRPr="0066103C">
        <w:t>) in</w:t>
      </w:r>
      <w:r>
        <w:t xml:space="preserve"> v 25, frequently termed</w:t>
      </w:r>
      <w:r w:rsidR="00D24013" w:rsidRPr="0066103C">
        <w:t xml:space="preserve"> </w:t>
      </w:r>
      <w:r w:rsidR="00CC03AD" w:rsidRPr="0066103C">
        <w:t xml:space="preserve"> צבאות </w:t>
      </w:r>
      <w:r w:rsidR="00D24013" w:rsidRPr="0066103C">
        <w:rPr>
          <w:rFonts w:ascii="Arial" w:hAnsi="Arial" w:cs="Arial"/>
        </w:rPr>
        <w:t>יהוה</w:t>
      </w:r>
      <w:r w:rsidR="00D24013" w:rsidRPr="0066103C">
        <w:t xml:space="preserve"> </w:t>
      </w:r>
      <w:r w:rsidR="00CC03AD" w:rsidRPr="0066103C">
        <w:t xml:space="preserve">(“Yahweh of armies,” </w:t>
      </w:r>
      <w:r w:rsidR="004500F7" w:rsidRPr="0066103C">
        <w:t>EVV</w:t>
      </w:r>
      <w:r w:rsidR="00CC03AD" w:rsidRPr="0066103C">
        <w:t xml:space="preserve"> “the Lord of hosts”). </w:t>
      </w:r>
      <w:r w:rsidR="00A1423A" w:rsidRPr="0066103C">
        <w:t xml:space="preserve">While </w:t>
      </w:r>
      <w:r w:rsidR="00CC03AD" w:rsidRPr="0066103C">
        <w:t xml:space="preserve">a plausible view </w:t>
      </w:r>
      <w:r w:rsidR="00A1423A" w:rsidRPr="0066103C">
        <w:t>of the humanlike figure in 7:13 is that he is a personification of the holy ones, that understanding cannot apply to this army leader,</w:t>
      </w:r>
      <w:r w:rsidR="00CC03AD" w:rsidRPr="0066103C">
        <w:t xml:space="preserve"> since he is distinguished</w:t>
      </w:r>
      <w:r w:rsidR="00D24013" w:rsidRPr="0066103C">
        <w:t xml:space="preserve"> </w:t>
      </w:r>
      <w:r w:rsidR="00CC03AD" w:rsidRPr="0066103C">
        <w:t>from the rest of the army; nor does an attack on Israel thus constitute an attack on God, so</w:t>
      </w:r>
      <w:r w:rsidR="00D24013" w:rsidRPr="0066103C">
        <w:t xml:space="preserve"> that anti-Semitism is deicide</w:t>
      </w:r>
      <w:r w:rsidR="00CC03AD" w:rsidRPr="0066103C">
        <w:t>.</w:t>
      </w:r>
      <w:r w:rsidR="00D24013" w:rsidRPr="0066103C">
        <w:rPr>
          <w:rStyle w:val="FootnoteReference"/>
        </w:rPr>
        <w:footnoteReference w:id="335"/>
      </w:r>
      <w:r w:rsidR="00D24013" w:rsidRPr="0066103C">
        <w:t xml:space="preserve"> But a</w:t>
      </w:r>
      <w:r w:rsidR="00CC03AD" w:rsidRPr="0066103C">
        <w:t>n attack</w:t>
      </w:r>
      <w:r w:rsidR="00D24013" w:rsidRPr="0066103C">
        <w:t xml:space="preserve"> on the Jerusalem sanctuary does constitute</w:t>
      </w:r>
      <w:r w:rsidR="00CC03AD" w:rsidRPr="0066103C">
        <w:t xml:space="preserve"> an attack on God. Although Antiochus hardly made himself an object of worship, his self-designation as Epiphanes could be taken to imply something approaching such arrogance, and theologically his assuming authority over the affairs of the temple involved assuming an authority that belonged to God alone (cf. 11:36–37 and </w:t>
      </w:r>
      <w:r w:rsidR="00D24013" w:rsidRPr="0066103C">
        <w:t xml:space="preserve">the </w:t>
      </w:r>
      <w:r w:rsidR="00CC03AD" w:rsidRPr="0066103C">
        <w:rPr>
          <w:i/>
        </w:rPr>
        <w:t>Comment</w:t>
      </w:r>
      <w:r w:rsidR="00CC03AD" w:rsidRPr="0066103C">
        <w:t>).</w:t>
      </w:r>
    </w:p>
    <w:p w:rsidR="00D24013" w:rsidRPr="0066103C" w:rsidRDefault="00D24013" w:rsidP="00CC03AD">
      <w:r w:rsidRPr="0066103C">
        <w:t>“The daily offering” (</w:t>
      </w:r>
      <w:r w:rsidR="00CC03AD" w:rsidRPr="0066103C">
        <w:t>התמיד, lit. “the [offering of] continuity”; 8:11–13; 11:31</w:t>
      </w:r>
      <w:r w:rsidRPr="0066103C">
        <w:t>; 12:11) i</w:t>
      </w:r>
      <w:r w:rsidR="00965E85" w:rsidRPr="0066103C">
        <w:t xml:space="preserve">s a regular term </w:t>
      </w:r>
      <w:r w:rsidR="00CC03AD" w:rsidRPr="0066103C">
        <w:t>for the whole offering sacrificed every morning and evening (תמיד[ה]</w:t>
      </w:r>
      <w:r w:rsidRPr="0066103C">
        <w:t xml:space="preserve"> </w:t>
      </w:r>
      <w:r w:rsidR="00CC03AD" w:rsidRPr="0066103C">
        <w:t xml:space="preserve"> עלת): see Exod 29:38–42; Num 28–29; E</w:t>
      </w:r>
      <w:r w:rsidRPr="0066103C">
        <w:t>zek 46:1–15; Ezra 3:5; Neh 10:33 [34</w:t>
      </w:r>
      <w:r w:rsidR="00CC03AD" w:rsidRPr="0066103C">
        <w:t xml:space="preserve">]. Other passages </w:t>
      </w:r>
      <w:r w:rsidR="00965E85" w:rsidRPr="0066103C">
        <w:t xml:space="preserve">use the word in connection with </w:t>
      </w:r>
      <w:r w:rsidR="00CC03AD" w:rsidRPr="0066103C">
        <w:t>the daily grain offering (התמיד</w:t>
      </w:r>
      <w:r w:rsidRPr="0066103C">
        <w:t xml:space="preserve"> </w:t>
      </w:r>
      <w:r w:rsidRPr="0066103C">
        <w:rPr>
          <w:rFonts w:ascii="Arial" w:hAnsi="Arial" w:cs="Arial"/>
        </w:rPr>
        <w:t>מנחת</w:t>
      </w:r>
      <w:r w:rsidRPr="0066103C">
        <w:t>, Num 4:16; Neh 10:33 [34]; cf. Lev 6:20 [13</w:t>
      </w:r>
      <w:r w:rsidR="00CC03AD" w:rsidRPr="0066103C">
        <w:t xml:space="preserve">]), the daily incense offering </w:t>
      </w:r>
    </w:p>
    <w:p w:rsidR="00CC03AD" w:rsidRPr="0066103C" w:rsidRDefault="00CC03AD" w:rsidP="00965E85">
      <w:pPr>
        <w:ind w:firstLine="0"/>
      </w:pPr>
      <w:r w:rsidRPr="0066103C">
        <w:t>(תמיד</w:t>
      </w:r>
      <w:r w:rsidR="00D24013" w:rsidRPr="0066103C">
        <w:t xml:space="preserve"> </w:t>
      </w:r>
      <w:r w:rsidR="00D24013" w:rsidRPr="0066103C">
        <w:rPr>
          <w:rFonts w:ascii="Arial" w:hAnsi="Arial" w:cs="Arial"/>
        </w:rPr>
        <w:t>קטרת</w:t>
      </w:r>
      <w:r w:rsidRPr="0066103C">
        <w:t>, Exod 30:8), and the daily (Presence) bread (</w:t>
      </w:r>
      <w:r w:rsidR="00D24013" w:rsidRPr="0066103C">
        <w:t xml:space="preserve"> </w:t>
      </w:r>
      <w:r w:rsidRPr="0066103C">
        <w:t>התמיד</w:t>
      </w:r>
      <w:r w:rsidR="00D24013" w:rsidRPr="0066103C">
        <w:t xml:space="preserve"> </w:t>
      </w:r>
      <w:r w:rsidR="00D24013" w:rsidRPr="0066103C">
        <w:rPr>
          <w:rFonts w:ascii="Arial" w:hAnsi="Arial" w:cs="Arial"/>
        </w:rPr>
        <w:t>לחם</w:t>
      </w:r>
      <w:r w:rsidR="00D24013" w:rsidRPr="0066103C">
        <w:t>, Num 4:7; cf. 2 Chr 2:4 [3</w:t>
      </w:r>
      <w:r w:rsidRPr="0066103C">
        <w:t xml:space="preserve">]). 1 Macc 1:45 records the suspension of whole offerings, sacrifice, and libation. While התמיד </w:t>
      </w:r>
      <w:r w:rsidR="00965E85" w:rsidRPr="0066103C">
        <w:t>on its alone does refer</w:t>
      </w:r>
      <w:r w:rsidRPr="0066103C">
        <w:t xml:space="preserve"> primarily to the morning and evening whole offeri</w:t>
      </w:r>
      <w:r w:rsidR="00D24013" w:rsidRPr="0066103C">
        <w:t xml:space="preserve">ng (cf. v 14), it can thus </w:t>
      </w:r>
      <w:r w:rsidRPr="0066103C">
        <w:t xml:space="preserve">hint </w:t>
      </w:r>
      <w:r w:rsidR="00965E85" w:rsidRPr="0066103C">
        <w:t>at a wider range of observances, and</w:t>
      </w:r>
      <w:r w:rsidRPr="0066103C">
        <w:t xml:space="preserve"> it may here suggest the religious practices of the temple in general, which were suspended by Antiochu</w:t>
      </w:r>
      <w:r w:rsidR="00965E85" w:rsidRPr="0066103C">
        <w:t xml:space="preserve">s. The temple was not </w:t>
      </w:r>
      <w:r w:rsidRPr="0066103C">
        <w:t>ove</w:t>
      </w:r>
      <w:r w:rsidR="00965E85" w:rsidRPr="0066103C">
        <w:t>rthrown or destroyed in 167 in the way</w:t>
      </w:r>
      <w:r w:rsidR="00D24013" w:rsidRPr="0066103C">
        <w:t xml:space="preserve"> it was in 587 </w:t>
      </w:r>
      <w:r w:rsidR="00687D24">
        <w:t xml:space="preserve">BC </w:t>
      </w:r>
      <w:r w:rsidR="00D24013" w:rsidRPr="0066103C">
        <w:t>and in AD</w:t>
      </w:r>
      <w:r w:rsidR="00965E85" w:rsidRPr="0066103C">
        <w:t xml:space="preserve"> 70, but</w:t>
      </w:r>
      <w:r w:rsidRPr="0066103C">
        <w:t xml:space="preserve"> it was robbed of its valuables, emptied of its worshipers, and defiled by th</w:t>
      </w:r>
      <w:r w:rsidR="00965E85" w:rsidRPr="0066103C">
        <w:t>e accoutrements of an alien religion</w:t>
      </w:r>
      <w:r w:rsidRPr="0066103C">
        <w:t xml:space="preserve"> (1 Macc 1:20–24, 39–40; 3:45; cf. 4:43–48). Its overthrowing consists in its being prevented from functioning as a place of </w:t>
      </w:r>
      <w:r w:rsidR="00D24013" w:rsidRPr="0066103C">
        <w:t xml:space="preserve">proper </w:t>
      </w:r>
      <w:r w:rsidRPr="0066103C">
        <w:t>worship of the true God.</w:t>
      </w:r>
    </w:p>
    <w:p w:rsidR="00CC03AD" w:rsidRPr="0066103C" w:rsidRDefault="00CC03AD" w:rsidP="00CC03AD">
      <w:r w:rsidRPr="00687D24">
        <w:rPr>
          <w:b/>
        </w:rPr>
        <w:t>12</w:t>
      </w:r>
      <w:r w:rsidRPr="0066103C">
        <w:t xml:space="preserve"> Antiochus and his army now be</w:t>
      </w:r>
      <w:r w:rsidR="00D24013" w:rsidRPr="0066103C">
        <w:t>come more transparent</w:t>
      </w:r>
      <w:r w:rsidRPr="0066103C">
        <w:t xml:space="preserve"> (</w:t>
      </w:r>
      <w:r w:rsidR="00D24013" w:rsidRPr="0066103C">
        <w:t xml:space="preserve">in MT: </w:t>
      </w:r>
      <w:r w:rsidRPr="0066103C">
        <w:t>but see n. 12.a-a</w:t>
      </w:r>
      <w:r w:rsidR="005970A1" w:rsidRPr="0066103C">
        <w:t xml:space="preserve">); cf. </w:t>
      </w:r>
      <w:r w:rsidR="000C1456" w:rsidRPr="0066103C">
        <w:t>v</w:t>
      </w:r>
      <w:r w:rsidR="005970A1" w:rsidRPr="0066103C">
        <w:t xml:space="preserve"> 21 in chap. 7. The seer </w:t>
      </w:r>
      <w:r w:rsidRPr="0066103C">
        <w:t>abandons the visionary way of speaking proper to one</w:t>
      </w:r>
      <w:r w:rsidR="00687D24">
        <w:t xml:space="preserve"> who has been watching an event</w:t>
      </w:r>
      <w:r w:rsidRPr="0066103C">
        <w:t xml:space="preserve"> which he thus describes in the past, and adopts the future tense proper to an </w:t>
      </w:r>
      <w:r w:rsidR="00045B09" w:rsidRPr="0066103C">
        <w:t>interpretive</w:t>
      </w:r>
      <w:r w:rsidR="005970A1" w:rsidRPr="0066103C">
        <w:t xml:space="preserve"> vision. Concerning</w:t>
      </w:r>
      <w:r w:rsidRPr="0066103C">
        <w:t xml:space="preserve"> the army set over the sacrificial system of the temple, see 11:31 </w:t>
      </w:r>
      <w:r w:rsidRPr="0066103C">
        <w:rPr>
          <w:i/>
        </w:rPr>
        <w:t>Comment</w:t>
      </w:r>
      <w:r w:rsidRPr="0066103C">
        <w:t>. If the army of vv 10–11 is an earthly people as well as its heavenly equivalent, however, the same may be true of this hostile army: cf. Isa 24:21 and the allusions to the individual celestial leaders of Persia and Greece in Dan 10:13, 20.</w:t>
      </w:r>
    </w:p>
    <w:p w:rsidR="00CC03AD" w:rsidRPr="0066103C" w:rsidRDefault="00CC03AD" w:rsidP="00CC03AD">
      <w:r w:rsidRPr="0066103C">
        <w:lastRenderedPageBreak/>
        <w:t>In isolation, the rebellion (פשע</w:t>
      </w:r>
      <w:r w:rsidR="005970A1" w:rsidRPr="0066103C">
        <w:t>)</w:t>
      </w:r>
      <w:r w:rsidRPr="0066103C">
        <w:t xml:space="preserve"> could be that of the compromised priesthood or </w:t>
      </w:r>
      <w:r w:rsidR="005970A1" w:rsidRPr="0066103C">
        <w:t xml:space="preserve">of </w:t>
      </w:r>
      <w:r w:rsidRPr="0066103C">
        <w:t>people generally</w:t>
      </w:r>
      <w:r w:rsidR="0041585D">
        <w:t xml:space="preserve"> who were involved in</w:t>
      </w:r>
      <w:r w:rsidR="006A7EBB" w:rsidRPr="0066103C">
        <w:t xml:space="preserve"> reforms affected by Hellenism</w:t>
      </w:r>
      <w:r w:rsidRPr="0066103C">
        <w:t xml:space="preserve">, </w:t>
      </w:r>
      <w:r w:rsidR="0041585D">
        <w:t xml:space="preserve">which are </w:t>
      </w:r>
      <w:r w:rsidRPr="0066103C">
        <w:t>seen as bringing about Yahweh’s punishment</w:t>
      </w:r>
      <w:r w:rsidR="00F95949" w:rsidRPr="0066103C">
        <w:t xml:space="preserve"> and thus the wrath of which </w:t>
      </w:r>
      <w:r w:rsidR="000D1837">
        <w:t>v</w:t>
      </w:r>
      <w:r w:rsidR="00F95949" w:rsidRPr="0066103C">
        <w:t xml:space="preserve"> 19 speaks</w:t>
      </w:r>
      <w:r w:rsidR="006A7EBB" w:rsidRPr="0066103C">
        <w:t>. But</w:t>
      </w:r>
      <w:r w:rsidR="0041585D">
        <w:t xml:space="preserve"> the Jewish community as a whole</w:t>
      </w:r>
      <w:r w:rsidR="006A7EBB" w:rsidRPr="0066103C">
        <w:t xml:space="preserve"> has</w:t>
      </w:r>
      <w:r w:rsidRPr="0066103C">
        <w:t xml:space="preserve"> been portrayed as sinned against rather tha</w:t>
      </w:r>
      <w:r w:rsidR="006A7EBB" w:rsidRPr="0066103C">
        <w:t>n sinning.</w:t>
      </w:r>
      <w:r w:rsidR="00F95949" w:rsidRPr="0066103C">
        <w:rPr>
          <w:rStyle w:val="FootnoteReference"/>
        </w:rPr>
        <w:footnoteReference w:id="336"/>
      </w:r>
      <w:r w:rsidR="006A7EBB" w:rsidRPr="0066103C">
        <w:t xml:space="preserve"> </w:t>
      </w:r>
      <w:r w:rsidRPr="0066103C">
        <w:t>Daniel seems positive i</w:t>
      </w:r>
      <w:r w:rsidR="005970A1" w:rsidRPr="0066103C">
        <w:t>n his attitude to the</w:t>
      </w:r>
      <w:r w:rsidRPr="0066103C">
        <w:t xml:space="preserve"> temple in principle</w:t>
      </w:r>
      <w:r w:rsidR="006A7EBB" w:rsidRPr="0066103C">
        <w:t>, too</w:t>
      </w:r>
      <w:r w:rsidRPr="0066103C">
        <w:t xml:space="preserve"> (contrast </w:t>
      </w:r>
      <w:r w:rsidRPr="0066103C">
        <w:rPr>
          <w:i/>
        </w:rPr>
        <w:t>1 Enoch</w:t>
      </w:r>
      <w:r w:rsidR="006A7EBB" w:rsidRPr="0066103C">
        <w:t xml:space="preserve"> 89.73); he</w:t>
      </w:r>
      <w:r w:rsidRPr="0066103C">
        <w:t xml:space="preserve"> envisages the vindication o</w:t>
      </w:r>
      <w:r w:rsidR="005970A1" w:rsidRPr="0066103C">
        <w:t>f the temple, not a new temple</w:t>
      </w:r>
      <w:r w:rsidRPr="0066103C">
        <w:t>.</w:t>
      </w:r>
      <w:r w:rsidR="005970A1" w:rsidRPr="0066103C">
        <w:rPr>
          <w:rStyle w:val="FootnoteReference"/>
        </w:rPr>
        <w:footnoteReference w:id="337"/>
      </w:r>
      <w:r w:rsidR="006A7EBB" w:rsidRPr="0066103C">
        <w:t xml:space="preserve"> I</w:t>
      </w:r>
      <w:r w:rsidRPr="0066103C">
        <w:t xml:space="preserve">n v 13 “rebellion” </w:t>
      </w:r>
      <w:r w:rsidR="005970A1" w:rsidRPr="0066103C">
        <w:t xml:space="preserve">will </w:t>
      </w:r>
      <w:r w:rsidRPr="0066103C">
        <w:t>refer</w:t>
      </w:r>
      <w:r w:rsidR="006A7EBB" w:rsidRPr="0066103C">
        <w:t xml:space="preserve"> to Antiochus’s sacrilege</w:t>
      </w:r>
      <w:r w:rsidR="00F67B4F" w:rsidRPr="0066103C">
        <w:t xml:space="preserve"> and </w:t>
      </w:r>
      <w:r w:rsidR="0041585D" w:rsidRPr="0041585D">
        <w:t>in v 23</w:t>
      </w:r>
      <w:r w:rsidR="0041585D">
        <w:t xml:space="preserve"> </w:t>
      </w:r>
      <w:r w:rsidR="00F67B4F" w:rsidRPr="0066103C">
        <w:t>his people will be termed “rebels</w:t>
      </w:r>
      <w:r w:rsidR="006A7EBB" w:rsidRPr="0066103C">
        <w:t>,</w:t>
      </w:r>
      <w:r w:rsidR="0041585D">
        <w:t>” so that</w:t>
      </w:r>
      <w:r w:rsidR="00F67B4F" w:rsidRPr="0066103C">
        <w:t xml:space="preserve"> “rebellion</w:t>
      </w:r>
      <w:r w:rsidR="0041585D">
        <w:t>”</w:t>
      </w:r>
      <w:r w:rsidR="005970A1" w:rsidRPr="0066103C">
        <w:t xml:space="preserve"> is likely</w:t>
      </w:r>
      <w:r w:rsidRPr="0066103C">
        <w:t xml:space="preserve"> the reference</w:t>
      </w:r>
      <w:r w:rsidR="005970A1" w:rsidRPr="0066103C">
        <w:t xml:space="preserve"> here, too</w:t>
      </w:r>
      <w:r w:rsidRPr="0066103C">
        <w:t>. The truth (אמת) that is t</w:t>
      </w:r>
      <w:r w:rsidR="00127F22" w:rsidRPr="0066103C">
        <w:t>hrown to the ground might</w:t>
      </w:r>
      <w:r w:rsidRPr="0066103C">
        <w:t xml:space="preserve"> denote concretely the Torah, whose authority over the religious life of Judaism is abrogated by Antiochus’s acts; Torah scrolls were destroyed by his forces (1 Macc 1:56). </w:t>
      </w:r>
      <w:r w:rsidR="00127F22" w:rsidRPr="0066103C">
        <w:t xml:space="preserve">But “truth” is a more general word and </w:t>
      </w:r>
      <w:r w:rsidR="0041585D">
        <w:t xml:space="preserve">it </w:t>
      </w:r>
      <w:r w:rsidR="00127F22" w:rsidRPr="0066103C">
        <w:t>points more generally to the way things are supposed to be.</w:t>
      </w:r>
      <w:r w:rsidR="00127F22" w:rsidRPr="0066103C">
        <w:rPr>
          <w:rStyle w:val="FootnoteReference"/>
        </w:rPr>
        <w:footnoteReference w:id="338"/>
      </w:r>
      <w:r w:rsidR="00127F22" w:rsidRPr="0066103C">
        <w:t xml:space="preserve"> “Truth” is the opposite of “deceit” (</w:t>
      </w:r>
      <w:r w:rsidR="000D1837">
        <w:t>v</w:t>
      </w:r>
      <w:r w:rsidR="00127F22" w:rsidRPr="0066103C">
        <w:t xml:space="preserve"> 25).</w:t>
      </w:r>
      <w:r w:rsidR="006A7EBB" w:rsidRPr="0066103C">
        <w:t xml:space="preserve"> According to 2 Macc 6, the result of Antiochus’s actions was that people could not keep the Sabbath </w:t>
      </w:r>
      <w:r w:rsidR="0041585D">
        <w:t>or observe the feasts, and these</w:t>
      </w:r>
      <w:r w:rsidR="006A7EBB" w:rsidRPr="0066103C">
        <w:t xml:space="preserve"> commitment</w:t>
      </w:r>
      <w:r w:rsidR="0041585D">
        <w:t>s</w:t>
      </w:r>
      <w:r w:rsidR="006A7EBB" w:rsidRPr="0066103C">
        <w:t xml:space="preserve"> were replaced by horrifying alternatives.</w:t>
      </w:r>
    </w:p>
    <w:p w:rsidR="00CC03AD" w:rsidRPr="0066103C" w:rsidRDefault="00CC03AD" w:rsidP="00CC03AD">
      <w:r w:rsidRPr="00925C35">
        <w:rPr>
          <w:b/>
        </w:rPr>
        <w:t>13–14</w:t>
      </w:r>
      <w:r w:rsidRPr="0066103C">
        <w:t xml:space="preserve"> Presumably the holy ones are discussing the </w:t>
      </w:r>
      <w:r w:rsidR="005970A1" w:rsidRPr="0066103C">
        <w:t xml:space="preserve">vision’s meaning, and the seer </w:t>
      </w:r>
      <w:r w:rsidRPr="0066103C">
        <w:t>catches th</w:t>
      </w:r>
      <w:r w:rsidR="005970A1" w:rsidRPr="0066103C">
        <w:t>e end of their conversation; compare</w:t>
      </w:r>
      <w:r w:rsidRPr="0066103C">
        <w:t xml:space="preserve"> the allusive nature of the vision/audi</w:t>
      </w:r>
      <w:r w:rsidR="00AA0821">
        <w:t>tory event</w:t>
      </w:r>
      <w:r w:rsidR="005970A1" w:rsidRPr="0066103C">
        <w:t xml:space="preserve"> in Zech 1:7–17 (</w:t>
      </w:r>
      <w:r w:rsidR="006A7EBB" w:rsidRPr="0066103C">
        <w:t>which underlies this chapter). If the holy ones ar</w:t>
      </w:r>
      <w:r w:rsidR="005970A1" w:rsidRPr="0066103C">
        <w:t xml:space="preserve">e </w:t>
      </w:r>
      <w:r w:rsidRPr="0066103C">
        <w:t>members of the heavenly/earthly army who are themselves discomfited</w:t>
      </w:r>
      <w:r w:rsidR="005970A1" w:rsidRPr="0066103C">
        <w:t xml:space="preserve"> by Antiochus’s actions,</w:t>
      </w:r>
      <w:r w:rsidRPr="0066103C">
        <w:t xml:space="preserve"> their “how long” (cf. 12:6) </w:t>
      </w:r>
      <w:r w:rsidR="005970A1" w:rsidRPr="0066103C">
        <w:t xml:space="preserve">may </w:t>
      </w:r>
      <w:r w:rsidR="006A7EBB" w:rsidRPr="0066103C">
        <w:t xml:space="preserve">nevertheless </w:t>
      </w:r>
      <w:r w:rsidR="005970A1" w:rsidRPr="0066103C">
        <w:t>stem</w:t>
      </w:r>
      <w:r w:rsidRPr="0066103C">
        <w:t xml:space="preserve"> simply from their concern for aff</w:t>
      </w:r>
      <w:r w:rsidR="005970A1" w:rsidRPr="0066103C">
        <w:t>licted Jews, as in Zech 1:7–17</w:t>
      </w:r>
      <w:r w:rsidRPr="0066103C">
        <w:t>. The “how long” co</w:t>
      </w:r>
      <w:r w:rsidR="0041585D">
        <w:t>nnects with this</w:t>
      </w:r>
      <w:r w:rsidRPr="0066103C">
        <w:t xml:space="preserve"> vi</w:t>
      </w:r>
      <w:r w:rsidR="00F00DF4" w:rsidRPr="0066103C">
        <w:t>sion, but behind the vision it connects</w:t>
      </w:r>
      <w:r w:rsidR="0041585D">
        <w:t xml:space="preserve"> with that </w:t>
      </w:r>
      <w:r w:rsidR="00F00DF4" w:rsidRPr="0066103C">
        <w:t>question—rather, plea—</w:t>
      </w:r>
      <w:r w:rsidR="00FA1FEC" w:rsidRPr="0066103C">
        <w:t>as it is expressed in protest</w:t>
      </w:r>
      <w:r w:rsidRPr="0066103C">
        <w:t xml:space="preserve"> psalms, not least concerning the devastation of the land and the defiling of the s</w:t>
      </w:r>
      <w:r w:rsidR="00F00DF4" w:rsidRPr="0066103C">
        <w:t>anctuary (Ps 74:9–10; 79:5; 80:4 [5]; 89:46 [47]; cf. 6:3 [4]; 13:1 [2</w:t>
      </w:r>
      <w:r w:rsidRPr="0066103C">
        <w:t>]; 90:13; 94:3; also Isa 6:11; Jer 12:4; 2 Esd 6:59). The cry of the holy ones takes up the cry of aff</w:t>
      </w:r>
      <w:r w:rsidR="00F00DF4" w:rsidRPr="0066103C">
        <w:t>licted Israel. A number of the</w:t>
      </w:r>
      <w:r w:rsidRPr="0066103C">
        <w:t xml:space="preserve"> passages </w:t>
      </w:r>
      <w:r w:rsidR="00F00DF4" w:rsidRPr="0066103C">
        <w:t>express</w:t>
      </w:r>
      <w:r w:rsidR="00FA1FEC" w:rsidRPr="0066103C">
        <w:t>ing</w:t>
      </w:r>
      <w:r w:rsidR="00F00DF4" w:rsidRPr="0066103C">
        <w:t xml:space="preserve"> this cry </w:t>
      </w:r>
      <w:r w:rsidRPr="0066103C">
        <w:t xml:space="preserve">presuppose </w:t>
      </w:r>
      <w:r w:rsidR="00365F8C">
        <w:t>or permit a context in the Babylonian period</w:t>
      </w:r>
      <w:r w:rsidRPr="0066103C">
        <w:t>, of which subsequent afflictions such as those of the Antiochene period are seen as a continu</w:t>
      </w:r>
      <w:r w:rsidR="00365F8C">
        <w:t>ance (cf. chap. 9 and the sixth-century</w:t>
      </w:r>
      <w:r w:rsidRPr="0066103C">
        <w:t xml:space="preserve"> setting of Daniel generally); and the res</w:t>
      </w:r>
      <w:r w:rsidR="00F00DF4" w:rsidRPr="0066103C">
        <w:t xml:space="preserve">ponse they look for—at least in the way </w:t>
      </w:r>
      <w:r w:rsidRPr="0066103C">
        <w:t>such psalms would be understo</w:t>
      </w:r>
      <w:r w:rsidR="00FA1FEC" w:rsidRPr="0066103C">
        <w:t>od in the late OT period—is God’s</w:t>
      </w:r>
      <w:r w:rsidRPr="0066103C">
        <w:t xml:space="preserve"> final turning to his people and restoring </w:t>
      </w:r>
      <w:r w:rsidR="00FA1FEC" w:rsidRPr="0066103C">
        <w:t>of them which Dan 8 associates with</w:t>
      </w:r>
      <w:r w:rsidRPr="0066103C">
        <w:t xml:space="preserve"> “the time of the end” (v 17).</w:t>
      </w:r>
      <w:r w:rsidR="00F00DF4" w:rsidRPr="0066103C">
        <w:rPr>
          <w:rStyle w:val="FootnoteReference"/>
        </w:rPr>
        <w:footnoteReference w:id="339"/>
      </w:r>
    </w:p>
    <w:p w:rsidR="00CC03AD" w:rsidRPr="0066103C" w:rsidRDefault="00CC03AD" w:rsidP="00CC03AD">
      <w:r w:rsidRPr="0066103C">
        <w:t>“Desolating rebellion” ( שמם</w:t>
      </w:r>
      <w:r w:rsidR="00F00DF4" w:rsidRPr="0066103C">
        <w:t xml:space="preserve"> </w:t>
      </w:r>
      <w:r w:rsidR="00F00DF4" w:rsidRPr="0066103C">
        <w:rPr>
          <w:rFonts w:ascii="Arial" w:hAnsi="Arial" w:cs="Arial"/>
        </w:rPr>
        <w:t>הפשע</w:t>
      </w:r>
      <w:r w:rsidR="00F00DF4" w:rsidRPr="0066103C">
        <w:t xml:space="preserve"> </w:t>
      </w:r>
      <w:r w:rsidRPr="0066103C">
        <w:t>), like “desolating abomination” (</w:t>
      </w:r>
      <w:r w:rsidR="003E28EE" w:rsidRPr="003E28EE">
        <w:rPr>
          <w:rFonts w:ascii="Arial" w:hAnsi="Arial" w:cs="Arial"/>
        </w:rPr>
        <w:t>שמם</w:t>
      </w:r>
      <w:r w:rsidR="003E28EE" w:rsidRPr="003E28EE">
        <w:t>[</w:t>
      </w:r>
      <w:r w:rsidR="003E28EE" w:rsidRPr="003E28EE">
        <w:rPr>
          <w:rFonts w:ascii="Arial" w:hAnsi="Arial" w:cs="Arial"/>
        </w:rPr>
        <w:t>מ</w:t>
      </w:r>
      <w:r w:rsidR="003E28EE" w:rsidRPr="003E28EE">
        <w:t>‍</w:t>
      </w:r>
      <w:r w:rsidR="003E28EE">
        <w:t xml:space="preserve">] </w:t>
      </w:r>
      <w:r w:rsidRPr="0066103C">
        <w:t>[ים]שקוץ[ה], 9:27; 11:31; 12:11), apparently parodies the name of the god</w:t>
      </w:r>
      <w:r w:rsidR="00F00DF4" w:rsidRPr="0066103C">
        <w:t xml:space="preserve"> </w:t>
      </w:r>
      <w:r w:rsidRPr="0066103C">
        <w:t xml:space="preserve"> שמים </w:t>
      </w:r>
      <w:r w:rsidR="00F00DF4" w:rsidRPr="0066103C">
        <w:rPr>
          <w:rFonts w:ascii="Arial" w:hAnsi="Arial" w:cs="Arial"/>
        </w:rPr>
        <w:t>בעל</w:t>
      </w:r>
      <w:r w:rsidR="00F00DF4" w:rsidRPr="0066103C">
        <w:t xml:space="preserve"> </w:t>
      </w:r>
      <w:r w:rsidR="001446E1" w:rsidRPr="0066103C">
        <w:t>(Ba‘</w:t>
      </w:r>
      <w:r w:rsidRPr="0066103C">
        <w:t xml:space="preserve">al Šamem, “Lord of </w:t>
      </w:r>
      <w:r w:rsidR="00F00DF4" w:rsidRPr="0066103C">
        <w:t xml:space="preserve">the </w:t>
      </w:r>
      <w:r w:rsidRPr="0066103C">
        <w:t>heaven</w:t>
      </w:r>
      <w:r w:rsidR="00F00DF4" w:rsidRPr="0066103C">
        <w:t>s</w:t>
      </w:r>
      <w:r w:rsidRPr="0066103C">
        <w:t>”).</w:t>
      </w:r>
      <w:r w:rsidR="00F00DF4" w:rsidRPr="0066103C">
        <w:rPr>
          <w:rStyle w:val="FootnoteReference"/>
        </w:rPr>
        <w:footnoteReference w:id="340"/>
      </w:r>
      <w:r w:rsidRPr="0066103C">
        <w:t xml:space="preserve"> </w:t>
      </w:r>
      <w:r w:rsidR="0057686A">
        <w:t xml:space="preserve">While </w:t>
      </w:r>
      <w:r w:rsidR="00BC527B" w:rsidRPr="0066103C">
        <w:t xml:space="preserve">“Lord of the heavens” was a foreign epithet for the highest God, </w:t>
      </w:r>
      <w:r w:rsidR="0057686A">
        <w:t xml:space="preserve">in an earlier period </w:t>
      </w:r>
      <w:r w:rsidR="00BC527B" w:rsidRPr="0066103C">
        <w:t xml:space="preserve">it was one that Jews could utilize as appropriate for the true God (see 2:18 </w:t>
      </w:r>
      <w:r w:rsidR="00BC527B" w:rsidRPr="0066103C">
        <w:rPr>
          <w:i/>
        </w:rPr>
        <w:t>Comment</w:t>
      </w:r>
      <w:r w:rsidR="00BC527B" w:rsidRPr="0066103C">
        <w:t xml:space="preserve">), but it is now a title that the Seleucids especially use. Its Greek equivalent is Ζεὺς ’Ολύμπιος (Olympian Zeus): see, e.g., Josephus’s quotation from the Phoenician historian Dius in </w:t>
      </w:r>
      <w:r w:rsidR="00BC527B" w:rsidRPr="0066103C">
        <w:rPr>
          <w:i/>
        </w:rPr>
        <w:t>Against Apion</w:t>
      </w:r>
      <w:r w:rsidR="00BC527B" w:rsidRPr="0066103C">
        <w:t xml:space="preserve"> 1.17 [113]. It is the title by which 2 Macc 6:2 designates the god to whom Antiochus dedicated the Jerusalem temple. In the cre</w:t>
      </w:r>
      <w:r w:rsidR="0057686A">
        <w:t>ative Jewish distortion of the n</w:t>
      </w:r>
      <w:r w:rsidR="00BC527B" w:rsidRPr="0066103C">
        <w:t>ame, “r</w:t>
      </w:r>
      <w:r w:rsidRPr="0066103C">
        <w:t>ebellion” or “abomination” replaces “Ba</w:t>
      </w:r>
      <w:r w:rsidR="001446E1" w:rsidRPr="0066103C">
        <w:t>‘</w:t>
      </w:r>
      <w:r w:rsidRPr="0066103C">
        <w:t xml:space="preserve">al,” indicating a theological evaluation of the religious innovations </w:t>
      </w:r>
      <w:r w:rsidR="00FA1FEC" w:rsidRPr="0066103C">
        <w:t xml:space="preserve">of the time </w:t>
      </w:r>
      <w:r w:rsidRPr="0066103C">
        <w:t>(cf. v 12). “Desolating” replaces “heaven</w:t>
      </w:r>
      <w:r w:rsidR="001446E1" w:rsidRPr="0066103C">
        <w:t>s</w:t>
      </w:r>
      <w:r w:rsidRPr="0066103C">
        <w:t>,” using similar letters, and indicating the ef</w:t>
      </w:r>
      <w:r w:rsidR="00BC527B" w:rsidRPr="0066103C">
        <w:t xml:space="preserve">fect these innovations have </w:t>
      </w:r>
      <w:r w:rsidRPr="0066103C">
        <w:t xml:space="preserve">on Jerusalem and its sanctuary (cf. vv 24–25; 9:26; 1 Macc 1:39; 3:45; 4:38). The </w:t>
      </w:r>
      <w:r w:rsidR="00FA1FEC" w:rsidRPr="0066103C">
        <w:t xml:space="preserve">compound </w:t>
      </w:r>
      <w:r w:rsidRPr="0066103C">
        <w:t>p</w:t>
      </w:r>
      <w:r w:rsidR="001446E1" w:rsidRPr="0066103C">
        <w:t xml:space="preserve">hrase </w:t>
      </w:r>
      <w:r w:rsidR="00BC527B" w:rsidRPr="0066103C">
        <w:t xml:space="preserve">does not yet have a fixed form and </w:t>
      </w:r>
      <w:r w:rsidR="001446E1" w:rsidRPr="0066103C">
        <w:t xml:space="preserve">is apparently a </w:t>
      </w:r>
      <w:r w:rsidRPr="0066103C">
        <w:t>term of recent creatio</w:t>
      </w:r>
      <w:r w:rsidR="00BC527B" w:rsidRPr="0066103C">
        <w:t>n</w:t>
      </w:r>
      <w:r w:rsidRPr="0066103C">
        <w:t>.</w:t>
      </w:r>
      <w:r w:rsidR="001446E1" w:rsidRPr="0066103C">
        <w:rPr>
          <w:rStyle w:val="FootnoteReference"/>
        </w:rPr>
        <w:footnoteReference w:id="341"/>
      </w:r>
      <w:r w:rsidRPr="0066103C">
        <w:t xml:space="preserve"> According to 1 Macc 1:54, the </w:t>
      </w:r>
      <w:r w:rsidR="001446E1" w:rsidRPr="0066103C">
        <w:t>“</w:t>
      </w:r>
      <w:r w:rsidRPr="0066103C">
        <w:t>abomination</w:t>
      </w:r>
      <w:r w:rsidR="001446E1" w:rsidRPr="0066103C">
        <w:t>”</w:t>
      </w:r>
      <w:r w:rsidRPr="0066103C">
        <w:t xml:space="preserve"> was </w:t>
      </w:r>
      <w:r w:rsidRPr="0066103C">
        <w:lastRenderedPageBreak/>
        <w:t xml:space="preserve">erected on </w:t>
      </w:r>
      <w:r w:rsidR="00D87643" w:rsidRPr="0066103C">
        <w:t xml:space="preserve">the </w:t>
      </w:r>
      <w:r w:rsidR="00BC527B" w:rsidRPr="0066103C">
        <w:t>sacrificial altar</w:t>
      </w:r>
      <w:r w:rsidR="00D87643" w:rsidRPr="0066103C">
        <w:t>, and</w:t>
      </w:r>
      <w:r w:rsidR="004B0E20" w:rsidRPr="0066103C">
        <w:t xml:space="preserve"> </w:t>
      </w:r>
      <w:r w:rsidR="00D87643" w:rsidRPr="0066103C">
        <w:t>Porphyry says it involved</w:t>
      </w:r>
      <w:r w:rsidRPr="0066103C">
        <w:t xml:space="preserve"> image</w:t>
      </w:r>
      <w:r w:rsidR="00D87643" w:rsidRPr="0066103C">
        <w:t>s</w:t>
      </w:r>
      <w:r w:rsidRPr="0066103C">
        <w:t xml:space="preserve"> of Zeus and of Antiochus</w:t>
      </w:r>
      <w:r w:rsidR="00D87643" w:rsidRPr="0066103C">
        <w:t xml:space="preserve"> himself</w:t>
      </w:r>
      <w:r w:rsidRPr="0066103C">
        <w:t>.</w:t>
      </w:r>
      <w:r w:rsidR="00D87643" w:rsidRPr="0066103C">
        <w:rPr>
          <w:vertAlign w:val="superscript"/>
        </w:rPr>
        <w:footnoteReference w:id="342"/>
      </w:r>
      <w:r w:rsidRPr="0066103C">
        <w:t xml:space="preserve"> </w:t>
      </w:r>
      <w:r w:rsidR="00D87643" w:rsidRPr="0066103C">
        <w:t>But 1 Macc 1:59</w:t>
      </w:r>
      <w:r w:rsidR="0057686A">
        <w:t xml:space="preserve"> </w:t>
      </w:r>
      <w:r w:rsidR="00BC527B" w:rsidRPr="0066103C">
        <w:t xml:space="preserve">speaks of </w:t>
      </w:r>
      <w:r w:rsidRPr="0066103C">
        <w:t xml:space="preserve">a (pagan) altar erected on the </w:t>
      </w:r>
      <w:r w:rsidR="00BC527B" w:rsidRPr="0066103C">
        <w:t>sacrificial altar</w:t>
      </w:r>
      <w:r w:rsidRPr="0066103C">
        <w:t xml:space="preserve"> (cf. Josep</w:t>
      </w:r>
      <w:r w:rsidR="00D87643" w:rsidRPr="0066103C">
        <w:t xml:space="preserve">hus, </w:t>
      </w:r>
      <w:r w:rsidR="00884655">
        <w:rPr>
          <w:i/>
        </w:rPr>
        <w:t>Antiquities</w:t>
      </w:r>
      <w:r w:rsidR="00D87643" w:rsidRPr="0066103C">
        <w:t xml:space="preserve"> 12.5.4 [12.253]), which</w:t>
      </w:r>
      <w:r w:rsidRPr="0066103C">
        <w:t xml:space="preserve"> implie</w:t>
      </w:r>
      <w:r w:rsidR="00D87643" w:rsidRPr="0066103C">
        <w:t>s rather that the abomination consisted</w:t>
      </w:r>
      <w:r w:rsidRPr="0066103C">
        <w:t xml:space="preserve"> in the</w:t>
      </w:r>
      <w:r w:rsidR="00BC527B" w:rsidRPr="0066103C">
        <w:t xml:space="preserve"> rebuilding of the altar to serve different religious observances</w:t>
      </w:r>
      <w:r w:rsidRPr="0066103C">
        <w:t xml:space="preserve"> (as in Judg 6:25–26): Antiochus had it turned </w:t>
      </w:r>
      <w:r w:rsidR="00D87643" w:rsidRPr="0066103C">
        <w:t>into an old-fashioned shrine</w:t>
      </w:r>
      <w:r w:rsidRPr="0066103C">
        <w:t>.</w:t>
      </w:r>
      <w:r w:rsidR="00D87643" w:rsidRPr="0066103C">
        <w:rPr>
          <w:rStyle w:val="FootnoteReference"/>
        </w:rPr>
        <w:footnoteReference w:id="343"/>
      </w:r>
    </w:p>
    <w:p w:rsidR="00CC03AD" w:rsidRPr="0066103C" w:rsidRDefault="00CC03AD" w:rsidP="00CC03AD">
      <w:r w:rsidRPr="0066103C">
        <w:t>On the dail</w:t>
      </w:r>
      <w:r w:rsidR="00E142D6" w:rsidRPr="0066103C">
        <w:t>y offering, the trampling</w:t>
      </w:r>
      <w:r w:rsidR="00BC527B" w:rsidRPr="0066103C">
        <w:t xml:space="preserve"> </w:t>
      </w:r>
      <w:r w:rsidRPr="0066103C">
        <w:t xml:space="preserve">of sanctuary and army, and Daniel’s attitude to the temple, see on vv 10–12. The </w:t>
      </w:r>
      <w:r w:rsidR="00D87643" w:rsidRPr="0066103C">
        <w:t xml:space="preserve">charging of the ram and its </w:t>
      </w:r>
      <w:r w:rsidRPr="0066103C">
        <w:t>eventu</w:t>
      </w:r>
      <w:r w:rsidR="00E142D6" w:rsidRPr="0066103C">
        <w:t xml:space="preserve">al overthrowing and trampling </w:t>
      </w:r>
      <w:r w:rsidRPr="0066103C">
        <w:t xml:space="preserve">were events no one could resist and from which there was no rescue (vv 4, </w:t>
      </w:r>
      <w:r w:rsidR="00E142D6" w:rsidRPr="0066103C">
        <w:t>7),</w:t>
      </w:r>
      <w:r w:rsidR="00945C8C">
        <w:t xml:space="preserve"> </w:t>
      </w:r>
      <w:r w:rsidR="00E142D6" w:rsidRPr="0066103C">
        <w:t>but the trampling of the sanctuary has</w:t>
      </w:r>
      <w:r w:rsidRPr="0066103C">
        <w:t xml:space="preserve"> a term set</w:t>
      </w:r>
      <w:r w:rsidR="0057686A">
        <w:t xml:space="preserve"> to it. The forensic metaphor that describes</w:t>
      </w:r>
      <w:r w:rsidRPr="0066103C">
        <w:t xml:space="preserve"> judgment being given for the holy ones on high (7:22) reappears as </w:t>
      </w:r>
      <w:r w:rsidR="001B5F13" w:rsidRPr="0066103C">
        <w:t xml:space="preserve">at least one aspect of </w:t>
      </w:r>
      <w:r w:rsidRPr="0066103C">
        <w:t>the vision</w:t>
      </w:r>
      <w:r w:rsidR="001B5F13" w:rsidRPr="0066103C">
        <w:t>’s promise</w:t>
      </w:r>
      <w:r w:rsidRPr="0066103C">
        <w:t xml:space="preserve"> that the sanctuary will “emerge in the right” (נצדק: see n. 14.b-b, and cf. 1 Macc 2:29).</w:t>
      </w:r>
    </w:p>
    <w:p w:rsidR="009B6F1E" w:rsidRPr="0066103C" w:rsidRDefault="00CC03AD" w:rsidP="00CC03AD">
      <w:r w:rsidRPr="0066103C">
        <w:t xml:space="preserve">The 2,300 evenings and mornings before this </w:t>
      </w:r>
      <w:r w:rsidR="0057686A">
        <w:t>vindication</w:t>
      </w:r>
      <w:r w:rsidR="00E142D6" w:rsidRPr="0066103C">
        <w:t xml:space="preserve"> could suggest 2,300 occasions when evening or </w:t>
      </w:r>
      <w:r w:rsidRPr="0066103C">
        <w:t>morning whole offering was not s</w:t>
      </w:r>
      <w:r w:rsidR="00E142D6" w:rsidRPr="0066103C">
        <w:t>acr</w:t>
      </w:r>
      <w:r w:rsidR="0057686A">
        <w:t>ificed—thus</w:t>
      </w:r>
      <w:r w:rsidR="00E30B98" w:rsidRPr="0066103C">
        <w:t>, 1,150 days.</w:t>
      </w:r>
      <w:r w:rsidR="008C6BBD">
        <w:rPr>
          <w:rStyle w:val="FootnoteReference"/>
        </w:rPr>
        <w:footnoteReference w:id="344"/>
      </w:r>
      <w:r w:rsidR="0057686A">
        <w:t xml:space="preserve"> And t</w:t>
      </w:r>
      <w:r w:rsidRPr="0066103C">
        <w:t xml:space="preserve">he period from </w:t>
      </w:r>
      <w:r w:rsidR="00E30B98" w:rsidRPr="0066103C">
        <w:t>the pagan altar</w:t>
      </w:r>
      <w:r w:rsidR="001B5F13" w:rsidRPr="0066103C">
        <w:t>’s erection</w:t>
      </w:r>
      <w:r w:rsidR="00E30B98" w:rsidRPr="0066103C">
        <w:t xml:space="preserve"> </w:t>
      </w:r>
      <w:r w:rsidRPr="0066103C">
        <w:t xml:space="preserve">to the </w:t>
      </w:r>
      <w:r w:rsidR="00E30B98" w:rsidRPr="0066103C">
        <w:t xml:space="preserve">sanctuary rededication </w:t>
      </w:r>
      <w:r w:rsidRPr="0066103C">
        <w:t xml:space="preserve">was three years and ten days (1 Macc 1:54; 4:52–53), </w:t>
      </w:r>
      <w:r w:rsidR="001B5F13" w:rsidRPr="0066103C">
        <w:t>a slightly shorter period</w:t>
      </w:r>
      <w:r w:rsidR="00E30B98" w:rsidRPr="0066103C">
        <w:t>, though</w:t>
      </w:r>
      <w:r w:rsidR="001B5F13" w:rsidRPr="0066103C">
        <w:t xml:space="preserve"> orthodox rites might well have</w:t>
      </w:r>
      <w:r w:rsidRPr="0066103C">
        <w:t xml:space="preserve"> been suspended a little before the first of t</w:t>
      </w:r>
      <w:r w:rsidR="001B5F13" w:rsidRPr="0066103C">
        <w:t xml:space="preserve">hese dates. So 1,150 days could </w:t>
      </w:r>
      <w:r w:rsidR="00E30B98" w:rsidRPr="0066103C">
        <w:t>denote</w:t>
      </w:r>
      <w:r w:rsidRPr="0066103C">
        <w:t xml:space="preserve"> </w:t>
      </w:r>
      <w:r w:rsidR="00E30B98" w:rsidRPr="0066103C">
        <w:t xml:space="preserve">correctly, </w:t>
      </w:r>
      <w:r w:rsidRPr="0066103C">
        <w:t>by guess o</w:t>
      </w:r>
      <w:r w:rsidR="001B5F13" w:rsidRPr="0066103C">
        <w:t xml:space="preserve">r revelation or </w:t>
      </w:r>
      <w:r w:rsidR="00E30B98" w:rsidRPr="0066103C">
        <w:t>hindsight,</w:t>
      </w:r>
      <w:r w:rsidR="001B5F13" w:rsidRPr="0066103C">
        <w:t xml:space="preserve"> the</w:t>
      </w:r>
      <w:r w:rsidRPr="0066103C">
        <w:t xml:space="preserve"> chronological period during which no regular sacr</w:t>
      </w:r>
      <w:r w:rsidR="00E30B98" w:rsidRPr="0066103C">
        <w:t>ifices were offered</w:t>
      </w:r>
      <w:r w:rsidRPr="0066103C">
        <w:t>.</w:t>
      </w:r>
      <w:r w:rsidR="00E30B98" w:rsidRPr="0066103C">
        <w:rPr>
          <w:rStyle w:val="FootnoteReference"/>
        </w:rPr>
        <w:footnoteReference w:id="345"/>
      </w:r>
      <w:r w:rsidRPr="0066103C">
        <w:t xml:space="preserve"> But why should 2,300 evenings and mornings be taken to denote 1,150 days? An evening and morning make one day (Gen 1:5–31; the order of evening</w:t>
      </w:r>
      <w:r w:rsidR="00E30B98" w:rsidRPr="0066103C">
        <w:t xml:space="preserve"> and morning there explains the order here),</w:t>
      </w:r>
      <w:r w:rsidR="002D3E63" w:rsidRPr="0066103C">
        <w:rPr>
          <w:rStyle w:val="FootnoteReference"/>
        </w:rPr>
        <w:footnoteReference w:id="346"/>
      </w:r>
      <w:r w:rsidR="00E30B98" w:rsidRPr="0066103C">
        <w:t xml:space="preserve"> and t</w:t>
      </w:r>
      <w:r w:rsidRPr="0066103C">
        <w:t>he morning and eveni</w:t>
      </w:r>
      <w:r w:rsidR="00062F62" w:rsidRPr="0066103C">
        <w:t xml:space="preserve">ng </w:t>
      </w:r>
      <w:r w:rsidRPr="0066103C">
        <w:t>offering was seen as one unit rather than as two independent ones which could then n</w:t>
      </w:r>
      <w:r w:rsidR="00E30B98" w:rsidRPr="0066103C">
        <w:t>aturally be counted separately</w:t>
      </w:r>
      <w:r w:rsidRPr="0066103C">
        <w:t>.</w:t>
      </w:r>
      <w:r w:rsidR="00E30B98" w:rsidRPr="0066103C">
        <w:rPr>
          <w:rStyle w:val="FootnoteReference"/>
        </w:rPr>
        <w:footnoteReference w:id="347"/>
      </w:r>
      <w:r w:rsidR="0057686A">
        <w:t xml:space="preserve"> So t</w:t>
      </w:r>
      <w:r w:rsidRPr="0066103C">
        <w:t>he natural way to understand the phrase is as denoting 2,300 days</w:t>
      </w:r>
      <w:r w:rsidR="00062F62" w:rsidRPr="0066103C">
        <w:t xml:space="preserve"> (cf. G)</w:t>
      </w:r>
      <w:r w:rsidRPr="0066103C">
        <w:t>.</w:t>
      </w:r>
      <w:r w:rsidR="00062F62" w:rsidRPr="0066103C">
        <w:rPr>
          <w:rStyle w:val="FootnoteReference"/>
        </w:rPr>
        <w:footnoteReference w:id="348"/>
      </w:r>
      <w:r w:rsidR="001B5F13" w:rsidRPr="0066103C">
        <w:t xml:space="preserve"> </w:t>
      </w:r>
    </w:p>
    <w:p w:rsidR="00CC03AD" w:rsidRPr="0066103C" w:rsidRDefault="00CC03AD" w:rsidP="00CC03AD">
      <w:r w:rsidRPr="0066103C">
        <w:t>If it were necessary to</w:t>
      </w:r>
      <w:r w:rsidR="00062F62" w:rsidRPr="0066103C">
        <w:t xml:space="preserve"> relate 2,300 days to a period of </w:t>
      </w:r>
      <w:r w:rsidRPr="0066103C">
        <w:t xml:space="preserve">this </w:t>
      </w:r>
      <w:r w:rsidR="0057686A">
        <w:t>chronological</w:t>
      </w:r>
      <w:r w:rsidR="001B5F13" w:rsidRPr="0066103C">
        <w:t xml:space="preserve"> </w:t>
      </w:r>
      <w:r w:rsidRPr="0066103C">
        <w:t>length, it might still begin with the cessation of sacrifice in late 167 and go on to the prosp</w:t>
      </w:r>
      <w:r w:rsidR="00062F62" w:rsidRPr="0066103C">
        <w:t>ect of complete victory over</w:t>
      </w:r>
      <w:r w:rsidRPr="0066103C">
        <w:t xml:space="preserve"> Seleucid power and release of the temple area from foreign overlordship or the threat of it. This </w:t>
      </w:r>
      <w:r w:rsidR="00062F62" w:rsidRPr="0066103C">
        <w:t xml:space="preserve">fulfillment </w:t>
      </w:r>
      <w:r w:rsidR="001B5F13" w:rsidRPr="0066103C">
        <w:t xml:space="preserve">might be seen to have come </w:t>
      </w:r>
      <w:r w:rsidRPr="0066103C">
        <w:t>in 160 with the victory des</w:t>
      </w:r>
      <w:r w:rsidR="001B5F13" w:rsidRPr="0066103C">
        <w:t>cribed in 1 Macc 7, though it</w:t>
      </w:r>
      <w:r w:rsidR="00062F62" w:rsidRPr="0066103C">
        <w:t xml:space="preserve"> </w:t>
      </w:r>
      <w:r w:rsidRPr="0066103C">
        <w:t>was soon followed by the death of Judas Maccabaeus and the triumph of th</w:t>
      </w:r>
      <w:r w:rsidR="00062F62" w:rsidRPr="0066103C">
        <w:t>e Hellenizing party (1 Macc 9).</w:t>
      </w:r>
      <w:r w:rsidR="00062F62" w:rsidRPr="0066103C">
        <w:rPr>
          <w:rStyle w:val="FootnoteReference"/>
        </w:rPr>
        <w:footnoteReference w:id="349"/>
      </w:r>
      <w:r w:rsidR="001B5F13" w:rsidRPr="0066103C">
        <w:t xml:space="preserve"> Alternatively, 2,300 days is not far from</w:t>
      </w:r>
      <w:r w:rsidR="007D7DEC" w:rsidRPr="0066103C">
        <w:t xml:space="preserve"> </w:t>
      </w:r>
      <w:r w:rsidR="001B5F13" w:rsidRPr="0066103C">
        <w:t>seven years</w:t>
      </w:r>
      <w:r w:rsidR="007D7DEC" w:rsidRPr="0066103C">
        <w:t xml:space="preserve"> (cf.</w:t>
      </w:r>
      <w:r w:rsidR="001B5F13" w:rsidRPr="0066103C">
        <w:t xml:space="preserve"> 9:27</w:t>
      </w:r>
      <w:r w:rsidR="007D7DEC" w:rsidRPr="0066103C">
        <w:t>)</w:t>
      </w:r>
      <w:r w:rsidR="001B5F13" w:rsidRPr="0066103C">
        <w:t xml:space="preserve"> and c</w:t>
      </w:r>
      <w:r w:rsidRPr="0066103C">
        <w:t>ould stretch from the removal of the high priest Onias III in 171 to the rededi</w:t>
      </w:r>
      <w:r w:rsidR="00062F62" w:rsidRPr="0066103C">
        <w:t>cation of the sanctuary in 164,</w:t>
      </w:r>
      <w:r w:rsidR="00062F62" w:rsidRPr="0066103C">
        <w:rPr>
          <w:rStyle w:val="FootnoteReference"/>
        </w:rPr>
        <w:footnoteReference w:id="350"/>
      </w:r>
      <w:r w:rsidR="00062F62" w:rsidRPr="0066103C">
        <w:t xml:space="preserve"> </w:t>
      </w:r>
      <w:r w:rsidRPr="0066103C">
        <w:t>though the events referred to in v 13 perhaps have a closer connection with those of 167 than those of 171.</w:t>
      </w:r>
    </w:p>
    <w:p w:rsidR="00CC03AD" w:rsidRPr="0066103C" w:rsidRDefault="00062F62" w:rsidP="00CC03AD">
      <w:r w:rsidRPr="0066103C">
        <w:t>But t</w:t>
      </w:r>
      <w:r w:rsidR="00CC03AD" w:rsidRPr="0066103C">
        <w:t xml:space="preserve">he periods of time in chapters on either side </w:t>
      </w:r>
      <w:r w:rsidRPr="0066103C">
        <w:t xml:space="preserve">of chap. 8 </w:t>
      </w:r>
      <w:r w:rsidR="00CC03AD" w:rsidRPr="0066103C">
        <w:t>(</w:t>
      </w:r>
      <w:r w:rsidRPr="0066103C">
        <w:t xml:space="preserve">see </w:t>
      </w:r>
      <w:r w:rsidR="00CC03AD" w:rsidRPr="0066103C">
        <w:t>7:25; 9:24–27) have</w:t>
      </w:r>
      <w:r w:rsidR="0057686A">
        <w:t xml:space="preserve"> symbolic </w:t>
      </w:r>
      <w:r w:rsidR="007D7DEC" w:rsidRPr="0066103C">
        <w:t>rather than chronological significance</w:t>
      </w:r>
      <w:r w:rsidR="008038EB" w:rsidRPr="0066103C">
        <w:t>,</w:t>
      </w:r>
      <w:r w:rsidR="00CC03AD" w:rsidRPr="0066103C">
        <w:t xml:space="preserve"> and it is appropriate to look for a significanc</w:t>
      </w:r>
      <w:r w:rsidR="008038EB" w:rsidRPr="0066103C">
        <w:t>e beyond the</w:t>
      </w:r>
      <w:r w:rsidR="00CC03AD" w:rsidRPr="0066103C">
        <w:t xml:space="preserve"> chronological</w:t>
      </w:r>
      <w:r w:rsidR="007D7DEC" w:rsidRPr="0066103C">
        <w:t xml:space="preserve"> for the 2,300 days</w:t>
      </w:r>
      <w:r w:rsidR="00CC03AD" w:rsidRPr="0066103C">
        <w:t>—whether or not it i</w:t>
      </w:r>
      <w:r w:rsidR="008038EB" w:rsidRPr="0066103C">
        <w:t>s significant in each case</w:t>
      </w:r>
      <w:r w:rsidR="00CC03AD" w:rsidRPr="0066103C">
        <w:t xml:space="preserve"> that the periods are approximatel</w:t>
      </w:r>
      <w:r w:rsidR="0057686A">
        <w:t>y correct chronologically. T</w:t>
      </w:r>
      <w:r w:rsidR="00CC03AD" w:rsidRPr="0066103C">
        <w:t xml:space="preserve">he figure twenty-three occurs in </w:t>
      </w:r>
      <w:r w:rsidR="00CC03AD" w:rsidRPr="0066103C">
        <w:rPr>
          <w:i/>
        </w:rPr>
        <w:t>1 Enoch</w:t>
      </w:r>
      <w:r w:rsidR="00CC03AD" w:rsidRPr="0066103C">
        <w:t xml:space="preserve"> 90.5. Of the seventy </w:t>
      </w:r>
      <w:r w:rsidR="00CC03AD" w:rsidRPr="0066103C">
        <w:lastRenderedPageBreak/>
        <w:t>shepherds who have oversight of the Jews during the gentile domination, twenty-three have this responsibility for the early Hellenistic period. By implication, a</w:t>
      </w:r>
      <w:r w:rsidR="008038EB" w:rsidRPr="0066103C">
        <w:t>nother group of twenty-three is</w:t>
      </w:r>
      <w:r w:rsidR="00CC03AD" w:rsidRPr="0066103C">
        <w:t xml:space="preserve"> responsible during the Persian period.</w:t>
      </w:r>
      <w:r w:rsidR="008038EB" w:rsidRPr="0066103C">
        <w:rPr>
          <w:rStyle w:val="FootnoteReference"/>
        </w:rPr>
        <w:footnoteReference w:id="351"/>
      </w:r>
      <w:r w:rsidR="00CC03AD" w:rsidRPr="0066103C">
        <w:t xml:space="preserve"> The first sixty-nine of the seve</w:t>
      </w:r>
      <w:r w:rsidR="00365F8C">
        <w:t>nty weeks of years from the Babylonian period</w:t>
      </w:r>
      <w:r w:rsidR="00CC03AD" w:rsidRPr="0066103C">
        <w:t xml:space="preserve"> </w:t>
      </w:r>
      <w:r w:rsidR="00D51015">
        <w:t>to Antiochus (Dan 9:24–27) could</w:t>
      </w:r>
      <w:r w:rsidR="00CC03AD" w:rsidRPr="0066103C">
        <w:t xml:space="preserve"> </w:t>
      </w:r>
      <w:r w:rsidR="00D51015">
        <w:t xml:space="preserve">thus </w:t>
      </w:r>
      <w:r w:rsidR="00CC03AD" w:rsidRPr="0066103C">
        <w:t>be seen as three times twenty</w:t>
      </w:r>
      <w:r w:rsidR="008038EB" w:rsidRPr="0066103C">
        <w:t>-</w:t>
      </w:r>
      <w:r w:rsidR="00CC03AD" w:rsidRPr="0066103C">
        <w:t>three. The 2,300 days may, then, suggest a fixed “significant” period, which might or might not denote a chronological period in the region of six or seven years.</w:t>
      </w:r>
    </w:p>
    <w:p w:rsidR="00C95D1C" w:rsidRDefault="00CC03AD" w:rsidP="00CC03AD">
      <w:r w:rsidRPr="00515C81">
        <w:rPr>
          <w:b/>
        </w:rPr>
        <w:t>15–</w:t>
      </w:r>
      <w:r w:rsidRPr="00925C35">
        <w:rPr>
          <w:b/>
        </w:rPr>
        <w:t>19</w:t>
      </w:r>
      <w:r w:rsidRPr="0066103C">
        <w:t xml:space="preserve"> That</w:t>
      </w:r>
      <w:r w:rsidR="00D51015">
        <w:t xml:space="preserve"> the humanlike person </w:t>
      </w:r>
      <w:r w:rsidRPr="0066103C">
        <w:t>is a celestial being is here ov</w:t>
      </w:r>
      <w:r w:rsidR="00904A21" w:rsidRPr="0066103C">
        <w:t>ert (contrast 7:13, even if it</w:t>
      </w:r>
      <w:r w:rsidRPr="0066103C">
        <w:t xml:space="preserve"> is to be inferred there; cf. 3:25, 28; 10:16, 18). His appearance is that of a גבר</w:t>
      </w:r>
      <w:r w:rsidR="00E41B04" w:rsidRPr="0066103C">
        <w:t>,</w:t>
      </w:r>
      <w:r w:rsidRPr="0066103C">
        <w:t xml:space="preserve"> a rather macho wor</w:t>
      </w:r>
      <w:r w:rsidR="00E41B04" w:rsidRPr="0066103C">
        <w:t xml:space="preserve">d for </w:t>
      </w:r>
      <w:r w:rsidR="00D51015">
        <w:t>a male (Judg 5:30), but it</w:t>
      </w:r>
      <w:r w:rsidRPr="0066103C">
        <w:t xml:space="preserve"> comes to denote a man who is strong in and because of his relationship to God (e.g., Jer 17:5–8), and in the Qumran literature </w:t>
      </w:r>
      <w:r w:rsidR="00904A21" w:rsidRPr="0066103C">
        <w:t xml:space="preserve">to denote </w:t>
      </w:r>
      <w:r w:rsidR="00E41B04" w:rsidRPr="0066103C">
        <w:t>someone especially chosen by God</w:t>
      </w:r>
      <w:r w:rsidRPr="0066103C">
        <w:t>.</w:t>
      </w:r>
      <w:r w:rsidR="00E41B04" w:rsidRPr="0066103C">
        <w:rPr>
          <w:rStyle w:val="FootnoteReference"/>
        </w:rPr>
        <w:footnoteReference w:id="352"/>
      </w:r>
      <w:r w:rsidR="00904A21" w:rsidRPr="0066103C">
        <w:t xml:space="preserve"> Understood to mean</w:t>
      </w:r>
      <w:r w:rsidRPr="0066103C">
        <w:t xml:space="preserve"> “man of God</w:t>
      </w:r>
      <w:r w:rsidR="00904A21" w:rsidRPr="0066103C">
        <w:t>,</w:t>
      </w:r>
      <w:r w:rsidRPr="0066103C">
        <w:t xml:space="preserve">” </w:t>
      </w:r>
      <w:r w:rsidR="00904A21" w:rsidRPr="0066103C">
        <w:rPr>
          <w:rFonts w:ascii="Arial" w:hAnsi="Arial" w:cs="Arial"/>
        </w:rPr>
        <w:t>גבריאל</w:t>
      </w:r>
      <w:r w:rsidR="00904A21" w:rsidRPr="0066103C">
        <w:t xml:space="preserve"> </w:t>
      </w:r>
      <w:r w:rsidRPr="0066103C">
        <w:t>is thus an appropriate name for God’s celestial servant, and גבר is an appropriate term by which to refer to him, both for its sound (</w:t>
      </w:r>
      <w:r w:rsidRPr="0066103C">
        <w:rPr>
          <w:i/>
        </w:rPr>
        <w:t>geber</w:t>
      </w:r>
      <w:r w:rsidRPr="0066103C">
        <w:t>) and for its meaning</w:t>
      </w:r>
      <w:r w:rsidR="00904A21" w:rsidRPr="0066103C">
        <w:t xml:space="preserve"> (see n. 15b)</w:t>
      </w:r>
      <w:r w:rsidRPr="0066103C">
        <w:t xml:space="preserve">. Although </w:t>
      </w:r>
      <w:r w:rsidR="00FF4F3A">
        <w:t>Gabriel is the first named supernatural being</w:t>
      </w:r>
      <w:r w:rsidRPr="0066103C">
        <w:t xml:space="preserve"> within one of the books that came to</w:t>
      </w:r>
      <w:r w:rsidR="00A84751" w:rsidRPr="0066103C">
        <w:t xml:space="preserve"> be included in the s</w:t>
      </w:r>
      <w:r w:rsidR="00904A21" w:rsidRPr="0066103C">
        <w:t>criptures</w:t>
      </w:r>
      <w:r w:rsidRPr="0066103C">
        <w:t xml:space="preserve">, he is only one of a number who already appear in older parts of </w:t>
      </w:r>
      <w:r w:rsidRPr="0066103C">
        <w:rPr>
          <w:i/>
        </w:rPr>
        <w:t>1 Enoch</w:t>
      </w:r>
      <w:r w:rsidRPr="0066103C">
        <w:t xml:space="preserve">. He features with Michael, Raphael, and other leading holy ones in </w:t>
      </w:r>
      <w:r w:rsidRPr="0066103C">
        <w:rPr>
          <w:i/>
        </w:rPr>
        <w:t>1 Enoch</w:t>
      </w:r>
      <w:r w:rsidRPr="0066103C">
        <w:t xml:space="preserve"> 9–10; 20; cf. also 1QM 9.15–16. Familiarity with such figures is presupposed here, though Gabriel’s role in Dan 8 and 9—and Michael’s </w:t>
      </w:r>
      <w:r w:rsidR="00904A21" w:rsidRPr="0066103C">
        <w:t xml:space="preserve">role </w:t>
      </w:r>
      <w:r w:rsidRPr="0066103C">
        <w:t xml:space="preserve">in Dan 10–12—does not particularly link with the descriptions in </w:t>
      </w:r>
      <w:r w:rsidRPr="0066103C">
        <w:rPr>
          <w:i/>
        </w:rPr>
        <w:t>1 Enoch</w:t>
      </w:r>
      <w:r w:rsidRPr="0066103C">
        <w:t>, and the place of these figures is reduced compared with some such appro</w:t>
      </w:r>
      <w:r w:rsidR="00C95D1C">
        <w:t xml:space="preserve">ximately contemporary writings. </w:t>
      </w:r>
      <w:r w:rsidR="00D51015">
        <w:t>Within the Christian scriptures as a whole, he will reappear in Luke 1, but “i</w:t>
      </w:r>
      <w:r w:rsidR="00C95D1C" w:rsidRPr="00C95D1C">
        <w:t>t is futile to ask what Gabriel did or was between the role ascribed to him in Daniel and his part in the events of the nativity. All that we are told concerning the individual existence of angels is that they are there as the mighty ones "that do his commandments … ministers of his, that do his pleasure" (Ps. 103</w:t>
      </w:r>
      <w:r w:rsidR="00C95D1C" w:rsidRPr="00C95D1C">
        <w:rPr>
          <w:vertAlign w:val="superscript"/>
        </w:rPr>
        <w:t>20f.</w:t>
      </w:r>
      <w:r w:rsidR="00C95D1C" w:rsidRPr="00C95D1C">
        <w:t>), and we do well, therefore, to picture their individual existence, if at all, only in the actuality with which it is presented in this Psalm.</w:t>
      </w:r>
      <w:r w:rsidR="00C95D1C">
        <w:t>”</w:t>
      </w:r>
      <w:r w:rsidR="00C95D1C">
        <w:rPr>
          <w:rStyle w:val="FootnoteReference"/>
        </w:rPr>
        <w:footnoteReference w:id="353"/>
      </w:r>
    </w:p>
    <w:p w:rsidR="00CC03AD" w:rsidRPr="0066103C" w:rsidRDefault="00D51015" w:rsidP="00CC03AD">
      <w:r>
        <w:t>The names of Michael,</w:t>
      </w:r>
      <w:r w:rsidR="00CC03AD" w:rsidRPr="0066103C">
        <w:t xml:space="preserve"> Gabriel</w:t>
      </w:r>
      <w:r>
        <w:t xml:space="preserve">, and </w:t>
      </w:r>
      <w:r w:rsidR="00CC03AD" w:rsidRPr="0066103C">
        <w:t>other leading holy ones are parallel in form to that of Daniel</w:t>
      </w:r>
      <w:r w:rsidR="00904A21" w:rsidRPr="0066103C">
        <w:t xml:space="preserve"> himself</w:t>
      </w:r>
      <w:r w:rsidR="00CC03AD" w:rsidRPr="0066103C">
        <w:t xml:space="preserve">—or rather, vice versa. Daniel’s name </w:t>
      </w:r>
      <w:r>
        <w:t xml:space="preserve">thus </w:t>
      </w:r>
      <w:r w:rsidR="00CC03AD" w:rsidRPr="0066103C">
        <w:t>hints at a k</w:t>
      </w:r>
      <w:r w:rsidR="00FF4F3A">
        <w:t>inship between him and the celestial being</w:t>
      </w:r>
      <w:r w:rsidR="00CC03AD" w:rsidRPr="0066103C">
        <w:t>s</w:t>
      </w:r>
      <w:r w:rsidR="00FF4F3A">
        <w:t xml:space="preserve"> (Daniel is the name of such a being</w:t>
      </w:r>
      <w:r w:rsidR="00CC03AD" w:rsidRPr="0066103C">
        <w:t xml:space="preserve"> in </w:t>
      </w:r>
      <w:r w:rsidR="00CC03AD" w:rsidRPr="0066103C">
        <w:rPr>
          <w:i/>
        </w:rPr>
        <w:t>1 Enoch</w:t>
      </w:r>
      <w:r w:rsidR="00CC03AD" w:rsidRPr="0066103C">
        <w:t xml:space="preserve"> 6.7) and </w:t>
      </w:r>
      <w:r>
        <w:t xml:space="preserve">at </w:t>
      </w:r>
      <w:r w:rsidR="00CC03AD" w:rsidRPr="0066103C">
        <w:t>the possibility of a link between the seer and the heavenly world. The voice that commissions Gabriel (v 16) is described as a human one (אדם</w:t>
      </w:r>
      <w:r w:rsidR="008C6185" w:rsidRPr="0066103C">
        <w:t xml:space="preserve"> </w:t>
      </w:r>
      <w:r w:rsidR="008C6185" w:rsidRPr="0066103C">
        <w:rPr>
          <w:rFonts w:ascii="Arial" w:hAnsi="Arial" w:cs="Arial"/>
        </w:rPr>
        <w:t>קול</w:t>
      </w:r>
      <w:r w:rsidR="00CC03AD" w:rsidRPr="0066103C">
        <w:t xml:space="preserve">); that </w:t>
      </w:r>
      <w:r w:rsidR="008C6185" w:rsidRPr="0066103C">
        <w:t xml:space="preserve">expression </w:t>
      </w:r>
      <w:r w:rsidR="00CC03AD" w:rsidRPr="0066103C">
        <w:t xml:space="preserve">recalls the description of God’s own appearance when he speaks in Ezek 1:26. To bring the vision </w:t>
      </w:r>
      <w:r w:rsidR="008C6185" w:rsidRPr="0066103C">
        <w:t xml:space="preserve">in Dan 8 </w:t>
      </w:r>
      <w:r w:rsidR="00CC03AD" w:rsidRPr="0066103C">
        <w:t>to a climax, then, there appears not merely an anonymous celestial being but a specific, named one, who belongs to the number of the w</w:t>
      </w:r>
      <w:r w:rsidR="00515C81">
        <w:t>ell-known leading holy ones.</w:t>
      </w:r>
      <w:r w:rsidR="00515C81" w:rsidRPr="00515C81">
        <w:rPr>
          <w:vertAlign w:val="superscript"/>
        </w:rPr>
        <w:t xml:space="preserve"> </w:t>
      </w:r>
      <w:r w:rsidR="00515C81" w:rsidRPr="00515C81">
        <w:rPr>
          <w:vertAlign w:val="superscript"/>
        </w:rPr>
        <w:footnoteReference w:id="354"/>
      </w:r>
      <w:r w:rsidR="00945C8C">
        <w:t xml:space="preserve"> </w:t>
      </w:r>
      <w:r w:rsidR="00515C81">
        <w:t xml:space="preserve">And </w:t>
      </w:r>
      <w:r w:rsidR="00CC03AD" w:rsidRPr="0066103C">
        <w:t>God himself not only appears, as in 7:9–10, but speaks.</w:t>
      </w:r>
      <w:r w:rsidR="008C6185" w:rsidRPr="0066103C">
        <w:rPr>
          <w:rStyle w:val="FootnoteReference"/>
        </w:rPr>
        <w:footnoteReference w:id="355"/>
      </w:r>
      <w:r w:rsidR="00CC03AD" w:rsidRPr="0066103C">
        <w:t xml:space="preserve"> The supernatural conversation refers to both a vision (חזון) and a revelation (מראה). Each word relate</w:t>
      </w:r>
      <w:r w:rsidR="00904A21" w:rsidRPr="0066103C">
        <w:t xml:space="preserve">s to a verb for seeing and </w:t>
      </w:r>
      <w:r w:rsidR="00CC03AD" w:rsidRPr="0066103C">
        <w:t xml:space="preserve">suggests a visual disclosure. In v 26, however, and presumably then in v 27, the latter </w:t>
      </w:r>
      <w:r w:rsidR="008C6185" w:rsidRPr="0066103C">
        <w:t xml:space="preserve">word </w:t>
      </w:r>
      <w:r w:rsidR="00CC03AD" w:rsidRPr="0066103C">
        <w:t xml:space="preserve">refers to the verbal message about the 2,300 evenings and mornings; the same </w:t>
      </w:r>
      <w:r w:rsidR="00904A21" w:rsidRPr="0066103C">
        <w:t xml:space="preserve">reference </w:t>
      </w:r>
      <w:r w:rsidR="00CC03AD" w:rsidRPr="0066103C">
        <w:t>will apply in v 16, the reve</w:t>
      </w:r>
      <w:r w:rsidR="008C6185" w:rsidRPr="0066103C">
        <w:t>lation being that in vv 13–14 (t</w:t>
      </w:r>
      <w:r w:rsidR="00CC03AD" w:rsidRPr="0066103C">
        <w:t>he term refers to a verbal message in 9:23; but see further n. 10:1.f</w:t>
      </w:r>
      <w:r w:rsidR="008C6185" w:rsidRPr="0066103C">
        <w:t>)</w:t>
      </w:r>
      <w:r w:rsidR="00CC03AD" w:rsidRPr="0066103C">
        <w:t>.</w:t>
      </w:r>
    </w:p>
    <w:p w:rsidR="001D014D" w:rsidRPr="0066103C" w:rsidRDefault="00CC03AD" w:rsidP="00CC03AD">
      <w:r w:rsidRPr="0066103C">
        <w:t>Gabriel i</w:t>
      </w:r>
      <w:r w:rsidR="00D45F63">
        <w:t xml:space="preserve">s a “man of God”; he </w:t>
      </w:r>
      <w:r w:rsidRPr="0066103C">
        <w:t>is himself addressed b</w:t>
      </w:r>
      <w:r w:rsidR="00D45F63">
        <w:t>y a “human” voice, that is, God’s</w:t>
      </w:r>
      <w:r w:rsidRPr="0066103C">
        <w:t xml:space="preserve"> voi</w:t>
      </w:r>
      <w:r w:rsidR="00D45F63">
        <w:t>ce</w:t>
      </w:r>
      <w:r w:rsidRPr="0066103C">
        <w:t>. He addresses Daniel as “mortal man” (אדם</w:t>
      </w:r>
      <w:r w:rsidR="008C6185" w:rsidRPr="0066103C">
        <w:t xml:space="preserve"> </w:t>
      </w:r>
      <w:r w:rsidR="008C6185" w:rsidRPr="0066103C">
        <w:rPr>
          <w:rFonts w:ascii="Arial" w:hAnsi="Arial" w:cs="Arial"/>
        </w:rPr>
        <w:t>בן</w:t>
      </w:r>
      <w:r w:rsidRPr="0066103C">
        <w:t>, traditionally “son of man”), using God’s ch</w:t>
      </w:r>
      <w:r w:rsidR="000A58A7" w:rsidRPr="0066103C">
        <w:t xml:space="preserve">aracteristic form of address to </w:t>
      </w:r>
      <w:r w:rsidR="00D45F63">
        <w:t>Ezekiel (e.g., 2:1, 3); i</w:t>
      </w:r>
      <w:r w:rsidRPr="0066103C">
        <w:t xml:space="preserve">t suggests both solemnly and encouragingly the awesomeness and the </w:t>
      </w:r>
      <w:r w:rsidRPr="0066103C">
        <w:lastRenderedPageBreak/>
        <w:t>honor of an ordinary human being hearing this man of God address him.</w:t>
      </w:r>
      <w:r w:rsidR="000A58A7" w:rsidRPr="0066103C">
        <w:rPr>
          <w:rStyle w:val="FootnoteReference"/>
        </w:rPr>
        <w:footnoteReference w:id="356"/>
      </w:r>
      <w:r w:rsidRPr="0066103C">
        <w:t xml:space="preserve"> Falling on the face is a traditio</w:t>
      </w:r>
      <w:r w:rsidR="001D014D" w:rsidRPr="0066103C">
        <w:t>nal courtly way of expressing recognition of a</w:t>
      </w:r>
      <w:r w:rsidRPr="0066103C">
        <w:t xml:space="preserve"> king’s majesty, the most extreme possible form of personal obeisance (2 Sam 9:6; 14:4; 25:23). It is naturally also an expression of a similar recognition of God’s</w:t>
      </w:r>
      <w:r w:rsidR="001D014D" w:rsidRPr="0066103C">
        <w:t xml:space="preserve"> majesty, especially in a worship</w:t>
      </w:r>
      <w:r w:rsidRPr="0066103C">
        <w:t xml:space="preserve"> context (Lev 9:24; 1 Kgs 18:39;</w:t>
      </w:r>
      <w:r w:rsidR="00D45F63">
        <w:t xml:space="preserve"> 2 Chr 7:3). </w:t>
      </w:r>
      <w:r w:rsidR="001D014D" w:rsidRPr="0066103C">
        <w:t>Ezekiel falls</w:t>
      </w:r>
      <w:r w:rsidRPr="0066103C">
        <w:t xml:space="preserve"> on his face in self-effac</w:t>
      </w:r>
      <w:r w:rsidR="001D014D" w:rsidRPr="0066103C">
        <w:t>ing obeisance (e.g., 1:28), which</w:t>
      </w:r>
      <w:r w:rsidRPr="0066103C">
        <w:t xml:space="preserve"> is in turn the immediate backgroun</w:t>
      </w:r>
      <w:r w:rsidR="00D45F63">
        <w:t>d to Daniel’s doing so, though</w:t>
      </w:r>
      <w:r w:rsidR="001D014D" w:rsidRPr="0066103C">
        <w:t xml:space="preserve"> here the object of the</w:t>
      </w:r>
      <w:r w:rsidRPr="0066103C">
        <w:t xml:space="preserve"> recognition is God’s heavenly representative, as in Josh 5:14 (a passage noted in connection with v 11) and Tob 12:6 (involving Gabriel’s associate Raphael). </w:t>
      </w:r>
    </w:p>
    <w:p w:rsidR="007306FB" w:rsidRPr="0066103C" w:rsidRDefault="00CC03AD" w:rsidP="00CC03AD">
      <w:r w:rsidRPr="0066103C">
        <w:t xml:space="preserve">Falling into a trance (נרדם) has different connotations. It is not an everyday </w:t>
      </w:r>
      <w:r w:rsidR="000A58A7" w:rsidRPr="0066103C">
        <w:t>life or worship</w:t>
      </w:r>
      <w:r w:rsidRPr="0066103C">
        <w:t xml:space="preserve"> word; it denotes a coma-like state of deep sleep brought about by supernatural agency, especially in connection with visionary experiences (Gen 2:21; 15:12; 1 Sam 26:12; Job 4:13; 33:15; cf. </w:t>
      </w:r>
      <w:r w:rsidRPr="0066103C">
        <w:rPr>
          <w:i/>
        </w:rPr>
        <w:t>T. Levi</w:t>
      </w:r>
      <w:r w:rsidRPr="0066103C">
        <w:t xml:space="preserve"> 2.5; ironically, Isa 29:10; Jonah 1:5–6;</w:t>
      </w:r>
      <w:r w:rsidR="001D014D" w:rsidRPr="0066103C">
        <w:t xml:space="preserve"> Prov 10:5; 29:10; ?Judg 4:21). The verb</w:t>
      </w:r>
      <w:r w:rsidRPr="0066103C">
        <w:t xml:space="preserve"> recurs in 10:9; see further the seer’s description of his experience in 10:7–19 and the </w:t>
      </w:r>
      <w:r w:rsidRPr="0066103C">
        <w:rPr>
          <w:i/>
        </w:rPr>
        <w:t>Comment</w:t>
      </w:r>
      <w:r w:rsidR="001D014D" w:rsidRPr="0066103C">
        <w:t>. T</w:t>
      </w:r>
      <w:r w:rsidRPr="0066103C">
        <w:t xml:space="preserve">he </w:t>
      </w:r>
      <w:r w:rsidR="00D45F63">
        <w:t xml:space="preserve">seer’s </w:t>
      </w:r>
      <w:r w:rsidRPr="0066103C">
        <w:t>touchi</w:t>
      </w:r>
      <w:r w:rsidR="00D45F63">
        <w:t xml:space="preserve">ng </w:t>
      </w:r>
      <w:r w:rsidR="000A58A7" w:rsidRPr="0066103C">
        <w:t>also recurs</w:t>
      </w:r>
      <w:r w:rsidR="001D014D" w:rsidRPr="0066103C">
        <w:t xml:space="preserve"> there. While Isa 6:7 and Jer 1:9</w:t>
      </w:r>
      <w:r w:rsidR="00D45F63">
        <w:t xml:space="preserve"> refer to God touching a</w:t>
      </w:r>
      <w:r w:rsidR="001D014D" w:rsidRPr="0066103C">
        <w:t xml:space="preserve"> prophet’s</w:t>
      </w:r>
      <w:r w:rsidR="00D45F63">
        <w:t xml:space="preserve"> lips in </w:t>
      </w:r>
      <w:r w:rsidR="001D014D" w:rsidRPr="0066103C">
        <w:t>a vision (</w:t>
      </w:r>
      <w:r w:rsidRPr="0066103C">
        <w:t xml:space="preserve">cf. Dan </w:t>
      </w:r>
      <w:r w:rsidR="001D014D" w:rsidRPr="0066103C">
        <w:t>10:16),</w:t>
      </w:r>
      <w:r w:rsidRPr="0066103C">
        <w:t xml:space="preserve"> the only antece</w:t>
      </w:r>
      <w:r w:rsidR="000A58A7" w:rsidRPr="0066103C">
        <w:t xml:space="preserve">dent for touching to awaken, reassure, and </w:t>
      </w:r>
      <w:r w:rsidRPr="0066103C">
        <w:t>strengthen is Elijah in 1 Kgs 19:5, 7. The more general background is again Ezek 1:28–2:2, where God takes hold of the prophet and sets him on his feet.</w:t>
      </w:r>
    </w:p>
    <w:p w:rsidR="0046412E" w:rsidRPr="0066103C" w:rsidRDefault="000A58A7" w:rsidP="0046412E">
      <w:r w:rsidRPr="0066103C">
        <w:t>“T</w:t>
      </w:r>
      <w:r w:rsidR="00CC03AD" w:rsidRPr="0066103C">
        <w:t>ime” (עת), “end” (קץ), “closing part [of the wrath]” ([הזעם</w:t>
      </w:r>
      <w:r w:rsidRPr="0066103C">
        <w:t xml:space="preserve"> </w:t>
      </w:r>
      <w:r w:rsidRPr="0066103C">
        <w:rPr>
          <w:rFonts w:ascii="Arial" w:hAnsi="Arial" w:cs="Arial"/>
        </w:rPr>
        <w:t>אחרית</w:t>
      </w:r>
      <w:r w:rsidR="00CC03AD" w:rsidRPr="0066103C">
        <w:t>]), and “set moment” (מועד</w:t>
      </w:r>
      <w:r w:rsidRPr="0066103C">
        <w:t>) appear in vv 17, 19; compare</w:t>
      </w:r>
      <w:r w:rsidR="00CC03AD" w:rsidRPr="0066103C">
        <w:t xml:space="preserve"> the further expressions “closing part [of their kingship]” ([מלכותם]</w:t>
      </w:r>
      <w:r w:rsidR="001D014D" w:rsidRPr="0066103C">
        <w:t xml:space="preserve"> </w:t>
      </w:r>
      <w:r w:rsidR="00CC03AD" w:rsidRPr="0066103C">
        <w:t xml:space="preserve"> אחרית, v 23) and “distant days” (רבים</w:t>
      </w:r>
      <w:r w:rsidRPr="0066103C">
        <w:t xml:space="preserve"> </w:t>
      </w:r>
      <w:r w:rsidRPr="0066103C">
        <w:rPr>
          <w:rFonts w:ascii="Arial" w:hAnsi="Arial" w:cs="Arial"/>
        </w:rPr>
        <w:t>ימים</w:t>
      </w:r>
      <w:r w:rsidRPr="0066103C">
        <w:t>, v 26). Like their English equivalents, these terms</w:t>
      </w:r>
      <w:r w:rsidR="00CC03AD" w:rsidRPr="0066103C">
        <w:t xml:space="preserve"> are everyday words. None inherently refers to the absolute End, and only their contexts tell us whether the expressions in the various combinations refer to the end of a particular period of time or to the End of Time. </w:t>
      </w:r>
      <w:r w:rsidR="0046412E" w:rsidRPr="0066103C">
        <w:t>And “within the context of this vision ‘the end’ (19) need not be ‘The End,’ the ultimate end of history.”</w:t>
      </w:r>
      <w:r w:rsidR="0046412E" w:rsidRPr="0066103C">
        <w:rPr>
          <w:vertAlign w:val="superscript"/>
        </w:rPr>
        <w:footnoteReference w:id="357"/>
      </w:r>
    </w:p>
    <w:p w:rsidR="007C067B" w:rsidRPr="0066103C" w:rsidRDefault="00CC03AD" w:rsidP="00CC03AD">
      <w:r w:rsidRPr="0066103C">
        <w:t>The notion of a period characterized by wrath is one of the aspects of Dan 8 that r</w:t>
      </w:r>
      <w:r w:rsidR="00365F8C">
        <w:t>eflects Zech 1, where the Babylonian period</w:t>
      </w:r>
      <w:r w:rsidRPr="0066103C">
        <w:t xml:space="preserve"> is a period of wrath (</w:t>
      </w:r>
      <w:r w:rsidR="001D014D" w:rsidRPr="0066103C">
        <w:t xml:space="preserve">Zech </w:t>
      </w:r>
      <w:r w:rsidRPr="0066103C">
        <w:t>1:12). The context there indicates that reference to wrath does not denot</w:t>
      </w:r>
      <w:r w:rsidR="001D014D" w:rsidRPr="0066103C">
        <w:t>e God’</w:t>
      </w:r>
      <w:r w:rsidR="000A58A7" w:rsidRPr="0066103C">
        <w:t>s punishi</w:t>
      </w:r>
      <w:r w:rsidR="001D014D" w:rsidRPr="0066103C">
        <w:t>ng Israel for its rebellion: although</w:t>
      </w:r>
      <w:r w:rsidR="000A58A7" w:rsidRPr="0066103C">
        <w:t xml:space="preserve"> rebellion was the </w:t>
      </w:r>
      <w:r w:rsidR="00365F8C">
        <w:t>cause of the fall of Jerusalem</w:t>
      </w:r>
      <w:r w:rsidRPr="0066103C">
        <w:t>, the ongoing period o</w:t>
      </w:r>
      <w:r w:rsidR="001D014D" w:rsidRPr="0066103C">
        <w:t>f wrath is one in which Israel is</w:t>
      </w:r>
      <w:r w:rsidRPr="0066103C">
        <w:t xml:space="preserve"> continuing t</w:t>
      </w:r>
      <w:r w:rsidR="000A58A7" w:rsidRPr="0066103C">
        <w:t xml:space="preserve">o be treated harshly </w:t>
      </w:r>
      <w:r w:rsidRPr="0066103C">
        <w:t>b</w:t>
      </w:r>
      <w:r w:rsidR="00AD3961" w:rsidRPr="0066103C">
        <w:t>ecause of the hostility of its</w:t>
      </w:r>
      <w:r w:rsidRPr="0066103C">
        <w:t xml:space="preserve"> enemies rath</w:t>
      </w:r>
      <w:r w:rsidR="000A58A7" w:rsidRPr="0066103C">
        <w:t xml:space="preserve">er than because </w:t>
      </w:r>
      <w:r w:rsidR="00AD3961" w:rsidRPr="0066103C">
        <w:t>of its</w:t>
      </w:r>
      <w:r w:rsidR="000A58A7" w:rsidRPr="0066103C">
        <w:t xml:space="preserve"> own rebellion</w:t>
      </w:r>
      <w:r w:rsidRPr="0066103C">
        <w:t>. In a parallel way 1 Macc 1:64 speaks of Antiochus’s persecution as the coming of very great wr</w:t>
      </w:r>
      <w:r w:rsidR="00AD3961" w:rsidRPr="0066103C">
        <w:t>ath on Israel (cf. 2 Kgs 3:27), and Dan 11:30 speaks specifically of Antiochus’s wrath rather than God’s.</w:t>
      </w:r>
      <w:r w:rsidR="00AD3961" w:rsidRPr="0066103C">
        <w:rPr>
          <w:vertAlign w:val="superscript"/>
        </w:rPr>
        <w:footnoteReference w:id="358"/>
      </w:r>
      <w:r w:rsidR="00AD3961" w:rsidRPr="0066103C">
        <w:t xml:space="preserve"> Indeed, “the ‘wrath’ has become a quasi-technical term for the tribulation cause by those kingdoms, especially in its latter phase.”</w:t>
      </w:r>
      <w:r w:rsidR="00AD3961" w:rsidRPr="0066103C">
        <w:rPr>
          <w:vertAlign w:val="superscript"/>
        </w:rPr>
        <w:t xml:space="preserve"> </w:t>
      </w:r>
      <w:r w:rsidR="00AD3961" w:rsidRPr="0066103C">
        <w:rPr>
          <w:vertAlign w:val="superscript"/>
        </w:rPr>
        <w:footnoteReference w:id="359"/>
      </w:r>
      <w:r w:rsidR="00D45F63">
        <w:t xml:space="preserve"> </w:t>
      </w:r>
      <w:r w:rsidR="00AD3961" w:rsidRPr="0066103C">
        <w:t>I</w:t>
      </w:r>
      <w:r w:rsidRPr="0066103C">
        <w:t xml:space="preserve">t </w:t>
      </w:r>
      <w:r w:rsidR="00AD3961" w:rsidRPr="0066103C">
        <w:t>is thus un</w:t>
      </w:r>
      <w:r w:rsidRPr="0066103C">
        <w:t xml:space="preserve">likely that the seer views Israel’s experience </w:t>
      </w:r>
      <w:r w:rsidR="0055655F" w:rsidRPr="0066103C">
        <w:t xml:space="preserve">in the 160s </w:t>
      </w:r>
      <w:r w:rsidR="00AD3961" w:rsidRPr="0066103C">
        <w:t xml:space="preserve">simply </w:t>
      </w:r>
      <w:r w:rsidRPr="0066103C">
        <w:t>a</w:t>
      </w:r>
      <w:r w:rsidR="000A58A7" w:rsidRPr="0066103C">
        <w:t>s Go</w:t>
      </w:r>
      <w:r w:rsidR="00AD3961" w:rsidRPr="0066103C">
        <w:t>d’s punishment</w:t>
      </w:r>
      <w:r w:rsidRPr="0066103C">
        <w:t>.</w:t>
      </w:r>
      <w:r w:rsidR="000A58A7" w:rsidRPr="0066103C">
        <w:rPr>
          <w:rStyle w:val="FootnoteReference"/>
        </w:rPr>
        <w:footnoteReference w:id="360"/>
      </w:r>
      <w:r w:rsidRPr="0066103C">
        <w:t xml:space="preserve"> </w:t>
      </w:r>
      <w:r w:rsidR="0046412E" w:rsidRPr="0066103C">
        <w:t>On the other hand,</w:t>
      </w:r>
      <w:r w:rsidR="00AD3961" w:rsidRPr="0066103C">
        <w:t xml:space="preserve"> </w:t>
      </w:r>
      <w:r w:rsidR="0046412E" w:rsidRPr="0066103C">
        <w:t>1 Macc 1:11–15, 43, 52–53 likely imply that</w:t>
      </w:r>
      <w:r w:rsidR="00AD3961" w:rsidRPr="0066103C">
        <w:t xml:space="preserve"> Israel’s transgressions contributed to what happened</w:t>
      </w:r>
      <w:r w:rsidR="0046412E" w:rsidRPr="0066103C">
        <w:t xml:space="preserve"> in the 160s</w:t>
      </w:r>
      <w:r w:rsidR="00AD3961" w:rsidRPr="0066103C">
        <w:t xml:space="preserve">, </w:t>
      </w:r>
      <w:r w:rsidR="0046412E" w:rsidRPr="0066103C">
        <w:t>and Dan 9 will point in the same direction. Perhaps Daniel would agree with Zechariah in Lk 1:77, that Israel needs both deliverance and forgiveness.</w:t>
      </w:r>
    </w:p>
    <w:p w:rsidR="00CC03AD" w:rsidRPr="0066103C" w:rsidRDefault="00365F8C" w:rsidP="00CC03AD">
      <w:r>
        <w:t>Both the seventy years of desolation</w:t>
      </w:r>
      <w:r w:rsidR="00CC03AD" w:rsidRPr="0066103C">
        <w:t xml:space="preserve">, which Dan 9 sees as extending to the Antiochene period, and the Antiochene period in particular are </w:t>
      </w:r>
      <w:r w:rsidR="00D45F63">
        <w:t>periods of wrath in the sense that they are</w:t>
      </w:r>
      <w:r w:rsidR="00CC03AD" w:rsidRPr="0066103C">
        <w:t xml:space="preserve"> </w:t>
      </w:r>
      <w:r w:rsidR="00D45F63">
        <w:t xml:space="preserve">periods of </w:t>
      </w:r>
      <w:r w:rsidR="00CC03AD" w:rsidRPr="0066103C">
        <w:t>oppression and suffering. The time of wrath referred to in 8:19 might be either of these</w:t>
      </w:r>
      <w:r w:rsidR="00FF2D48" w:rsidRPr="0066103C">
        <w:t xml:space="preserve"> periods</w:t>
      </w:r>
      <w:r w:rsidR="00CC03AD" w:rsidRPr="0066103C">
        <w:t>, but the lin</w:t>
      </w:r>
      <w:r w:rsidR="00FF2D48" w:rsidRPr="0066103C">
        <w:t xml:space="preserve">k with Zech 1 and </w:t>
      </w:r>
      <w:r w:rsidR="00CC03AD" w:rsidRPr="0066103C">
        <w:t>the vision</w:t>
      </w:r>
      <w:r w:rsidR="00FF2D48" w:rsidRPr="0066103C">
        <w:t>’s beginning</w:t>
      </w:r>
      <w:r w:rsidR="00CC03AD" w:rsidRPr="0066103C">
        <w:t xml:space="preserve"> with the Persian era suggest that</w:t>
      </w:r>
      <w:r>
        <w:t xml:space="preserve"> the whole period from the fall of Jerusalem</w:t>
      </w:r>
      <w:r w:rsidR="00D45F63">
        <w:t xml:space="preserve"> to Antiochus is the time</w:t>
      </w:r>
      <w:r w:rsidR="00FF2D48" w:rsidRPr="0066103C">
        <w:t xml:space="preserve"> of wrath denoted here. T</w:t>
      </w:r>
      <w:r w:rsidR="00CC03AD" w:rsidRPr="0066103C">
        <w:t>his retrospective v</w:t>
      </w:r>
      <w:r w:rsidR="00403126">
        <w:t>iew of these centuries</w:t>
      </w:r>
      <w:r w:rsidR="00FF2D48" w:rsidRPr="0066103C">
        <w:t xml:space="preserve"> contrasts with</w:t>
      </w:r>
      <w:r w:rsidR="00CC03AD" w:rsidRPr="0066103C">
        <w:t xml:space="preserve"> the prospect </w:t>
      </w:r>
      <w:r>
        <w:t xml:space="preserve">set before the Judahites by Zech 1, as by </w:t>
      </w:r>
      <w:r w:rsidR="00FF2D48" w:rsidRPr="0066103C">
        <w:t>prophecy</w:t>
      </w:r>
      <w:r>
        <w:t xml:space="preserve"> during the Babylonian period</w:t>
      </w:r>
      <w:r w:rsidR="00FF2D48" w:rsidRPr="0066103C">
        <w:t xml:space="preserve">. The Second Temple period has not been a time of God’s comfort but a time of God’s </w:t>
      </w:r>
      <w:r w:rsidR="00FF2D48" w:rsidRPr="0066103C">
        <w:lastRenderedPageBreak/>
        <w:t>absence</w:t>
      </w:r>
      <w:r w:rsidR="00CC03AD" w:rsidRPr="0066103C">
        <w:t>.</w:t>
      </w:r>
      <w:r w:rsidR="00FF2D48" w:rsidRPr="0066103C">
        <w:rPr>
          <w:rStyle w:val="FootnoteReference"/>
        </w:rPr>
        <w:footnoteReference w:id="361"/>
      </w:r>
      <w:r w:rsidR="00CC03AD" w:rsidRPr="0066103C">
        <w:t xml:space="preserve"> The “closing part” of this period is thus also the “closing part” of the four kingships (v 23), namely the time of Antiochus (on</w:t>
      </w:r>
      <w:r w:rsidR="00FF2D48" w:rsidRPr="0066103C">
        <w:t xml:space="preserve"> </w:t>
      </w:r>
      <w:r w:rsidR="00CC03AD" w:rsidRPr="0066103C">
        <w:t xml:space="preserve"> אחרית</w:t>
      </w:r>
      <w:r w:rsidR="00D45F63">
        <w:t>, see on 2:28), and t</w:t>
      </w:r>
      <w:r w:rsidR="00CC03AD" w:rsidRPr="0066103C">
        <w:t>he “</w:t>
      </w:r>
      <w:r w:rsidR="00D45F63">
        <w:t>end” in</w:t>
      </w:r>
      <w:r w:rsidR="00FF2D48" w:rsidRPr="0066103C">
        <w:t xml:space="preserve"> v 19 is then the </w:t>
      </w:r>
      <w:r w:rsidR="00CC03AD" w:rsidRPr="0066103C">
        <w:t>termination of this period of wrath.</w:t>
      </w:r>
      <w:r w:rsidR="00D45F63">
        <w:t xml:space="preserve"> </w:t>
      </w:r>
      <w:r w:rsidR="008C49CA">
        <w:t xml:space="preserve">While </w:t>
      </w:r>
      <w:r w:rsidR="00CC03AD" w:rsidRPr="0066103C">
        <w:t xml:space="preserve"> קצת/קץ “end” and</w:t>
      </w:r>
      <w:r w:rsidR="00FF2D48" w:rsidRPr="0066103C">
        <w:t xml:space="preserve"> </w:t>
      </w:r>
      <w:r w:rsidR="00CC03AD" w:rsidRPr="0066103C">
        <w:t xml:space="preserve"> אחרית “latter part” appear in similar p</w:t>
      </w:r>
      <w:r w:rsidR="00FF2D48" w:rsidRPr="0066103C">
        <w:t>hrases (see, e.g., 2:28 and 4:34 [31</w:t>
      </w:r>
      <w:r w:rsidR="00CC03AD" w:rsidRPr="0066103C">
        <w:t>]) and sometimes i</w:t>
      </w:r>
      <w:r w:rsidR="008C49CA">
        <w:t>n the same context (cf. 12:8–9),</w:t>
      </w:r>
      <w:r w:rsidR="00CC03AD" w:rsidRPr="0066103C">
        <w:t xml:space="preserve"> קץ differs from</w:t>
      </w:r>
      <w:r w:rsidR="00FF2D48" w:rsidRPr="0066103C">
        <w:t xml:space="preserve"> </w:t>
      </w:r>
      <w:r w:rsidR="00CC03AD" w:rsidRPr="0066103C">
        <w:t xml:space="preserve"> אחרית in being</w:t>
      </w:r>
      <w:r w:rsidR="00FF2D48" w:rsidRPr="0066103C">
        <w:t xml:space="preserve"> an essentially punctiliar word;</w:t>
      </w:r>
      <w:r w:rsidR="00CC03AD" w:rsidRPr="0066103C">
        <w:t xml:space="preserve"> קצץ means “cut off,” קצה </w:t>
      </w:r>
      <w:r w:rsidR="00FF2D48" w:rsidRPr="0066103C">
        <w:t xml:space="preserve">means </w:t>
      </w:r>
      <w:r w:rsidR="00CC03AD" w:rsidRPr="0066103C">
        <w:t>“extremity” or “edge.”</w:t>
      </w:r>
    </w:p>
    <w:p w:rsidR="00CC03AD" w:rsidRPr="0066103C" w:rsidRDefault="00FF2D48" w:rsidP="00CC03AD">
      <w:r w:rsidRPr="0066103C">
        <w:t>The time described as an “end” is also termed</w:t>
      </w:r>
      <w:r w:rsidR="00CC03AD" w:rsidRPr="0066103C">
        <w:t xml:space="preserve"> “a set moment” (מועד).</w:t>
      </w:r>
      <w:r w:rsidR="0046412E" w:rsidRPr="0066103C">
        <w:t xml:space="preserve">The verb </w:t>
      </w:r>
      <w:r w:rsidR="00CC03AD" w:rsidRPr="0066103C">
        <w:t>יעד</w:t>
      </w:r>
      <w:r w:rsidRPr="0066103C">
        <w:t xml:space="preserve"> means to appoint or assign,</w:t>
      </w:r>
      <w:r w:rsidR="00CC03AD" w:rsidRPr="0066103C">
        <w:t xml:space="preserve"> and the noun denotes a set time, place, or meeting (cf. 1</w:t>
      </w:r>
      <w:r w:rsidRPr="0066103C">
        <w:t xml:space="preserve">1:29; 12:7). It is the designating rather than a </w:t>
      </w:r>
      <w:r w:rsidR="00CC03AD" w:rsidRPr="0066103C">
        <w:t xml:space="preserve">time </w:t>
      </w:r>
      <w:r w:rsidRPr="0066103C">
        <w:t xml:space="preserve">reference </w:t>
      </w:r>
      <w:r w:rsidR="00CC03AD" w:rsidRPr="0066103C">
        <w:t>which is essential to מועד</w:t>
      </w:r>
      <w:r w:rsidRPr="0066103C">
        <w:t>. While</w:t>
      </w:r>
      <w:r w:rsidR="00CC03AD" w:rsidRPr="0066103C">
        <w:t xml:space="preserve"> קץ “end” and מועד “set moment” </w:t>
      </w:r>
      <w:r w:rsidRPr="0066103C">
        <w:t xml:space="preserve">thus </w:t>
      </w:r>
      <w:r w:rsidR="00AF1E3A" w:rsidRPr="0066103C">
        <w:t xml:space="preserve">refer to the same time, </w:t>
      </w:r>
      <w:r w:rsidR="00CC03AD" w:rsidRPr="0066103C">
        <w:t>קץ</w:t>
      </w:r>
      <w:r w:rsidR="00AF1E3A" w:rsidRPr="0066103C">
        <w:t xml:space="preserve"> denotes its </w:t>
      </w:r>
      <w:r w:rsidR="00CC03AD" w:rsidRPr="0066103C">
        <w:t xml:space="preserve">punctiliar </w:t>
      </w:r>
      <w:r w:rsidR="00AF1E3A" w:rsidRPr="0066103C">
        <w:t xml:space="preserve">character </w:t>
      </w:r>
      <w:r w:rsidR="00CC03AD" w:rsidRPr="0066103C">
        <w:t>in relation to what leads up to it, while מועד denotes its</w:t>
      </w:r>
      <w:r w:rsidR="008C49CA">
        <w:t xml:space="preserve"> character as designated by God;</w:t>
      </w:r>
      <w:r w:rsidR="00CC03AD" w:rsidRPr="0066103C">
        <w:t xml:space="preserve"> קץ relates to the horizontal, chronological plane, מועד</w:t>
      </w:r>
      <w:r w:rsidR="00AF1E3A" w:rsidRPr="0066103C">
        <w:t xml:space="preserve"> to the vertical, meta</w:t>
      </w:r>
      <w:r w:rsidR="00CC03AD" w:rsidRPr="0066103C">
        <w:t>historical plane.</w:t>
      </w:r>
    </w:p>
    <w:p w:rsidR="0046412E" w:rsidRPr="0066103C" w:rsidRDefault="00CC03AD" w:rsidP="00CC03AD">
      <w:r w:rsidRPr="0066103C">
        <w:t>“The time of the end” (קץ</w:t>
      </w:r>
      <w:r w:rsidR="00AF1E3A" w:rsidRPr="0066103C">
        <w:t xml:space="preserve"> </w:t>
      </w:r>
      <w:r w:rsidR="00AF1E3A" w:rsidRPr="0066103C">
        <w:rPr>
          <w:rFonts w:ascii="Arial" w:hAnsi="Arial" w:cs="Arial"/>
        </w:rPr>
        <w:t>עת</w:t>
      </w:r>
      <w:r w:rsidRPr="0066103C">
        <w:t xml:space="preserve">, v 17) is a more allusive expression. The “end” must still be the punctiliar moment of the termination of the Antiochene persecution and the vindication of the sanctuary, but this more absolute </w:t>
      </w:r>
      <w:r w:rsidR="00AF1E3A" w:rsidRPr="0066103C">
        <w:t>phrase</w:t>
      </w:r>
      <w:r w:rsidRPr="0066103C">
        <w:t xml:space="preserve"> hints that v 17 </w:t>
      </w:r>
      <w:r w:rsidR="0046412E" w:rsidRPr="0066103C">
        <w:t>does see</w:t>
      </w:r>
      <w:r w:rsidRPr="0066103C">
        <w:t xml:space="preserve"> this </w:t>
      </w:r>
      <w:r w:rsidR="00AF1E3A" w:rsidRPr="0066103C">
        <w:t xml:space="preserve">moment </w:t>
      </w:r>
      <w:r w:rsidRPr="0066103C">
        <w:t>as the End; at least it implies that the end of the Antiochene oppression (v 19) is also the end of the era (יומיא</w:t>
      </w:r>
      <w:r w:rsidR="008C49CA">
        <w:t xml:space="preserve"> </w:t>
      </w:r>
      <w:r w:rsidR="00AF1E3A" w:rsidRPr="0066103C">
        <w:t xml:space="preserve"> </w:t>
      </w:r>
      <w:r w:rsidR="00AF1E3A" w:rsidRPr="0066103C">
        <w:rPr>
          <w:rFonts w:ascii="Arial" w:hAnsi="Arial" w:cs="Arial"/>
        </w:rPr>
        <w:t>חרית</w:t>
      </w:r>
      <w:r w:rsidR="008C49CA">
        <w:rPr>
          <w:rFonts w:ascii="Arial" w:hAnsi="Arial" w:cs="Arial"/>
        </w:rPr>
        <w:t xml:space="preserve"> </w:t>
      </w:r>
      <w:r w:rsidR="008C49CA" w:rsidRPr="008C49CA">
        <w:rPr>
          <w:rFonts w:ascii="Arial" w:hAnsi="Arial" w:cs="Arial"/>
        </w:rPr>
        <w:t>א</w:t>
      </w:r>
      <w:r w:rsidRPr="0066103C">
        <w:t>), the closing scene of the history of Israel and the nat</w:t>
      </w:r>
      <w:r w:rsidR="008C49CA">
        <w:t xml:space="preserve">ions (2:28), and the </w:t>
      </w:r>
      <w:r w:rsidR="00AF1E3A" w:rsidRPr="0066103C">
        <w:t>moment of a</w:t>
      </w:r>
      <w:r w:rsidRPr="0066103C">
        <w:t xml:space="preserve"> final judgment (</w:t>
      </w:r>
      <w:r w:rsidR="00AF1E3A" w:rsidRPr="0066103C">
        <w:t xml:space="preserve">cf. </w:t>
      </w:r>
      <w:r w:rsidRPr="0066103C">
        <w:t xml:space="preserve"> סופא</w:t>
      </w:r>
      <w:r w:rsidR="00AF1E3A" w:rsidRPr="0066103C">
        <w:t xml:space="preserve"> </w:t>
      </w:r>
      <w:r w:rsidR="00AF1E3A" w:rsidRPr="0066103C">
        <w:rPr>
          <w:rFonts w:ascii="Arial" w:hAnsi="Arial" w:cs="Arial"/>
        </w:rPr>
        <w:t>עד</w:t>
      </w:r>
      <w:r w:rsidRPr="0066103C">
        <w:t xml:space="preserve">, 7:26). It is open to the further explication </w:t>
      </w:r>
      <w:r w:rsidR="0046412E" w:rsidRPr="0066103C">
        <w:t>of what the End will involve, which will</w:t>
      </w:r>
      <w:r w:rsidRPr="0066103C">
        <w:t xml:space="preserve"> be offered in </w:t>
      </w:r>
      <w:r w:rsidR="00AF1E3A" w:rsidRPr="0066103C">
        <w:t>chap. 12; yet the context here in v 14b</w:t>
      </w:r>
      <w:r w:rsidRPr="0066103C">
        <w:t xml:space="preserve"> also includes a more down-to-earth understanding of what the End will mean for Israel than the one that appears in chap. 12. In 11:35, 40; 12:4, 9, “the time of the end” is the period leading up to the End, the period in which the audie</w:t>
      </w:r>
      <w:r w:rsidR="00AF1E3A" w:rsidRPr="0066103C">
        <w:t xml:space="preserve">nce of these visions </w:t>
      </w:r>
      <w:r w:rsidRPr="0066103C">
        <w:t>live</w:t>
      </w:r>
      <w:r w:rsidR="00AF1E3A" w:rsidRPr="0066103C">
        <w:t>s</w:t>
      </w:r>
      <w:r w:rsidRPr="0066103C">
        <w:t xml:space="preserve">. This </w:t>
      </w:r>
      <w:r w:rsidR="00AF1E3A" w:rsidRPr="0066103C">
        <w:t xml:space="preserve">understanding </w:t>
      </w:r>
      <w:r w:rsidRPr="0066103C">
        <w:t>also fits 8:17–19: the phrase denotes the final act of that historical drama which will come to its actual end with Antiochus’s fall a</w:t>
      </w:r>
      <w:r w:rsidR="00AF1E3A" w:rsidRPr="0066103C">
        <w:t>nd the sanctuary’s restoration</w:t>
      </w:r>
      <w:r w:rsidRPr="0066103C">
        <w:t>.</w:t>
      </w:r>
      <w:r w:rsidR="00AF1E3A" w:rsidRPr="0066103C">
        <w:rPr>
          <w:rStyle w:val="FootnoteReference"/>
        </w:rPr>
        <w:footnoteReference w:id="362"/>
      </w:r>
      <w:r w:rsidRPr="0066103C">
        <w:t xml:space="preserve"> </w:t>
      </w:r>
    </w:p>
    <w:p w:rsidR="00CC03AD" w:rsidRPr="0066103C" w:rsidRDefault="00CC03AD" w:rsidP="00CC03AD">
      <w:r w:rsidRPr="0066103C">
        <w:t>Daniel is not thinking of “the absolute eschatological ‘End,’” of “the final and absolute End for all events” when “h</w:t>
      </w:r>
      <w:r w:rsidR="00AF1E3A" w:rsidRPr="0066103C">
        <w:t>uman history comes to a close</w:t>
      </w:r>
      <w:r w:rsidRPr="0066103C">
        <w:t>.</w:t>
      </w:r>
      <w:r w:rsidR="00AF1E3A" w:rsidRPr="0066103C">
        <w:t>”</w:t>
      </w:r>
      <w:r w:rsidR="00AF1E3A" w:rsidRPr="0066103C">
        <w:rPr>
          <w:rStyle w:val="FootnoteReference"/>
        </w:rPr>
        <w:footnoteReference w:id="363"/>
      </w:r>
      <w:r w:rsidRPr="0066103C">
        <w:t xml:space="preserve"> If anything, further human history on earth is presupposed by talk of the </w:t>
      </w:r>
      <w:r w:rsidR="008C49CA">
        <w:t>sanctuary’s restoration</w:t>
      </w:r>
      <w:r w:rsidRPr="0066103C">
        <w:t>, as it was by talk of a new kingdom in 2:44; 7:14, 18, 27. The End in Daniel is not so different from the Day of Yahweh in the prophets.</w:t>
      </w:r>
      <w:r w:rsidR="001178CD" w:rsidRPr="0066103C">
        <w:rPr>
          <w:rStyle w:val="FootnoteReference"/>
        </w:rPr>
        <w:footnoteReference w:id="364"/>
      </w:r>
      <w:r w:rsidRPr="0066103C">
        <w:t xml:space="preserve"> </w:t>
      </w:r>
      <w:r w:rsidR="00AF1E3A" w:rsidRPr="0066103C">
        <w:t xml:space="preserve">Indeed, </w:t>
      </w:r>
      <w:r w:rsidRPr="0066103C">
        <w:t>קץ</w:t>
      </w:r>
      <w:r w:rsidR="00AF1E3A" w:rsidRPr="0066103C">
        <w:t xml:space="preserve"> is</w:t>
      </w:r>
      <w:r w:rsidRPr="0066103C">
        <w:t xml:space="preserve"> one of the expressions Daniel derives from the prophets: see Hab 2:3; also Amos 8:2; Ezek 7:1–7; cf. Lam 4:18. The seer’s use of Hab 2:3 may be compared and</w:t>
      </w:r>
      <w:r w:rsidR="00AF1E3A" w:rsidRPr="0066103C">
        <w:t xml:space="preserve"> contrasted with that in 1QpHab 7.5-8</w:t>
      </w:r>
      <w:r w:rsidRPr="0066103C">
        <w:t>, where it is interpreted to mean that “the last time will lengthen, far beyond anything the prophets said: for the myste</w:t>
      </w:r>
      <w:r w:rsidR="0046412E" w:rsidRPr="0066103C">
        <w:t>ries of God are awesome”</w:t>
      </w:r>
      <w:r w:rsidRPr="0066103C">
        <w:t xml:space="preserve"> </w:t>
      </w:r>
      <w:r w:rsidR="00AF1E3A" w:rsidRPr="0066103C">
        <w:t>(</w:t>
      </w:r>
      <w:r w:rsidRPr="0066103C">
        <w:t>here קץ means “time,” as often in</w:t>
      </w:r>
      <w:r w:rsidR="00AF1E3A" w:rsidRPr="0066103C">
        <w:t xml:space="preserve"> the Qumran literature). 1QpHab</w:t>
      </w:r>
      <w:r w:rsidRPr="0066103C">
        <w:t xml:space="preserve"> is directly commenting on Hab</w:t>
      </w:r>
      <w:r w:rsidR="00AF1E3A" w:rsidRPr="0066103C">
        <w:t>akkuk</w:t>
      </w:r>
      <w:r w:rsidRPr="0066103C">
        <w:t>, though its interpretation alters the text’s meaning more explicitly than the less direct allu</w:t>
      </w:r>
      <w:r w:rsidR="00AF1E3A" w:rsidRPr="0066103C">
        <w:t>sion in Dan 8:19 does; 1QpHab’s</w:t>
      </w:r>
      <w:r w:rsidRPr="0066103C">
        <w:t xml:space="preserve"> use of Hab 2:3 corresponds more to the reinterpretation of Jer 25 in Dan 9.</w:t>
      </w:r>
    </w:p>
    <w:p w:rsidR="00CC03AD" w:rsidRPr="0066103C" w:rsidRDefault="00CC03AD" w:rsidP="00CC03AD">
      <w:r w:rsidRPr="0066103C">
        <w:t>Chronologically, then, “the time of the end” denotes a similar period to “</w:t>
      </w:r>
      <w:r w:rsidR="0022792C" w:rsidRPr="0066103C">
        <w:t xml:space="preserve">the </w:t>
      </w:r>
      <w:r w:rsidR="008C49CA">
        <w:t>latter part of the wrath,” but it</w:t>
      </w:r>
      <w:r w:rsidR="0022792C" w:rsidRPr="0066103C">
        <w:t xml:space="preserve"> </w:t>
      </w:r>
      <w:r w:rsidR="0046412E" w:rsidRPr="0066103C">
        <w:t xml:space="preserve">looks at this period </w:t>
      </w:r>
      <w:r w:rsidR="008C49CA">
        <w:t xml:space="preserve">in which the seer </w:t>
      </w:r>
      <w:r w:rsidR="0046412E" w:rsidRPr="0066103C">
        <w:t xml:space="preserve">lives </w:t>
      </w:r>
      <w:r w:rsidRPr="0066103C">
        <w:t>from the perspective of</w:t>
      </w:r>
      <w:r w:rsidR="008C49CA">
        <w:t xml:space="preserve"> where it is leading, whereas the second expression</w:t>
      </w:r>
      <w:r w:rsidRPr="0066103C">
        <w:t xml:space="preserve"> </w:t>
      </w:r>
      <w:r w:rsidR="008C49CA">
        <w:t xml:space="preserve">looks </w:t>
      </w:r>
      <w:r w:rsidRPr="0066103C">
        <w:t>from the perspective of what has led to it. “Distant days” (v 26) and “the closing part</w:t>
      </w:r>
      <w:r w:rsidR="00DD2CA6" w:rsidRPr="0066103C">
        <w:t xml:space="preserve"> of their kingship” (v 23) </w:t>
      </w:r>
      <w:r w:rsidRPr="0066103C">
        <w:t xml:space="preserve">both also refer to approximately the same period. The former looks at it purely chronologically in relation to the </w:t>
      </w:r>
      <w:r w:rsidR="00365F8C">
        <w:t>Babylonian period</w:t>
      </w:r>
      <w:r w:rsidRPr="0066103C">
        <w:t>. The latter looks at it chronologically in relation to the history of the empires, but perhaps also hints that that violent story will come to some sort of cataclysmic end.</w:t>
      </w:r>
    </w:p>
    <w:p w:rsidR="00CC03AD" w:rsidRPr="0066103C" w:rsidRDefault="00CC03AD" w:rsidP="00CC03AD">
      <w:r w:rsidRPr="0066103C">
        <w:t>The comparative significance of these various terms may be seen diagrammatically:</w:t>
      </w:r>
    </w:p>
    <w:p w:rsidR="00CC03AD" w:rsidRPr="0066103C" w:rsidRDefault="00CC03AD" w:rsidP="0022792C">
      <w:pPr>
        <w:ind w:firstLine="0"/>
      </w:pPr>
    </w:p>
    <w:p w:rsidR="0022792C" w:rsidRPr="0066103C" w:rsidRDefault="0022792C" w:rsidP="0022792C">
      <w:pPr>
        <w:ind w:firstLine="0"/>
        <w:rPr>
          <w:i/>
        </w:rPr>
      </w:pPr>
      <w:r w:rsidRPr="0066103C">
        <w:rPr>
          <w:i/>
        </w:rPr>
        <w:lastRenderedPageBreak/>
        <w:t>The history of</w:t>
      </w:r>
      <w:r w:rsidRPr="0066103C">
        <w:rPr>
          <w:i/>
        </w:rPr>
        <w:tab/>
      </w:r>
      <w:r w:rsidRPr="0066103C">
        <w:rPr>
          <w:i/>
        </w:rPr>
        <w:tab/>
        <w:t>The rule of</w:t>
      </w:r>
    </w:p>
    <w:p w:rsidR="0022792C" w:rsidRPr="0066103C" w:rsidRDefault="0022792C" w:rsidP="0022792C">
      <w:pPr>
        <w:ind w:firstLine="0"/>
        <w:rPr>
          <w:i/>
        </w:rPr>
      </w:pPr>
      <w:r w:rsidRPr="0066103C">
        <w:rPr>
          <w:i/>
        </w:rPr>
        <w:t>independent Israel</w:t>
      </w:r>
      <w:r w:rsidRPr="0066103C">
        <w:rPr>
          <w:i/>
        </w:rPr>
        <w:tab/>
        <w:t>the empires</w:t>
      </w:r>
      <w:r w:rsidRPr="0066103C">
        <w:rPr>
          <w:i/>
        </w:rPr>
        <w:tab/>
        <w:t>Antiochus’s persecution</w:t>
      </w:r>
      <w:r w:rsidRPr="0066103C">
        <w:rPr>
          <w:i/>
        </w:rPr>
        <w:tab/>
      </w:r>
      <w:r w:rsidRPr="0066103C">
        <w:rPr>
          <w:i/>
        </w:rPr>
        <w:tab/>
        <w:t>Antiochus’s fall</w:t>
      </w:r>
    </w:p>
    <w:p w:rsidR="0022792C" w:rsidRPr="0066103C" w:rsidRDefault="0022792C" w:rsidP="0022792C">
      <w:pPr>
        <w:ind w:firstLine="0"/>
      </w:pPr>
      <w:r w:rsidRPr="0066103C">
        <w:tab/>
      </w:r>
      <w:r w:rsidRPr="0066103C">
        <w:tab/>
      </w:r>
      <w:r w:rsidRPr="0066103C">
        <w:tab/>
        <w:t>←------------------wrath--------------------------------------→</w:t>
      </w:r>
      <w:r w:rsidR="00C701A8" w:rsidRPr="0066103C">
        <w:tab/>
      </w:r>
      <w:r w:rsidR="00C701A8" w:rsidRPr="0066103C">
        <w:tab/>
        <w:t>v 19</w:t>
      </w:r>
    </w:p>
    <w:p w:rsidR="0022792C" w:rsidRPr="0066103C" w:rsidRDefault="0022792C" w:rsidP="0022792C">
      <w:pPr>
        <w:ind w:firstLine="0"/>
      </w:pPr>
      <w:r w:rsidRPr="0066103C">
        <w:tab/>
      </w:r>
      <w:r w:rsidRPr="0066103C">
        <w:tab/>
      </w:r>
      <w:r w:rsidRPr="0066103C">
        <w:tab/>
      </w:r>
      <w:r w:rsidRPr="0066103C">
        <w:tab/>
        <w:t>←-------the closing part of wrath--------------→</w:t>
      </w:r>
      <w:r w:rsidR="00C701A8" w:rsidRPr="0066103C">
        <w:tab/>
      </w:r>
      <w:r w:rsidR="00C701A8" w:rsidRPr="0066103C">
        <w:tab/>
        <w:t>v 19</w:t>
      </w:r>
    </w:p>
    <w:p w:rsidR="0022792C" w:rsidRPr="0066103C" w:rsidRDefault="00C701A8" w:rsidP="0022792C">
      <w:pPr>
        <w:ind w:firstLine="0"/>
      </w:pPr>
      <w:r w:rsidRPr="0066103C">
        <w:tab/>
      </w:r>
      <w:r w:rsidRPr="0066103C">
        <w:tab/>
      </w:r>
      <w:r w:rsidRPr="0066103C">
        <w:tab/>
      </w:r>
      <w:r w:rsidRPr="0066103C">
        <w:tab/>
      </w:r>
      <w:r w:rsidRPr="0066103C">
        <w:tab/>
      </w:r>
      <w:r w:rsidRPr="0066103C">
        <w:tab/>
      </w:r>
      <w:r w:rsidRPr="0066103C">
        <w:tab/>
      </w:r>
      <w:r w:rsidRPr="0066103C">
        <w:tab/>
      </w:r>
      <w:r w:rsidR="0022792C" w:rsidRPr="0066103C">
        <w:t>the end of wrath</w:t>
      </w:r>
      <w:r w:rsidRPr="0066103C">
        <w:tab/>
        <w:t>v 19</w:t>
      </w:r>
    </w:p>
    <w:p w:rsidR="0022792C" w:rsidRPr="0066103C" w:rsidRDefault="00C701A8" w:rsidP="0022792C">
      <w:pPr>
        <w:ind w:firstLine="0"/>
      </w:pPr>
      <w:r w:rsidRPr="0066103C">
        <w:tab/>
      </w:r>
      <w:r w:rsidRPr="0066103C">
        <w:tab/>
      </w:r>
      <w:r w:rsidRPr="0066103C">
        <w:tab/>
      </w:r>
      <w:r w:rsidRPr="0066103C">
        <w:tab/>
      </w:r>
      <w:r w:rsidRPr="0066103C">
        <w:tab/>
      </w:r>
      <w:r w:rsidRPr="0066103C">
        <w:tab/>
      </w:r>
      <w:r w:rsidRPr="0066103C">
        <w:tab/>
      </w:r>
      <w:r w:rsidRPr="0066103C">
        <w:tab/>
      </w:r>
      <w:r w:rsidR="0022792C" w:rsidRPr="0066103C">
        <w:t>the set moment</w:t>
      </w:r>
      <w:r w:rsidRPr="0066103C">
        <w:tab/>
      </w:r>
      <w:r w:rsidRPr="0066103C">
        <w:tab/>
        <w:t>v 19</w:t>
      </w:r>
    </w:p>
    <w:p w:rsidR="0022792C" w:rsidRPr="0066103C" w:rsidRDefault="0022792C" w:rsidP="0022792C">
      <w:pPr>
        <w:ind w:firstLine="0"/>
      </w:pPr>
      <w:r w:rsidRPr="0066103C">
        <w:tab/>
      </w:r>
      <w:r w:rsidRPr="0066103C">
        <w:tab/>
      </w:r>
      <w:r w:rsidRPr="0066103C">
        <w:tab/>
      </w:r>
      <w:r w:rsidRPr="0066103C">
        <w:tab/>
        <w:t xml:space="preserve">←-------the time of </w:t>
      </w:r>
      <w:r w:rsidR="00C701A8" w:rsidRPr="0066103C">
        <w:t>the end</w:t>
      </w:r>
      <w:r w:rsidRPr="0066103C">
        <w:t>---------------------→</w:t>
      </w:r>
      <w:r w:rsidR="00C701A8" w:rsidRPr="0066103C">
        <w:tab/>
      </w:r>
      <w:r w:rsidR="00C701A8" w:rsidRPr="0066103C">
        <w:tab/>
        <w:t>v 17</w:t>
      </w:r>
    </w:p>
    <w:p w:rsidR="0022792C" w:rsidRPr="0066103C" w:rsidRDefault="0022792C" w:rsidP="0022792C">
      <w:pPr>
        <w:ind w:firstLine="0"/>
      </w:pPr>
      <w:r w:rsidRPr="0066103C">
        <w:tab/>
      </w:r>
      <w:r w:rsidRPr="0066103C">
        <w:tab/>
      </w:r>
      <w:r w:rsidRPr="0066103C">
        <w:tab/>
      </w:r>
      <w:r w:rsidRPr="0066103C">
        <w:tab/>
      </w:r>
      <w:r w:rsidRPr="0066103C">
        <w:tab/>
      </w:r>
      <w:r w:rsidRPr="0066103C">
        <w:tab/>
      </w:r>
      <w:r w:rsidRPr="0066103C">
        <w:tab/>
      </w:r>
      <w:r w:rsidRPr="0066103C">
        <w:tab/>
      </w:r>
      <w:r w:rsidRPr="0066103C">
        <w:tab/>
        <w:t>the end</w:t>
      </w:r>
      <w:r w:rsidR="00C701A8" w:rsidRPr="0066103C">
        <w:tab/>
      </w:r>
      <w:r w:rsidR="00C701A8" w:rsidRPr="0066103C">
        <w:tab/>
        <w:t>v 17</w:t>
      </w:r>
    </w:p>
    <w:p w:rsidR="0022792C" w:rsidRPr="0066103C" w:rsidRDefault="0022792C" w:rsidP="0022792C">
      <w:pPr>
        <w:ind w:firstLine="0"/>
      </w:pPr>
      <w:r w:rsidRPr="0066103C">
        <w:tab/>
      </w:r>
      <w:r w:rsidRPr="0066103C">
        <w:tab/>
      </w:r>
      <w:r w:rsidRPr="0066103C">
        <w:tab/>
      </w:r>
      <w:r w:rsidRPr="0066103C">
        <w:tab/>
        <w:t>←-------the closing part of their kingship</w:t>
      </w:r>
      <w:r w:rsidR="00C701A8" w:rsidRPr="0066103C">
        <w:t>----→</w:t>
      </w:r>
      <w:r w:rsidR="00C701A8" w:rsidRPr="0066103C">
        <w:tab/>
      </w:r>
      <w:r w:rsidR="00C701A8" w:rsidRPr="0066103C">
        <w:tab/>
        <w:t>v 23</w:t>
      </w:r>
    </w:p>
    <w:p w:rsidR="0022792C" w:rsidRPr="0066103C" w:rsidRDefault="0022792C" w:rsidP="0022792C">
      <w:pPr>
        <w:ind w:firstLine="0"/>
        <w:rPr>
          <w:i/>
        </w:rPr>
      </w:pPr>
      <w:r w:rsidRPr="0066103C">
        <w:tab/>
      </w:r>
      <w:r w:rsidRPr="0066103C">
        <w:tab/>
      </w:r>
      <w:r w:rsidRPr="0066103C">
        <w:tab/>
      </w:r>
      <w:r w:rsidRPr="0066103C">
        <w:tab/>
        <w:t>←-------distant days</w:t>
      </w:r>
      <w:r w:rsidR="00C701A8" w:rsidRPr="0066103C">
        <w:t>-------------------------------→</w:t>
      </w:r>
      <w:r w:rsidR="00C701A8" w:rsidRPr="0066103C">
        <w:tab/>
      </w:r>
      <w:r w:rsidR="00C701A8" w:rsidRPr="0066103C">
        <w:tab/>
        <w:t>v 26</w:t>
      </w:r>
    </w:p>
    <w:p w:rsidR="0022792C" w:rsidRPr="0066103C" w:rsidRDefault="0022792C" w:rsidP="0022792C">
      <w:pPr>
        <w:ind w:firstLine="0"/>
        <w:rPr>
          <w:i/>
        </w:rPr>
      </w:pPr>
    </w:p>
    <w:p w:rsidR="00925C35" w:rsidRPr="00925C35" w:rsidRDefault="00925C35" w:rsidP="00A6242A">
      <w:r>
        <w:t>The expressions “set moment” and “end” recur in Sir</w:t>
      </w:r>
      <w:r w:rsidR="002A35EE">
        <w:t>ach</w:t>
      </w:r>
      <w:r>
        <w:t xml:space="preserve"> 36</w:t>
      </w:r>
      <w:r w:rsidR="002A35EE">
        <w:t xml:space="preserve"> </w:t>
      </w:r>
      <w:r>
        <w:t>[33]:8, though not as a construct phrase, and such parallels with Daniel hardly prove that Daniel antedates Sirach.</w:t>
      </w:r>
      <w:r>
        <w:rPr>
          <w:rStyle w:val="FootnoteReference"/>
        </w:rPr>
        <w:footnoteReference w:id="365"/>
      </w:r>
    </w:p>
    <w:p w:rsidR="00A6242A" w:rsidRPr="0066103C" w:rsidRDefault="00CC03AD" w:rsidP="00A6242A">
      <w:r w:rsidRPr="00925C35">
        <w:rPr>
          <w:b/>
        </w:rPr>
        <w:t>20–25</w:t>
      </w:r>
      <w:r w:rsidRPr="0066103C">
        <w:t xml:space="preserve"> The identification of the political entities denoted by the animals and horns is hardly made to unveil somethi</w:t>
      </w:r>
      <w:r w:rsidR="00C701A8" w:rsidRPr="0066103C">
        <w:t>ng that was otherwise obscure. I</w:t>
      </w:r>
      <w:r w:rsidRPr="0066103C">
        <w:t>t was obvious enough who</w:t>
      </w:r>
      <w:r w:rsidR="006D0023" w:rsidRPr="0066103C">
        <w:t>m vv 3–12 signified</w:t>
      </w:r>
      <w:r w:rsidRPr="0066103C">
        <w:t>.</w:t>
      </w:r>
      <w:r w:rsidR="006D0023" w:rsidRPr="0066103C">
        <w:t xml:space="preserve"> Thus the climax of the interpretive vision comes in the </w:t>
      </w:r>
      <w:r w:rsidR="00A6242A" w:rsidRPr="0066103C">
        <w:t>further description of Antiochus in v</w:t>
      </w:r>
      <w:r w:rsidR="000C1456" w:rsidRPr="0066103C">
        <w:t>v</w:t>
      </w:r>
      <w:r w:rsidR="00A6242A" w:rsidRPr="0066103C">
        <w:t xml:space="preserve"> 23-25, expressed in </w:t>
      </w:r>
      <w:r w:rsidR="00F67B4F" w:rsidRPr="0066103C">
        <w:t>rhythmic bicola until they end</w:t>
      </w:r>
      <w:r w:rsidR="00A6242A" w:rsidRPr="0066103C">
        <w:t xml:space="preserve"> with a climactic tricolon whose closing with its “rhetorical economy… deflates Antiochus’s massive pretensions.”</w:t>
      </w:r>
      <w:r w:rsidR="00A6242A" w:rsidRPr="0066103C">
        <w:rPr>
          <w:vertAlign w:val="superscript"/>
        </w:rPr>
        <w:footnoteReference w:id="366"/>
      </w:r>
    </w:p>
    <w:p w:rsidR="00CC03AD" w:rsidRPr="0066103C" w:rsidRDefault="003F2C0A" w:rsidP="00CC03AD">
      <w:r>
        <w:t>Regarding</w:t>
      </w:r>
      <w:r w:rsidR="00C701A8" w:rsidRPr="0066103C">
        <w:t xml:space="preserve"> </w:t>
      </w:r>
      <w:r w:rsidR="00CC03AD" w:rsidRPr="0066103C">
        <w:t xml:space="preserve">the </w:t>
      </w:r>
      <w:r w:rsidR="00C701A8" w:rsidRPr="0066103C">
        <w:t>time when “their kingship draws to a close</w:t>
      </w:r>
      <w:r w:rsidR="00CC03AD" w:rsidRPr="0066103C">
        <w:t>” (v 23)</w:t>
      </w:r>
      <w:r w:rsidR="00C701A8" w:rsidRPr="0066103C">
        <w:t>,</w:t>
      </w:r>
      <w:r w:rsidR="00CC03AD" w:rsidRPr="0066103C">
        <w:t xml:space="preserve"> see on vv 15–19. פשעים</w:t>
      </w:r>
      <w:r w:rsidR="00C701A8" w:rsidRPr="0066103C">
        <w:t xml:space="preserve"> “rebels” denotes people who break</w:t>
      </w:r>
      <w:r w:rsidR="00CC03AD" w:rsidRPr="0066103C">
        <w:t xml:space="preserve"> obligations to another party. In international relationships </w:t>
      </w:r>
      <w:r w:rsidR="00674718" w:rsidRPr="0066103C">
        <w:t xml:space="preserve">as well as in relation to God </w:t>
      </w:r>
      <w:r w:rsidR="00CC03AD" w:rsidRPr="0066103C">
        <w:t>the verb thus denotes rebellion (2 Kgs 1:1; 3:5, 7</w:t>
      </w:r>
      <w:r w:rsidR="00674718" w:rsidRPr="0066103C">
        <w:t xml:space="preserve">); </w:t>
      </w:r>
      <w:r w:rsidR="004500F7" w:rsidRPr="0066103C">
        <w:t>EVV</w:t>
      </w:r>
      <w:r w:rsidR="00674718" w:rsidRPr="0066103C">
        <w:t xml:space="preserve"> “transgression” obscures the point</w:t>
      </w:r>
      <w:r w:rsidR="00CC03AD" w:rsidRPr="0066103C">
        <w:t>.</w:t>
      </w:r>
      <w:r w:rsidR="00674718" w:rsidRPr="0066103C">
        <w:t xml:space="preserve"> While t</w:t>
      </w:r>
      <w:r w:rsidR="00C701A8" w:rsidRPr="0066103C">
        <w:t xml:space="preserve">here were Israelite </w:t>
      </w:r>
      <w:r w:rsidR="00CC03AD" w:rsidRPr="0066103C">
        <w:t>rebels who could be seen as opening the way for An</w:t>
      </w:r>
      <w:r w:rsidR="00674718" w:rsidRPr="0066103C">
        <w:t>tiochus</w:t>
      </w:r>
      <w:r w:rsidR="00CC03AD" w:rsidRPr="0066103C">
        <w:t xml:space="preserve">, </w:t>
      </w:r>
      <w:r w:rsidR="00C85A37">
        <w:t>as</w:t>
      </w:r>
      <w:r w:rsidR="00674718" w:rsidRPr="0066103C">
        <w:t xml:space="preserve"> in </w:t>
      </w:r>
      <w:r w:rsidR="000D1837">
        <w:t>v</w:t>
      </w:r>
      <w:r w:rsidR="00674718" w:rsidRPr="0066103C">
        <w:t xml:space="preserve"> 12</w:t>
      </w:r>
      <w:r w:rsidR="00CC03AD" w:rsidRPr="0066103C">
        <w:t xml:space="preserve"> t</w:t>
      </w:r>
      <w:r w:rsidR="00C85A37">
        <w:t>his</w:t>
      </w:r>
      <w:r w:rsidR="00674718" w:rsidRPr="0066103C">
        <w:t xml:space="preserve"> rebelliousness will be that of</w:t>
      </w:r>
      <w:r w:rsidR="00C701A8" w:rsidRPr="0066103C">
        <w:t xml:space="preserve"> Gentiles</w:t>
      </w:r>
      <w:r w:rsidR="00674718" w:rsidRPr="0066103C">
        <w:t xml:space="preserve"> attacking God and his people in Jerusalem</w:t>
      </w:r>
      <w:r w:rsidR="00C701A8" w:rsidRPr="0066103C">
        <w:t>. T</w:t>
      </w:r>
      <w:r w:rsidR="00CC03AD" w:rsidRPr="0066103C">
        <w:t>he notion of rebels or rebellions reac</w:t>
      </w:r>
      <w:r w:rsidR="00674718" w:rsidRPr="0066103C">
        <w:t>hing full measure applies well</w:t>
      </w:r>
      <w:r w:rsidR="00CC03AD" w:rsidRPr="0066103C">
        <w:t xml:space="preserve"> to Gentiles:</w:t>
      </w:r>
      <w:r w:rsidR="00C701A8" w:rsidRPr="0066103C">
        <w:t xml:space="preserve"> see Gen 15:16; Wis 19:1–4; and </w:t>
      </w:r>
      <w:r w:rsidR="00CC03AD" w:rsidRPr="0066103C">
        <w:t>especially, with reference to the Antioch</w:t>
      </w:r>
      <w:r w:rsidR="00C701A8" w:rsidRPr="0066103C">
        <w:t>ene period, 2 Macc 6:13–16. That</w:t>
      </w:r>
      <w:r w:rsidR="00CC03AD" w:rsidRPr="0066103C">
        <w:t xml:space="preserve"> passage </w:t>
      </w:r>
      <w:r w:rsidR="00C701A8" w:rsidRPr="0066103C">
        <w:t>is most explicit on the difference between God’s treatment of Jews and Gentiles which is presupposed by the idea of rebels or rebellions reaching full measure</w:t>
      </w:r>
      <w:r w:rsidR="00CC03AD" w:rsidRPr="0066103C">
        <w:t>. Go</w:t>
      </w:r>
      <w:r w:rsidR="00C701A8" w:rsidRPr="0066103C">
        <w:t xml:space="preserve">d is forbearing with the </w:t>
      </w:r>
      <w:r w:rsidR="00CC03AD" w:rsidRPr="0066103C">
        <w:t>Gentiles</w:t>
      </w:r>
      <w:r w:rsidR="00C701A8" w:rsidRPr="0066103C">
        <w:t>’ wrongdoing</w:t>
      </w:r>
      <w:r w:rsidR="00CC03AD" w:rsidRPr="0066103C">
        <w:t xml:space="preserve">, but </w:t>
      </w:r>
      <w:r w:rsidR="00674718" w:rsidRPr="0066103C">
        <w:t>this</w:t>
      </w:r>
      <w:r w:rsidR="00C701A8" w:rsidRPr="0066103C">
        <w:t xml:space="preserve"> forbearance involves allowing their wrongdoing</w:t>
      </w:r>
      <w:r w:rsidR="00CC03AD" w:rsidRPr="0066103C">
        <w:t xml:space="preserve"> to reach an extreme form that nec</w:t>
      </w:r>
      <w:r w:rsidR="00674718" w:rsidRPr="0066103C">
        <w:t>essitates radical punishment. God</w:t>
      </w:r>
      <w:r w:rsidR="00CC03AD" w:rsidRPr="0066103C">
        <w:t xml:space="preserve"> chastises Jew</w:t>
      </w:r>
      <w:r w:rsidR="00732BA6" w:rsidRPr="0066103C">
        <w:t>s without waiting for their wrongdoing</w:t>
      </w:r>
      <w:r w:rsidR="00CC03AD" w:rsidRPr="0066103C">
        <w:t xml:space="preserve"> to reach full measure, so </w:t>
      </w:r>
      <w:r w:rsidR="00732BA6" w:rsidRPr="0066103C">
        <w:t>as to seek to draw them</w:t>
      </w:r>
      <w:r w:rsidR="00CC03AD" w:rsidRPr="0066103C">
        <w:t xml:space="preserve"> back to him and </w:t>
      </w:r>
      <w:r w:rsidR="00732BA6" w:rsidRPr="0066103C">
        <w:t>so that they are not finally forsaken. God’s</w:t>
      </w:r>
      <w:r w:rsidR="00CC03AD" w:rsidRPr="0066103C">
        <w:t xml:space="preserve"> forbearance with Gentiles in the time of Abraham (Gen 15:16), the exodus (Wis 19:1–4), and Antiochus (2 Macc 6:13–16) gives them the op</w:t>
      </w:r>
      <w:r w:rsidR="00732BA6" w:rsidRPr="0066103C">
        <w:t>portunity to repent</w:t>
      </w:r>
      <w:r w:rsidR="00CC03AD" w:rsidRPr="0066103C">
        <w:t xml:space="preserve">, but </w:t>
      </w:r>
      <w:r w:rsidR="00732BA6" w:rsidRPr="0066103C">
        <w:t xml:space="preserve">it </w:t>
      </w:r>
      <w:r w:rsidR="00674718" w:rsidRPr="0066103C">
        <w:t>serves God’</w:t>
      </w:r>
      <w:r w:rsidR="00CC03AD" w:rsidRPr="0066103C">
        <w:t>s purpose to bring deliverance and bles</w:t>
      </w:r>
      <w:r w:rsidR="00674718" w:rsidRPr="0066103C">
        <w:t>sing to his people</w:t>
      </w:r>
      <w:r w:rsidR="00CC03AD" w:rsidRPr="0066103C">
        <w:t xml:space="preserve"> through a judgment </w:t>
      </w:r>
      <w:r w:rsidR="00C85A37">
        <w:t xml:space="preserve">that is </w:t>
      </w:r>
      <w:r w:rsidR="00CC03AD" w:rsidRPr="0066103C">
        <w:t>justified by Gentiles’ failure to repent.</w:t>
      </w:r>
    </w:p>
    <w:p w:rsidR="00CC03AD" w:rsidRPr="0066103C" w:rsidRDefault="00CC03AD" w:rsidP="00CC03AD">
      <w:r w:rsidRPr="0066103C">
        <w:t>Two key aspects of Daniel’s portrait of Antiochus are summarized in v 23</w:t>
      </w:r>
      <w:r w:rsidR="00732BA6" w:rsidRPr="0066103C">
        <w:t>b and expanded in vv 24 and 25</w:t>
      </w:r>
      <w:r w:rsidRPr="0066103C">
        <w:t>,</w:t>
      </w:r>
      <w:r w:rsidR="00732BA6" w:rsidRPr="0066103C">
        <w:rPr>
          <w:rStyle w:val="FootnoteReference"/>
        </w:rPr>
        <w:footnoteReference w:id="367"/>
      </w:r>
      <w:r w:rsidRPr="0066103C">
        <w:t xml:space="preserve"> his ruthless boldness </w:t>
      </w:r>
      <w:r w:rsidR="00732BA6" w:rsidRPr="0066103C">
        <w:t>and his artful cleverness. These characteristics are not mere</w:t>
      </w:r>
      <w:r w:rsidRPr="0066103C">
        <w:t xml:space="preserve"> randomly observed aspects of a particular person’s character. Nor does the seer imply that Antiochus only looks fierce and</w:t>
      </w:r>
      <w:r w:rsidR="00674718" w:rsidRPr="0066103C">
        <w:t>/or</w:t>
      </w:r>
      <w:r w:rsidRPr="0066103C">
        <w:t xml:space="preserve"> </w:t>
      </w:r>
      <w:r w:rsidR="00C85A37">
        <w:t xml:space="preserve">that he </w:t>
      </w:r>
      <w:r w:rsidRPr="0066103C">
        <w:t>compensates for lack of real strength by trickery. Used for evil ends, Antiochus’s t</w:t>
      </w:r>
      <w:r w:rsidR="00674718" w:rsidRPr="0066103C">
        <w:t xml:space="preserve">wo characteristics are both </w:t>
      </w:r>
      <w:r w:rsidRPr="0066103C">
        <w:t>elements in the standard portra</w:t>
      </w:r>
      <w:r w:rsidR="001B68F6" w:rsidRPr="0066103C">
        <w:t>yal of a tyrant</w:t>
      </w:r>
      <w:r w:rsidR="00C85A37">
        <w:t>.</w:t>
      </w:r>
      <w:r w:rsidR="00732BA6" w:rsidRPr="0066103C">
        <w:rPr>
          <w:rStyle w:val="FootnoteReference"/>
        </w:rPr>
        <w:footnoteReference w:id="368"/>
      </w:r>
      <w:r w:rsidR="00674718" w:rsidRPr="0066103C">
        <w:t xml:space="preserve"> </w:t>
      </w:r>
      <w:r w:rsidR="00C85A37">
        <w:t xml:space="preserve">They are </w:t>
      </w:r>
      <w:r w:rsidRPr="0066103C">
        <w:t xml:space="preserve">not so much descriptions of Antiochus’s </w:t>
      </w:r>
      <w:r w:rsidR="00C85A37">
        <w:t xml:space="preserve">distinctive </w:t>
      </w:r>
      <w:r w:rsidRPr="0066103C">
        <w:t xml:space="preserve">personal character as elements in a stylized characterization of him as a wicked king (see also </w:t>
      </w:r>
      <w:r w:rsidRPr="0066103C">
        <w:rPr>
          <w:i/>
        </w:rPr>
        <w:t>Form</w:t>
      </w:r>
      <w:r w:rsidRPr="0066103C">
        <w:t xml:space="preserve">). More neutrally, </w:t>
      </w:r>
      <w:r w:rsidR="00C85A37">
        <w:t xml:space="preserve">however, </w:t>
      </w:r>
      <w:r w:rsidRPr="0066103C">
        <w:t>they are key attributes of any king. Even if Antiochus cannot be compared with Alexander (but see n. 24.a-a), he is quite strong enough to</w:t>
      </w:r>
      <w:r w:rsidR="00732BA6" w:rsidRPr="0066103C">
        <w:t xml:space="preserve"> do just as he wishes with Judah</w:t>
      </w:r>
      <w:r w:rsidRPr="0066103C">
        <w:t xml:space="preserve">. The “ease” with which he </w:t>
      </w:r>
      <w:r w:rsidR="00674718" w:rsidRPr="0066103C">
        <w:t xml:space="preserve">achieves his ends is </w:t>
      </w:r>
      <w:r w:rsidR="00674718" w:rsidRPr="0066103C">
        <w:lastRenderedPageBreak/>
        <w:t>another aspec</w:t>
      </w:r>
      <w:r w:rsidRPr="0066103C">
        <w:t>t of the standard c</w:t>
      </w:r>
      <w:r w:rsidR="00732BA6" w:rsidRPr="0066103C">
        <w:t>haracterization (cf. Ezek 38–39</w:t>
      </w:r>
      <w:r w:rsidRPr="0066103C">
        <w:t>)</w:t>
      </w:r>
      <w:r w:rsidR="00674718" w:rsidRPr="0066103C">
        <w:t>,</w:t>
      </w:r>
      <w:r w:rsidR="00732BA6" w:rsidRPr="0066103C">
        <w:rPr>
          <w:rStyle w:val="FootnoteReference"/>
        </w:rPr>
        <w:footnoteReference w:id="369"/>
      </w:r>
      <w:r w:rsidR="00732BA6" w:rsidRPr="0066103C">
        <w:t xml:space="preserve"> rather than having distinctive</w:t>
      </w:r>
      <w:r w:rsidR="00674718" w:rsidRPr="0066103C">
        <w:t xml:space="preserve"> historical reference. His expertise with things that are</w:t>
      </w:r>
      <w:r w:rsidRPr="0066103C">
        <w:t xml:space="preserve"> enigmatic (חידות</w:t>
      </w:r>
      <w:r w:rsidR="00732BA6" w:rsidRPr="0066103C">
        <w:t>) is another</w:t>
      </w:r>
      <w:r w:rsidR="00C85A37">
        <w:t xml:space="preserve"> necessary attribute of</w:t>
      </w:r>
      <w:r w:rsidRPr="0066103C">
        <w:t xml:space="preserve"> a king, as is reflected in the portrayal of Solomon in comparison with the Queen of Sheba and King Hiram of Tyre (1 Kgs 10; Josephus, </w:t>
      </w:r>
      <w:r w:rsidR="00884655">
        <w:rPr>
          <w:i/>
        </w:rPr>
        <w:t>Antiquities</w:t>
      </w:r>
      <w:r w:rsidRPr="0066103C">
        <w:t xml:space="preserve"> 8.5.3 [8.141–49]).</w:t>
      </w:r>
      <w:r w:rsidR="00732BA6" w:rsidRPr="0066103C">
        <w:rPr>
          <w:rStyle w:val="FootnoteReference"/>
        </w:rPr>
        <w:footnoteReference w:id="370"/>
      </w:r>
      <w:r w:rsidR="00C85A37">
        <w:t xml:space="preserve"> T</w:t>
      </w:r>
      <w:r w:rsidR="00674718" w:rsidRPr="0066103C">
        <w:t>here may</w:t>
      </w:r>
      <w:r w:rsidR="00732BA6" w:rsidRPr="0066103C">
        <w:t xml:space="preserve"> </w:t>
      </w:r>
      <w:r w:rsidR="00C85A37">
        <w:t xml:space="preserve">nevertheless </w:t>
      </w:r>
      <w:r w:rsidR="00732BA6" w:rsidRPr="0066103C">
        <w:t>be</w:t>
      </w:r>
      <w:r w:rsidRPr="0066103C">
        <w:t xml:space="preserve"> a pejorative impli</w:t>
      </w:r>
      <w:r w:rsidR="00732BA6" w:rsidRPr="0066103C">
        <w:t xml:space="preserve">cation about this expression, if it </w:t>
      </w:r>
      <w:r w:rsidRPr="0066103C">
        <w:t>suggest</w:t>
      </w:r>
      <w:r w:rsidR="00732BA6" w:rsidRPr="0066103C">
        <w:t>s</w:t>
      </w:r>
      <w:r w:rsidRPr="0066103C">
        <w:t xml:space="preserve"> that Antiochus can interpret heavenly secrets as a result of forcing h</w:t>
      </w:r>
      <w:r w:rsidR="00732BA6" w:rsidRPr="0066103C">
        <w:t>is way into the heavenly realm.</w:t>
      </w:r>
      <w:r w:rsidR="00732BA6" w:rsidRPr="0066103C">
        <w:rPr>
          <w:rStyle w:val="FootnoteReference"/>
        </w:rPr>
        <w:footnoteReference w:id="371"/>
      </w:r>
      <w:r w:rsidR="00674718" w:rsidRPr="0066103C">
        <w:t xml:space="preserve"> Hi</w:t>
      </w:r>
      <w:r w:rsidR="00732BA6" w:rsidRPr="0066103C">
        <w:t>s deceitfulness</w:t>
      </w:r>
      <w:r w:rsidRPr="0066103C">
        <w:t xml:space="preserve"> </w:t>
      </w:r>
      <w:r w:rsidR="00732BA6" w:rsidRPr="0066103C">
        <w:t>(see 11:21, 23, 24, 27, 32)</w:t>
      </w:r>
      <w:r w:rsidRPr="0066103C">
        <w:t xml:space="preserve"> is illustrated in 1 Macc 1:29–30; see also his manipulation of the high-priesthood, 2 Macc 4:7–29.</w:t>
      </w:r>
    </w:p>
    <w:p w:rsidR="00FA5292" w:rsidRPr="0066103C" w:rsidRDefault="00CC03AD" w:rsidP="00CC03AD">
      <w:r w:rsidRPr="0066103C">
        <w:t>Throughout these verses, the objects of his vio</w:t>
      </w:r>
      <w:r w:rsidR="00C84A4E" w:rsidRPr="0066103C">
        <w:t xml:space="preserve">lence and trickery are </w:t>
      </w:r>
      <w:r w:rsidRPr="0066103C">
        <w:t>the people of God. While “mighty” (עצומים) would be a natural term for f</w:t>
      </w:r>
      <w:r w:rsidR="00C85A37">
        <w:t>oreign enemies (cf. 11:25), that</w:t>
      </w:r>
      <w:r w:rsidRPr="0066103C">
        <w:t xml:space="preserve"> reference is l</w:t>
      </w:r>
      <w:r w:rsidR="00FA5292" w:rsidRPr="0066103C">
        <w:t>ess relevant in the context: compare</w:t>
      </w:r>
      <w:r w:rsidRPr="0066103C">
        <w:t xml:space="preserve"> the focus on Jews in 1 Macc 1:24–32; 2 Macc 5:11–14</w:t>
      </w:r>
      <w:r w:rsidR="00FA5292" w:rsidRPr="0066103C">
        <w:t>,</w:t>
      </w:r>
      <w:r w:rsidRPr="0066103C">
        <w:t xml:space="preserve"> and the</w:t>
      </w:r>
    </w:p>
    <w:p w:rsidR="00CC03AD" w:rsidRPr="0066103C" w:rsidRDefault="00FA5292" w:rsidP="00FA5292">
      <w:pPr>
        <w:ind w:firstLine="0"/>
      </w:pPr>
      <w:r w:rsidRPr="0066103C">
        <w:rPr>
          <w:rFonts w:ascii="Arial" w:hAnsi="Arial" w:cs="Arial"/>
        </w:rPr>
        <w:t>עצום</w:t>
      </w:r>
      <w:r w:rsidRPr="0066103C">
        <w:t xml:space="preserve"> </w:t>
      </w:r>
      <w:r w:rsidR="00CC03AD" w:rsidRPr="0066103C">
        <w:t xml:space="preserve"> עם</w:t>
      </w:r>
      <w:r w:rsidRPr="0066103C">
        <w:t xml:space="preserve"> </w:t>
      </w:r>
      <w:r w:rsidR="00CC03AD" w:rsidRPr="0066103C">
        <w:t>of Ps 35:18</w:t>
      </w:r>
      <w:r w:rsidRPr="0066103C">
        <w:t>. Before God, the people of Judah</w:t>
      </w:r>
      <w:r w:rsidR="00CC03AD" w:rsidRPr="0066103C">
        <w:t xml:space="preserve"> are mighty ones, so Antiochus’s contempt for the</w:t>
      </w:r>
      <w:r w:rsidRPr="0066103C">
        <w:t>m augurs ill for him. T</w:t>
      </w:r>
      <w:r w:rsidR="00CC03AD" w:rsidRPr="0066103C">
        <w:t xml:space="preserve">he following phrase </w:t>
      </w:r>
      <w:r w:rsidRPr="0066103C">
        <w:t>make</w:t>
      </w:r>
      <w:r w:rsidR="00C84A4E" w:rsidRPr="0066103C">
        <w:t>s</w:t>
      </w:r>
      <w:r w:rsidR="00CC03AD" w:rsidRPr="0066103C">
        <w:t xml:space="preserve"> this </w:t>
      </w:r>
      <w:r w:rsidRPr="0066103C">
        <w:t xml:space="preserve">point </w:t>
      </w:r>
      <w:r w:rsidR="00CC03AD" w:rsidRPr="0066103C">
        <w:t>explicit (see n. 24.c-c): the mighty are a people of holy ones. The hol</w:t>
      </w:r>
      <w:r w:rsidRPr="0066103C">
        <w:t>y ones who are the object of Antiochus’s</w:t>
      </w:r>
      <w:r w:rsidR="00CC03AD" w:rsidRPr="0066103C">
        <w:t xml:space="preserve"> attacks are further described as רבים</w:t>
      </w:r>
      <w:r w:rsidRPr="0066103C">
        <w:t xml:space="preserve"> (“many,” v 25),</w:t>
      </w:r>
      <w:r w:rsidR="00CC03AD" w:rsidRPr="0066103C">
        <w:t xml:space="preserve"> </w:t>
      </w:r>
      <w:r w:rsidRPr="0066103C">
        <w:t>which</w:t>
      </w:r>
      <w:r w:rsidR="00CC03AD" w:rsidRPr="0066103C">
        <w:t xml:space="preserve"> </w:t>
      </w:r>
      <w:r w:rsidR="00C85A37">
        <w:t xml:space="preserve">also </w:t>
      </w:r>
      <w:r w:rsidR="00CC03AD" w:rsidRPr="0066103C">
        <w:t>parallels עצומים “migh</w:t>
      </w:r>
      <w:r w:rsidRPr="0066103C">
        <w:t xml:space="preserve">ty” in Isa 53:12; </w:t>
      </w:r>
      <w:r w:rsidR="00CC03AD" w:rsidRPr="0066103C">
        <w:t xml:space="preserve">all these </w:t>
      </w:r>
      <w:r w:rsidR="00C85A37">
        <w:t>terms ar</w:t>
      </w:r>
      <w:r w:rsidRPr="0066103C">
        <w:t>e</w:t>
      </w:r>
      <w:r w:rsidR="00CC03AD" w:rsidRPr="0066103C">
        <w:t xml:space="preserve"> the self-descriptions </w:t>
      </w:r>
      <w:r w:rsidRPr="0066103C">
        <w:t>of the conservative Jews. “M</w:t>
      </w:r>
      <w:r w:rsidR="00CC03AD" w:rsidRPr="0066103C">
        <w:t>any” becomes a frequent term in Daniel’s visions and a technical term for the faithful community in 1QS 6.20–23.</w:t>
      </w:r>
      <w:r w:rsidRPr="0066103C">
        <w:rPr>
          <w:rStyle w:val="FootnoteReference"/>
        </w:rPr>
        <w:footnoteReference w:id="372"/>
      </w:r>
      <w:r w:rsidRPr="0066103C">
        <w:t xml:space="preserve"> </w:t>
      </w:r>
      <w:r w:rsidR="00C84A4E" w:rsidRPr="0066103C">
        <w:t xml:space="preserve">Whereas </w:t>
      </w:r>
      <w:r w:rsidR="00C84A4E" w:rsidRPr="0066103C">
        <w:rPr>
          <w:rFonts w:ascii="Arial" w:hAnsi="Arial" w:cs="Arial"/>
        </w:rPr>
        <w:t>קדשים</w:t>
      </w:r>
      <w:r w:rsidR="00C84A4E" w:rsidRPr="0066103C">
        <w:t xml:space="preserve"> and </w:t>
      </w:r>
      <w:r w:rsidR="00C84A4E" w:rsidRPr="0066103C">
        <w:rPr>
          <w:rFonts w:ascii="Arial" w:hAnsi="Arial" w:cs="Arial"/>
        </w:rPr>
        <w:t>עצומים</w:t>
      </w:r>
      <w:r w:rsidR="00C84A4E" w:rsidRPr="0066103C">
        <w:t xml:space="preserve"> might be used of either earthly or heavenly beings, </w:t>
      </w:r>
      <w:r w:rsidR="00C84A4E" w:rsidRPr="0066103C">
        <w:rPr>
          <w:rFonts w:ascii="Arial" w:hAnsi="Arial" w:cs="Arial"/>
        </w:rPr>
        <w:t>רבים</w:t>
      </w:r>
      <w:r w:rsidR="00CC03AD" w:rsidRPr="0066103C">
        <w:t xml:space="preserve"> suggests that the objects of Antioch</w:t>
      </w:r>
      <w:r w:rsidR="00C84A4E" w:rsidRPr="0066103C">
        <w:t>us’s attacks are earthly figures</w:t>
      </w:r>
      <w:r w:rsidR="00CC03AD" w:rsidRPr="0066103C">
        <w:t>.</w:t>
      </w:r>
    </w:p>
    <w:p w:rsidR="00CC03AD" w:rsidRPr="0066103C" w:rsidRDefault="00CC03AD" w:rsidP="00CC03AD">
      <w:r w:rsidRPr="0066103C">
        <w:t>The leader supreme (</w:t>
      </w:r>
      <w:r w:rsidR="00945C8C">
        <w:t xml:space="preserve"> </w:t>
      </w:r>
      <w:r w:rsidRPr="0066103C">
        <w:t>שרים</w:t>
      </w:r>
      <w:r w:rsidR="00FA5292" w:rsidRPr="0066103C">
        <w:t xml:space="preserve"> </w:t>
      </w:r>
      <w:r w:rsidR="00FA5292" w:rsidRPr="0066103C">
        <w:rPr>
          <w:rFonts w:ascii="Arial" w:hAnsi="Arial" w:cs="Arial"/>
        </w:rPr>
        <w:t>שר</w:t>
      </w:r>
      <w:r w:rsidRPr="0066103C">
        <w:t xml:space="preserve">, “leader of leaders”) against </w:t>
      </w:r>
      <w:r w:rsidR="00C84A4E" w:rsidRPr="0066103C">
        <w:t xml:space="preserve">whom Antiochus sets himself is God </w:t>
      </w:r>
      <w:r w:rsidRPr="0066103C">
        <w:t xml:space="preserve">(see v 11 </w:t>
      </w:r>
      <w:r w:rsidRPr="0066103C">
        <w:rPr>
          <w:i/>
        </w:rPr>
        <w:t>Commen</w:t>
      </w:r>
      <w:r w:rsidR="00FA5292" w:rsidRPr="0066103C">
        <w:rPr>
          <w:i/>
        </w:rPr>
        <w:t>t</w:t>
      </w:r>
      <w:r w:rsidR="00FA5292" w:rsidRPr="0066103C">
        <w:t xml:space="preserve">). Setting himself </w:t>
      </w:r>
      <w:r w:rsidRPr="0066103C">
        <w:t xml:space="preserve">against God will bring </w:t>
      </w:r>
      <w:r w:rsidR="00FA5292" w:rsidRPr="0066103C">
        <w:t>Antiochus’s</w:t>
      </w:r>
      <w:r w:rsidRPr="0066103C">
        <w:t xml:space="preserve"> rebellion</w:t>
      </w:r>
      <w:r w:rsidR="00FA5292" w:rsidRPr="0066103C">
        <w:t xml:space="preserve"> to its ultimate point, but thereby to the point where God intervenes. Antiochus</w:t>
      </w:r>
      <w:r w:rsidR="00C85A37">
        <w:t xml:space="preserve"> breaks: once again a</w:t>
      </w:r>
      <w:r w:rsidRPr="0066103C">
        <w:t xml:space="preserve"> term </w:t>
      </w:r>
      <w:r w:rsidR="00C84A4E" w:rsidRPr="0066103C">
        <w:t xml:space="preserve">appropriate </w:t>
      </w:r>
      <w:r w:rsidRPr="0066103C">
        <w:t>in the symbolic vision</w:t>
      </w:r>
      <w:r w:rsidR="00C85A37">
        <w:t xml:space="preserve">, where it refers to </w:t>
      </w:r>
      <w:r w:rsidR="00C85A37" w:rsidRPr="00C85A37">
        <w:t>horns</w:t>
      </w:r>
      <w:r w:rsidR="00C85A37">
        <w:t>,</w:t>
      </w:r>
      <w:r w:rsidRPr="0066103C">
        <w:t xml:space="preserve"> enters the </w:t>
      </w:r>
      <w:r w:rsidR="00045B09" w:rsidRPr="0066103C">
        <w:t>interpretive</w:t>
      </w:r>
      <w:r w:rsidRPr="0066103C">
        <w:t xml:space="preserve"> vision. Antiochus’s breaking by no human hand recalls 2:34, 45 (cf. 11:40–45). It might suggest that the seer did not believe in the Maccabeans’ viol</w:t>
      </w:r>
      <w:r w:rsidR="00FA5292" w:rsidRPr="0066103C">
        <w:t>ent</w:t>
      </w:r>
      <w:r w:rsidR="00C84A4E" w:rsidRPr="0066103C">
        <w:t xml:space="preserve"> resistance to Antiochus,</w:t>
      </w:r>
      <w:r w:rsidR="000F564D">
        <w:rPr>
          <w:rStyle w:val="FootnoteReference"/>
        </w:rPr>
        <w:footnoteReference w:id="373"/>
      </w:r>
      <w:r w:rsidR="00C84A4E" w:rsidRPr="0066103C">
        <w:t xml:space="preserve"> though t</w:t>
      </w:r>
      <w:r w:rsidRPr="0066103C">
        <w:t xml:space="preserve">he combination of human activity and divine judgment appears at the climax of the Animal Apocalypse, </w:t>
      </w:r>
      <w:r w:rsidRPr="0066103C">
        <w:rPr>
          <w:i/>
        </w:rPr>
        <w:t>1 Enoch</w:t>
      </w:r>
      <w:r w:rsidR="00FA5292" w:rsidRPr="0066103C">
        <w:t xml:space="preserve"> 90. The vision</w:t>
      </w:r>
      <w:r w:rsidR="00C84A4E" w:rsidRPr="0066103C">
        <w:t xml:space="preserve"> emphasizes</w:t>
      </w:r>
      <w:r w:rsidRPr="0066103C">
        <w:t xml:space="preserve"> the fact of Antio</w:t>
      </w:r>
      <w:r w:rsidR="00FA5292" w:rsidRPr="0066103C">
        <w:t>chus’s fall, not the means of it</w:t>
      </w:r>
      <w:r w:rsidRPr="0066103C">
        <w:t>.</w:t>
      </w:r>
      <w:r w:rsidR="00FA5292" w:rsidRPr="0066103C">
        <w:rPr>
          <w:rStyle w:val="FootnoteReference"/>
        </w:rPr>
        <w:footnoteReference w:id="374"/>
      </w:r>
      <w:r w:rsidR="00C85A37">
        <w:t xml:space="preserve"> 1 </w:t>
      </w:r>
      <w:r w:rsidRPr="0066103C">
        <w:t>and 2 Maccabees agree that Antiochus died in the course of a not-wholly-successful campaign in Persia. His death took place in N</w:t>
      </w:r>
      <w:r w:rsidR="00FA5292" w:rsidRPr="0066103C">
        <w:t>ovember/December 164.</w:t>
      </w:r>
      <w:r w:rsidR="00FA5292" w:rsidRPr="0066103C">
        <w:rPr>
          <w:rStyle w:val="FootnoteReference"/>
        </w:rPr>
        <w:footnoteReference w:id="375"/>
      </w:r>
    </w:p>
    <w:p w:rsidR="00CC03AD" w:rsidRPr="0066103C" w:rsidRDefault="00CC03AD" w:rsidP="00CC03AD">
      <w:r w:rsidRPr="003D082A">
        <w:rPr>
          <w:b/>
        </w:rPr>
        <w:t>26–27</w:t>
      </w:r>
      <w:r w:rsidRPr="0066103C">
        <w:t xml:space="preserve"> Ezekiel’s contemporaries dismissed at least one of his visions on the grounds that it related </w:t>
      </w:r>
      <w:r w:rsidR="00707AD8">
        <w:t>to distant days (12:27). Ezekiel</w:t>
      </w:r>
      <w:r w:rsidR="00C84A4E" w:rsidRPr="0066103C">
        <w:t xml:space="preserve"> </w:t>
      </w:r>
      <w:r w:rsidRPr="0066103C">
        <w:t>knew that God does not speak about dis</w:t>
      </w:r>
      <w:r w:rsidR="00C84A4E" w:rsidRPr="0066103C">
        <w:t xml:space="preserve">tant days in a way that has no implications for the present: his promises and </w:t>
      </w:r>
      <w:r w:rsidRPr="0066103C">
        <w:t>warnings relate to th</w:t>
      </w:r>
      <w:r w:rsidR="00FA5292" w:rsidRPr="0066103C">
        <w:t>e future that is coming upon a</w:t>
      </w:r>
      <w:r w:rsidRPr="0066103C">
        <w:t xml:space="preserve"> prophet’s hearers. The apparent exception here (cf. 10:4) proves the rule, because the real date of the s</w:t>
      </w:r>
      <w:r w:rsidR="00FA5292" w:rsidRPr="0066103C">
        <w:t>eer’s vision is in the 160s</w:t>
      </w:r>
      <w:r w:rsidRPr="0066103C">
        <w:t xml:space="preserve"> and it concerns events</w:t>
      </w:r>
      <w:r w:rsidR="00707AD8">
        <w:t xml:space="preserve"> that are present and imminent</w:t>
      </w:r>
      <w:r w:rsidRPr="0066103C">
        <w:t xml:space="preserve"> for seer and audience. Closing up (סתם) the vision because of its relevance to that far future context might denote merely keeping it safe un</w:t>
      </w:r>
      <w:r w:rsidR="00FA5292" w:rsidRPr="0066103C">
        <w:t>til the day when it is needed, but t</w:t>
      </w:r>
      <w:r w:rsidRPr="0066103C">
        <w:t>he verb m</w:t>
      </w:r>
      <w:r w:rsidR="00FA5292" w:rsidRPr="0066103C">
        <w:t>ore naturally suggests</w:t>
      </w:r>
      <w:r w:rsidRPr="0066103C">
        <w:t xml:space="preserve"> keeping it secret until that da</w:t>
      </w:r>
      <w:r w:rsidR="002B0508" w:rsidRPr="0066103C">
        <w:t>y; it appears alongside “</w:t>
      </w:r>
      <w:r w:rsidRPr="0066103C">
        <w:t>seal” (חתם) in 12:</w:t>
      </w:r>
      <w:r w:rsidR="002B0508" w:rsidRPr="0066103C">
        <w:t xml:space="preserve">4, 9. For a second-century BC </w:t>
      </w:r>
      <w:r w:rsidRPr="0066103C">
        <w:t xml:space="preserve">audience, this </w:t>
      </w:r>
      <w:r w:rsidR="002B0508" w:rsidRPr="0066103C">
        <w:t xml:space="preserve">closing up </w:t>
      </w:r>
      <w:r w:rsidRPr="0066103C">
        <w:t xml:space="preserve">“explains” why the vision has not been heard of before. At the same time, the motif gives parabolic expression to the conviction that the revelation the seer was bringing to his contemporaries really came </w:t>
      </w:r>
      <w:r w:rsidRPr="0066103C">
        <w:lastRenderedPageBreak/>
        <w:t>from God. Its very emergence was a sign that the End, the breaking off of oppression and the fulfillment of God’s p</w:t>
      </w:r>
      <w:r w:rsidR="002B0508" w:rsidRPr="0066103C">
        <w:t>urpose of his people, was near</w:t>
      </w:r>
      <w:r w:rsidRPr="0066103C">
        <w:t>.</w:t>
      </w:r>
      <w:r w:rsidR="002B0508" w:rsidRPr="0066103C">
        <w:rPr>
          <w:rStyle w:val="FootnoteReference"/>
        </w:rPr>
        <w:footnoteReference w:id="376"/>
      </w:r>
    </w:p>
    <w:p w:rsidR="00CC03AD" w:rsidRPr="00CC1756" w:rsidRDefault="00CC03AD" w:rsidP="00CC1756">
      <w:pPr>
        <w:pStyle w:val="Heading2"/>
      </w:pPr>
      <w:r w:rsidRPr="00CC1756">
        <w:t>Explanation</w:t>
      </w:r>
    </w:p>
    <w:p w:rsidR="00CC03AD" w:rsidRPr="0066103C" w:rsidRDefault="002B0508" w:rsidP="00CC03AD">
      <w:r w:rsidRPr="0066103C">
        <w:t>Suppose we imagine the seer</w:t>
      </w:r>
      <w:r w:rsidR="00CC03AD" w:rsidRPr="0066103C">
        <w:t xml:space="preserve"> ref</w:t>
      </w:r>
      <w:r w:rsidRPr="0066103C">
        <w:t>lecting on his vision.</w:t>
      </w:r>
    </w:p>
    <w:p w:rsidR="002B0508" w:rsidRPr="0066103C" w:rsidRDefault="002B0508" w:rsidP="00CC03AD"/>
    <w:p w:rsidR="00CC03AD" w:rsidRPr="0066103C" w:rsidRDefault="00CC03AD" w:rsidP="00CC03AD">
      <w:r w:rsidRPr="00365F8C">
        <w:rPr>
          <w:b/>
        </w:rPr>
        <w:t>1–2</w:t>
      </w:r>
      <w:r w:rsidRPr="0066103C">
        <w:t xml:space="preserve"> My second vision took my first </w:t>
      </w:r>
      <w:r w:rsidR="002B0508" w:rsidRPr="0066103C">
        <w:t xml:space="preserve">one </w:t>
      </w:r>
      <w:r w:rsidRPr="0066103C">
        <w:t>further, and it, too, seemed to be set in the reign of the sacrilegious Belshazzar. Belshazzar’s acts foreshadowed events of our own</w:t>
      </w:r>
      <w:r w:rsidR="002B0508" w:rsidRPr="0066103C">
        <w:t xml:space="preserve"> day</w:t>
      </w:r>
      <w:r w:rsidR="004B04FD" w:rsidRPr="0066103C">
        <w:t xml:space="preserve"> in the context of the trouble Antiochus brought to us</w:t>
      </w:r>
      <w:r w:rsidR="002B0508" w:rsidRPr="0066103C">
        <w:t>, but</w:t>
      </w:r>
      <w:r w:rsidRPr="0066103C">
        <w:t xml:space="preserve"> his fall </w:t>
      </w:r>
      <w:r w:rsidR="002B0508" w:rsidRPr="0066103C">
        <w:t xml:space="preserve">also </w:t>
      </w:r>
      <w:r w:rsidRPr="0066103C">
        <w:t>foreshadowed the ju</w:t>
      </w:r>
      <w:r w:rsidR="002B0508" w:rsidRPr="0066103C">
        <w:t>dgment we looked forward to</w:t>
      </w:r>
      <w:r w:rsidRPr="0066103C">
        <w:t>. There can be comfort in the lessons of history. In one sense it was not as awesome a vision as the pre</w:t>
      </w:r>
      <w:r w:rsidR="00707AD8">
        <w:t>vious one, but I knew it was a vision</w:t>
      </w:r>
      <w:r w:rsidRPr="0066103C">
        <w:t xml:space="preserve"> that I, and other people, needed to pay careful attention to. Its very geographical setting made clear that it did not relate to the </w:t>
      </w:r>
      <w:r w:rsidR="00365F8C">
        <w:t xml:space="preserve">Babylonian period </w:t>
      </w:r>
      <w:r w:rsidRPr="0066103C">
        <w:t>but to later circumstances.</w:t>
      </w:r>
    </w:p>
    <w:p w:rsidR="004B04FD" w:rsidRPr="0066103C" w:rsidRDefault="00CC03AD" w:rsidP="004B04FD">
      <w:r w:rsidRPr="00365F8C">
        <w:rPr>
          <w:b/>
        </w:rPr>
        <w:t>3–12</w:t>
      </w:r>
      <w:r w:rsidRPr="0066103C">
        <w:t xml:space="preserve"> It began with animals again, animals that symbolized national powers full of aggressive strength. Picturing them that way did not imply any great critique of nations: </w:t>
      </w:r>
      <w:r w:rsidR="002B0508" w:rsidRPr="0066103C">
        <w:t>by their nature nations are full of such strength</w:t>
      </w:r>
      <w:r w:rsidRPr="0066103C">
        <w:t xml:space="preserve">. Force and violence are of the essence of their lives. It is how they come into existence and how they stay in existence. My vision offered no further </w:t>
      </w:r>
      <w:r w:rsidR="002B0508" w:rsidRPr="0066103C">
        <w:t>hint regarding the origin of their</w:t>
      </w:r>
      <w:r w:rsidRPr="0066103C">
        <w:t xml:space="preserve"> violence. It did not suggest that supernatural powers, heavenly or demonic, lay behind the activity of the nations. It assumed that they have to be taken seriously in themselves.</w:t>
      </w:r>
      <w:r w:rsidR="004B04FD" w:rsidRPr="0066103C">
        <w:t xml:space="preserve"> But it suggested no glorifying of the achievements of Medo-Persia or Greece and no celebrating of the spread of Greek thinking, culture, and civilization.</w:t>
      </w:r>
    </w:p>
    <w:p w:rsidR="004B04FD" w:rsidRPr="0066103C" w:rsidRDefault="00CC03AD" w:rsidP="00CC03AD">
      <w:r w:rsidRPr="0066103C">
        <w:t xml:space="preserve">New to this vision was the picture of two of these powers in conflict with each other. Neither </w:t>
      </w:r>
      <w:r w:rsidR="004B04FD" w:rsidRPr="0066103C">
        <w:t>of them</w:t>
      </w:r>
      <w:r w:rsidR="002B0508" w:rsidRPr="0066103C">
        <w:t xml:space="preserve"> </w:t>
      </w:r>
      <w:r w:rsidRPr="0066103C">
        <w:t>was particularly good or ba</w:t>
      </w:r>
      <w:r w:rsidR="004B04FD" w:rsidRPr="0066103C">
        <w:t>d, nor was one</w:t>
      </w:r>
      <w:r w:rsidRPr="0066103C">
        <w:t xml:space="preserve"> </w:t>
      </w:r>
      <w:r w:rsidR="00707AD8">
        <w:t xml:space="preserve">of them </w:t>
      </w:r>
      <w:r w:rsidRPr="0066103C">
        <w:t>God</w:t>
      </w:r>
      <w:r w:rsidR="00707AD8">
        <w:t xml:space="preserve">’s agent and the other </w:t>
      </w:r>
      <w:r w:rsidRPr="0066103C">
        <w:t>God</w:t>
      </w:r>
      <w:r w:rsidR="00707AD8">
        <w:t>’s opponent</w:t>
      </w:r>
      <w:r w:rsidRPr="0066103C">
        <w:t>.</w:t>
      </w:r>
      <w:r w:rsidR="002B0508" w:rsidRPr="0066103C">
        <w:rPr>
          <w:rStyle w:val="FootnoteReference"/>
        </w:rPr>
        <w:footnoteReference w:id="377"/>
      </w:r>
      <w:r w:rsidRPr="0066103C">
        <w:t xml:space="preserve"> There was no hint of an anti</w:t>
      </w:r>
      <w:r w:rsidR="002B0508" w:rsidRPr="0066103C">
        <w:t>-</w:t>
      </w:r>
      <w:r w:rsidRPr="0066103C">
        <w:t>messiah in the vision. Events were proceeding in a way that did n</w:t>
      </w:r>
      <w:r w:rsidR="00707AD8">
        <w:t>ot manifestly involve God</w:t>
      </w:r>
      <w:r w:rsidRPr="0066103C">
        <w:t xml:space="preserve">. He was either absent from this history or </w:t>
      </w:r>
      <w:r w:rsidR="002B0508" w:rsidRPr="0066103C">
        <w:t xml:space="preserve">was </w:t>
      </w:r>
      <w:r w:rsidRPr="0066103C">
        <w:t>way behind the scenes. The origins of human power did not come into focus. Wh</w:t>
      </w:r>
      <w:r w:rsidR="002B0508" w:rsidRPr="0066103C">
        <w:t>at the vision revealed was the empires’</w:t>
      </w:r>
      <w:r w:rsidRPr="0066103C">
        <w:t xml:space="preserve"> destiny—that is, their fall. Horns, and the human strength they symbolize, are strong</w:t>
      </w:r>
      <w:r w:rsidR="002B0508" w:rsidRPr="0066103C">
        <w:t>,</w:t>
      </w:r>
      <w:r w:rsidRPr="0066103C">
        <w:t xml:space="preserve"> yet </w:t>
      </w:r>
      <w:r w:rsidR="004B04FD" w:rsidRPr="0066103C">
        <w:t xml:space="preserve">they are </w:t>
      </w:r>
      <w:r w:rsidRPr="0066103C">
        <w:t xml:space="preserve">also strangely </w:t>
      </w:r>
      <w:r w:rsidR="002B0508" w:rsidRPr="0066103C">
        <w:t>vulnerable.</w:t>
      </w:r>
      <w:r w:rsidR="002B0508" w:rsidRPr="0066103C">
        <w:rPr>
          <w:rStyle w:val="FootnoteReference"/>
        </w:rPr>
        <w:footnoteReference w:id="378"/>
      </w:r>
      <w:r w:rsidR="002B0508" w:rsidRPr="0066103C">
        <w:t xml:space="preserve"> </w:t>
      </w:r>
      <w:r w:rsidRPr="0066103C">
        <w:t>Each mighty, even apparently unassailable</w:t>
      </w:r>
      <w:r w:rsidR="002B0508" w:rsidRPr="0066103C">
        <w:t>,</w:t>
      </w:r>
      <w:r w:rsidRPr="0066103C">
        <w:t xml:space="preserve"> human power is in due course broken by another—sometimes at the height of its achievement, as if the effort involved in that achievement proves too much. God can view the process with distanced disdain, if he chooses: the nations will resolve their own destiny (Ps 33:10–17). </w:t>
      </w:r>
    </w:p>
    <w:p w:rsidR="002B0508" w:rsidRPr="0066103C" w:rsidRDefault="004B04FD" w:rsidP="00CC03AD">
      <w:r w:rsidRPr="0066103C">
        <w:t>My previous vision made use of the four empire scheme which did not emerge from the history of the empires themselves but was brought to them (like the fourteen-generations scheme in Matt 1:1-17). In contrast, chap. 8 “tries to identify some internal logic to political power per se as it manifests itself in history.”</w:t>
      </w:r>
      <w:r w:rsidRPr="0066103C">
        <w:rPr>
          <w:vertAlign w:val="superscript"/>
        </w:rPr>
        <w:footnoteReference w:id="379"/>
      </w:r>
      <w:r w:rsidRPr="0066103C">
        <w:t xml:space="preserve"> </w:t>
      </w:r>
      <w:r w:rsidR="00CC03AD" w:rsidRPr="0066103C">
        <w:t>His</w:t>
      </w:r>
      <w:r w:rsidRPr="0066103C">
        <w:t>tory</w:t>
      </w:r>
      <w:r w:rsidR="00CC03AD" w:rsidRPr="0066103C">
        <w:t xml:space="preserve"> has its patterns, but they are not imposed on it so as to shape it in a way unrelated to the intrinsic significance of events. The patterns are ones that emerge from the consistencies inherent in human nature, in the world, and in God himself. The arrogance of power works itself out</w:t>
      </w:r>
      <w:r w:rsidR="002B0508" w:rsidRPr="0066103C">
        <w:t>,</w:t>
      </w:r>
      <w:r w:rsidR="00CC03AD" w:rsidRPr="0066103C">
        <w:t xml:space="preserve"> as the aggrandizing growth of one kingdom arouses the envy of another, which challenges and defeats the one that had grown excessively powerful. </w:t>
      </w:r>
    </w:p>
    <w:p w:rsidR="00CC03AD" w:rsidRPr="0066103C" w:rsidRDefault="004B04FD" w:rsidP="00CC03AD">
      <w:r w:rsidRPr="0066103C">
        <w:t>This</w:t>
      </w:r>
      <w:r w:rsidR="00CC03AD" w:rsidRPr="0066103C">
        <w:t xml:space="preserve"> vision was </w:t>
      </w:r>
      <w:r w:rsidRPr="0066103C">
        <w:t xml:space="preserve">again </w:t>
      </w:r>
      <w:r w:rsidR="00CC03AD" w:rsidRPr="0066103C">
        <w:t xml:space="preserve">designed to help people cope with a life-threatening crisis by building up faith and hope. It sought to build up faith by making the present more intelligible, revealing how it </w:t>
      </w:r>
      <w:r w:rsidR="00CC03AD" w:rsidRPr="0066103C">
        <w:lastRenderedPageBreak/>
        <w:t xml:space="preserve">linked logically to the past and took further a shaping of events that could be perceived in the past and </w:t>
      </w:r>
      <w:r w:rsidRPr="0066103C">
        <w:t xml:space="preserve">that </w:t>
      </w:r>
      <w:r w:rsidR="00CC03AD" w:rsidRPr="0066103C">
        <w:t xml:space="preserve">thus showed how history was “less out of control </w:t>
      </w:r>
      <w:r w:rsidR="002B0508" w:rsidRPr="0066103C">
        <w:t>and so somewhat less terrifying</w:t>
      </w:r>
      <w:r w:rsidR="00CC03AD" w:rsidRPr="0066103C">
        <w:t>.</w:t>
      </w:r>
      <w:r w:rsidR="002B0508" w:rsidRPr="0066103C">
        <w:t>”</w:t>
      </w:r>
      <w:r w:rsidR="002B0508" w:rsidRPr="0066103C">
        <w:rPr>
          <w:rStyle w:val="FootnoteReference"/>
        </w:rPr>
        <w:footnoteReference w:id="380"/>
      </w:r>
      <w:r w:rsidR="00CC03AD" w:rsidRPr="0066103C">
        <w:t xml:space="preserve"> It built up hope by using that same patterning as a basis for future projection: “if God made x end in y, he will surely make X end in Y.”</w:t>
      </w:r>
    </w:p>
    <w:p w:rsidR="00D72CAF" w:rsidRPr="0066103C" w:rsidRDefault="00707AD8" w:rsidP="00CC03AD">
      <w:r>
        <w:t>The tone of this vision wa</w:t>
      </w:r>
      <w:r w:rsidR="00C648C7" w:rsidRPr="0066103C">
        <w:t>s “decidedly more somber</w:t>
      </w:r>
      <w:r>
        <w:t>” than the previous one</w:t>
      </w:r>
      <w:r w:rsidR="00C648C7" w:rsidRPr="0066103C">
        <w:t>.</w:t>
      </w:r>
      <w:r w:rsidR="00C648C7" w:rsidRPr="0066103C">
        <w:rPr>
          <w:vertAlign w:val="superscript"/>
        </w:rPr>
        <w:footnoteReference w:id="381"/>
      </w:r>
      <w:r w:rsidR="00C648C7" w:rsidRPr="0066103C">
        <w:t xml:space="preserve"> </w:t>
      </w:r>
      <w:r w:rsidR="00CC03AD" w:rsidRPr="0066103C">
        <w:t xml:space="preserve">When a nation reaches beyond violence </w:t>
      </w:r>
      <w:r w:rsidR="00E025ED" w:rsidRPr="0066103C">
        <w:t xml:space="preserve">towards </w:t>
      </w:r>
      <w:r w:rsidR="00CC03AD" w:rsidRPr="0066103C">
        <w:t xml:space="preserve">other nations like itself to violence </w:t>
      </w:r>
      <w:r w:rsidR="00E025ED" w:rsidRPr="0066103C">
        <w:t xml:space="preserve">towards </w:t>
      </w:r>
      <w:r w:rsidR="00CC03AD" w:rsidRPr="0066103C">
        <w:t>the people of</w:t>
      </w:r>
      <w:r w:rsidR="004B04FD" w:rsidRPr="0066103C">
        <w:t xml:space="preserve"> God and the worship of God, i</w:t>
      </w:r>
      <w:r>
        <w:t>t i</w:t>
      </w:r>
      <w:r w:rsidR="00CC03AD" w:rsidRPr="0066103C">
        <w:t>s a terrible further transg</w:t>
      </w:r>
      <w:r>
        <w:t>ression, but it is also the ac</w:t>
      </w:r>
      <w:r w:rsidR="00CC03AD" w:rsidRPr="0066103C">
        <w:t>t that makes its fall inevitable. The events that overtook us in the 160s were not merely acts of cruel oppression like others. Behind the earthly place of worship, the earthly people, and the earthly priesthood stood supernatural realities: the being of God himself who was worshiped there, a purpose of God to have a witness to himself in the world, a reminder that human power is subject to limits. Attacks on Israel are not the same as attacks on other peoples. Anti-Semitism has an extra dimension. The kind of acts we had witnessed made God s</w:t>
      </w:r>
      <w:r w:rsidR="001A609B" w:rsidRPr="0066103C">
        <w:t>ubservient to politics, which is then</w:t>
      </w:r>
      <w:r w:rsidR="00CC03AD" w:rsidRPr="0066103C">
        <w:t xml:space="preserve"> not merely politics’</w:t>
      </w:r>
      <w:r w:rsidR="001A609B" w:rsidRPr="0066103C">
        <w:t xml:space="preserve"> sin </w:t>
      </w:r>
      <w:r>
        <w:t>but its downfall. When these event</w:t>
      </w:r>
      <w:r w:rsidR="001A609B" w:rsidRPr="0066103C">
        <w:t>s</w:t>
      </w:r>
      <w:r w:rsidR="00CC03AD" w:rsidRPr="0066103C">
        <w:t xml:space="preserve"> happen, they are a s</w:t>
      </w:r>
      <w:r w:rsidR="001A609B" w:rsidRPr="0066103C">
        <w:t>trange kind of encouragement, even though it</w:t>
      </w:r>
      <w:r w:rsidR="00CC03AD" w:rsidRPr="0066103C">
        <w:t xml:space="preserve"> is difficult for their victims to view it this way until they can see what is at </w:t>
      </w:r>
      <w:r w:rsidR="001A609B" w:rsidRPr="0066103C">
        <w:t>stake in events of this kind</w:t>
      </w:r>
      <w:r w:rsidR="00CC03AD" w:rsidRPr="0066103C">
        <w:t>.</w:t>
      </w:r>
      <w:r w:rsidR="004B04FD" w:rsidRPr="0066103C">
        <w:t xml:space="preserve"> </w:t>
      </w:r>
      <w:r w:rsidR="00D72CAF" w:rsidRPr="0066103C">
        <w:t xml:space="preserve">“If God’s own ground </w:t>
      </w:r>
      <w:r w:rsidR="00D72CAF" w:rsidRPr="0066103C">
        <w:rPr>
          <w:rStyle w:val="st"/>
        </w:rPr>
        <w:t xml:space="preserve">can be invaded, and the very ordinances which he himself established as an abiding assurance of a vital relationship between his people and himself can be rudely </w:t>
      </w:r>
      <w:r w:rsidR="00D72CAF" w:rsidRPr="0066103C">
        <w:rPr>
          <w:rStyle w:val="Emphasis"/>
          <w:i w:val="0"/>
        </w:rPr>
        <w:t>set aside</w:t>
      </w:r>
      <w:r w:rsidR="00D72CAF" w:rsidRPr="0066103C">
        <w:rPr>
          <w:rStyle w:val="st"/>
        </w:rPr>
        <w:t xml:space="preserve"> by a pagan idolater, can the very security of the universe itself be relied upon?”</w:t>
      </w:r>
      <w:r w:rsidR="00D72CAF" w:rsidRPr="0066103C">
        <w:rPr>
          <w:rStyle w:val="FootnoteReference"/>
        </w:rPr>
        <w:footnoteReference w:id="382"/>
      </w:r>
      <w:r w:rsidR="004B04FD" w:rsidRPr="0066103C">
        <w:rPr>
          <w:rStyle w:val="st"/>
        </w:rPr>
        <w:t xml:space="preserve"> The seriousness of the invasion’s implications mean </w:t>
      </w:r>
      <w:r>
        <w:rPr>
          <w:rStyle w:val="st"/>
        </w:rPr>
        <w:t xml:space="preserve">that </w:t>
      </w:r>
      <w:r w:rsidR="004B04FD" w:rsidRPr="0066103C">
        <w:rPr>
          <w:rStyle w:val="st"/>
        </w:rPr>
        <w:t>God must take action.</w:t>
      </w:r>
    </w:p>
    <w:p w:rsidR="00CC03AD" w:rsidRPr="0066103C" w:rsidRDefault="00CC03AD" w:rsidP="00CC03AD">
      <w:r w:rsidRPr="00FF4F3A">
        <w:rPr>
          <w:b/>
        </w:rPr>
        <w:t>13–14</w:t>
      </w:r>
      <w:r w:rsidRPr="0066103C">
        <w:t xml:space="preserve"> There was a further encouragement in the awareness that these events were matters of scandal and concern not only on earth but in heaven. Of course we ourselves were groaning “how long?” to ourselves and to God, like the psalmists. But in my vision that groan was shared by others (cf. the “how long?” of the martyrs in Rev 6:10).</w:t>
      </w:r>
      <w:r w:rsidR="00380E8B" w:rsidRPr="0066103C">
        <w:t xml:space="preserve"> </w:t>
      </w:r>
      <w:r w:rsidR="00867674" w:rsidRPr="0066103C">
        <w:t xml:space="preserve">How long? </w:t>
      </w:r>
      <w:r w:rsidR="00380E8B" w:rsidRPr="0066103C">
        <w:t>“The question encapsulates in a harrowing phrase the unrequited suffering of the innocent through all ages</w:t>
      </w:r>
      <w:r w:rsidR="00E959EA" w:rsidRPr="0066103C">
        <w:t>.</w:t>
      </w:r>
      <w:r w:rsidR="00380E8B" w:rsidRPr="0066103C">
        <w:t>”</w:t>
      </w:r>
      <w:r w:rsidR="00380E8B" w:rsidRPr="0066103C">
        <w:rPr>
          <w:rStyle w:val="FootnoteReference"/>
        </w:rPr>
        <w:footnoteReference w:id="383"/>
      </w:r>
      <w:r w:rsidR="00057506" w:rsidRPr="0066103C">
        <w:t xml:space="preserve"> </w:t>
      </w:r>
      <w:r w:rsidR="0007158E" w:rsidRPr="0066103C">
        <w:t>As the NT will make</w:t>
      </w:r>
      <w:r w:rsidR="00FF4F3A">
        <w:t xml:space="preserve"> clear, the appearance of celestial beings</w:t>
      </w:r>
      <w:r w:rsidR="0007158E" w:rsidRPr="0066103C">
        <w:t xml:space="preserve"> in my visions or in other works from Second Temple Judaism does not imply that God himself now seems distant from our lives,</w:t>
      </w:r>
      <w:r w:rsidR="0007158E" w:rsidRPr="0066103C">
        <w:rPr>
          <w:vertAlign w:val="superscript"/>
        </w:rPr>
        <w:footnoteReference w:id="384"/>
      </w:r>
      <w:r w:rsidR="0007158E" w:rsidRPr="0066103C">
        <w:t xml:space="preserve"> though</w:t>
      </w:r>
      <w:r w:rsidR="00707AD8">
        <w:t xml:space="preserve"> it is the case that</w:t>
      </w:r>
      <w:r w:rsidR="0007158E" w:rsidRPr="0066103C">
        <w:t xml:space="preserve"> when God gave </w:t>
      </w:r>
      <w:r w:rsidR="000930FA" w:rsidRPr="0066103C">
        <w:t xml:space="preserve">me </w:t>
      </w:r>
      <w:r w:rsidR="00707AD8">
        <w:t>this vision he</w:t>
      </w:r>
      <w:r w:rsidR="0007158E" w:rsidRPr="0066103C">
        <w:t xml:space="preserve"> was not acting to protect his people.</w:t>
      </w:r>
      <w:r w:rsidR="000930FA" w:rsidRPr="0066103C">
        <w:t xml:space="preserve"> The involvement of heavenly figures with us was an encouragement. </w:t>
      </w:r>
      <w:r w:rsidR="00055EA4">
        <w:t>I knew</w:t>
      </w:r>
      <w:r w:rsidR="00FF4F3A">
        <w:t xml:space="preserve"> that </w:t>
      </w:r>
      <w:r w:rsidR="00055EA4">
        <w:t xml:space="preserve">in asking “how long?” </w:t>
      </w:r>
      <w:r w:rsidR="00FF4F3A">
        <w:t>the heavenly being</w:t>
      </w:r>
      <w:r w:rsidR="00867674" w:rsidRPr="0066103C">
        <w:t xml:space="preserve"> was not merely </w:t>
      </w:r>
      <w:r w:rsidR="00055EA4">
        <w:t xml:space="preserve">being </w:t>
      </w:r>
      <w:r w:rsidR="00867674" w:rsidRPr="0066103C">
        <w:t>inquisitive</w:t>
      </w:r>
      <w:r w:rsidR="00057506" w:rsidRPr="0066103C">
        <w:t xml:space="preserve"> but </w:t>
      </w:r>
      <w:r w:rsidR="00055EA4">
        <w:t xml:space="preserve">was </w:t>
      </w:r>
      <w:r w:rsidR="00057506" w:rsidRPr="0066103C">
        <w:t>sharing in the sorrow of the suffering people of God and concerned for the glory of God.</w:t>
      </w:r>
      <w:r w:rsidR="00057506" w:rsidRPr="0066103C">
        <w:rPr>
          <w:rStyle w:val="FootnoteReference"/>
        </w:rPr>
        <w:footnoteReference w:id="385"/>
      </w:r>
    </w:p>
    <w:p w:rsidR="00CC03AD" w:rsidRPr="0066103C" w:rsidRDefault="00CC03AD" w:rsidP="00CC03AD">
      <w:r w:rsidRPr="0066103C">
        <w:t xml:space="preserve">The central feature in the act of deliverance would be not the destruction of an enemy but the fate of a sanctuary. That </w:t>
      </w:r>
      <w:r w:rsidR="001A609B" w:rsidRPr="0066103C">
        <w:t xml:space="preserve">prospect </w:t>
      </w:r>
      <w:r w:rsidRPr="0066103C">
        <w:t xml:space="preserve">was reflected in the way the holy one set a term to the offensive events: they would last for a period conceived in terms of how long daily sacrifices would be suspended. The climax </w:t>
      </w:r>
      <w:r w:rsidR="00055EA4">
        <w:t xml:space="preserve">of the deliverance </w:t>
      </w:r>
      <w:r w:rsidRPr="0066103C">
        <w:t xml:space="preserve">would come with the vindication of the sanctuary, which would be as significant an event </w:t>
      </w:r>
      <w:r w:rsidR="001A609B" w:rsidRPr="0066103C">
        <w:t xml:space="preserve">for the world </w:t>
      </w:r>
      <w:r w:rsidRPr="0066103C">
        <w:t>as the granting of a worldwide lordship in</w:t>
      </w:r>
      <w:r w:rsidR="001A609B" w:rsidRPr="0066103C">
        <w:t xml:space="preserve"> my first vision (cf. Isa 2:2–4</w:t>
      </w:r>
      <w:r w:rsidRPr="0066103C">
        <w:t>).</w:t>
      </w:r>
      <w:r w:rsidR="001A609B" w:rsidRPr="0066103C">
        <w:rPr>
          <w:rStyle w:val="FootnoteReference"/>
        </w:rPr>
        <w:footnoteReference w:id="386"/>
      </w:r>
    </w:p>
    <w:p w:rsidR="00867674" w:rsidRPr="0066103C" w:rsidRDefault="00867674" w:rsidP="00867674">
      <w:r w:rsidRPr="0066103C">
        <w:t>The figure of 2,300 days</w:t>
      </w:r>
      <w:r w:rsidR="00CC03AD" w:rsidRPr="0066103C">
        <w:t xml:space="preserve"> should not be misinterpreted. Its first significance was to promise that there would be an end, and then that this end was not too far off. But it looked like a symbolic number, and I am not sure it had a literal reference—though I cannot deny that it is interesting that the time from Onias’s death to the restoration was about that period.</w:t>
      </w:r>
      <w:r w:rsidRPr="0066103C">
        <w:t xml:space="preserve"> If people assume</w:t>
      </w:r>
      <w:r w:rsidR="001D014D" w:rsidRPr="0066103C">
        <w:t xml:space="preserve"> that a day refers to a year and </w:t>
      </w:r>
      <w:r w:rsidRPr="0066103C">
        <w:t>count</w:t>
      </w:r>
      <w:r w:rsidR="001D014D" w:rsidRPr="0066103C">
        <w:t xml:space="preserve"> from the time of Nehemiah in 458/457, </w:t>
      </w:r>
      <w:r w:rsidRPr="0066103C">
        <w:t xml:space="preserve">then </w:t>
      </w:r>
      <w:r w:rsidR="001D014D" w:rsidRPr="0066103C">
        <w:t xml:space="preserve">2,300 years </w:t>
      </w:r>
      <w:r w:rsidRPr="0066103C">
        <w:t xml:space="preserve">will </w:t>
      </w:r>
      <w:r w:rsidR="001D014D" w:rsidRPr="0066103C">
        <w:t xml:space="preserve">take one to </w:t>
      </w:r>
      <w:r w:rsidRPr="0066103C">
        <w:t xml:space="preserve">AD </w:t>
      </w:r>
      <w:r w:rsidR="001D014D" w:rsidRPr="0066103C">
        <w:t xml:space="preserve">1843/44, the </w:t>
      </w:r>
      <w:r w:rsidR="001D014D" w:rsidRPr="0066103C">
        <w:lastRenderedPageBreak/>
        <w:t xml:space="preserve">date William Miller </w:t>
      </w:r>
      <w:r w:rsidRPr="0066103C">
        <w:t>will expect the appearing of Jesus. If Jesus does</w:t>
      </w:r>
      <w:r w:rsidR="001D014D" w:rsidRPr="0066103C">
        <w:t xml:space="preserve"> no</w:t>
      </w:r>
      <w:r w:rsidRPr="0066103C">
        <w:t>t appear then, it will be a disconfirmation of the kind that will</w:t>
      </w:r>
      <w:r w:rsidR="001D014D" w:rsidRPr="0066103C">
        <w:t xml:space="preserve"> regularly </w:t>
      </w:r>
      <w:r w:rsidRPr="0066103C">
        <w:t>follow</w:t>
      </w:r>
      <w:r w:rsidR="001D014D" w:rsidRPr="0066103C">
        <w:t xml:space="preserve"> on at</w:t>
      </w:r>
      <w:r w:rsidRPr="0066103C">
        <w:t>tempts to make inferences from my</w:t>
      </w:r>
      <w:r w:rsidR="001D014D" w:rsidRPr="0066103C">
        <w:t xml:space="preserve"> dates, </w:t>
      </w:r>
      <w:r w:rsidRPr="0066103C">
        <w:t>but</w:t>
      </w:r>
      <w:r w:rsidR="001D014D" w:rsidRPr="0066103C">
        <w:t xml:space="preserve"> neither on this occasion nor on othe</w:t>
      </w:r>
      <w:r w:rsidRPr="0066103C">
        <w:t>rs will</w:t>
      </w:r>
      <w:r w:rsidR="001D014D" w:rsidRPr="0066103C">
        <w:t xml:space="preserve"> it </w:t>
      </w:r>
      <w:r w:rsidRPr="0066103C">
        <w:t xml:space="preserve">be </w:t>
      </w:r>
      <w:r w:rsidR="001D014D" w:rsidRPr="0066103C">
        <w:t xml:space="preserve">the case that “the disappointment that </w:t>
      </w:r>
      <w:r w:rsidRPr="0066103C">
        <w:t xml:space="preserve">[disconfirmation] </w:t>
      </w:r>
      <w:r w:rsidR="001D014D" w:rsidRPr="0066103C">
        <w:t>produced led to a temporary end to date-setting.”</w:t>
      </w:r>
      <w:r w:rsidR="001D014D" w:rsidRPr="0066103C">
        <w:rPr>
          <w:rStyle w:val="FootnoteReference"/>
        </w:rPr>
        <w:footnoteReference w:id="387"/>
      </w:r>
      <w:r w:rsidRPr="0066103C">
        <w:t xml:space="preserve"> Actually, the fact that there was an answer to my question may be more important than the content of the answer. Oppression will not go on forever.</w:t>
      </w:r>
      <w:r w:rsidRPr="0066103C">
        <w:rPr>
          <w:vertAlign w:val="superscript"/>
        </w:rPr>
        <w:footnoteReference w:id="388"/>
      </w:r>
    </w:p>
    <w:p w:rsidR="00CC03AD" w:rsidRPr="0066103C" w:rsidRDefault="00CC03AD" w:rsidP="00CC03AD">
      <w:r w:rsidRPr="00365F8C">
        <w:rPr>
          <w:b/>
        </w:rPr>
        <w:t>15–19</w:t>
      </w:r>
      <w:r w:rsidR="001A609B" w:rsidRPr="0066103C">
        <w:t xml:space="preserve"> I do not believe that this promise</w:t>
      </w:r>
      <w:r w:rsidRPr="0066103C">
        <w:t xml:space="preserve"> was merely a comforting human reassurance for people that everything was going to </w:t>
      </w:r>
      <w:r w:rsidR="00055EA4">
        <w:t xml:space="preserve">be all right. It was a </w:t>
      </w:r>
      <w:r w:rsidRPr="0066103C">
        <w:t>God</w:t>
      </w:r>
      <w:r w:rsidR="001A609B" w:rsidRPr="0066103C">
        <w:t>-</w:t>
      </w:r>
      <w:r w:rsidRPr="0066103C">
        <w:t>given</w:t>
      </w:r>
      <w:r w:rsidR="00055EA4">
        <w:t xml:space="preserve"> reassurance</w:t>
      </w:r>
      <w:r w:rsidRPr="0066103C">
        <w:t xml:space="preserve">. I am not </w:t>
      </w:r>
      <w:r w:rsidR="00867674" w:rsidRPr="0066103C">
        <w:t xml:space="preserve">necessarily </w:t>
      </w:r>
      <w:r w:rsidRPr="0066103C">
        <w:t xml:space="preserve">claiming to have heard God </w:t>
      </w:r>
      <w:r w:rsidR="00867674" w:rsidRPr="0066103C">
        <w:t xml:space="preserve">audibly </w:t>
      </w:r>
      <w:r w:rsidRPr="0066103C">
        <w:t>speaking to me. I know I am a mere human being. I am claiming that my message reflects God’s word and suggests a heavenly perspective on events. Nor</w:t>
      </w:r>
      <w:r w:rsidR="001A609B" w:rsidRPr="0066103C">
        <w:t xml:space="preserve"> is it a message about events that have</w:t>
      </w:r>
      <w:r w:rsidRPr="0066103C">
        <w:t xml:space="preserve"> mere passing significance. The attacks of earthly powers on the people of God, </w:t>
      </w:r>
      <w:r w:rsidR="001A609B" w:rsidRPr="0066103C">
        <w:t xml:space="preserve">on </w:t>
      </w:r>
      <w:r w:rsidRPr="0066103C">
        <w:t xml:space="preserve">the worship of God, and </w:t>
      </w:r>
      <w:r w:rsidR="001A609B" w:rsidRPr="0066103C">
        <w:t xml:space="preserve">on </w:t>
      </w:r>
      <w:r w:rsidRPr="0066103C">
        <w:t>the name of God raise ultimate questions, not mere transient ones.</w:t>
      </w:r>
      <w:r w:rsidR="001A609B" w:rsidRPr="0066103C">
        <w:rPr>
          <w:rStyle w:val="FootnoteReference"/>
        </w:rPr>
        <w:footnoteReference w:id="389"/>
      </w:r>
      <w:r w:rsidR="0007158E" w:rsidRPr="0066103C">
        <w:t xml:space="preserve"> In the time of Antiochus we</w:t>
      </w:r>
      <w:r w:rsidR="00055EA4">
        <w:t xml:space="preserve"> saw</w:t>
      </w:r>
      <w:r w:rsidRPr="0066103C">
        <w:t xml:space="preserve"> a fearful intensifying </w:t>
      </w:r>
      <w:r w:rsidR="001A609B" w:rsidRPr="0066103C">
        <w:t>of human despite of God, which had to lead to an “e</w:t>
      </w:r>
      <w:r w:rsidRPr="0066103C">
        <w:t xml:space="preserve">nd.” It is suggestive that those </w:t>
      </w:r>
      <w:r w:rsidR="001A609B" w:rsidRPr="0066103C">
        <w:t xml:space="preserve">words </w:t>
      </w:r>
      <w:r w:rsidR="0007158E" w:rsidRPr="0066103C">
        <w:t xml:space="preserve">about an end </w:t>
      </w:r>
      <w:r w:rsidR="001A609B" w:rsidRPr="0066103C">
        <w:t xml:space="preserve">should have been the ones that came to me. I was not </w:t>
      </w:r>
      <w:r w:rsidRPr="0066103C">
        <w:t xml:space="preserve">saying that </w:t>
      </w:r>
      <w:r w:rsidRPr="0066103C">
        <w:rPr>
          <w:i/>
        </w:rPr>
        <w:t>the</w:t>
      </w:r>
      <w:r w:rsidRPr="0066103C">
        <w:t xml:space="preserve"> End was imminent. But there was something ult</w:t>
      </w:r>
      <w:r w:rsidR="001A609B" w:rsidRPr="0066103C">
        <w:t>imate about that outbreak of wrongdoing</w:t>
      </w:r>
      <w:r w:rsidRPr="0066103C">
        <w:t xml:space="preserve">, and thus </w:t>
      </w:r>
      <w:r w:rsidR="001A609B" w:rsidRPr="0066103C">
        <w:t xml:space="preserve">there was </w:t>
      </w:r>
      <w:r w:rsidRPr="0066103C">
        <w:t>somethi</w:t>
      </w:r>
      <w:r w:rsidR="00055EA4">
        <w:t>ng ultimate about its termination</w:t>
      </w:r>
      <w:r w:rsidRPr="0066103C">
        <w:t>. I was not implying that there was something demonic about all history (I did not mention the demonic at all, in fact), only that there was something distinctively godless about the history we had to live through. It was like being on the receiving end of someone’s intense anger. I do not mean we thought G</w:t>
      </w:r>
      <w:r w:rsidR="00055EA4">
        <w:t xml:space="preserve">od was angry with us (I talked of </w:t>
      </w:r>
      <w:r w:rsidR="001A609B" w:rsidRPr="0066103C">
        <w:t>“wrath,” not “God’s wrath”</w:t>
      </w:r>
      <w:r w:rsidRPr="0066103C">
        <w:t>).</w:t>
      </w:r>
      <w:r w:rsidR="001A609B" w:rsidRPr="0066103C">
        <w:rPr>
          <w:rStyle w:val="FootnoteReference"/>
        </w:rPr>
        <w:footnoteReference w:id="390"/>
      </w:r>
      <w:r w:rsidR="001A609B" w:rsidRPr="0066103C">
        <w:t xml:space="preserve"> There have been times when God</w:t>
      </w:r>
      <w:r w:rsidRPr="0066103C">
        <w:t xml:space="preserve"> was</w:t>
      </w:r>
      <w:r w:rsidR="001A609B" w:rsidRPr="0066103C">
        <w:t xml:space="preserve"> angry</w:t>
      </w:r>
      <w:r w:rsidRPr="0066103C">
        <w:t xml:space="preserve">, and I am not against that way of speaking, emerging as it does from our relationship with a deeply personal God. </w:t>
      </w:r>
      <w:r w:rsidR="0007158E" w:rsidRPr="0066103C">
        <w:t>Perhaps “the silence of God in the face of the oppressor’s triumph… is an exercise of divine wrath that is disciplinary and instructive for God’s people…. The Seleucids are, at best, mere instruments of the Lord’s intentional pedagogy” during the time when God may be “waiting for the right moment to take decisive action against the foreigners who dare to challenge God’s authority.”</w:t>
      </w:r>
      <w:r w:rsidR="0007158E" w:rsidRPr="0066103C">
        <w:rPr>
          <w:vertAlign w:val="superscript"/>
        </w:rPr>
        <w:footnoteReference w:id="391"/>
      </w:r>
      <w:r w:rsidR="0007158E" w:rsidRPr="0066103C">
        <w:t xml:space="preserve"> </w:t>
      </w:r>
      <w:r w:rsidRPr="0066103C">
        <w:t>But there are times when calamity strikes and it is as if someone has</w:t>
      </w:r>
      <w:r w:rsidR="001A609B" w:rsidRPr="0066103C">
        <w:t xml:space="preserve"> struck out at you in anger, but</w:t>
      </w:r>
      <w:r w:rsidRPr="0066103C">
        <w:t xml:space="preserve"> there seems no reason</w:t>
      </w:r>
      <w:r w:rsidR="001A609B" w:rsidRPr="0066103C">
        <w:t xml:space="preserve"> why someone should, and so</w:t>
      </w:r>
      <w:r w:rsidR="0007158E" w:rsidRPr="0066103C">
        <w:t xml:space="preserve"> it was for us. It felt </w:t>
      </w:r>
      <w:r w:rsidRPr="0066103C">
        <w:t>as if Antiochus was the rod of God’s anger the way Sennacherib had once been</w:t>
      </w:r>
      <w:r w:rsidR="0007158E" w:rsidRPr="0066103C">
        <w:t>, but I wasn’t clear that the situation was the same</w:t>
      </w:r>
      <w:r w:rsidRPr="0066103C">
        <w:t>. I might have described it as Antiochus’s anger (cf. 11:30). Not that I mean to ascribe feelings to him—it may have all been very calculated—but he was the actual author of the calamity that came to us.</w:t>
      </w:r>
    </w:p>
    <w:p w:rsidR="00CC03AD" w:rsidRPr="0066103C" w:rsidRDefault="00CC03AD" w:rsidP="00CC03AD">
      <w:r w:rsidRPr="00365F8C">
        <w:rPr>
          <w:b/>
        </w:rPr>
        <w:t>20–26</w:t>
      </w:r>
      <w:r w:rsidRPr="0066103C">
        <w:t xml:space="preserve"> To a greater degree than was the case with my previous vision, the symbols were fairly transparent. The </w:t>
      </w:r>
      <w:r w:rsidR="00045B09" w:rsidRPr="0066103C">
        <w:t>interpretive</w:t>
      </w:r>
      <w:r w:rsidRPr="0066103C">
        <w:t xml:space="preserve"> part mostly made explicit things that were not very </w:t>
      </w:r>
      <w:r w:rsidR="0016509B" w:rsidRPr="0066103C">
        <w:t>enigmatic</w:t>
      </w:r>
      <w:r w:rsidRPr="0066103C">
        <w:t xml:space="preserve">, though they thus still reinforced the point, yet </w:t>
      </w:r>
      <w:r w:rsidR="001A609B" w:rsidRPr="0066103C">
        <w:t xml:space="preserve">they </w:t>
      </w:r>
      <w:r w:rsidRPr="0066103C">
        <w:t>left the picture with a touch of mystery and allusiveness. The</w:t>
      </w:r>
      <w:r w:rsidR="001A609B" w:rsidRPr="0066103C">
        <w:t>re were several reasons</w:t>
      </w:r>
      <w:r w:rsidRPr="0066103C">
        <w:t>. One was that I am not sure I was clear about it all myself. Another was that the vision did</w:t>
      </w:r>
      <w:r w:rsidR="001A609B" w:rsidRPr="0066103C">
        <w:t xml:space="preserve"> concern ultimate realities, which one cannot reduce </w:t>
      </w:r>
      <w:r w:rsidRPr="0066103C">
        <w:t>to down-to-earth prosaic terms without losing something.</w:t>
      </w:r>
      <w:r w:rsidR="001A609B" w:rsidRPr="0066103C">
        <w:t xml:space="preserve"> A further ramification </w:t>
      </w:r>
      <w:r w:rsidRPr="0066103C">
        <w:t>is that the significance of those symbols transcended the events we were involved in. People who have said my visions were about the pope or Antichrist are wrong in the sense that they were designed by God to speak as his word to the Antiochene period</w:t>
      </w:r>
      <w:r w:rsidR="00055EA4">
        <w:t>,</w:t>
      </w:r>
      <w:r w:rsidRPr="0066103C">
        <w:t xml:space="preserve"> in terms that meant something then. But keeping the metaphor even in the </w:t>
      </w:r>
      <w:r w:rsidR="00045B09" w:rsidRPr="0066103C">
        <w:t>interpretive</w:t>
      </w:r>
      <w:r w:rsidRPr="0066103C">
        <w:t xml:space="preserve"> sections of the vision retained the hint of ultimate realities that were embodied for us in one particular historical situation. </w:t>
      </w:r>
      <w:r w:rsidR="0016509B" w:rsidRPr="0066103C">
        <w:t>“The end time… is here anticipated in the downfall of tyrants.”</w:t>
      </w:r>
      <w:r w:rsidR="0016509B" w:rsidRPr="0066103C">
        <w:rPr>
          <w:vertAlign w:val="superscript"/>
        </w:rPr>
        <w:footnoteReference w:id="392"/>
      </w:r>
      <w:r w:rsidR="0016509B" w:rsidRPr="0066103C">
        <w:t xml:space="preserve"> </w:t>
      </w:r>
      <w:r w:rsidRPr="0066103C">
        <w:t xml:space="preserve">Those ultimate issues have surfaced on other occasions, and I cannot say that people who lived in such circumstances did wrong to find </w:t>
      </w:r>
      <w:r w:rsidRPr="0066103C">
        <w:lastRenderedPageBreak/>
        <w:t xml:space="preserve">themselves in my visions, even if I might prefer to speak of that process as one of reapplication or appropriation rather than as </w:t>
      </w:r>
      <w:r w:rsidR="00B25C92" w:rsidRPr="0066103C">
        <w:t>exegesis</w:t>
      </w:r>
      <w:r w:rsidRPr="0066103C">
        <w:t>.</w:t>
      </w:r>
      <w:r w:rsidR="00B25C92" w:rsidRPr="0066103C">
        <w:rPr>
          <w:rStyle w:val="FootnoteReference"/>
        </w:rPr>
        <w:footnoteReference w:id="393"/>
      </w:r>
    </w:p>
    <w:p w:rsidR="00C648C7" w:rsidRPr="0066103C" w:rsidRDefault="00071EFC" w:rsidP="00C648C7">
      <w:r w:rsidRPr="0066103C">
        <w:t>Thus the</w:t>
      </w:r>
      <w:r w:rsidR="00531675" w:rsidRPr="0066103C">
        <w:t xml:space="preserve"> portrait of Antiochus </w:t>
      </w:r>
      <w:r w:rsidRPr="0066103C">
        <w:t>will furnish Paul with</w:t>
      </w:r>
      <w:r w:rsidR="00531675" w:rsidRPr="0066103C">
        <w:t xml:space="preserve"> imagery to describe a figure who will come as a kind of false Messiah before Jesus himself returns (see 2 Thess 2:1-12) and </w:t>
      </w:r>
      <w:r w:rsidR="00055EA4">
        <w:t xml:space="preserve">will </w:t>
      </w:r>
      <w:r w:rsidR="00C648C7" w:rsidRPr="0066103C">
        <w:t>fu</w:t>
      </w:r>
      <w:r w:rsidRPr="0066103C">
        <w:t xml:space="preserve">rnish Revelation with </w:t>
      </w:r>
      <w:r w:rsidR="00531675" w:rsidRPr="0066103C">
        <w:t>imagery for describing the persecution of the faithful b</w:t>
      </w:r>
      <w:r w:rsidR="00AF603A">
        <w:t>y Rome</w:t>
      </w:r>
      <w:r w:rsidR="00531675" w:rsidRPr="0066103C">
        <w:t xml:space="preserve">. First John </w:t>
      </w:r>
      <w:r w:rsidRPr="0066103C">
        <w:t>will provide</w:t>
      </w:r>
      <w:r w:rsidR="00531675" w:rsidRPr="0066103C">
        <w:t xml:space="preserve"> Christian thin</w:t>
      </w:r>
      <w:r w:rsidR="00BB3FCC">
        <w:t>king with the expression “anti-m</w:t>
      </w:r>
      <w:r w:rsidR="00531675" w:rsidRPr="0066103C">
        <w:t xml:space="preserve">essiah” (e.g., 1 John 2:18, 22) which </w:t>
      </w:r>
      <w:r w:rsidRPr="0066103C">
        <w:t>will become</w:t>
      </w:r>
      <w:r w:rsidR="00531675" w:rsidRPr="0066103C">
        <w:t xml:space="preserve"> a standard way of denoting a person who embodies opposition to God and to Jesus. The composite figure that </w:t>
      </w:r>
      <w:r w:rsidRPr="0066103C">
        <w:t>will emerge can</w:t>
      </w:r>
      <w:r w:rsidR="00531675" w:rsidRPr="0066103C">
        <w:t xml:space="preserve"> then </w:t>
      </w:r>
      <w:r w:rsidRPr="0066103C">
        <w:t xml:space="preserve">be </w:t>
      </w:r>
      <w:r w:rsidR="00AF603A">
        <w:t>read back into my visions</w:t>
      </w:r>
      <w:r w:rsidR="00531675" w:rsidRPr="0066103C">
        <w:t>.</w:t>
      </w:r>
      <w:r w:rsidR="00531675" w:rsidRPr="0066103C">
        <w:rPr>
          <w:vertAlign w:val="superscript"/>
        </w:rPr>
        <w:footnoteReference w:id="394"/>
      </w:r>
      <w:r w:rsidR="00531675" w:rsidRPr="0066103C">
        <w:t xml:space="preserve"> Thus Jerome </w:t>
      </w:r>
      <w:r w:rsidR="00AF603A">
        <w:t>will comment</w:t>
      </w:r>
      <w:r w:rsidR="00531675" w:rsidRPr="0066103C">
        <w:t>, “Most of our commentators refer this passage [v 14] to the Antichrist, and hold that that which occurred under Antiochus was only by way of a type which shall be fulfilled under Antichrist.”</w:t>
      </w:r>
      <w:r w:rsidR="00531675" w:rsidRPr="0066103C">
        <w:rPr>
          <w:vertAlign w:val="superscript"/>
        </w:rPr>
        <w:footnoteReference w:id="395"/>
      </w:r>
      <w:r w:rsidR="00531675" w:rsidRPr="0066103C">
        <w:t xml:space="preserve"> Ye</w:t>
      </w:r>
      <w:r w:rsidR="00AF603A">
        <w:t>t Hippolytus and Theodoret will</w:t>
      </w:r>
      <w:r w:rsidR="00531675" w:rsidRPr="0066103C">
        <w:t xml:space="preserve"> not mention the Antichrist in connection with this chapter, and Jerome </w:t>
      </w:r>
      <w:r w:rsidR="00AF603A">
        <w:t>will confine</w:t>
      </w:r>
      <w:r w:rsidR="00531675" w:rsidRPr="0066103C">
        <w:t xml:space="preserve"> his comments to the chapter’s reference to events in Antiochus’s day.</w:t>
      </w:r>
      <w:r w:rsidRPr="0066103C">
        <w:t xml:space="preserve"> While Luther will describe Antiochus as a figure of the Antichrist,</w:t>
      </w:r>
      <w:r w:rsidR="00531675" w:rsidRPr="0066103C">
        <w:rPr>
          <w:vertAlign w:val="superscript"/>
        </w:rPr>
        <w:footnoteReference w:id="396"/>
      </w:r>
      <w:r w:rsidRPr="0066103C">
        <w:t xml:space="preserve"> Calvin will comment that Luther is</w:t>
      </w:r>
      <w:r w:rsidR="00531675" w:rsidRPr="0066103C">
        <w:t xml:space="preserve"> </w:t>
      </w:r>
      <w:r w:rsidRPr="0066103C">
        <w:t>“</w:t>
      </w:r>
      <w:r w:rsidR="00531675" w:rsidRPr="0066103C">
        <w:t>in</w:t>
      </w:r>
      <w:r w:rsidRPr="0066103C">
        <w:t>dulging his thoughts too freely”</w:t>
      </w:r>
      <w:r w:rsidR="00531675" w:rsidRPr="0066103C">
        <w:t xml:space="preserve"> </w:t>
      </w:r>
      <w:r w:rsidRPr="0066103C">
        <w:t xml:space="preserve">when he refers this passage </w:t>
      </w:r>
      <w:r w:rsidR="00531675" w:rsidRPr="0066103C">
        <w:t>to the masks of Antichrist.”</w:t>
      </w:r>
      <w:r w:rsidR="00531675" w:rsidRPr="0066103C">
        <w:rPr>
          <w:vertAlign w:val="superscript"/>
        </w:rPr>
        <w:footnoteReference w:id="397"/>
      </w:r>
      <w:r w:rsidR="00AF603A">
        <w:t xml:space="preserve"> </w:t>
      </w:r>
      <w:r w:rsidR="00C648C7" w:rsidRPr="0066103C">
        <w:t>Perhaps Calvin is too hard on Luther, given that Luther does take seriously the passage’s reference to Antiochus. Th</w:t>
      </w:r>
      <w:r w:rsidR="00AF603A">
        <w:t>e fact th</w:t>
      </w:r>
      <w:r w:rsidR="00C648C7" w:rsidRPr="0066103C">
        <w:t>at horns assert themselves against one another and that one breaks another “is world-history.”</w:t>
      </w:r>
      <w:r w:rsidR="00C648C7" w:rsidRPr="0066103C">
        <w:rPr>
          <w:rStyle w:val="FootnoteReference"/>
        </w:rPr>
        <w:footnoteReference w:id="398"/>
      </w:r>
      <w:r w:rsidR="00C648C7" w:rsidRPr="0066103C">
        <w:t xml:space="preserve"> It is a sequence that never stops. One horn is broken by another.</w:t>
      </w:r>
    </w:p>
    <w:p w:rsidR="00C648C7" w:rsidRPr="0066103C" w:rsidRDefault="00C648C7" w:rsidP="00C648C7"/>
    <w:p w:rsidR="00C648C7" w:rsidRPr="0066103C" w:rsidRDefault="00C648C7" w:rsidP="00DD5E95">
      <w:pPr>
        <w:pStyle w:val="Quote"/>
        <w:rPr>
          <w:rFonts w:eastAsiaTheme="minorHAnsi"/>
        </w:rPr>
      </w:pPr>
      <w:r w:rsidRPr="0066103C">
        <w:rPr>
          <w:rFonts w:eastAsiaTheme="minorHAnsi"/>
        </w:rPr>
        <w:t>Empires rise and fall as they successively overreach themselves in arrogance. And sometimes they reach a pinnacle of climactic evil and violence against God and God’s people. But eventually they are overthrown by God. And in the end—the ultimate end, as distinct from the many partial “endings” that history illustrates—God will finally destroy all that opposes him and establish his own reign fully and forever…. A</w:t>
      </w:r>
      <w:r w:rsidRPr="0066103C">
        <w:rPr>
          <w:rFonts w:asciiTheme="minorHAnsi" w:eastAsiaTheme="minorHAnsi" w:hAnsiTheme="minorHAnsi" w:cs="AGaramondPro-Regular"/>
        </w:rPr>
        <w:t>lthough Antiochus Epiphanes is the single historical figure in view in Daniel’s vision…, he is a kind of archetype. That is, he represents a reality that has surfaced at different times in history…. That coalition of anti-God, anti-church, anti-truth forces and intentions faced the people of Israel in the Old Testament has faced the Jewish people and the Christian church at different times in past centuries and still faces the people of God in many parts of the world today. Jews have seen Antiochus Epiphanes as a pre-figuring of the horror of pogroms under “Christian” nations in Europe, culminating in the Holocaust. Christians have suffered from tyrannical regimes that sought to stamp out the Christian faith and church, from Roman emperors to atheist communist states that banned Bibles and all other symbols of Christian profession, to the brutal excesses of ISIS, Boko Haram, and Al Shabab.</w:t>
      </w:r>
      <w:r w:rsidRPr="0066103C">
        <w:rPr>
          <w:rFonts w:asciiTheme="minorHAnsi" w:eastAsiaTheme="minorHAnsi" w:hAnsiTheme="minorHAnsi" w:cs="AGaramondPro-Regular"/>
          <w:vertAlign w:val="superscript"/>
        </w:rPr>
        <w:footnoteReference w:id="399"/>
      </w:r>
    </w:p>
    <w:p w:rsidR="00C648C7" w:rsidRPr="0066103C" w:rsidRDefault="00C648C7" w:rsidP="00CC03AD"/>
    <w:p w:rsidR="00CC03AD" w:rsidRPr="0066103C" w:rsidRDefault="00CC03AD" w:rsidP="00CC03AD">
      <w:r w:rsidRPr="0066103C">
        <w:t xml:space="preserve">The idea of rebels reaching full measure </w:t>
      </w:r>
      <w:r w:rsidR="00B25C92" w:rsidRPr="0066103C">
        <w:t>is another motif that is solemn</w:t>
      </w:r>
      <w:r w:rsidRPr="0066103C">
        <w:t xml:space="preserve"> but simultaneously reassuring</w:t>
      </w:r>
      <w:r w:rsidR="00B25C92" w:rsidRPr="0066103C">
        <w:t>,</w:t>
      </w:r>
      <w:r w:rsidRPr="0066103C">
        <w:t xml:space="preserve"> because it suggests that an </w:t>
      </w:r>
      <w:r w:rsidR="0016509B" w:rsidRPr="0066103C">
        <w:t>act of judgment must follow when full measure is</w:t>
      </w:r>
      <w:r w:rsidRPr="0066103C">
        <w:t xml:space="preserve"> reached. That </w:t>
      </w:r>
      <w:r w:rsidR="00B25C92" w:rsidRPr="0066103C">
        <w:t xml:space="preserve">result </w:t>
      </w:r>
      <w:r w:rsidRPr="0066103C">
        <w:t xml:space="preserve">comes about in a mysterious way. It is not merely the fruit of historical forces, like the passing of power from one empire to another at earlier stages. Even if the historical forces that bring the downfall of evil can be traced, there is something supernatural about it. People and events had a transcendent significance. Antiochus is a Satanic figure, an embodiment of demonic pretension, but my vision did not </w:t>
      </w:r>
      <w:r w:rsidRPr="0066103C">
        <w:lastRenderedPageBreak/>
        <w:t xml:space="preserve">suggest that separate from Antiochus there was an independently existent supernatural being using Antiochus, or foreshadowed by Antiochus. It did not point us </w:t>
      </w:r>
      <w:r w:rsidR="00E025ED" w:rsidRPr="0066103C">
        <w:t xml:space="preserve">towards </w:t>
      </w:r>
      <w:r w:rsidRPr="0066103C">
        <w:t>a mythic understanding of the battle of the godless against God</w:t>
      </w:r>
      <w:r w:rsidR="00B25C92" w:rsidRPr="0066103C">
        <w:t xml:space="preserve">, what some people call </w:t>
      </w:r>
      <w:r w:rsidRPr="0066103C">
        <w:t>“spiritual warfare</w:t>
      </w:r>
      <w:r w:rsidR="00B25C92" w:rsidRPr="0066103C">
        <w:t>.”</w:t>
      </w:r>
      <w:r w:rsidRPr="0066103C">
        <w:t xml:space="preserve"> Antiochus was not literal</w:t>
      </w:r>
      <w:r w:rsidR="00FF4F3A">
        <w:t>ly fighting supernatural being</w:t>
      </w:r>
      <w:r w:rsidR="00B25C92" w:rsidRPr="0066103C">
        <w:t>s; rather, therein</w:t>
      </w:r>
      <w:r w:rsidRPr="0066103C">
        <w:t xml:space="preserve"> was the significance of his attack on people and sanctuary. The visible realities such as the Jewish people and the Jerusalem temple had a transcendent significance that Antiochus denied. When believers are hurt, heaven is hurt. At this point, whatever might have seemed to be the case earlier in the vision, it was clear that heaven and earth are not two disconnected, discontinuous worlds. Each underlies the other. Heaven cannot but be involved wi</w:t>
      </w:r>
      <w:r w:rsidR="00B25C92" w:rsidRPr="0066103C">
        <w:t>th earth, earth with heaven</w:t>
      </w:r>
      <w:r w:rsidRPr="0066103C">
        <w:t>.</w:t>
      </w:r>
      <w:r w:rsidR="00B25C92" w:rsidRPr="0066103C">
        <w:rPr>
          <w:rStyle w:val="FootnoteReference"/>
        </w:rPr>
        <w:footnoteReference w:id="400"/>
      </w:r>
    </w:p>
    <w:p w:rsidR="00546FF7" w:rsidRPr="0066103C" w:rsidRDefault="00CC03AD" w:rsidP="00CC03AD">
      <w:r w:rsidRPr="0066103C">
        <w:t xml:space="preserve">The motif of rebels reaching full measure is taken up and applied to the Jewish people itself in </w:t>
      </w:r>
      <w:r w:rsidR="00B25C92" w:rsidRPr="0066103C">
        <w:t xml:space="preserve">Matt 23:32; 1 Thess 2:16 in </w:t>
      </w:r>
      <w:r w:rsidRPr="0066103C">
        <w:t>light of their refusal t</w:t>
      </w:r>
      <w:r w:rsidR="00AF603A">
        <w:t>o acknowledge Jesus; its openness to such reapplication</w:t>
      </w:r>
      <w:r w:rsidRPr="0066103C">
        <w:t xml:space="preserve"> means it can be reapplied again to the Church if the Church turns its back on God’s way (cf. Rom 11:17–22). </w:t>
      </w:r>
      <w:r w:rsidR="00AF603A">
        <w:t xml:space="preserve">Whether or not it was </w:t>
      </w:r>
      <w:r w:rsidRPr="0066103C">
        <w:t xml:space="preserve">“a call to faith, not a call to arms,” </w:t>
      </w:r>
      <w:r w:rsidR="00AF603A">
        <w:t xml:space="preserve">my vision was </w:t>
      </w:r>
      <w:r w:rsidRPr="0066103C">
        <w:t>a challeng</w:t>
      </w:r>
      <w:r w:rsidR="00B25C92" w:rsidRPr="0066103C">
        <w:t>e to loyalty under persecution</w:t>
      </w:r>
      <w:r w:rsidRPr="0066103C">
        <w:t>,</w:t>
      </w:r>
      <w:r w:rsidR="00B25C92" w:rsidRPr="0066103C">
        <w:rPr>
          <w:rStyle w:val="FootnoteReference"/>
        </w:rPr>
        <w:footnoteReference w:id="401"/>
      </w:r>
      <w:r w:rsidR="00AF603A">
        <w:t xml:space="preserve"> and</w:t>
      </w:r>
      <w:r w:rsidRPr="0066103C">
        <w:t xml:space="preserve"> a call to humility and repentance on the part of people not under persecution.</w:t>
      </w:r>
      <w:r w:rsidR="00531675" w:rsidRPr="0066103C">
        <w:t xml:space="preserve"> </w:t>
      </w:r>
      <w:r w:rsidR="00AF603A">
        <w:t>I am honored to think that “m</w:t>
      </w:r>
      <w:r w:rsidR="00546FF7" w:rsidRPr="0066103C">
        <w:t>odern readers… have to make an effort to realize what a powerful act of intellectual courage and resistance is represented in the work of this chapter, as it wrestles the brutal and horrifying events of 167 into a symbolic framework that is able to acknowledge not only the devastating nature of what has happened but also to project grounds for certainty that the evil will be overcome in the near future.”</w:t>
      </w:r>
      <w:r w:rsidR="00546FF7" w:rsidRPr="0066103C">
        <w:rPr>
          <w:rStyle w:val="FootnoteReference"/>
        </w:rPr>
        <w:footnoteReference w:id="402"/>
      </w:r>
      <w:r w:rsidR="00AF603A">
        <w:t xml:space="preserve"> Yes, i</w:t>
      </w:r>
      <w:r w:rsidR="00546FF7" w:rsidRPr="0066103C">
        <w:t>t has involved assassination of a high priest, plundering of the temple, civil war, massacre, enslavement, and foreign occupation, desecration, and a ban on proper worship of Yahweh.</w:t>
      </w:r>
      <w:r w:rsidR="00531675" w:rsidRPr="0066103C">
        <w:t xml:space="preserve"> My vision was hardly a command not to try to put the tyrant down, but it was a reassurance that our inability to put the tyrant down need not trouble us.</w:t>
      </w:r>
    </w:p>
    <w:p w:rsidR="00AF4204" w:rsidRPr="0066103C" w:rsidRDefault="00CC03AD" w:rsidP="00B25C92">
      <w:r w:rsidRPr="00365F8C">
        <w:rPr>
          <w:b/>
        </w:rPr>
        <w:t>27</w:t>
      </w:r>
      <w:r w:rsidRPr="0066103C">
        <w:t xml:space="preserve"> Awareness of where history is going puts you into a complicated position.</w:t>
      </w:r>
      <w:r w:rsidR="00B25C92" w:rsidRPr="0066103C">
        <w:rPr>
          <w:rStyle w:val="FootnoteReference"/>
        </w:rPr>
        <w:footnoteReference w:id="403"/>
      </w:r>
      <w:r w:rsidR="00B25C92" w:rsidRPr="0066103C">
        <w:t xml:space="preserve"> I</w:t>
      </w:r>
      <w:r w:rsidRPr="0066103C">
        <w:t xml:space="preserve">t </w:t>
      </w:r>
      <w:r w:rsidR="00B25C92" w:rsidRPr="0066103C">
        <w:t xml:space="preserve">indeed </w:t>
      </w:r>
      <w:r w:rsidRPr="0066103C">
        <w:t xml:space="preserve">gives you confidence where you might otherwise have been overcome by worry: you know that a supernatural hand has already broken all </w:t>
      </w:r>
      <w:r w:rsidR="00B25C92" w:rsidRPr="0066103C">
        <w:t xml:space="preserve">evil power </w:t>
      </w:r>
      <w:r w:rsidRPr="0066103C">
        <w:t>and that the risks you have to live with can be lived with. But you may also be awed and troubled, by having been put in touch with heavenly realities, by the knowledge of what the future may bring to you and to other people. And at the same time you have to</w:t>
      </w:r>
      <w:r w:rsidR="00576223" w:rsidRPr="0066103C">
        <w:t xml:space="preserve"> get on with the job of living—which for Daniel means working and serving in the context of the ongoing life of the “horns.”</w:t>
      </w:r>
    </w:p>
    <w:p w:rsidR="0000517E" w:rsidRPr="0066103C" w:rsidRDefault="005F456C" w:rsidP="00B25C92">
      <w:r>
        <w:t>At the end of this vision</w:t>
      </w:r>
      <w:r w:rsidR="00C648C7" w:rsidRPr="0066103C">
        <w:t>, e</w:t>
      </w:r>
      <w:r w:rsidR="0039494A" w:rsidRPr="0066103C">
        <w:t>ven with the involvement</w:t>
      </w:r>
      <w:r w:rsidR="0000517E" w:rsidRPr="0066103C">
        <w:t xml:space="preserve"> of </w:t>
      </w:r>
      <w:r>
        <w:t>a celestial interpreter as well as a</w:t>
      </w:r>
      <w:r w:rsidR="0000517E" w:rsidRPr="0066103C">
        <w:t xml:space="preserve"> human</w:t>
      </w:r>
      <w:r>
        <w:t xml:space="preserve"> one</w:t>
      </w:r>
      <w:r w:rsidR="0000517E" w:rsidRPr="0066103C">
        <w:t xml:space="preserve">, </w:t>
      </w:r>
      <w:r>
        <w:t xml:space="preserve">I know that </w:t>
      </w:r>
      <w:r w:rsidR="0000517E" w:rsidRPr="0066103C">
        <w:t>a gap in understanding still exists. Interpretation remains a “slippery and difficult business.”</w:t>
      </w:r>
      <w:r>
        <w:t xml:space="preserve"> But at least my readers understand that they do not understand</w:t>
      </w:r>
      <w:r w:rsidR="0000517E" w:rsidRPr="0066103C">
        <w:t xml:space="preserve"> and </w:t>
      </w:r>
      <w:r>
        <w:t xml:space="preserve">may </w:t>
      </w:r>
      <w:r w:rsidR="0000517E" w:rsidRPr="0066103C">
        <w:t>therefore “continue to seek for relevance and meaning.”</w:t>
      </w:r>
      <w:r>
        <w:t xml:space="preserve"> The vision’s</w:t>
      </w:r>
      <w:r w:rsidR="0039494A" w:rsidRPr="0066103C">
        <w:t xml:space="preserve"> message </w:t>
      </w:r>
      <w:r w:rsidR="0000517E" w:rsidRPr="0066103C">
        <w:t>is “intentionally mysterious and it demands (re)interpretation.”</w:t>
      </w:r>
      <w:r w:rsidR="0039494A" w:rsidRPr="0066103C">
        <w:rPr>
          <w:rStyle w:val="FootnoteReference"/>
        </w:rPr>
        <w:footnoteReference w:id="404"/>
      </w:r>
    </w:p>
    <w:p w:rsidR="003909F2" w:rsidRPr="0066103C" w:rsidRDefault="003909F2" w:rsidP="00E75AC8">
      <w:pPr>
        <w:pStyle w:val="Heading1"/>
      </w:pPr>
      <w:r w:rsidRPr="0066103C">
        <w:lastRenderedPageBreak/>
        <w:t>Daniel Prays f</w:t>
      </w:r>
      <w:r w:rsidR="00365F8C">
        <w:t>or the End of His People’s Desolation</w:t>
      </w:r>
      <w:r w:rsidRPr="0066103C">
        <w:t xml:space="preserve"> and His Prayer Is Heard (9:1–27)</w:t>
      </w:r>
    </w:p>
    <w:p w:rsidR="003909F2" w:rsidRPr="00CC1756" w:rsidRDefault="003909F2" w:rsidP="00CC1756">
      <w:pPr>
        <w:pStyle w:val="Heading2"/>
      </w:pPr>
      <w:r w:rsidRPr="00CC1756">
        <w:t>Pericope Bibliography</w:t>
      </w:r>
    </w:p>
    <w:p w:rsidR="00F1110B" w:rsidRDefault="003909F2" w:rsidP="00FE0E49">
      <w:pPr>
        <w:ind w:firstLine="0"/>
      </w:pPr>
      <w:r w:rsidRPr="004A4997">
        <w:rPr>
          <w:b/>
        </w:rPr>
        <w:t>Anderson, R.</w:t>
      </w:r>
      <w:r w:rsidRPr="0066103C">
        <w:t xml:space="preserve"> </w:t>
      </w:r>
      <w:r w:rsidRPr="0066103C">
        <w:rPr>
          <w:i/>
        </w:rPr>
        <w:t>The Coming Prince</w:t>
      </w:r>
      <w:r w:rsidRPr="0066103C">
        <w:t xml:space="preserve">. ———. </w:t>
      </w:r>
      <w:r w:rsidRPr="0066103C">
        <w:rPr>
          <w:i/>
        </w:rPr>
        <w:t>Unfulfilled Prophecy and “The Hop</w:t>
      </w:r>
      <w:r w:rsidR="003929DD" w:rsidRPr="0066103C">
        <w:rPr>
          <w:i/>
        </w:rPr>
        <w:t>e of the Church.”</w:t>
      </w:r>
      <w:r w:rsidR="00945C8C">
        <w:t xml:space="preserve"> </w:t>
      </w:r>
      <w:r w:rsidR="007D1FB5" w:rsidRPr="004A4997">
        <w:rPr>
          <w:b/>
        </w:rPr>
        <w:t>Athas, G.</w:t>
      </w:r>
      <w:r w:rsidR="007D1FB5" w:rsidRPr="0066103C">
        <w:t xml:space="preserve"> “</w:t>
      </w:r>
      <w:r w:rsidR="007D1FB5" w:rsidRPr="0066103C">
        <w:rPr>
          <w:bCs/>
        </w:rPr>
        <w:t>In Search of the Seventy ‘Weeks’</w:t>
      </w:r>
      <w:r w:rsidR="007D1FB5" w:rsidRPr="0066103C">
        <w:t xml:space="preserve"> o</w:t>
      </w:r>
      <w:r w:rsidR="007D1FB5" w:rsidRPr="0066103C">
        <w:rPr>
          <w:bCs/>
        </w:rPr>
        <w:t xml:space="preserve">f Daniel 9.” </w:t>
      </w:r>
      <w:r w:rsidR="004A4997">
        <w:rPr>
          <w:b/>
          <w:bCs/>
        </w:rPr>
        <w:t>Aval</w:t>
      </w:r>
      <w:r w:rsidR="004A4997" w:rsidRPr="004A4997">
        <w:rPr>
          <w:b/>
          <w:bCs/>
        </w:rPr>
        <w:t>os, H.</w:t>
      </w:r>
      <w:r w:rsidR="004A4997">
        <w:rPr>
          <w:bCs/>
        </w:rPr>
        <w:t xml:space="preserve"> </w:t>
      </w:r>
      <w:r w:rsidR="004A4997" w:rsidRPr="00B26539">
        <w:rPr>
          <w:rFonts w:eastAsia="Times-Roman" w:cs="Times-Roman"/>
          <w:b/>
        </w:rPr>
        <w:t>“</w:t>
      </w:r>
      <w:r w:rsidR="004A4997" w:rsidRPr="00B26539">
        <w:rPr>
          <w:rFonts w:eastAsiaTheme="minorHAnsi"/>
          <w:bCs/>
        </w:rPr>
        <w:t>Daniel 9:24-25 and Mesopotamian Temple Rededications.”</w:t>
      </w:r>
      <w:r w:rsidR="004A4997" w:rsidRPr="00B26539">
        <w:rPr>
          <w:rFonts w:ascii="Times New Roman" w:eastAsiaTheme="minorHAnsi" w:hAnsi="Times New Roman"/>
          <w:b/>
          <w:bCs/>
        </w:rPr>
        <w:t xml:space="preserve"> </w:t>
      </w:r>
      <w:r w:rsidRPr="004A4997">
        <w:rPr>
          <w:b/>
        </w:rPr>
        <w:t>Baltzer, K.</w:t>
      </w:r>
      <w:r w:rsidRPr="0066103C">
        <w:t xml:space="preserve"> </w:t>
      </w:r>
      <w:r w:rsidRPr="0066103C">
        <w:rPr>
          <w:i/>
        </w:rPr>
        <w:t>D</w:t>
      </w:r>
      <w:r w:rsidR="003929DD" w:rsidRPr="0066103C">
        <w:rPr>
          <w:i/>
        </w:rPr>
        <w:t>as Bundesformular</w:t>
      </w:r>
      <w:r w:rsidR="003929DD" w:rsidRPr="0066103C">
        <w:t xml:space="preserve">. </w:t>
      </w:r>
      <w:r w:rsidRPr="004325C8">
        <w:rPr>
          <w:b/>
        </w:rPr>
        <w:t>Baumgarten, J. M.</w:t>
      </w:r>
      <w:r w:rsidRPr="0066103C">
        <w:t xml:space="preserve"> “The Heavenly Tribunal and the Personification of Ṣedeq in Jewish Apocalyptic</w:t>
      </w:r>
      <w:r w:rsidR="003D29DC" w:rsidRPr="0066103C">
        <w:t xml:space="preserve">.” </w:t>
      </w:r>
      <w:r w:rsidRPr="004325C8">
        <w:rPr>
          <w:b/>
        </w:rPr>
        <w:t>Bayer, E.</w:t>
      </w:r>
      <w:r w:rsidRPr="0066103C">
        <w:t xml:space="preserve"> </w:t>
      </w:r>
      <w:r w:rsidRPr="0066103C">
        <w:rPr>
          <w:i/>
        </w:rPr>
        <w:t>Danielstudien</w:t>
      </w:r>
      <w:r w:rsidR="00773E86" w:rsidRPr="0066103C">
        <w:t>,</w:t>
      </w:r>
      <w:r w:rsidRPr="0066103C">
        <w:t xml:space="preserve"> 1–106. </w:t>
      </w:r>
      <w:r w:rsidRPr="004325C8">
        <w:rPr>
          <w:b/>
        </w:rPr>
        <w:t>Beckwith, R. T.</w:t>
      </w:r>
      <w:r w:rsidRPr="0066103C">
        <w:t xml:space="preserve"> “The Significance of the Calendar for Interpreting Essene Chronology and Eschatolo</w:t>
      </w:r>
      <w:r w:rsidR="003D29DC" w:rsidRPr="0066103C">
        <w:t xml:space="preserve">gy.” </w:t>
      </w:r>
      <w:r w:rsidRPr="0066103C">
        <w:t>———. “Daniel 9 and the Date of Messiah’s Coming in Essene, Hellenistic, Pharisaic, Zealot, and Early Christian Computat</w:t>
      </w:r>
      <w:r w:rsidR="003D29DC" w:rsidRPr="0066103C">
        <w:t xml:space="preserve">ion.” </w:t>
      </w:r>
      <w:r w:rsidR="00401303">
        <w:rPr>
          <w:b/>
        </w:rPr>
        <w:t>Bergsma, J.</w:t>
      </w:r>
      <w:r w:rsidR="00401303" w:rsidRPr="009A757B">
        <w:rPr>
          <w:b/>
        </w:rPr>
        <w:t xml:space="preserve"> S.</w:t>
      </w:r>
      <w:r w:rsidR="00401303">
        <w:t xml:space="preserve"> “The Persian Period as Penitential Era.” </w:t>
      </w:r>
      <w:r w:rsidR="001178CD" w:rsidRPr="002A7641">
        <w:rPr>
          <w:b/>
        </w:rPr>
        <w:t xml:space="preserve">Blaising, C. A. </w:t>
      </w:r>
      <w:r w:rsidR="001178CD" w:rsidRPr="0066103C">
        <w:t>“The Da</w:t>
      </w:r>
      <w:r w:rsidR="001178CD" w:rsidRPr="0066103C">
        <w:rPr>
          <w:rFonts w:eastAsiaTheme="minorHAnsi" w:cs="Times New Roman"/>
          <w:bCs/>
          <w:color w:val="000000"/>
        </w:rPr>
        <w:t xml:space="preserve">y of </w:t>
      </w:r>
      <w:r w:rsidR="001178CD" w:rsidRPr="0066103C">
        <w:rPr>
          <w:rFonts w:eastAsiaTheme="minorHAnsi"/>
          <w:bCs/>
          <w:color w:val="000000"/>
        </w:rPr>
        <w:t>t</w:t>
      </w:r>
      <w:r w:rsidR="001178CD" w:rsidRPr="0066103C">
        <w:rPr>
          <w:rFonts w:eastAsiaTheme="minorHAnsi" w:cs="Times New Roman"/>
          <w:bCs/>
          <w:color w:val="000000"/>
        </w:rPr>
        <w:t xml:space="preserve">he </w:t>
      </w:r>
      <w:r w:rsidR="001178CD" w:rsidRPr="0066103C">
        <w:rPr>
          <w:rFonts w:eastAsiaTheme="minorHAnsi"/>
          <w:bCs/>
          <w:color w:val="000000"/>
        </w:rPr>
        <w:t>Lo</w:t>
      </w:r>
      <w:r w:rsidR="001178CD" w:rsidRPr="0066103C">
        <w:rPr>
          <w:rFonts w:eastAsiaTheme="minorHAnsi" w:cs="Times New Roman"/>
          <w:bCs/>
          <w:color w:val="000000"/>
        </w:rPr>
        <w:t xml:space="preserve">rd </w:t>
      </w:r>
      <w:r w:rsidR="001178CD" w:rsidRPr="0066103C">
        <w:rPr>
          <w:rFonts w:eastAsiaTheme="minorHAnsi"/>
          <w:bCs/>
          <w:color w:val="000000"/>
        </w:rPr>
        <w:t>and th</w:t>
      </w:r>
      <w:r w:rsidR="001178CD" w:rsidRPr="0066103C">
        <w:rPr>
          <w:rFonts w:eastAsiaTheme="minorHAnsi" w:cs="Times New Roman"/>
          <w:bCs/>
          <w:color w:val="000000"/>
        </w:rPr>
        <w:t>e S</w:t>
      </w:r>
      <w:r w:rsidR="001178CD" w:rsidRPr="0066103C">
        <w:rPr>
          <w:rFonts w:eastAsiaTheme="minorHAnsi"/>
          <w:bCs/>
          <w:color w:val="000000"/>
        </w:rPr>
        <w:t>eventie</w:t>
      </w:r>
      <w:r w:rsidR="001178CD" w:rsidRPr="0066103C">
        <w:rPr>
          <w:rFonts w:eastAsiaTheme="minorHAnsi" w:cs="Times New Roman"/>
          <w:bCs/>
          <w:color w:val="000000"/>
        </w:rPr>
        <w:t xml:space="preserve">th </w:t>
      </w:r>
      <w:r w:rsidR="001178CD" w:rsidRPr="0066103C">
        <w:rPr>
          <w:rFonts w:eastAsiaTheme="minorHAnsi"/>
          <w:bCs/>
          <w:color w:val="000000"/>
        </w:rPr>
        <w:t>Wee</w:t>
      </w:r>
      <w:r w:rsidR="001178CD" w:rsidRPr="0066103C">
        <w:rPr>
          <w:rFonts w:eastAsiaTheme="minorHAnsi" w:cs="Times New Roman"/>
          <w:bCs/>
          <w:color w:val="000000"/>
        </w:rPr>
        <w:t>k of Daniel</w:t>
      </w:r>
      <w:r w:rsidR="001178CD" w:rsidRPr="0066103C">
        <w:rPr>
          <w:rFonts w:eastAsiaTheme="minorHAnsi"/>
          <w:bCs/>
          <w:color w:val="000000"/>
        </w:rPr>
        <w:t xml:space="preserve">.” </w:t>
      </w:r>
      <w:r w:rsidR="002A7641" w:rsidRPr="00B740B4">
        <w:rPr>
          <w:rFonts w:eastAsia="Times-Roman"/>
          <w:b/>
        </w:rPr>
        <w:t>Berner</w:t>
      </w:r>
      <w:r w:rsidR="002A7641">
        <w:rPr>
          <w:rFonts w:eastAsia="Times-Roman"/>
          <w:b/>
        </w:rPr>
        <w:t>, C.</w:t>
      </w:r>
      <w:r w:rsidR="00945C8C">
        <w:rPr>
          <w:rFonts w:eastAsia="Times-Roman"/>
          <w:b/>
        </w:rPr>
        <w:t xml:space="preserve"> </w:t>
      </w:r>
      <w:bookmarkStart w:id="1" w:name="citation"/>
      <w:r w:rsidR="002A7641" w:rsidRPr="002113E0">
        <w:rPr>
          <w:i/>
        </w:rPr>
        <w:t>Jahre, Jahrwochen und Jubiläen</w:t>
      </w:r>
      <w:bookmarkEnd w:id="1"/>
      <w:r w:rsidR="002A7641">
        <w:t xml:space="preserve">. </w:t>
      </w:r>
      <w:r w:rsidRPr="002A7641">
        <w:rPr>
          <w:b/>
        </w:rPr>
        <w:t>Blayney, B. A</w:t>
      </w:r>
      <w:r w:rsidR="003929DD" w:rsidRPr="002A7641">
        <w:rPr>
          <w:b/>
        </w:rPr>
        <w:t>.</w:t>
      </w:r>
      <w:r w:rsidRPr="0066103C">
        <w:t xml:space="preserve"> </w:t>
      </w:r>
      <w:r w:rsidRPr="0066103C">
        <w:rPr>
          <w:i/>
        </w:rPr>
        <w:t>Dissertation by Way of Inq</w:t>
      </w:r>
      <w:r w:rsidR="00D56018">
        <w:rPr>
          <w:i/>
        </w:rPr>
        <w:t xml:space="preserve">uiry into </w:t>
      </w:r>
      <w:r w:rsidRPr="0066103C">
        <w:rPr>
          <w:i/>
        </w:rPr>
        <w:t>Da</w:t>
      </w:r>
      <w:r w:rsidR="003D29DC" w:rsidRPr="0066103C">
        <w:rPr>
          <w:i/>
        </w:rPr>
        <w:t>n. ix. ver. 20. to the End.</w:t>
      </w:r>
      <w:r w:rsidR="00945C8C">
        <w:rPr>
          <w:i/>
        </w:rPr>
        <w:t xml:space="preserve"> </w:t>
      </w:r>
      <w:r w:rsidR="008B5F22">
        <w:rPr>
          <w:b/>
        </w:rPr>
        <w:t xml:space="preserve">Boda, M. J. </w:t>
      </w:r>
      <w:r w:rsidR="008B5F22" w:rsidRPr="0003141F">
        <w:rPr>
          <w:i/>
        </w:rPr>
        <w:t>Praying the Tradition</w:t>
      </w:r>
      <w:r w:rsidR="008B5F22">
        <w:t>, 26-32</w:t>
      </w:r>
      <w:r w:rsidR="008B5F22" w:rsidRPr="0003141F">
        <w:t>.</w:t>
      </w:r>
      <w:r w:rsidR="008B5F22">
        <w:t xml:space="preserve"> </w:t>
      </w:r>
      <w:r w:rsidRPr="004325C8">
        <w:rPr>
          <w:b/>
        </w:rPr>
        <w:t>Bosanquet, J. W.</w:t>
      </w:r>
      <w:r w:rsidRPr="0066103C">
        <w:t xml:space="preserve"> </w:t>
      </w:r>
      <w:r w:rsidRPr="0066103C">
        <w:rPr>
          <w:i/>
        </w:rPr>
        <w:t xml:space="preserve">Chronology of the Times of </w:t>
      </w:r>
      <w:r w:rsidR="003D29DC" w:rsidRPr="0066103C">
        <w:rPr>
          <w:i/>
        </w:rPr>
        <w:t>Daniel, Ezra, and Nehemiah</w:t>
      </w:r>
      <w:r w:rsidR="003D29DC" w:rsidRPr="0066103C">
        <w:t>.</w:t>
      </w:r>
      <w:r w:rsidR="00A2619F" w:rsidRPr="0066103C">
        <w:t xml:space="preserve"> </w:t>
      </w:r>
      <w:r w:rsidRPr="0066103C">
        <w:t xml:space="preserve">———. </w:t>
      </w:r>
      <w:r w:rsidRPr="0066103C">
        <w:rPr>
          <w:i/>
        </w:rPr>
        <w:t>Messiah the Prince</w:t>
      </w:r>
      <w:r w:rsidR="003D29DC" w:rsidRPr="0066103C">
        <w:t>.</w:t>
      </w:r>
      <w:r w:rsidRPr="0066103C">
        <w:t xml:space="preserve"> </w:t>
      </w:r>
      <w:r w:rsidRPr="004325C8">
        <w:rPr>
          <w:b/>
        </w:rPr>
        <w:t>[Bosanquet, J. W.]</w:t>
      </w:r>
      <w:r w:rsidRPr="0066103C">
        <w:t xml:space="preserve"> </w:t>
      </w:r>
      <w:r w:rsidRPr="00D56018">
        <w:rPr>
          <w:i/>
        </w:rPr>
        <w:t>Daniel’s Prophecy of the Seventy</w:t>
      </w:r>
      <w:r w:rsidR="00A2619F" w:rsidRPr="00D56018">
        <w:rPr>
          <w:i/>
        </w:rPr>
        <w:t xml:space="preserve"> Weeks</w:t>
      </w:r>
      <w:r w:rsidR="00A2619F" w:rsidRPr="0066103C">
        <w:t>.</w:t>
      </w:r>
      <w:r w:rsidR="00945C8C">
        <w:t xml:space="preserve"> </w:t>
      </w:r>
      <w:r w:rsidRPr="004325C8">
        <w:rPr>
          <w:b/>
        </w:rPr>
        <w:t xml:space="preserve">Bowker, J. W. </w:t>
      </w:r>
      <w:r w:rsidRPr="0066103C">
        <w:t xml:space="preserve">“Intercession in the Qur’an and the Jewish Tradition.” </w:t>
      </w:r>
      <w:r w:rsidRPr="004325C8">
        <w:rPr>
          <w:b/>
        </w:rPr>
        <w:t>Buis, P.</w:t>
      </w:r>
      <w:r w:rsidRPr="0066103C">
        <w:t xml:space="preserve"> “Notification de jugement et confession na</w:t>
      </w:r>
      <w:r w:rsidR="00A2619F" w:rsidRPr="0066103C">
        <w:t xml:space="preserve">tionale.” </w:t>
      </w:r>
      <w:r w:rsidRPr="004325C8">
        <w:rPr>
          <w:b/>
        </w:rPr>
        <w:t>Bullinger, E. W.</w:t>
      </w:r>
      <w:r w:rsidRPr="0066103C">
        <w:t xml:space="preserve"> </w:t>
      </w:r>
      <w:r w:rsidRPr="0066103C">
        <w:rPr>
          <w:i/>
        </w:rPr>
        <w:t>Number in Scripture</w:t>
      </w:r>
      <w:r w:rsidR="004C3305" w:rsidRPr="0066103C">
        <w:t xml:space="preserve">. </w:t>
      </w:r>
      <w:r w:rsidRPr="004325C8">
        <w:rPr>
          <w:b/>
        </w:rPr>
        <w:t>Burrows, E.</w:t>
      </w:r>
      <w:r w:rsidRPr="0066103C">
        <w:t xml:space="preserve"> </w:t>
      </w:r>
      <w:r w:rsidRPr="0066103C">
        <w:rPr>
          <w:i/>
        </w:rPr>
        <w:t>The Gospel of the Infancy and Other Biblical Essays</w:t>
      </w:r>
      <w:r w:rsidR="00A2619F" w:rsidRPr="0066103C">
        <w:t>.</w:t>
      </w:r>
      <w:r w:rsidR="00B92664" w:rsidRPr="00B92664">
        <w:rPr>
          <w:rFonts w:eastAsiaTheme="minorHAnsi" w:cs="TimesNewRomanPS-BoldMT"/>
          <w:b/>
          <w:bCs/>
        </w:rPr>
        <w:t xml:space="preserve"> </w:t>
      </w:r>
      <w:r w:rsidR="00B92664" w:rsidRPr="00B740B4">
        <w:rPr>
          <w:rFonts w:eastAsiaTheme="minorHAnsi" w:cs="TimesNewRomanPS-BoldMT"/>
          <w:b/>
          <w:bCs/>
        </w:rPr>
        <w:t>Chazan, R. “</w:t>
      </w:r>
      <w:r w:rsidR="00B92664" w:rsidRPr="00B740B4">
        <w:rPr>
          <w:rFonts w:eastAsiaTheme="minorHAnsi" w:cs="TimesNewRomanPS-BoldMT"/>
          <w:bCs/>
        </w:rPr>
        <w:t>Danie</w:t>
      </w:r>
      <w:r w:rsidR="00D56018">
        <w:rPr>
          <w:rFonts w:eastAsiaTheme="minorHAnsi" w:cs="TimesNewRomanPS-BoldMT"/>
          <w:bCs/>
        </w:rPr>
        <w:t>l 9:24-27</w:t>
      </w:r>
      <w:r w:rsidR="00B92664" w:rsidRPr="00B740B4">
        <w:rPr>
          <w:rFonts w:eastAsiaTheme="minorHAnsi" w:cs="TimesNewRomanPS-BoldMT"/>
          <w:bCs/>
        </w:rPr>
        <w:t>.”</w:t>
      </w:r>
      <w:r w:rsidR="00945C8C">
        <w:rPr>
          <w:rFonts w:eastAsiaTheme="minorHAnsi" w:cs="TimesNewRomanPS-BoldMT"/>
          <w:bCs/>
        </w:rPr>
        <w:t xml:space="preserve"> </w:t>
      </w:r>
      <w:r w:rsidRPr="007E4008">
        <w:rPr>
          <w:b/>
        </w:rPr>
        <w:t>Cooper, D. L.</w:t>
      </w:r>
      <w:r w:rsidRPr="0066103C">
        <w:t xml:space="preserve"> </w:t>
      </w:r>
      <w:r w:rsidRPr="0066103C">
        <w:rPr>
          <w:i/>
        </w:rPr>
        <w:t>The 70 Weeks of Daniel</w:t>
      </w:r>
      <w:r w:rsidR="00A2619F" w:rsidRPr="0066103C">
        <w:t xml:space="preserve">. </w:t>
      </w:r>
      <w:r w:rsidRPr="004325C8">
        <w:rPr>
          <w:b/>
        </w:rPr>
        <w:t>Cornill, C. H.</w:t>
      </w:r>
      <w:r w:rsidRPr="0066103C">
        <w:t xml:space="preserve"> “Die siebzig Jahrwochen Daniels.” </w:t>
      </w:r>
      <w:r w:rsidRPr="007E4008">
        <w:rPr>
          <w:b/>
        </w:rPr>
        <w:t>Day, J.</w:t>
      </w:r>
      <w:r w:rsidRPr="0066103C">
        <w:t xml:space="preserve"> </w:t>
      </w:r>
      <w:r w:rsidRPr="0066103C">
        <w:rPr>
          <w:i/>
        </w:rPr>
        <w:t xml:space="preserve">God’s Conflict with the Dragon and the Sea. </w:t>
      </w:r>
      <w:r w:rsidRPr="004325C8">
        <w:rPr>
          <w:b/>
        </w:rPr>
        <w:t>Déaut, R. le.</w:t>
      </w:r>
      <w:r w:rsidRPr="0066103C">
        <w:t xml:space="preserve"> “Aspects de l’intercession dans le Judaïs</w:t>
      </w:r>
      <w:r w:rsidR="00A2619F" w:rsidRPr="0066103C">
        <w:t xml:space="preserve">me ancien.” </w:t>
      </w:r>
      <w:r w:rsidR="00DC126C" w:rsidRPr="00B740B4">
        <w:rPr>
          <w:rFonts w:eastAsia="Times-Roman"/>
          <w:b/>
        </w:rPr>
        <w:t>De Long, K.</w:t>
      </w:r>
      <w:r w:rsidR="00DC126C" w:rsidRPr="00B740B4">
        <w:rPr>
          <w:rFonts w:eastAsia="Times-Roman" w:cs="Times-Roman"/>
        </w:rPr>
        <w:t xml:space="preserve"> </w:t>
      </w:r>
      <w:r w:rsidR="00DC126C" w:rsidRPr="00B740B4">
        <w:rPr>
          <w:rFonts w:eastAsia="Times-Roman" w:cs="Times-Roman"/>
          <w:b/>
        </w:rPr>
        <w:t xml:space="preserve">P. </w:t>
      </w:r>
      <w:r w:rsidR="00DC126C" w:rsidRPr="00B740B4">
        <w:rPr>
          <w:rFonts w:eastAsia="Times-Roman" w:cs="Times-Roman"/>
        </w:rPr>
        <w:t xml:space="preserve">“Daniel and the Narrative Integrity of His Prayer in Daniel 9.” </w:t>
      </w:r>
      <w:r w:rsidRPr="004325C8">
        <w:rPr>
          <w:b/>
        </w:rPr>
        <w:t>DeVries, S. J.</w:t>
      </w:r>
      <w:r w:rsidRPr="0066103C">
        <w:t xml:space="preserve"> “Excursus on the Reversa</w:t>
      </w:r>
      <w:r w:rsidR="00A2619F" w:rsidRPr="0066103C">
        <w:t>l of Saving History in Daniel 9,</w:t>
      </w:r>
      <w:r w:rsidRPr="0066103C">
        <w:t xml:space="preserve">” </w:t>
      </w:r>
      <w:r w:rsidR="00A2619F" w:rsidRPr="0066103C">
        <w:t xml:space="preserve">in DeVries, </w:t>
      </w:r>
      <w:r w:rsidRPr="0066103C">
        <w:rPr>
          <w:i/>
        </w:rPr>
        <w:t>Achievements</w:t>
      </w:r>
      <w:r w:rsidR="00A2619F" w:rsidRPr="0066103C">
        <w:rPr>
          <w:i/>
        </w:rPr>
        <w:t xml:space="preserve"> of Biblical Religion</w:t>
      </w:r>
      <w:r w:rsidR="00A2619F" w:rsidRPr="0066103C">
        <w:t>,</w:t>
      </w:r>
      <w:r w:rsidR="00692E2F">
        <w:t xml:space="preserve"> 340–43. </w:t>
      </w:r>
      <w:r w:rsidR="00692E2F" w:rsidRPr="00B740B4">
        <w:rPr>
          <w:b/>
          <w:iCs/>
        </w:rPr>
        <w:t>Dequeker</w:t>
      </w:r>
      <w:r w:rsidR="00692E2F" w:rsidRPr="00B740B4">
        <w:t>, L.</w:t>
      </w:r>
      <w:r w:rsidR="00945C8C">
        <w:t xml:space="preserve"> </w:t>
      </w:r>
      <w:r w:rsidR="00692E2F" w:rsidRPr="00B740B4">
        <w:t>“King Darius an</w:t>
      </w:r>
      <w:r w:rsidR="007E4008">
        <w:t>d the Prophecy of Seventy Weeks,</w:t>
      </w:r>
      <w:r w:rsidR="00692E2F" w:rsidRPr="00B740B4">
        <w:t>”</w:t>
      </w:r>
      <w:r w:rsidR="00692E2F">
        <w:t xml:space="preserve"> i</w:t>
      </w:r>
      <w:r w:rsidR="00692E2F" w:rsidRPr="00B740B4">
        <w:t xml:space="preserve">n van der </w:t>
      </w:r>
      <w:r w:rsidR="00692E2F" w:rsidRPr="007E4008">
        <w:t xml:space="preserve">Woude (ed.), </w:t>
      </w:r>
      <w:r w:rsidR="00692E2F" w:rsidRPr="007E4008">
        <w:rPr>
          <w:i/>
        </w:rPr>
        <w:t>The</w:t>
      </w:r>
      <w:r w:rsidR="00692E2F" w:rsidRPr="00B740B4">
        <w:rPr>
          <w:i/>
        </w:rPr>
        <w:t xml:space="preserve"> Book of Daniel</w:t>
      </w:r>
      <w:r w:rsidR="00692E2F" w:rsidRPr="00B740B4">
        <w:t xml:space="preserve">, 187-210. </w:t>
      </w:r>
      <w:r w:rsidR="007B1958" w:rsidRPr="00B740B4">
        <w:rPr>
          <w:rFonts w:eastAsia="Times-Roman" w:cs="Times-Roman"/>
          <w:b/>
        </w:rPr>
        <w:t xml:space="preserve">Dimant, D. </w:t>
      </w:r>
      <w:r w:rsidR="007B1958" w:rsidRPr="00B740B4">
        <w:rPr>
          <w:rFonts w:eastAsia="Times-Roman" w:cs="Times-Roman"/>
        </w:rPr>
        <w:t xml:space="preserve">“The Seventy Weeks Chronology (Dan 9,24-27) in </w:t>
      </w:r>
      <w:r w:rsidR="007B1958">
        <w:rPr>
          <w:rFonts w:eastAsia="Times-Roman" w:cs="Times-Roman"/>
        </w:rPr>
        <w:t>the Light of New Qumranic Texts,</w:t>
      </w:r>
      <w:r w:rsidR="007B1958" w:rsidRPr="00B740B4">
        <w:rPr>
          <w:rFonts w:eastAsia="Times-Roman" w:cs="Times-Roman"/>
        </w:rPr>
        <w:t>”</w:t>
      </w:r>
      <w:r w:rsidR="007B1958">
        <w:rPr>
          <w:rFonts w:eastAsia="Times-Roman" w:cs="Times-Roman"/>
        </w:rPr>
        <w:t xml:space="preserve"> i</w:t>
      </w:r>
      <w:r w:rsidR="007B1958" w:rsidRPr="00B740B4">
        <w:rPr>
          <w:rFonts w:eastAsia="Times-Roman" w:cs="Times-Roman"/>
        </w:rPr>
        <w:t xml:space="preserve">n van der </w:t>
      </w:r>
      <w:r w:rsidR="007B1958" w:rsidRPr="007E4008">
        <w:rPr>
          <w:rFonts w:eastAsia="Times-Roman" w:cs="Times-Roman"/>
        </w:rPr>
        <w:t xml:space="preserve">Woude (ed.), </w:t>
      </w:r>
      <w:r w:rsidR="007B1958" w:rsidRPr="007E4008">
        <w:rPr>
          <w:rFonts w:eastAsia="Times-Roman" w:cs="Times-Roman"/>
          <w:i/>
        </w:rPr>
        <w:t>The</w:t>
      </w:r>
      <w:r w:rsidR="007B1958" w:rsidRPr="00B740B4">
        <w:rPr>
          <w:rFonts w:eastAsia="Times-Roman" w:cs="Times-Roman"/>
          <w:i/>
        </w:rPr>
        <w:t xml:space="preserve"> Book of Daniel</w:t>
      </w:r>
      <w:r w:rsidR="007B1958" w:rsidRPr="00B740B4">
        <w:rPr>
          <w:rFonts w:eastAsia="Times-Roman" w:cs="Times-Roman"/>
        </w:rPr>
        <w:t>, 57-76.</w:t>
      </w:r>
      <w:r w:rsidR="007B1958">
        <w:t xml:space="preserve"> </w:t>
      </w:r>
      <w:r w:rsidRPr="007B1958">
        <w:rPr>
          <w:b/>
        </w:rPr>
        <w:t>Doukhan, J.</w:t>
      </w:r>
      <w:r w:rsidRPr="0066103C">
        <w:t xml:space="preserve"> “The Seventy Weeks of Daniel 9.” </w:t>
      </w:r>
      <w:r w:rsidRPr="004325C8">
        <w:rPr>
          <w:b/>
        </w:rPr>
        <w:t>Driver, G. R.</w:t>
      </w:r>
      <w:r w:rsidR="00CF51B7" w:rsidRPr="0066103C">
        <w:t xml:space="preserve"> “Sacred Numbers and Round Figures.” </w:t>
      </w:r>
      <w:r w:rsidR="0028750F" w:rsidRPr="0028750F">
        <w:rPr>
          <w:b/>
          <w:bCs/>
          <w:iCs/>
        </w:rPr>
        <w:t xml:space="preserve">Dunn, G. D. </w:t>
      </w:r>
      <w:r w:rsidR="0028750F" w:rsidRPr="0028750F">
        <w:rPr>
          <w:bCs/>
          <w:iCs/>
        </w:rPr>
        <w:t>“</w:t>
      </w:r>
      <w:r w:rsidR="0028750F" w:rsidRPr="0028750F">
        <w:rPr>
          <w:bCs/>
          <w:i/>
          <w:iCs/>
        </w:rPr>
        <w:t>Probabimus venisse eum iam.”</w:t>
      </w:r>
      <w:r w:rsidR="0028750F" w:rsidRPr="0028750F">
        <w:rPr>
          <w:bCs/>
          <w:iCs/>
        </w:rPr>
        <w:t xml:space="preserve"> </w:t>
      </w:r>
      <w:r w:rsidR="0028750F" w:rsidRPr="0028750F">
        <w:rPr>
          <w:b/>
          <w:bCs/>
          <w:iCs/>
        </w:rPr>
        <w:t>———</w:t>
      </w:r>
      <w:r w:rsidR="00B94CBC">
        <w:rPr>
          <w:b/>
          <w:bCs/>
          <w:iCs/>
        </w:rPr>
        <w:t>.</w:t>
      </w:r>
      <w:r w:rsidR="0028750F" w:rsidRPr="0028750F">
        <w:rPr>
          <w:b/>
          <w:bCs/>
          <w:iCs/>
        </w:rPr>
        <w:t xml:space="preserve"> “</w:t>
      </w:r>
      <w:r w:rsidR="0028750F" w:rsidRPr="0028750F">
        <w:t xml:space="preserve">Tertullian and Daniel 9:24-27.” </w:t>
      </w:r>
      <w:r w:rsidRPr="002A7641">
        <w:rPr>
          <w:b/>
        </w:rPr>
        <w:t>Eusebius of Caesarea.</w:t>
      </w:r>
      <w:r w:rsidRPr="0066103C">
        <w:t xml:space="preserve"> Εὐαγγελικῆς ἀποδείξεως δέκα λόγοι.</w:t>
      </w:r>
      <w:r w:rsidR="00CF51B7" w:rsidRPr="0066103C">
        <w:t xml:space="preserve"> </w:t>
      </w:r>
      <w:r w:rsidR="00D51E8B" w:rsidRPr="002A7641">
        <w:rPr>
          <w:rFonts w:eastAsiaTheme="minorHAnsi" w:cs="Arial"/>
          <w:b/>
          <w:bCs/>
          <w:iCs/>
        </w:rPr>
        <w:t>Flesher, L. S.</w:t>
      </w:r>
      <w:r w:rsidR="00D51E8B" w:rsidRPr="0066103C">
        <w:rPr>
          <w:rFonts w:eastAsiaTheme="minorHAnsi" w:cs="Arial"/>
          <w:bCs/>
        </w:rPr>
        <w:t xml:space="preserve"> “Daniel 9:24-27 and the Tribulation.”</w:t>
      </w:r>
      <w:r w:rsidR="00B94CBC">
        <w:rPr>
          <w:rFonts w:eastAsiaTheme="minorHAnsi" w:cs="Arial"/>
          <w:bCs/>
        </w:rPr>
        <w:t xml:space="preserve"> </w:t>
      </w:r>
      <w:r w:rsidR="00B94CBC" w:rsidRPr="00B94CBC">
        <w:rPr>
          <w:rFonts w:eastAsiaTheme="minorHAnsi" w:cs="Arial"/>
          <w:b/>
          <w:bCs/>
          <w:iCs/>
        </w:rPr>
        <w:t>———</w:t>
      </w:r>
      <w:r w:rsidR="00B94CBC">
        <w:rPr>
          <w:rFonts w:eastAsiaTheme="minorHAnsi" w:cs="Arial"/>
          <w:b/>
          <w:bCs/>
          <w:iCs/>
        </w:rPr>
        <w:t>.</w:t>
      </w:r>
      <w:r w:rsidR="00B94CBC" w:rsidRPr="00B94CBC">
        <w:rPr>
          <w:rFonts w:eastAsiaTheme="minorHAnsi" w:cs="Arial"/>
          <w:b/>
          <w:bCs/>
          <w:iCs/>
        </w:rPr>
        <w:t xml:space="preserve"> </w:t>
      </w:r>
      <w:r w:rsidR="00B94CBC" w:rsidRPr="00B94CBC">
        <w:rPr>
          <w:rFonts w:eastAsiaTheme="minorHAnsi" w:cs="Arial"/>
          <w:bCs/>
        </w:rPr>
        <w:t>“Tricksters and Martyrs.”</w:t>
      </w:r>
      <w:r w:rsidR="00945C8C">
        <w:rPr>
          <w:rFonts w:eastAsiaTheme="minorHAnsi" w:cs="Arial"/>
          <w:bCs/>
        </w:rPr>
        <w:t xml:space="preserve"> </w:t>
      </w:r>
      <w:r w:rsidR="002A7641" w:rsidRPr="00B740B4">
        <w:rPr>
          <w:rFonts w:eastAsiaTheme="minorHAnsi"/>
          <w:b/>
          <w:bCs/>
          <w:iCs/>
        </w:rPr>
        <w:t>Ford, D.</w:t>
      </w:r>
      <w:r w:rsidR="00945C8C">
        <w:rPr>
          <w:rFonts w:eastAsiaTheme="minorHAnsi"/>
          <w:bCs/>
          <w:iCs/>
        </w:rPr>
        <w:t xml:space="preserve"> </w:t>
      </w:r>
      <w:r w:rsidR="002A7641" w:rsidRPr="00B740B4">
        <w:rPr>
          <w:rFonts w:eastAsiaTheme="minorHAnsi"/>
          <w:bCs/>
          <w:i/>
          <w:iCs/>
        </w:rPr>
        <w:t>The Abomination of Desolation in Biblical Eschatology</w:t>
      </w:r>
      <w:r w:rsidR="002A7641" w:rsidRPr="00B740B4">
        <w:rPr>
          <w:rFonts w:eastAsiaTheme="minorHAnsi"/>
          <w:bCs/>
        </w:rPr>
        <w:t>.</w:t>
      </w:r>
      <w:r w:rsidR="002A7641">
        <w:rPr>
          <w:rFonts w:eastAsiaTheme="minorHAnsi" w:cs="Arial"/>
          <w:bCs/>
        </w:rPr>
        <w:t xml:space="preserve"> </w:t>
      </w:r>
      <w:r w:rsidRPr="00420FF1">
        <w:rPr>
          <w:b/>
        </w:rPr>
        <w:t>Fraidl, F.</w:t>
      </w:r>
      <w:r w:rsidRPr="0066103C">
        <w:t xml:space="preserve"> </w:t>
      </w:r>
      <w:r w:rsidRPr="0066103C">
        <w:rPr>
          <w:i/>
        </w:rPr>
        <w:t>Die Exegese der siebzig Wochen Daniels in der alten und mittleren Zeit</w:t>
      </w:r>
      <w:r w:rsidR="00CF51B7" w:rsidRPr="0066103C">
        <w:t xml:space="preserve">. </w:t>
      </w:r>
      <w:r w:rsidR="00B66495" w:rsidRPr="004F3835">
        <w:rPr>
          <w:rFonts w:eastAsiaTheme="minorHAnsi"/>
          <w:b/>
        </w:rPr>
        <w:t>Frerichs, W. W.</w:t>
      </w:r>
      <w:r w:rsidR="00B66495" w:rsidRPr="004F3835">
        <w:rPr>
          <w:rFonts w:eastAsiaTheme="minorHAnsi"/>
        </w:rPr>
        <w:t xml:space="preserve"> "How</w:t>
      </w:r>
      <w:r w:rsidR="00B66495">
        <w:rPr>
          <w:rFonts w:eastAsiaTheme="minorHAnsi"/>
        </w:rPr>
        <w:t xml:space="preserve"> Many Weeks until the End?” </w:t>
      </w:r>
      <w:r w:rsidRPr="007E4008">
        <w:rPr>
          <w:b/>
        </w:rPr>
        <w:t>Frischmuthus, J.</w:t>
      </w:r>
      <w:r w:rsidRPr="0066103C">
        <w:t xml:space="preserve"> </w:t>
      </w:r>
      <w:r w:rsidRPr="00D56018">
        <w:rPr>
          <w:i/>
        </w:rPr>
        <w:t>Evidens demonstratio Messiam secundum computum Danielis p</w:t>
      </w:r>
      <w:r w:rsidR="00CF51B7" w:rsidRPr="00D56018">
        <w:rPr>
          <w:i/>
        </w:rPr>
        <w:t>ridem apparuisse.</w:t>
      </w:r>
      <w:r w:rsidR="00CF51B7" w:rsidRPr="0066103C">
        <w:t xml:space="preserve"> </w:t>
      </w:r>
      <w:r w:rsidRPr="004325C8">
        <w:rPr>
          <w:b/>
        </w:rPr>
        <w:t>Gerhardt, O.</w:t>
      </w:r>
      <w:r w:rsidRPr="0066103C">
        <w:t xml:space="preserve"> “Wann sollt</w:t>
      </w:r>
      <w:r w:rsidR="00CF51B7" w:rsidRPr="0066103C">
        <w:t xml:space="preserve">e der Messias kommen?” </w:t>
      </w:r>
      <w:r w:rsidRPr="004325C8">
        <w:rPr>
          <w:b/>
        </w:rPr>
        <w:t>Gilbert, M.</w:t>
      </w:r>
      <w:r w:rsidRPr="0066103C">
        <w:t xml:space="preserve"> “La prière de Daniel.” </w:t>
      </w:r>
      <w:r w:rsidRPr="007E4008">
        <w:rPr>
          <w:b/>
        </w:rPr>
        <w:t>Gowan, D. E.</w:t>
      </w:r>
      <w:r w:rsidRPr="0066103C">
        <w:t xml:space="preserve"> “The Exile in Jewish Apocal</w:t>
      </w:r>
      <w:r w:rsidR="00974DEC" w:rsidRPr="0066103C">
        <w:t xml:space="preserve">yptic.” </w:t>
      </w:r>
      <w:r w:rsidRPr="00420FF1">
        <w:rPr>
          <w:b/>
        </w:rPr>
        <w:t>Grabbe, L. L.</w:t>
      </w:r>
      <w:r w:rsidRPr="0066103C">
        <w:t xml:space="preserve"> “Chronography in Hellenisti</w:t>
      </w:r>
      <w:r w:rsidR="00974DEC" w:rsidRPr="0066103C">
        <w:t xml:space="preserve">c Jewish Historiography.” </w:t>
      </w:r>
      <w:r w:rsidR="00420FF1" w:rsidRPr="00420FF1">
        <w:t xml:space="preserve">———. </w:t>
      </w:r>
      <w:r w:rsidR="00420FF1" w:rsidRPr="00B740B4">
        <w:rPr>
          <w:rFonts w:eastAsia="Times-Roman" w:cs="Times-Roman"/>
        </w:rPr>
        <w:t xml:space="preserve">“‘The End of the Desolations of Jerusalem.’” </w:t>
      </w:r>
      <w:r w:rsidR="005A4FCD" w:rsidRPr="005A4FCD">
        <w:t xml:space="preserve">———. “The Seventy </w:t>
      </w:r>
      <w:r w:rsidR="005A7F4B">
        <w:t xml:space="preserve">Weeks Prophecy </w:t>
      </w:r>
      <w:r w:rsidR="005A4FCD" w:rsidRPr="005A4FCD">
        <w:t xml:space="preserve">in Early </w:t>
      </w:r>
      <w:r w:rsidR="005A4FCD">
        <w:t>Jewish Interpretation.</w:t>
      </w:r>
      <w:r w:rsidR="005A4FCD" w:rsidRPr="005A4FCD">
        <w:t xml:space="preserve">” </w:t>
      </w:r>
      <w:r w:rsidRPr="004325C8">
        <w:rPr>
          <w:b/>
        </w:rPr>
        <w:t>Grelot, P.</w:t>
      </w:r>
      <w:r w:rsidRPr="0066103C">
        <w:t xml:space="preserve"> “Soixante-dix semaines d</w:t>
      </w:r>
      <w:r w:rsidR="00974DEC" w:rsidRPr="0066103C">
        <w:t xml:space="preserve">’années.” </w:t>
      </w:r>
      <w:r w:rsidRPr="004325C8">
        <w:rPr>
          <w:b/>
        </w:rPr>
        <w:t>Gruenthaner, M. J.</w:t>
      </w:r>
      <w:r w:rsidRPr="0066103C">
        <w:t xml:space="preserve"> “The Seventy Weeks.” </w:t>
      </w:r>
      <w:r w:rsidRPr="009C034E">
        <w:rPr>
          <w:b/>
        </w:rPr>
        <w:t>Gunkel, H.</w:t>
      </w:r>
      <w:r w:rsidRPr="0066103C">
        <w:t xml:space="preserve"> </w:t>
      </w:r>
      <w:r w:rsidRPr="0066103C">
        <w:rPr>
          <w:i/>
        </w:rPr>
        <w:t>Einleitung in die Psalmen</w:t>
      </w:r>
      <w:r w:rsidR="00E923A4" w:rsidRPr="0066103C">
        <w:t xml:space="preserve">. </w:t>
      </w:r>
      <w:r w:rsidRPr="009C034E">
        <w:rPr>
          <w:b/>
        </w:rPr>
        <w:t>Harvey, J.</w:t>
      </w:r>
      <w:r w:rsidRPr="0066103C">
        <w:t xml:space="preserve"> </w:t>
      </w:r>
      <w:r w:rsidRPr="0066103C">
        <w:rPr>
          <w:i/>
        </w:rPr>
        <w:t>Le plaidoyer prophétique contre Israël après la</w:t>
      </w:r>
      <w:r w:rsidR="00E923A4" w:rsidRPr="0066103C">
        <w:rPr>
          <w:i/>
        </w:rPr>
        <w:t xml:space="preserve"> rupture de l’alliance</w:t>
      </w:r>
      <w:r w:rsidRPr="0066103C">
        <w:rPr>
          <w:i/>
        </w:rPr>
        <w:t>.</w:t>
      </w:r>
      <w:r w:rsidRPr="0066103C">
        <w:t xml:space="preserve"> </w:t>
      </w:r>
    </w:p>
    <w:p w:rsidR="003909F2" w:rsidRPr="00906E73" w:rsidRDefault="00F1110B" w:rsidP="00FE0E49">
      <w:pPr>
        <w:ind w:firstLine="0"/>
        <w:rPr>
          <w:rFonts w:eastAsia="Times-Roman" w:cs="Times-Roman"/>
        </w:rPr>
      </w:pPr>
      <w:r>
        <w:rPr>
          <w:b/>
        </w:rPr>
        <w:t>Haydon, R.</w:t>
      </w:r>
      <w:r w:rsidR="00945C8C">
        <w:rPr>
          <w:b/>
        </w:rPr>
        <w:t xml:space="preserve"> </w:t>
      </w:r>
      <w:r w:rsidR="00310292">
        <w:rPr>
          <w:rFonts w:eastAsiaTheme="minorHAnsi" w:cs="TimesNewRomanPS-BoldItalicMT"/>
          <w:bCs/>
          <w:iCs/>
        </w:rPr>
        <w:t>“‘</w:t>
      </w:r>
      <w:r w:rsidR="00310292" w:rsidRPr="00962B77">
        <w:rPr>
          <w:rFonts w:eastAsiaTheme="minorHAnsi" w:cs="TimesNewRomanPS-BoldItalicMT"/>
          <w:bCs/>
          <w:iCs/>
        </w:rPr>
        <w:t>The Law and the Prophets</w:t>
      </w:r>
      <w:r w:rsidR="00310292">
        <w:rPr>
          <w:rFonts w:eastAsiaTheme="minorHAnsi" w:cs="TimesNewRomanPS-BoldMT"/>
          <w:bCs/>
        </w:rPr>
        <w:t xml:space="preserve">’ </w:t>
      </w:r>
      <w:r w:rsidR="00310292" w:rsidRPr="00962B77">
        <w:rPr>
          <w:rFonts w:eastAsiaTheme="minorHAnsi" w:cs="TimesNewRomanPS-BoldItalicMT"/>
          <w:bCs/>
          <w:iCs/>
        </w:rPr>
        <w:t>in MT Daniel 9:3-19</w:t>
      </w:r>
      <w:r w:rsidR="00310292">
        <w:rPr>
          <w:rFonts w:eastAsiaTheme="minorHAnsi" w:cs="TimesNewRomanPS-BoldItalicMT"/>
          <w:bCs/>
          <w:iCs/>
        </w:rPr>
        <w:t xml:space="preserve">.” </w:t>
      </w:r>
      <w:r w:rsidR="00310292" w:rsidRPr="00310292">
        <w:rPr>
          <w:rFonts w:eastAsiaTheme="minorHAnsi" w:cs="TimesNewRomanPS-BoldItalicMT"/>
          <w:bCs/>
          <w:iCs/>
        </w:rPr>
        <w:t xml:space="preserve">———. </w:t>
      </w:r>
      <w:r>
        <w:t>“Th</w:t>
      </w:r>
      <w:r w:rsidR="005A7F4B">
        <w:t>e ‘Seventy Sevens’</w:t>
      </w:r>
      <w:r>
        <w:t xml:space="preserve"> in Light of Heptadic Themes in Qumran.” </w:t>
      </w:r>
      <w:r w:rsidR="003909F2" w:rsidRPr="009C034E">
        <w:rPr>
          <w:b/>
        </w:rPr>
        <w:t>Heard, W. J.</w:t>
      </w:r>
      <w:r w:rsidR="003909F2" w:rsidRPr="0066103C">
        <w:t xml:space="preserve"> “The Maccabean Martyrs’ Contribution to Ho</w:t>
      </w:r>
      <w:r w:rsidR="0049103E" w:rsidRPr="0066103C">
        <w:t xml:space="preserve">ly War.” </w:t>
      </w:r>
      <w:r w:rsidR="003909F2" w:rsidRPr="009C034E">
        <w:rPr>
          <w:b/>
        </w:rPr>
        <w:t>Hengstenberg, E. W.</w:t>
      </w:r>
      <w:r w:rsidR="003909F2" w:rsidRPr="0066103C">
        <w:t xml:space="preserve"> </w:t>
      </w:r>
      <w:r w:rsidR="003909F2" w:rsidRPr="0066103C">
        <w:rPr>
          <w:i/>
        </w:rPr>
        <w:t>Christol</w:t>
      </w:r>
      <w:r w:rsidR="0049103E" w:rsidRPr="0066103C">
        <w:rPr>
          <w:i/>
        </w:rPr>
        <w:t>ogie des AT</w:t>
      </w:r>
      <w:r w:rsidR="0049103E" w:rsidRPr="0066103C">
        <w:t xml:space="preserve">. </w:t>
      </w:r>
      <w:r w:rsidR="00C862A7" w:rsidRPr="009C034E">
        <w:rPr>
          <w:rFonts w:eastAsiaTheme="minorHAnsi" w:cs="Times New Roman"/>
          <w:b/>
          <w:color w:val="000000"/>
        </w:rPr>
        <w:t>Hess, R. S.</w:t>
      </w:r>
      <w:r w:rsidR="00C862A7" w:rsidRPr="0066103C">
        <w:rPr>
          <w:rFonts w:eastAsiaTheme="minorHAnsi" w:cs="Times New Roman"/>
          <w:color w:val="000000"/>
        </w:rPr>
        <w:t xml:space="preserve"> </w:t>
      </w:r>
      <w:r w:rsidR="00C862A7" w:rsidRPr="0066103C">
        <w:rPr>
          <w:rFonts w:eastAsiaTheme="minorHAnsi" w:cs="Times New Roman"/>
          <w:iCs/>
        </w:rPr>
        <w:t xml:space="preserve">“The Seventy Sevens of Daniel 9.” </w:t>
      </w:r>
      <w:r w:rsidR="003909F2" w:rsidRPr="009C034E">
        <w:rPr>
          <w:b/>
        </w:rPr>
        <w:t>Hoehner, H. W.</w:t>
      </w:r>
      <w:r w:rsidR="003909F2" w:rsidRPr="0066103C">
        <w:t xml:space="preserve"> “Daniel’s</w:t>
      </w:r>
      <w:r w:rsidR="0049103E" w:rsidRPr="0066103C">
        <w:t xml:space="preserve"> Seventy Weeks and NT</w:t>
      </w:r>
      <w:r w:rsidR="003909F2" w:rsidRPr="0066103C">
        <w:t xml:space="preserve"> Chro</w:t>
      </w:r>
      <w:r w:rsidR="0049103E" w:rsidRPr="0066103C">
        <w:t xml:space="preserve">nology.” </w:t>
      </w:r>
      <w:r w:rsidR="003909F2" w:rsidRPr="009C034E">
        <w:rPr>
          <w:b/>
        </w:rPr>
        <w:t>Jepsen, A</w:t>
      </w:r>
      <w:r w:rsidR="003909F2" w:rsidRPr="0066103C">
        <w:t>. “Gn</w:t>
      </w:r>
      <w:r w:rsidR="0049103E" w:rsidRPr="0066103C">
        <w:t xml:space="preserve">ade und Barmherzigkeit im AT.” </w:t>
      </w:r>
      <w:r w:rsidR="003909F2" w:rsidRPr="009C034E">
        <w:rPr>
          <w:b/>
        </w:rPr>
        <w:t>Jones, B. W.</w:t>
      </w:r>
      <w:r w:rsidR="003909F2" w:rsidRPr="0066103C">
        <w:t xml:space="preserve"> “The Prayer in D</w:t>
      </w:r>
      <w:r w:rsidR="0049103E" w:rsidRPr="0066103C">
        <w:t xml:space="preserve">aniel ix.” </w:t>
      </w:r>
      <w:r w:rsidR="00F37EAF" w:rsidRPr="00F37EAF">
        <w:rPr>
          <w:b/>
        </w:rPr>
        <w:t xml:space="preserve">Kalafian, M. </w:t>
      </w:r>
      <w:r w:rsidR="00F37EAF" w:rsidRPr="00F37EAF">
        <w:rPr>
          <w:i/>
        </w:rPr>
        <w:t>The Prophecy of the Sev</w:t>
      </w:r>
      <w:r w:rsidR="005A7F4B">
        <w:rPr>
          <w:i/>
        </w:rPr>
        <w:t>enty Weeks</w:t>
      </w:r>
      <w:r w:rsidR="00F37EAF" w:rsidRPr="00F37EAF">
        <w:t xml:space="preserve">. </w:t>
      </w:r>
      <w:r w:rsidR="003909F2" w:rsidRPr="009C034E">
        <w:rPr>
          <w:b/>
        </w:rPr>
        <w:t>Kline, M. G.</w:t>
      </w:r>
      <w:r w:rsidR="003909F2" w:rsidRPr="0066103C">
        <w:t xml:space="preserve"> “The Coven</w:t>
      </w:r>
      <w:r w:rsidR="0049103E" w:rsidRPr="0066103C">
        <w:t xml:space="preserve">ant of the Seventieth Week.” </w:t>
      </w:r>
      <w:r w:rsidR="003909F2" w:rsidRPr="009C034E">
        <w:rPr>
          <w:b/>
        </w:rPr>
        <w:t>Knibb, M. A.</w:t>
      </w:r>
      <w:r w:rsidR="003909F2" w:rsidRPr="0066103C">
        <w:t xml:space="preserve"> “The Exile in the Literature of the Intertestamental Period.” </w:t>
      </w:r>
      <w:r w:rsidR="003909F2" w:rsidRPr="009C034E">
        <w:rPr>
          <w:b/>
        </w:rPr>
        <w:t>Knowles, L. E.</w:t>
      </w:r>
      <w:r w:rsidR="003909F2" w:rsidRPr="0066103C">
        <w:t xml:space="preserve"> “The Interpretation of the Sev</w:t>
      </w:r>
      <w:r w:rsidR="005A7F4B">
        <w:t xml:space="preserve">enty Weeks </w:t>
      </w:r>
      <w:r w:rsidR="003909F2" w:rsidRPr="0066103C">
        <w:t xml:space="preserve">in the Early Fathers.” </w:t>
      </w:r>
      <w:r w:rsidR="003909F2" w:rsidRPr="009C034E">
        <w:rPr>
          <w:b/>
        </w:rPr>
        <w:t>Koch, K.</w:t>
      </w:r>
      <w:r w:rsidR="003909F2" w:rsidRPr="0066103C">
        <w:t xml:space="preserve"> “Die myst</w:t>
      </w:r>
      <w:r w:rsidR="007E4008">
        <w:t>eriösen Zahlen der judäischen Kö</w:t>
      </w:r>
      <w:r w:rsidR="003909F2" w:rsidRPr="0066103C">
        <w:t>nige und die apokalyptischen Ja</w:t>
      </w:r>
      <w:r w:rsidR="00452578" w:rsidRPr="0066103C">
        <w:t xml:space="preserve">hrwochen.” </w:t>
      </w:r>
      <w:r w:rsidR="003909F2" w:rsidRPr="007E4008">
        <w:rPr>
          <w:b/>
        </w:rPr>
        <w:t>König, E.</w:t>
      </w:r>
      <w:r w:rsidR="003909F2" w:rsidRPr="0066103C">
        <w:t xml:space="preserve"> “Di</w:t>
      </w:r>
      <w:r w:rsidR="005A7F4B">
        <w:t>e siebzig Jahrwochen</w:t>
      </w:r>
      <w:r w:rsidR="00452578" w:rsidRPr="0066103C">
        <w:t xml:space="preserve">.” </w:t>
      </w:r>
      <w:r w:rsidR="003909F2" w:rsidRPr="0066103C">
        <w:t>———. “Die chronologisch-christologische Hauptstelle im Dani</w:t>
      </w:r>
      <w:r w:rsidR="00452578" w:rsidRPr="0066103C">
        <w:t xml:space="preserve">elbuche.” </w:t>
      </w:r>
      <w:r w:rsidR="00170D97">
        <w:rPr>
          <w:rFonts w:eastAsiaTheme="minorHAnsi" w:cs="TimesNewRoman"/>
          <w:b/>
        </w:rPr>
        <w:t>Laato, A.</w:t>
      </w:r>
      <w:r w:rsidR="00170D97" w:rsidRPr="00B740B4">
        <w:rPr>
          <w:rFonts w:eastAsiaTheme="minorHAnsi" w:cs="TimesNewRoman"/>
        </w:rPr>
        <w:t xml:space="preserve"> “The Seventy </w:t>
      </w:r>
      <w:r w:rsidR="005A7F4B">
        <w:rPr>
          <w:rFonts w:eastAsiaTheme="minorHAnsi" w:cs="TimesNewRoman"/>
        </w:rPr>
        <w:t>Yearweeks</w:t>
      </w:r>
      <w:r w:rsidR="00170D97">
        <w:rPr>
          <w:rFonts w:eastAsiaTheme="minorHAnsi" w:cs="TimesNewRoman"/>
        </w:rPr>
        <w:t>.</w:t>
      </w:r>
      <w:r w:rsidR="00170D97" w:rsidRPr="00B740B4">
        <w:rPr>
          <w:rFonts w:eastAsiaTheme="minorHAnsi" w:cs="TimesNewRoman"/>
        </w:rPr>
        <w:t>”</w:t>
      </w:r>
      <w:r w:rsidR="00170D97">
        <w:rPr>
          <w:rFonts w:eastAsiaTheme="minorHAnsi" w:cs="TimesNewRoman"/>
        </w:rPr>
        <w:t xml:space="preserve"> </w:t>
      </w:r>
      <w:r w:rsidR="003909F2" w:rsidRPr="009C034E">
        <w:rPr>
          <w:b/>
        </w:rPr>
        <w:t>Lacocque, A.</w:t>
      </w:r>
      <w:r w:rsidR="003909F2" w:rsidRPr="0066103C">
        <w:t xml:space="preserve"> “The Liturgical Prayer in Da</w:t>
      </w:r>
      <w:r w:rsidR="00452578" w:rsidRPr="0066103C">
        <w:t xml:space="preserve">niel 9.” </w:t>
      </w:r>
      <w:r w:rsidR="003909F2" w:rsidRPr="009C034E">
        <w:rPr>
          <w:b/>
        </w:rPr>
        <w:t>Lagrange, M. J.</w:t>
      </w:r>
      <w:r w:rsidR="003909F2" w:rsidRPr="0066103C">
        <w:t xml:space="preserve"> “La prophétie</w:t>
      </w:r>
      <w:r w:rsidR="005A7F4B">
        <w:t xml:space="preserve"> des soixante-dix semaines</w:t>
      </w:r>
      <w:r w:rsidR="00452578" w:rsidRPr="0066103C">
        <w:t xml:space="preserve">.” </w:t>
      </w:r>
      <w:r w:rsidR="003909F2" w:rsidRPr="009C034E">
        <w:rPr>
          <w:b/>
        </w:rPr>
        <w:t>Lambert, G.</w:t>
      </w:r>
      <w:r w:rsidR="003909F2" w:rsidRPr="0066103C">
        <w:t xml:space="preserve"> “Une exégèse arithmétique du chapitre ix de</w:t>
      </w:r>
      <w:r w:rsidR="00452578" w:rsidRPr="0066103C">
        <w:t xml:space="preserve"> Daniel.” </w:t>
      </w:r>
      <w:r w:rsidR="003909F2" w:rsidRPr="009C034E">
        <w:rPr>
          <w:b/>
        </w:rPr>
        <w:t>Laurentin, R.</w:t>
      </w:r>
      <w:r w:rsidR="003909F2" w:rsidRPr="0066103C">
        <w:t xml:space="preserve"> </w:t>
      </w:r>
      <w:r w:rsidR="003909F2" w:rsidRPr="0066103C">
        <w:rPr>
          <w:i/>
        </w:rPr>
        <w:t>Structure et théologie de Luc i-ii</w:t>
      </w:r>
      <w:r w:rsidR="00452578" w:rsidRPr="0066103C">
        <w:t>,</w:t>
      </w:r>
      <w:r w:rsidR="003909F2" w:rsidRPr="0066103C">
        <w:t xml:space="preserve"> 45–63. </w:t>
      </w:r>
      <w:r w:rsidR="003909F2" w:rsidRPr="009C034E">
        <w:rPr>
          <w:b/>
        </w:rPr>
        <w:t>Lebram, J. C. H.</w:t>
      </w:r>
      <w:r w:rsidR="003909F2" w:rsidRPr="0066103C">
        <w:t xml:space="preserve"> “Apokalyptiek als keerpunt in het joodse </w:t>
      </w:r>
      <w:r w:rsidR="003909F2" w:rsidRPr="0066103C">
        <w:lastRenderedPageBreak/>
        <w:t>denk</w:t>
      </w:r>
      <w:r w:rsidR="00452578" w:rsidRPr="0066103C">
        <w:t xml:space="preserve">en.” </w:t>
      </w:r>
      <w:r w:rsidR="0067743A" w:rsidRPr="00B40463">
        <w:rPr>
          <w:b/>
        </w:rPr>
        <w:t>Lipiń</w:t>
      </w:r>
      <w:r w:rsidR="003909F2" w:rsidRPr="00B40463">
        <w:rPr>
          <w:b/>
        </w:rPr>
        <w:t>ski, E</w:t>
      </w:r>
      <w:r w:rsidR="0067743A" w:rsidRPr="00B40463">
        <w:rPr>
          <w:b/>
        </w:rPr>
        <w:t>.</w:t>
      </w:r>
      <w:r w:rsidR="0067743A" w:rsidRPr="0066103C">
        <w:t xml:space="preserve"> </w:t>
      </w:r>
      <w:r w:rsidR="0067743A" w:rsidRPr="00B40463">
        <w:rPr>
          <w:i/>
        </w:rPr>
        <w:t>La liturgie pé</w:t>
      </w:r>
      <w:r w:rsidR="003909F2" w:rsidRPr="00B40463">
        <w:rPr>
          <w:i/>
        </w:rPr>
        <w:t>nitentiel</w:t>
      </w:r>
      <w:r w:rsidR="00452578" w:rsidRPr="00B40463">
        <w:rPr>
          <w:i/>
        </w:rPr>
        <w:t>le dans la Bible.</w:t>
      </w:r>
      <w:r w:rsidR="00B40463">
        <w:t xml:space="preserve"> </w:t>
      </w:r>
      <w:r w:rsidR="00B40463" w:rsidRPr="00A24C8F">
        <w:rPr>
          <w:rFonts w:eastAsiaTheme="minorHAnsi" w:cs="Times New Roman"/>
          <w:b/>
        </w:rPr>
        <w:t>Lurie, D. H.</w:t>
      </w:r>
      <w:r w:rsidR="00B40463" w:rsidRPr="00A24C8F">
        <w:rPr>
          <w:rFonts w:eastAsiaTheme="minorHAnsi" w:cs="Times New Roman"/>
        </w:rPr>
        <w:t xml:space="preserve"> "A New Interpretation of Daniel's 'Sevens' and the Chronology of the Seventy 'Sevens.'"</w:t>
      </w:r>
      <w:r w:rsidR="00B40463">
        <w:rPr>
          <w:rFonts w:eastAsia="Times-Roman"/>
        </w:rPr>
        <w:t xml:space="preserve"> </w:t>
      </w:r>
      <w:r w:rsidR="003909F2" w:rsidRPr="00B40463">
        <w:rPr>
          <w:b/>
        </w:rPr>
        <w:t>McComiskey, T. E.</w:t>
      </w:r>
      <w:r w:rsidR="007E4008">
        <w:t xml:space="preserve"> “The Seventy ‘</w:t>
      </w:r>
      <w:r w:rsidR="003909F2" w:rsidRPr="0066103C">
        <w:t>Weeks’ of Daniel against the Background of Ancient Near Eastern Li</w:t>
      </w:r>
      <w:r w:rsidR="00452578" w:rsidRPr="0066103C">
        <w:t xml:space="preserve">terature.” </w:t>
      </w:r>
      <w:r w:rsidR="008372B2" w:rsidRPr="00B40463">
        <w:rPr>
          <w:b/>
        </w:rPr>
        <w:t>McFall, L.</w:t>
      </w:r>
      <w:r w:rsidR="008372B2" w:rsidRPr="0066103C">
        <w:t xml:space="preserve"> </w:t>
      </w:r>
      <w:r w:rsidR="008372B2" w:rsidRPr="0066103C">
        <w:rPr>
          <w:rFonts w:eastAsia="Times New Roman" w:cs="Times New Roman"/>
        </w:rPr>
        <w:t>“</w:t>
      </w:r>
      <w:r w:rsidR="008372B2" w:rsidRPr="0066103C">
        <w:rPr>
          <w:rFonts w:eastAsiaTheme="minorHAnsi" w:cs="Times New Roman"/>
        </w:rPr>
        <w:t xml:space="preserve">Do the Sixty-Nine Weeks of Daniel Date the Messianic Mission of Nehemiah or Jesus?” </w:t>
      </w:r>
      <w:r w:rsidR="002C2955" w:rsidRPr="002C2955">
        <w:rPr>
          <w:rFonts w:eastAsiaTheme="minorHAnsi" w:cs="Times New Roman"/>
          <w:b/>
        </w:rPr>
        <w:t>Meadowcroft, T. J.</w:t>
      </w:r>
      <w:r w:rsidR="002C2955">
        <w:rPr>
          <w:rFonts w:eastAsiaTheme="minorHAnsi" w:cs="Times New Roman"/>
        </w:rPr>
        <w:t xml:space="preserve"> </w:t>
      </w:r>
      <w:r w:rsidR="002C2955" w:rsidRPr="002C2955">
        <w:rPr>
          <w:rFonts w:eastAsiaTheme="minorHAnsi" w:cs="Times New Roman"/>
        </w:rPr>
        <w:t>“Exploring the Dismal Swamp</w:t>
      </w:r>
      <w:r w:rsidR="002C2955">
        <w:rPr>
          <w:rFonts w:eastAsiaTheme="minorHAnsi" w:cs="Times New Roman"/>
        </w:rPr>
        <w:t>.”</w:t>
      </w:r>
      <w:r w:rsidR="002C2955" w:rsidRPr="002C2955">
        <w:rPr>
          <w:rFonts w:eastAsiaTheme="minorHAnsi" w:cs="Times New Roman"/>
        </w:rPr>
        <w:t xml:space="preserve"> </w:t>
      </w:r>
      <w:r w:rsidR="003909F2" w:rsidRPr="007E4008">
        <w:rPr>
          <w:b/>
        </w:rPr>
        <w:t>Montgomery, J. A.</w:t>
      </w:r>
      <w:r w:rsidR="003909F2" w:rsidRPr="0066103C">
        <w:t xml:space="preserve"> “A Survival of the Tetragrammato</w:t>
      </w:r>
      <w:r w:rsidR="00452578" w:rsidRPr="0066103C">
        <w:t xml:space="preserve">n in Daniel.” </w:t>
      </w:r>
      <w:r w:rsidR="003909F2" w:rsidRPr="007E4008">
        <w:rPr>
          <w:b/>
        </w:rPr>
        <w:t xml:space="preserve">Moore, C. A. </w:t>
      </w:r>
      <w:r w:rsidR="003909F2" w:rsidRPr="0066103C">
        <w:t>“Toward the Dating of the Book of</w:t>
      </w:r>
      <w:r w:rsidR="00452578" w:rsidRPr="0066103C">
        <w:t xml:space="preserve"> Baruch.” </w:t>
      </w:r>
      <w:r w:rsidR="003909F2" w:rsidRPr="007E4008">
        <w:rPr>
          <w:b/>
        </w:rPr>
        <w:t>Nestle, E.</w:t>
      </w:r>
      <w:r w:rsidR="003909F2" w:rsidRPr="0066103C">
        <w:t xml:space="preserve"> “Z</w:t>
      </w:r>
      <w:r w:rsidR="00452578" w:rsidRPr="0066103C">
        <w:t xml:space="preserve">u Daniel.” </w:t>
      </w:r>
      <w:r w:rsidR="00D71F8E">
        <w:rPr>
          <w:b/>
        </w:rPr>
        <w:t xml:space="preserve">Nel, M. </w:t>
      </w:r>
      <w:r w:rsidR="00D71F8E" w:rsidRPr="00901F58">
        <w:rPr>
          <w:rFonts w:eastAsiaTheme="minorHAnsi" w:cs="Calibri"/>
          <w:color w:val="000000"/>
          <w:sz w:val="24"/>
          <w:szCs w:val="24"/>
        </w:rPr>
        <w:t>“</w:t>
      </w:r>
      <w:r w:rsidR="00D71F8E">
        <w:rPr>
          <w:rFonts w:eastAsiaTheme="minorHAnsi" w:cs="Calibri"/>
          <w:bCs/>
          <w:color w:val="000000"/>
        </w:rPr>
        <w:t>Daniel 9 as Part of an Apocalyptic B</w:t>
      </w:r>
      <w:r w:rsidR="00D71F8E" w:rsidRPr="00901F58">
        <w:rPr>
          <w:rFonts w:eastAsiaTheme="minorHAnsi" w:cs="Calibri"/>
          <w:bCs/>
          <w:color w:val="000000"/>
        </w:rPr>
        <w:t>ook?</w:t>
      </w:r>
      <w:r w:rsidR="00D71F8E">
        <w:rPr>
          <w:rFonts w:eastAsiaTheme="minorHAnsi" w:cs="Calibri"/>
          <w:bCs/>
          <w:color w:val="000000"/>
        </w:rPr>
        <w:t xml:space="preserve">” </w:t>
      </w:r>
      <w:r w:rsidR="003909F2" w:rsidRPr="007E4008">
        <w:rPr>
          <w:b/>
        </w:rPr>
        <w:t>Newman, R. C.</w:t>
      </w:r>
      <w:r w:rsidR="003909F2" w:rsidRPr="0066103C">
        <w:t xml:space="preserve"> “Daniel’s Seventy Weeks and the Old Testament Sabbath-Year Cycle.”</w:t>
      </w:r>
      <w:r w:rsidR="00452578" w:rsidRPr="0066103C">
        <w:t xml:space="preserve"> </w:t>
      </w:r>
      <w:r w:rsidR="003909F2" w:rsidRPr="004A4997">
        <w:rPr>
          <w:b/>
        </w:rPr>
        <w:t>Nolland, J.</w:t>
      </w:r>
      <w:r w:rsidR="003909F2" w:rsidRPr="0066103C">
        <w:t xml:space="preserve"> “Sib. Or. iii. 265–94, an Early Maccabean Messianic</w:t>
      </w:r>
      <w:r w:rsidR="00452578" w:rsidRPr="0066103C">
        <w:t xml:space="preserve"> Oracle.” </w:t>
      </w:r>
      <w:r w:rsidR="004A4997" w:rsidRPr="00B740B4">
        <w:rPr>
          <w:rFonts w:eastAsia="Times-Roman" w:cs="Times-Roman"/>
          <w:b/>
        </w:rPr>
        <w:t xml:space="preserve">Ouro, R. </w:t>
      </w:r>
      <w:r w:rsidR="004A4997" w:rsidRPr="00B740B4">
        <w:rPr>
          <w:rFonts w:eastAsia="Times-Roman" w:cs="Times-Roman"/>
        </w:rPr>
        <w:t xml:space="preserve">“Daniel 9:27a.” </w:t>
      </w:r>
      <w:r w:rsidR="00906E73" w:rsidRPr="00906E73">
        <w:rPr>
          <w:rFonts w:eastAsiaTheme="minorHAnsi" w:cs="Times New Roman"/>
          <w:b/>
        </w:rPr>
        <w:t xml:space="preserve">Parente, </w:t>
      </w:r>
      <w:r w:rsidR="00906E73">
        <w:rPr>
          <w:rFonts w:eastAsiaTheme="minorHAnsi" w:cs="Times New Roman"/>
          <w:b/>
        </w:rPr>
        <w:t xml:space="preserve">F. </w:t>
      </w:r>
      <w:r w:rsidR="00906E73" w:rsidRPr="00906E73">
        <w:rPr>
          <w:rFonts w:eastAsiaTheme="minorHAnsi" w:cs="Times New Roman"/>
        </w:rPr>
        <w:t>“Onias III’ Death.”</w:t>
      </w:r>
      <w:r w:rsidR="00906E73">
        <w:rPr>
          <w:rFonts w:eastAsia="Times-Roman" w:cs="Times-Roman"/>
        </w:rPr>
        <w:t xml:space="preserve"> </w:t>
      </w:r>
      <w:r w:rsidR="003D36CE" w:rsidRPr="007B1958">
        <w:rPr>
          <w:rFonts w:eastAsiaTheme="minorHAnsi" w:cs="Times New Roman"/>
          <w:b/>
        </w:rPr>
        <w:t>Park, J. H.</w:t>
      </w:r>
      <w:r w:rsidR="003D36CE" w:rsidRPr="0066103C">
        <w:rPr>
          <w:rFonts w:eastAsiaTheme="minorHAnsi" w:cs="Times New Roman"/>
        </w:rPr>
        <w:t xml:space="preserve"> “Overtones of the Jubilee in the Seventy Weeks of Daniel 9:24-27.” </w:t>
      </w:r>
      <w:r w:rsidR="003909F2" w:rsidRPr="007E4008">
        <w:rPr>
          <w:b/>
        </w:rPr>
        <w:t>Payne, J. B.</w:t>
      </w:r>
      <w:r w:rsidR="003909F2" w:rsidRPr="0066103C">
        <w:t xml:space="preserve"> “The Goal of Daniel’s Sevent</w:t>
      </w:r>
      <w:r w:rsidR="00452578" w:rsidRPr="0066103C">
        <w:t xml:space="preserve">y Weeks.” </w:t>
      </w:r>
      <w:r w:rsidR="003909F2" w:rsidRPr="007E4008">
        <w:rPr>
          <w:b/>
        </w:rPr>
        <w:t>Plöger, O.</w:t>
      </w:r>
      <w:r w:rsidR="003909F2" w:rsidRPr="0066103C">
        <w:t xml:space="preserve"> “‘Siebz</w:t>
      </w:r>
      <w:r w:rsidR="00452578" w:rsidRPr="0066103C">
        <w:t xml:space="preserve">ig Jahre.’” </w:t>
      </w:r>
      <w:r w:rsidR="005B0675" w:rsidRPr="00A3319A">
        <w:rPr>
          <w:b/>
        </w:rPr>
        <w:t>Poythress, V. S.</w:t>
      </w:r>
      <w:r w:rsidR="005B0675" w:rsidRPr="004F0A02">
        <w:t xml:space="preserve"> </w:t>
      </w:r>
      <w:r w:rsidR="005B0675">
        <w:t xml:space="preserve">“Hermeneutical Factors in Determining the Beginning of the Seventy Weeks.” </w:t>
      </w:r>
      <w:r w:rsidR="008B5F22" w:rsidRPr="008B5F22">
        <w:rPr>
          <w:rStyle w:val="b"/>
          <w:color w:val="auto"/>
          <w:sz w:val="22"/>
          <w:szCs w:val="22"/>
        </w:rPr>
        <w:t>Price, J. R.</w:t>
      </w:r>
      <w:r w:rsidR="00945C8C">
        <w:rPr>
          <w:rStyle w:val="b"/>
          <w:color w:val="auto"/>
          <w:sz w:val="22"/>
          <w:szCs w:val="22"/>
        </w:rPr>
        <w:t xml:space="preserve"> </w:t>
      </w:r>
      <w:r w:rsidR="008B5F22" w:rsidRPr="008B5F22">
        <w:rPr>
          <w:rStyle w:val="b"/>
          <w:b w:val="0"/>
          <w:color w:val="auto"/>
          <w:sz w:val="22"/>
          <w:szCs w:val="22"/>
        </w:rPr>
        <w:t xml:space="preserve">“Prophetic Postponement in Daniel 9 and Other Texts.” </w:t>
      </w:r>
      <w:r w:rsidR="003909F2" w:rsidRPr="008B5F22">
        <w:rPr>
          <w:b/>
        </w:rPr>
        <w:t>Quervain, A. de.</w:t>
      </w:r>
      <w:r w:rsidR="002A5AA0" w:rsidRPr="008B5F22">
        <w:t xml:space="preserve"> </w:t>
      </w:r>
      <w:r w:rsidR="002A5AA0" w:rsidRPr="008B5F22">
        <w:rPr>
          <w:i/>
        </w:rPr>
        <w:t>Busse</w:t>
      </w:r>
      <w:r w:rsidR="002A5AA0" w:rsidRPr="008B5F22">
        <w:t xml:space="preserve">. </w:t>
      </w:r>
      <w:r w:rsidR="006E3F84" w:rsidRPr="008B5F22">
        <w:rPr>
          <w:b/>
        </w:rPr>
        <w:t>Ra</w:t>
      </w:r>
      <w:r w:rsidR="006E3F84" w:rsidRPr="00987525">
        <w:rPr>
          <w:b/>
        </w:rPr>
        <w:t>d, G. v</w:t>
      </w:r>
      <w:r w:rsidR="003909F2" w:rsidRPr="00987525">
        <w:rPr>
          <w:b/>
        </w:rPr>
        <w:t>on.</w:t>
      </w:r>
      <w:r w:rsidR="003909F2" w:rsidRPr="0066103C">
        <w:t xml:space="preserve"> “Ge</w:t>
      </w:r>
      <w:r w:rsidR="00E923A4" w:rsidRPr="0066103C">
        <w:t>richtsdoxologie.”</w:t>
      </w:r>
      <w:r w:rsidR="00945C8C">
        <w:t xml:space="preserve"> </w:t>
      </w:r>
      <w:r w:rsidR="00987525" w:rsidRPr="00B740B4">
        <w:rPr>
          <w:rFonts w:eastAsia="Times-Roman" w:cs="Times-Roman"/>
          <w:b/>
        </w:rPr>
        <w:t xml:space="preserve">Redditt, P. L. </w:t>
      </w:r>
      <w:r w:rsidR="00987525" w:rsidRPr="00B740B4">
        <w:rPr>
          <w:rFonts w:eastAsia="Times-Roman" w:cs="Times-Roman"/>
        </w:rPr>
        <w:t>“Daniel 9.”</w:t>
      </w:r>
      <w:r w:rsidR="00987525">
        <w:rPr>
          <w:rFonts w:eastAsia="Times-Roman" w:cs="Times-Roman"/>
        </w:rPr>
        <w:t xml:space="preserve"> </w:t>
      </w:r>
      <w:r w:rsidR="00E81C6D" w:rsidRPr="00745B8A">
        <w:rPr>
          <w:rFonts w:eastAsia="CIDFont+F1" w:cs="CIDFont+F1"/>
          <w:b/>
        </w:rPr>
        <w:t>Rigger, H</w:t>
      </w:r>
      <w:r w:rsidR="00E81C6D" w:rsidRPr="00745B8A">
        <w:rPr>
          <w:rFonts w:eastAsia="CIDFont+F3" w:cs="CIDFont+F3"/>
          <w:b/>
        </w:rPr>
        <w:t>.</w:t>
      </w:r>
      <w:r w:rsidR="00E81C6D">
        <w:rPr>
          <w:rFonts w:eastAsia="CIDFont+F3" w:cs="CIDFont+F3"/>
        </w:rPr>
        <w:t xml:space="preserve"> </w:t>
      </w:r>
      <w:r w:rsidR="00E81C6D" w:rsidRPr="00745B8A">
        <w:rPr>
          <w:rFonts w:eastAsia="CIDFont+F3" w:cs="CIDFont+F3"/>
          <w:i/>
        </w:rPr>
        <w:t>Siebzig Siebener</w:t>
      </w:r>
      <w:r w:rsidR="00E81C6D">
        <w:rPr>
          <w:rFonts w:eastAsia="CIDFont+F3" w:cs="CIDFont+F3"/>
        </w:rPr>
        <w:t xml:space="preserve">. </w:t>
      </w:r>
      <w:r w:rsidR="00516145">
        <w:rPr>
          <w:b/>
        </w:rPr>
        <w:t>Rosscup, J. E. “</w:t>
      </w:r>
      <w:r w:rsidR="00516145">
        <w:rPr>
          <w:rFonts w:eastAsiaTheme="minorHAnsi" w:cs="Book Antiqua"/>
        </w:rPr>
        <w:t>Prayer Relating to Prophecy i</w:t>
      </w:r>
      <w:r w:rsidR="00516145" w:rsidRPr="009453F8">
        <w:rPr>
          <w:rFonts w:eastAsiaTheme="minorHAnsi" w:cs="Book Antiqua"/>
        </w:rPr>
        <w:t>n Daniel 9</w:t>
      </w:r>
      <w:r w:rsidR="00516145">
        <w:rPr>
          <w:rFonts w:eastAsiaTheme="minorHAnsi" w:cs="Book Antiqua"/>
        </w:rPr>
        <w:t xml:space="preserve">.” </w:t>
      </w:r>
      <w:r w:rsidR="003909F2" w:rsidRPr="00550A30">
        <w:rPr>
          <w:b/>
        </w:rPr>
        <w:t>Sawyer, J. F. A.</w:t>
      </w:r>
      <w:r w:rsidR="003909F2" w:rsidRPr="0066103C">
        <w:t xml:space="preserve"> “T</w:t>
      </w:r>
      <w:r w:rsidR="005A7F4B">
        <w:t>ypes of Prayer in the OT</w:t>
      </w:r>
      <w:r w:rsidR="002A5AA0" w:rsidRPr="0066103C">
        <w:t xml:space="preserve">.” </w:t>
      </w:r>
      <w:r w:rsidR="003909F2" w:rsidRPr="00550A30">
        <w:rPr>
          <w:b/>
        </w:rPr>
        <w:t>Scholl, Dr.</w:t>
      </w:r>
      <w:r w:rsidR="003909F2" w:rsidRPr="0066103C">
        <w:t xml:space="preserve"> </w:t>
      </w:r>
      <w:r w:rsidR="003909F2" w:rsidRPr="00550A30">
        <w:rPr>
          <w:i/>
        </w:rPr>
        <w:t>Commentatio exegetica de septuaginta hebdomadibus Dani</w:t>
      </w:r>
      <w:r w:rsidR="002A5AA0" w:rsidRPr="00550A30">
        <w:rPr>
          <w:i/>
        </w:rPr>
        <w:t>elis.</w:t>
      </w:r>
      <w:r w:rsidR="002A5AA0" w:rsidRPr="0066103C">
        <w:t xml:space="preserve"> </w:t>
      </w:r>
      <w:r w:rsidR="007D1FB5" w:rsidRPr="00550A30">
        <w:rPr>
          <w:b/>
          <w:bCs/>
        </w:rPr>
        <w:t>Segal, M.</w:t>
      </w:r>
      <w:r w:rsidR="007D1FB5" w:rsidRPr="0066103C">
        <w:rPr>
          <w:bCs/>
        </w:rPr>
        <w:t xml:space="preserve"> “The Chronological Conception of the Persian Period in Daniel 9.” </w:t>
      </w:r>
      <w:r w:rsidR="003909F2" w:rsidRPr="00750508">
        <w:rPr>
          <w:b/>
        </w:rPr>
        <w:t>Shea, W. H.</w:t>
      </w:r>
      <w:r w:rsidR="003909F2" w:rsidRPr="0066103C">
        <w:t xml:space="preserve"> “Poetic Relations of the Time Periods in D</w:t>
      </w:r>
      <w:r w:rsidR="002A5AA0" w:rsidRPr="0066103C">
        <w:t xml:space="preserve">an 9:25.” </w:t>
      </w:r>
      <w:r w:rsidR="00B969A7">
        <w:rPr>
          <w:rFonts w:eastAsia="Times-Roman" w:cs="Times-Roman"/>
        </w:rPr>
        <w:t>———.</w:t>
      </w:r>
      <w:r w:rsidR="00B969A7" w:rsidRPr="009F21A2">
        <w:rPr>
          <w:rFonts w:eastAsia="Times-Roman" w:cs="Times-Roman"/>
        </w:rPr>
        <w:t xml:space="preserve"> </w:t>
      </w:r>
      <w:r w:rsidR="00B969A7" w:rsidRPr="00B740B4">
        <w:rPr>
          <w:rFonts w:eastAsia="Times-Roman" w:cs="Times-Roman"/>
        </w:rPr>
        <w:t>“When Did t</w:t>
      </w:r>
      <w:r w:rsidR="005A7F4B">
        <w:rPr>
          <w:rFonts w:eastAsia="Times-Roman" w:cs="Times-Roman"/>
        </w:rPr>
        <w:t xml:space="preserve">he Seventy Weeks </w:t>
      </w:r>
      <w:r w:rsidR="00B969A7" w:rsidRPr="00B740B4">
        <w:rPr>
          <w:rFonts w:eastAsia="Times-Roman" w:cs="Times-Roman"/>
        </w:rPr>
        <w:t xml:space="preserve">Begin?” </w:t>
      </w:r>
      <w:r w:rsidR="003909F2" w:rsidRPr="00550A30">
        <w:rPr>
          <w:b/>
        </w:rPr>
        <w:t>Sostmannus, A.</w:t>
      </w:r>
      <w:r w:rsidR="002A5AA0" w:rsidRPr="00550A30">
        <w:rPr>
          <w:b/>
        </w:rPr>
        <w:t xml:space="preserve"> </w:t>
      </w:r>
      <w:r w:rsidR="002A5AA0" w:rsidRPr="0066103C">
        <w:rPr>
          <w:i/>
        </w:rPr>
        <w:t>Commentarius</w:t>
      </w:r>
      <w:r w:rsidR="00945C8C">
        <w:rPr>
          <w:i/>
        </w:rPr>
        <w:t xml:space="preserve"> </w:t>
      </w:r>
      <w:r w:rsidR="002A5AA0" w:rsidRPr="0066103C">
        <w:rPr>
          <w:i/>
        </w:rPr>
        <w:t>chronologicus, philologicus &amp; exegeticus Oraculi Danielis de LXX. Hebdomadibus</w:t>
      </w:r>
      <w:r w:rsidR="002A5AA0" w:rsidRPr="0066103C">
        <w:t xml:space="preserve">. </w:t>
      </w:r>
      <w:r w:rsidR="00550A30" w:rsidRPr="00B740B4">
        <w:rPr>
          <w:rStyle w:val="medium-font"/>
          <w:b/>
        </w:rPr>
        <w:t xml:space="preserve">Spangenberg, I. J. J. </w:t>
      </w:r>
      <w:r w:rsidR="00550A30" w:rsidRPr="00B740B4">
        <w:rPr>
          <w:rFonts w:eastAsia="Times-Roman"/>
        </w:rPr>
        <w:t>“The Septuagint Tran</w:t>
      </w:r>
      <w:r w:rsidR="00550A30">
        <w:rPr>
          <w:rFonts w:eastAsia="Times-Roman"/>
        </w:rPr>
        <w:t>slation of Daniel 9.</w:t>
      </w:r>
      <w:r w:rsidR="00550A30" w:rsidRPr="00B740B4">
        <w:rPr>
          <w:rFonts w:eastAsia="Times-Roman"/>
        </w:rPr>
        <w:t xml:space="preserve">” </w:t>
      </w:r>
      <w:r w:rsidR="003909F2" w:rsidRPr="00550A30">
        <w:rPr>
          <w:b/>
        </w:rPr>
        <w:t>Steck, O. H.</w:t>
      </w:r>
      <w:r w:rsidR="003909F2" w:rsidRPr="0066103C">
        <w:t xml:space="preserve"> </w:t>
      </w:r>
      <w:r w:rsidR="007E4008">
        <w:rPr>
          <w:i/>
        </w:rPr>
        <w:t>Israel und da</w:t>
      </w:r>
      <w:r w:rsidR="003909F2" w:rsidRPr="0066103C">
        <w:rPr>
          <w:i/>
        </w:rPr>
        <w:t>s gewaltsame Geschick der Propheten</w:t>
      </w:r>
      <w:r w:rsidR="002A5AA0" w:rsidRPr="0066103C">
        <w:t xml:space="preserve">, </w:t>
      </w:r>
      <w:r w:rsidR="003909F2" w:rsidRPr="0066103C">
        <w:t xml:space="preserve">110–37. </w:t>
      </w:r>
      <w:r w:rsidR="003909F2" w:rsidRPr="007B1958">
        <w:rPr>
          <w:b/>
        </w:rPr>
        <w:t>Steudel, J. C. F.</w:t>
      </w:r>
      <w:r w:rsidR="003909F2" w:rsidRPr="0066103C">
        <w:t xml:space="preserve"> </w:t>
      </w:r>
      <w:r w:rsidR="003909F2" w:rsidRPr="0066103C">
        <w:rPr>
          <w:i/>
        </w:rPr>
        <w:t>Disquisitio in locum Dan. ix, 2</w:t>
      </w:r>
      <w:r w:rsidR="00A35A86" w:rsidRPr="0066103C">
        <w:rPr>
          <w:i/>
        </w:rPr>
        <w:t>4–27</w:t>
      </w:r>
      <w:r w:rsidR="00A35A86" w:rsidRPr="0066103C">
        <w:t xml:space="preserve">. </w:t>
      </w:r>
      <w:r w:rsidR="003909F2" w:rsidRPr="0066103C">
        <w:t xml:space="preserve">———. </w:t>
      </w:r>
      <w:r w:rsidR="003909F2" w:rsidRPr="0066103C">
        <w:rPr>
          <w:i/>
        </w:rPr>
        <w:t>Quid de recentioribus quibusdam loci Dan. ix, 24–27. interpretationibus judicandum sit</w:t>
      </w:r>
      <w:r w:rsidR="003909F2" w:rsidRPr="0066103C">
        <w:t xml:space="preserve">. </w:t>
      </w:r>
      <w:r w:rsidR="003909F2" w:rsidRPr="007B1958">
        <w:rPr>
          <w:b/>
        </w:rPr>
        <w:t xml:space="preserve">Stonard, </w:t>
      </w:r>
      <w:r w:rsidR="003909F2" w:rsidRPr="007E4008">
        <w:rPr>
          <w:b/>
        </w:rPr>
        <w:t>J.</w:t>
      </w:r>
      <w:r w:rsidR="003909F2" w:rsidRPr="007E4008">
        <w:t xml:space="preserve"> A</w:t>
      </w:r>
      <w:r w:rsidR="007E4008" w:rsidRPr="007E4008">
        <w:t>.</w:t>
      </w:r>
      <w:r w:rsidR="003909F2" w:rsidRPr="0066103C">
        <w:rPr>
          <w:i/>
        </w:rPr>
        <w:t xml:space="preserve"> Dissertation on th</w:t>
      </w:r>
      <w:r w:rsidR="005A7F4B">
        <w:rPr>
          <w:i/>
        </w:rPr>
        <w:t>e Seventy Weeks</w:t>
      </w:r>
      <w:r w:rsidR="00A35A86" w:rsidRPr="0066103C">
        <w:rPr>
          <w:i/>
        </w:rPr>
        <w:t xml:space="preserve">. </w:t>
      </w:r>
      <w:r w:rsidR="007B1958" w:rsidRPr="00B740B4">
        <w:rPr>
          <w:rFonts w:eastAsiaTheme="minorHAnsi" w:cs="TimesNewRomanPS-BoldMT"/>
          <w:b/>
          <w:bCs/>
        </w:rPr>
        <w:t xml:space="preserve">Tanner, J. P. </w:t>
      </w:r>
      <w:r w:rsidR="007B1958" w:rsidRPr="00B740B4">
        <w:rPr>
          <w:rFonts w:eastAsiaTheme="minorHAnsi" w:cs="TimesNewRomanPS-BoldMT"/>
          <w:bCs/>
        </w:rPr>
        <w:t xml:space="preserve">“Is Daniel’s Seventy Weeks Prophecy Messianic?” </w:t>
      </w:r>
      <w:r w:rsidR="003909F2" w:rsidRPr="007B1958">
        <w:rPr>
          <w:b/>
        </w:rPr>
        <w:t>Torrey, C. C.</w:t>
      </w:r>
      <w:r w:rsidR="003909F2" w:rsidRPr="0066103C">
        <w:t xml:space="preserve"> “The Messiah Son of </w:t>
      </w:r>
      <w:r w:rsidR="00A35A86" w:rsidRPr="0066103C">
        <w:t xml:space="preserve">Ephraim.” </w:t>
      </w:r>
      <w:r w:rsidR="003909F2" w:rsidRPr="00A25F9A">
        <w:rPr>
          <w:b/>
        </w:rPr>
        <w:t>Towner, W</w:t>
      </w:r>
      <w:r w:rsidR="003909F2" w:rsidRPr="0066103C">
        <w:t>. S.</w:t>
      </w:r>
      <w:r w:rsidR="00A35A86" w:rsidRPr="0066103C">
        <w:t xml:space="preserve"> “Retributional Theology in the Apocalyptic Setting.” </w:t>
      </w:r>
      <w:r w:rsidR="00637BE8" w:rsidRPr="00A25F9A">
        <w:rPr>
          <w:b/>
        </w:rPr>
        <w:t>Turpo, J.</w:t>
      </w:r>
      <w:r w:rsidR="00637BE8" w:rsidRPr="0066103C">
        <w:t xml:space="preserve"> </w:t>
      </w:r>
      <w:r w:rsidR="00637BE8" w:rsidRPr="0066103C">
        <w:rPr>
          <w:i/>
        </w:rPr>
        <w:t>Estudio exegético de Daniel 9:24</w:t>
      </w:r>
      <w:r w:rsidR="00637BE8" w:rsidRPr="0066103C">
        <w:t>. ———.</w:t>
      </w:r>
      <w:r w:rsidR="00945C8C">
        <w:t xml:space="preserve"> </w:t>
      </w:r>
      <w:r w:rsidR="00637BE8" w:rsidRPr="0066103C">
        <w:rPr>
          <w:bCs/>
        </w:rPr>
        <w:t xml:space="preserve">“El ‘ungimiento del santísimo’ en Daniel 9:24.” </w:t>
      </w:r>
      <w:r w:rsidR="00A25F9A" w:rsidRPr="00A25F9A">
        <w:rPr>
          <w:b/>
          <w:bCs/>
        </w:rPr>
        <w:t>Ulrich, D. R.</w:t>
      </w:r>
      <w:r w:rsidR="00A25F9A">
        <w:rPr>
          <w:bCs/>
        </w:rPr>
        <w:t xml:space="preserve"> </w:t>
      </w:r>
      <w:r w:rsidR="00A25F9A">
        <w:rPr>
          <w:rFonts w:eastAsia="Times-Roman" w:cs="Times-Roman"/>
          <w:i/>
        </w:rPr>
        <w:t>The Antiochene Crisis and Jubilee Theology in Daniel’s Seventy Sevens</w:t>
      </w:r>
      <w:r w:rsidR="00A25F9A">
        <w:rPr>
          <w:b/>
        </w:rPr>
        <w:t xml:space="preserve">. </w:t>
      </w:r>
      <w:r w:rsidR="00A25F9A" w:rsidRPr="00B23572">
        <w:rPr>
          <w:rFonts w:eastAsia="Times-Roman" w:cs="Times-Roman"/>
          <w:b/>
          <w:bCs/>
        </w:rPr>
        <w:t>———.</w:t>
      </w:r>
      <w:r w:rsidR="00A25F9A">
        <w:rPr>
          <w:rFonts w:eastAsia="Times-Roman" w:cs="Times-Roman"/>
          <w:b/>
          <w:bCs/>
        </w:rPr>
        <w:t xml:space="preserve"> </w:t>
      </w:r>
      <w:r w:rsidR="00A25F9A">
        <w:rPr>
          <w:rFonts w:eastAsiaTheme="minorHAnsi"/>
          <w:bCs/>
          <w:i/>
          <w:color w:val="000000"/>
        </w:rPr>
        <w:t xml:space="preserve">From Judgment to Jubilee. </w:t>
      </w:r>
      <w:r w:rsidR="00A25F9A" w:rsidRPr="00A25F9A">
        <w:rPr>
          <w:rFonts w:eastAsiaTheme="minorHAnsi"/>
          <w:bCs/>
          <w:i/>
          <w:color w:val="000000"/>
        </w:rPr>
        <w:t xml:space="preserve">———. </w:t>
      </w:r>
      <w:r w:rsidR="00A25F9A" w:rsidRPr="0066103C">
        <w:rPr>
          <w:rFonts w:eastAsia="Times-Roman" w:cs="Times-Roman"/>
        </w:rPr>
        <w:t xml:space="preserve">“How Early Judaism Read Daniel 9:24-27.” </w:t>
      </w:r>
      <w:r w:rsidR="003D29DC" w:rsidRPr="005A4FCD">
        <w:rPr>
          <w:b/>
        </w:rPr>
        <w:t>Van Bebber, J.</w:t>
      </w:r>
      <w:r w:rsidR="003D29DC" w:rsidRPr="0066103C">
        <w:t xml:space="preserve"> “Zur Berechnung der 70 Wochen Daniels.” </w:t>
      </w:r>
      <w:r w:rsidR="001215C5" w:rsidRPr="001215C5">
        <w:rPr>
          <w:b/>
        </w:rPr>
        <w:t>Van Deventer, H. J. M</w:t>
      </w:r>
      <w:r w:rsidR="001215C5" w:rsidRPr="001215C5">
        <w:t xml:space="preserve">. </w:t>
      </w:r>
      <w:r w:rsidR="00DE3E3D" w:rsidRPr="00DE3E3D">
        <w:t>“</w:t>
      </w:r>
      <w:r w:rsidR="00DE3E3D">
        <w:t xml:space="preserve">The End of the End.” </w:t>
      </w:r>
      <w:r w:rsidR="00DE3E3D" w:rsidRPr="00DE3E3D">
        <w:rPr>
          <w:b/>
        </w:rPr>
        <w:t>———.</w:t>
      </w:r>
      <w:r w:rsidR="00DE3E3D" w:rsidRPr="00DE3E3D">
        <w:t xml:space="preserve"> </w:t>
      </w:r>
      <w:r w:rsidR="001215C5" w:rsidRPr="001215C5">
        <w:t xml:space="preserve">“Suffering, Psalms and Allusion in Daniel 9.” </w:t>
      </w:r>
      <w:r w:rsidR="005A4FCD" w:rsidRPr="00B740B4">
        <w:rPr>
          <w:rFonts w:eastAsia="Times-Roman"/>
          <w:b/>
        </w:rPr>
        <w:t xml:space="preserve">VanderKam, J. C., </w:t>
      </w:r>
      <w:r w:rsidR="005A4FCD" w:rsidRPr="001C6136">
        <w:rPr>
          <w:rFonts w:eastAsia="Times-Roman"/>
        </w:rPr>
        <w:t>and</w:t>
      </w:r>
      <w:r w:rsidR="005A4FCD" w:rsidRPr="00B740B4">
        <w:rPr>
          <w:rFonts w:eastAsia="Times-Roman"/>
          <w:b/>
        </w:rPr>
        <w:t xml:space="preserve"> Adler, W. </w:t>
      </w:r>
      <w:r w:rsidR="005A4FCD" w:rsidRPr="007E4008">
        <w:t>(eds.). The</w:t>
      </w:r>
      <w:r w:rsidR="005A4FCD" w:rsidRPr="00B740B4">
        <w:rPr>
          <w:rFonts w:eastAsia="Times-Roman"/>
          <w:i/>
        </w:rPr>
        <w:t xml:space="preserve"> Jewish Apocalyptic Heritage in Early Christianity</w:t>
      </w:r>
      <w:r w:rsidR="005A4FCD">
        <w:rPr>
          <w:rFonts w:eastAsia="Times-Roman"/>
        </w:rPr>
        <w:t xml:space="preserve">, 201-38. </w:t>
      </w:r>
      <w:r w:rsidR="009A6A3B" w:rsidRPr="009A6A3B">
        <w:rPr>
          <w:b/>
        </w:rPr>
        <w:t>Venter, P. M.</w:t>
      </w:r>
      <w:r w:rsidR="009A6A3B" w:rsidRPr="009A6A3B">
        <w:t xml:space="preserve"> “C</w:t>
      </w:r>
      <w:r w:rsidR="009A6A3B">
        <w:t>onstitualised Space in Daniel 9.</w:t>
      </w:r>
      <w:r w:rsidR="009A6A3B" w:rsidRPr="009A6A3B">
        <w:t>” ———.</w:t>
      </w:r>
      <w:r w:rsidR="00945C8C">
        <w:t xml:space="preserve"> </w:t>
      </w:r>
      <w:r w:rsidR="008603F4" w:rsidRPr="008603F4">
        <w:rPr>
          <w:bCs/>
        </w:rPr>
        <w:t>“Daniel 9.” ———.</w:t>
      </w:r>
      <w:r w:rsidR="00945C8C">
        <w:rPr>
          <w:bCs/>
        </w:rPr>
        <w:t xml:space="preserve"> </w:t>
      </w:r>
      <w:r w:rsidR="0066103C" w:rsidRPr="0066103C">
        <w:rPr>
          <w:bCs/>
        </w:rPr>
        <w:t xml:space="preserve">“Intertekstualíteít, kontekstualiteit en Daníël 9.” </w:t>
      </w:r>
      <w:r w:rsidR="003909F2" w:rsidRPr="00264489">
        <w:rPr>
          <w:b/>
        </w:rPr>
        <w:t>Wacholder, B.</w:t>
      </w:r>
      <w:r w:rsidR="003909F2" w:rsidRPr="0066103C">
        <w:t xml:space="preserve"> Z.</w:t>
      </w:r>
      <w:r w:rsidR="00F94F88" w:rsidRPr="0066103C">
        <w:t xml:space="preserve"> “Chronomessianism.” </w:t>
      </w:r>
      <w:r w:rsidR="003909F2" w:rsidRPr="00264489">
        <w:rPr>
          <w:b/>
        </w:rPr>
        <w:t>Walvoord, J. F.</w:t>
      </w:r>
      <w:r w:rsidR="003909F2" w:rsidRPr="0066103C">
        <w:t xml:space="preserve"> “Is the Sev</w:t>
      </w:r>
      <w:r w:rsidR="00F94F88" w:rsidRPr="0066103C">
        <w:t xml:space="preserve">entieth Week of Daniel Future?” </w:t>
      </w:r>
      <w:r w:rsidR="003909F2" w:rsidRPr="00264489">
        <w:rPr>
          <w:b/>
        </w:rPr>
        <w:t>Wambacq, B. N.</w:t>
      </w:r>
      <w:r w:rsidR="003909F2" w:rsidRPr="0066103C">
        <w:t xml:space="preserve"> “Les Pri</w:t>
      </w:r>
      <w:r w:rsidR="007E4008">
        <w:t>ères de Baruch (1,</w:t>
      </w:r>
      <w:r w:rsidR="003909F2" w:rsidRPr="0066103C">
        <w:t>15–2,19) et de Daniel (9,5–19)</w:t>
      </w:r>
      <w:r w:rsidR="00F94F88" w:rsidRPr="0066103C">
        <w:t xml:space="preserve">.” </w:t>
      </w:r>
      <w:r w:rsidR="003909F2" w:rsidRPr="00264489">
        <w:rPr>
          <w:b/>
        </w:rPr>
        <w:t>Wieseler, C.</w:t>
      </w:r>
      <w:r w:rsidR="003909F2" w:rsidRPr="0066103C">
        <w:t xml:space="preserve"> </w:t>
      </w:r>
      <w:r w:rsidR="003909F2" w:rsidRPr="0066103C">
        <w:rPr>
          <w:i/>
        </w:rPr>
        <w:t>Die 70 Wochen und die 63 Jahrwochen des Propheten Danie</w:t>
      </w:r>
      <w:r w:rsidR="00F94F88" w:rsidRPr="0066103C">
        <w:rPr>
          <w:i/>
        </w:rPr>
        <w:t>l.</w:t>
      </w:r>
      <w:r w:rsidR="00F94F88" w:rsidRPr="0066103C">
        <w:t xml:space="preserve"> </w:t>
      </w:r>
      <w:r w:rsidR="00377441">
        <w:rPr>
          <w:b/>
        </w:rPr>
        <w:t>Wilke, A. F</w:t>
      </w:r>
      <w:r w:rsidR="00377441" w:rsidRPr="00AF73FE">
        <w:rPr>
          <w:i/>
        </w:rPr>
        <w:t>.</w:t>
      </w:r>
      <w:r w:rsidR="00377441">
        <w:rPr>
          <w:i/>
        </w:rPr>
        <w:t xml:space="preserve"> </w:t>
      </w:r>
      <w:r w:rsidR="00377441">
        <w:t xml:space="preserve">“Daniel 9.” </w:t>
      </w:r>
      <w:r w:rsidR="00377441" w:rsidRPr="00377441">
        <w:rPr>
          <w:bCs/>
        </w:rPr>
        <w:t xml:space="preserve">———. </w:t>
      </w:r>
      <w:r w:rsidR="003A6041" w:rsidRPr="003A6041">
        <w:rPr>
          <w:i/>
        </w:rPr>
        <w:t>Die Gebete der Propheten</w:t>
      </w:r>
      <w:r w:rsidR="003A6041">
        <w:rPr>
          <w:i/>
        </w:rPr>
        <w:t xml:space="preserve">, </w:t>
      </w:r>
      <w:r w:rsidR="003A6041">
        <w:t>67-91.</w:t>
      </w:r>
      <w:r w:rsidR="007E4008">
        <w:t xml:space="preserve"> </w:t>
      </w:r>
      <w:r w:rsidR="00612055" w:rsidRPr="00612055">
        <w:rPr>
          <w:b/>
        </w:rPr>
        <w:t>Wilson, G. H.</w:t>
      </w:r>
      <w:r w:rsidR="00612055" w:rsidRPr="00612055">
        <w:t xml:space="preserve"> “The Prayer of Daniel 9.”</w:t>
      </w:r>
      <w:r w:rsidR="00F77806">
        <w:t xml:space="preserve"> </w:t>
      </w:r>
      <w:r w:rsidR="00F77806" w:rsidRPr="00F77806">
        <w:rPr>
          <w:b/>
        </w:rPr>
        <w:t>Zuiddam, B. A.</w:t>
      </w:r>
      <w:r w:rsidR="00F77806" w:rsidRPr="00F77806">
        <w:t xml:space="preserve"> “The Shoc</w:t>
      </w:r>
      <w:r w:rsidR="00F77806">
        <w:t>k Factor of Divine Revelation.”</w:t>
      </w:r>
    </w:p>
    <w:p w:rsidR="003909F2" w:rsidRPr="00CC1756" w:rsidRDefault="003909F2" w:rsidP="00CC1756">
      <w:pPr>
        <w:pStyle w:val="Heading2"/>
      </w:pPr>
      <w:r w:rsidRPr="00CC1756">
        <w:t>Translation</w:t>
      </w:r>
    </w:p>
    <w:p w:rsidR="008E4F2F" w:rsidRPr="0066103C" w:rsidRDefault="003909F2" w:rsidP="003909F2">
      <w:r w:rsidRPr="0066103C">
        <w:rPr>
          <w:vertAlign w:val="superscript"/>
        </w:rPr>
        <w:t>1</w:t>
      </w:r>
      <w:r w:rsidRPr="0066103C">
        <w:t>In the first year of Dar</w:t>
      </w:r>
      <w:r w:rsidR="00B712C9" w:rsidRPr="0066103C">
        <w:t>eyaweš, son of Aḥaš</w:t>
      </w:r>
      <w:r w:rsidRPr="0066103C">
        <w:t>wer</w:t>
      </w:r>
      <w:r w:rsidR="00B712C9" w:rsidRPr="0066103C">
        <w:t>oš</w:t>
      </w:r>
      <w:r w:rsidR="00F91A0D">
        <w:t>, a Medite</w:t>
      </w:r>
      <w:r w:rsidRPr="0066103C">
        <w:t xml:space="preserve"> by birth, who </w:t>
      </w:r>
      <w:r w:rsidR="00966179">
        <w:rPr>
          <w:vertAlign w:val="superscript"/>
        </w:rPr>
        <w:t>a</w:t>
      </w:r>
      <w:r w:rsidRPr="0066103C">
        <w:t>was made king</w:t>
      </w:r>
      <w:r w:rsidR="00966179">
        <w:rPr>
          <w:vertAlign w:val="superscript"/>
        </w:rPr>
        <w:t>a</w:t>
      </w:r>
      <w:r w:rsidRPr="0066103C">
        <w:t xml:space="preserve"> o</w:t>
      </w:r>
      <w:r w:rsidR="00B712C9" w:rsidRPr="0066103C">
        <w:t>ver the realm of the Kasdim</w:t>
      </w:r>
      <w:r w:rsidRPr="0066103C">
        <w:t xml:space="preserve">— </w:t>
      </w:r>
      <w:r w:rsidRPr="0066103C">
        <w:rPr>
          <w:vertAlign w:val="superscript"/>
        </w:rPr>
        <w:t>2</w:t>
      </w:r>
      <w:r w:rsidRPr="0066103C">
        <w:t>in the first year of his reign, I (Dani</w:t>
      </w:r>
      <w:r w:rsidR="00B712C9" w:rsidRPr="0066103C">
        <w:t>yy</w:t>
      </w:r>
      <w:r w:rsidRPr="0066103C">
        <w:t>e</w:t>
      </w:r>
      <w:r w:rsidR="00B712C9" w:rsidRPr="0066103C">
        <w:t>’</w:t>
      </w:r>
      <w:r w:rsidRPr="0066103C">
        <w:t>l) noted</w:t>
      </w:r>
      <w:r w:rsidRPr="0066103C">
        <w:rPr>
          <w:vertAlign w:val="superscript"/>
        </w:rPr>
        <w:t>a</w:t>
      </w:r>
      <w:r w:rsidR="00612055">
        <w:t xml:space="preserve"> in the documents</w:t>
      </w:r>
      <w:r w:rsidRPr="0066103C">
        <w:t xml:space="preserve"> the number of years </w:t>
      </w:r>
      <w:r w:rsidR="00BD58AD">
        <w:rPr>
          <w:vertAlign w:val="superscript"/>
        </w:rPr>
        <w:t>c</w:t>
      </w:r>
      <w:r w:rsidRPr="0066103C">
        <w:t>(the word of Yahweh wh</w:t>
      </w:r>
      <w:r w:rsidR="00BE516C" w:rsidRPr="0066103C">
        <w:t>ich came to Yirmiyah the prophet</w:t>
      </w:r>
      <w:r w:rsidRPr="0066103C">
        <w:t>)</w:t>
      </w:r>
      <w:r w:rsidR="00BD58AD">
        <w:rPr>
          <w:vertAlign w:val="superscript"/>
        </w:rPr>
        <w:t>c</w:t>
      </w:r>
      <w:r w:rsidRPr="0066103C">
        <w:t xml:space="preserve"> to be completed for the ruins </w:t>
      </w:r>
      <w:r w:rsidR="00BE516C" w:rsidRPr="0066103C">
        <w:t>of Yerušalai</w:t>
      </w:r>
      <w:r w:rsidRPr="0066103C">
        <w:t xml:space="preserve">m, seventy years. </w:t>
      </w:r>
      <w:r w:rsidRPr="0066103C">
        <w:rPr>
          <w:vertAlign w:val="superscript"/>
        </w:rPr>
        <w:t>3</w:t>
      </w:r>
      <w:r w:rsidRPr="0066103C">
        <w:t>So I turned to the Lord</w:t>
      </w:r>
      <w:r w:rsidRPr="0066103C">
        <w:rPr>
          <w:vertAlign w:val="superscript"/>
        </w:rPr>
        <w:t>a</w:t>
      </w:r>
      <w:r w:rsidRPr="0066103C">
        <w:t xml:space="preserve"> God to </w:t>
      </w:r>
      <w:r w:rsidRPr="0066103C">
        <w:rPr>
          <w:vertAlign w:val="superscript"/>
        </w:rPr>
        <w:t>b</w:t>
      </w:r>
      <w:r w:rsidRPr="0066103C">
        <w:t>make prayers of supplication</w:t>
      </w:r>
      <w:r w:rsidRPr="0066103C">
        <w:rPr>
          <w:vertAlign w:val="superscript"/>
        </w:rPr>
        <w:t>b</w:t>
      </w:r>
      <w:r w:rsidRPr="0066103C">
        <w:t xml:space="preserve"> with fasting, sackcloth, and ashes; </w:t>
      </w:r>
      <w:r w:rsidRPr="0066103C">
        <w:rPr>
          <w:vertAlign w:val="superscript"/>
        </w:rPr>
        <w:t>4</w:t>
      </w:r>
      <w:r w:rsidRPr="0066103C">
        <w:t>I prayed a prayer of confession</w:t>
      </w:r>
      <w:r w:rsidRPr="0066103C">
        <w:rPr>
          <w:vertAlign w:val="superscript"/>
        </w:rPr>
        <w:t>a</w:t>
      </w:r>
      <w:r w:rsidR="005A7F4B">
        <w:t xml:space="preserve"> to Yahweh my God.</w:t>
      </w:r>
    </w:p>
    <w:p w:rsidR="00BE516C" w:rsidRPr="0066103C" w:rsidRDefault="00BE516C" w:rsidP="003909F2"/>
    <w:p w:rsidR="00BE516C" w:rsidRPr="0066103C" w:rsidRDefault="003909F2" w:rsidP="00DD5E95">
      <w:pPr>
        <w:pStyle w:val="Quote"/>
      </w:pPr>
      <w:r w:rsidRPr="0066103C">
        <w:t>O</w:t>
      </w:r>
      <w:r w:rsidRPr="0066103C">
        <w:rPr>
          <w:vertAlign w:val="superscript"/>
        </w:rPr>
        <w:t>b</w:t>
      </w:r>
      <w:r w:rsidRPr="0066103C">
        <w:t xml:space="preserve"> Lord, the great and awesome God who keeps his covenantal commitment</w:t>
      </w:r>
      <w:r w:rsidRPr="0066103C">
        <w:rPr>
          <w:vertAlign w:val="superscript"/>
        </w:rPr>
        <w:t>c</w:t>
      </w:r>
      <w:r w:rsidRPr="0066103C">
        <w:t xml:space="preserve"> with people who love him and keep his commands, </w:t>
      </w:r>
      <w:r w:rsidRPr="0066103C">
        <w:rPr>
          <w:vertAlign w:val="superscript"/>
        </w:rPr>
        <w:t>5</w:t>
      </w:r>
      <w:r w:rsidR="00E925AD" w:rsidRPr="0066103C">
        <w:t xml:space="preserve">we </w:t>
      </w:r>
      <w:r w:rsidRPr="0066103C">
        <w:t>failed</w:t>
      </w:r>
      <w:r w:rsidR="00FC2A3A">
        <w:t>,</w:t>
      </w:r>
      <w:r w:rsidRPr="0066103C">
        <w:t xml:space="preserve"> </w:t>
      </w:r>
      <w:r w:rsidRPr="0066103C">
        <w:rPr>
          <w:vertAlign w:val="superscript"/>
        </w:rPr>
        <w:t>a</w:t>
      </w:r>
      <w:r w:rsidR="00FC2A3A">
        <w:t xml:space="preserve">went astray, </w:t>
      </w:r>
      <w:r w:rsidR="00E36E6C">
        <w:t>acted faithlessly</w:t>
      </w:r>
      <w:r w:rsidR="00FC2A3A">
        <w:t>,</w:t>
      </w:r>
      <w:r w:rsidRPr="0066103C">
        <w:t xml:space="preserve"> rebelled,</w:t>
      </w:r>
      <w:r w:rsidRPr="0066103C">
        <w:rPr>
          <w:vertAlign w:val="superscript"/>
        </w:rPr>
        <w:t>a b</w:t>
      </w:r>
      <w:r w:rsidR="00E925AD" w:rsidRPr="0066103C">
        <w:t xml:space="preserve">we </w:t>
      </w:r>
      <w:r w:rsidR="00FC2A3A">
        <w:t>turned away</w:t>
      </w:r>
      <w:r w:rsidRPr="0066103C">
        <w:rPr>
          <w:vertAlign w:val="superscript"/>
        </w:rPr>
        <w:t>b</w:t>
      </w:r>
      <w:r w:rsidRPr="0066103C">
        <w:t xml:space="preserve"> </w:t>
      </w:r>
      <w:r w:rsidRPr="0066103C">
        <w:rPr>
          <w:vertAlign w:val="superscript"/>
        </w:rPr>
        <w:t>c</w:t>
      </w:r>
      <w:r w:rsidR="00FC2A3A">
        <w:t>from</w:t>
      </w:r>
      <w:r w:rsidRPr="0066103C">
        <w:t xml:space="preserve"> your authoritative commands</w:t>
      </w:r>
      <w:r w:rsidRPr="0066103C">
        <w:rPr>
          <w:vertAlign w:val="superscript"/>
        </w:rPr>
        <w:t>c</w:t>
      </w:r>
      <w:r w:rsidRPr="0066103C">
        <w:t xml:space="preserve"> </w:t>
      </w:r>
      <w:r w:rsidRPr="0066103C">
        <w:rPr>
          <w:vertAlign w:val="superscript"/>
        </w:rPr>
        <w:t>6</w:t>
      </w:r>
      <w:r w:rsidRPr="0066103C">
        <w:t xml:space="preserve">and </w:t>
      </w:r>
      <w:r w:rsidR="00E925AD" w:rsidRPr="0066103C">
        <w:t>did not listen</w:t>
      </w:r>
      <w:r w:rsidRPr="0066103C">
        <w:t xml:space="preserve"> to your </w:t>
      </w:r>
      <w:r w:rsidR="005535FE" w:rsidRPr="0066103C">
        <w:t>serva</w:t>
      </w:r>
      <w:r w:rsidR="00D7339D">
        <w:t>nts the prophets who spoke in y</w:t>
      </w:r>
      <w:r w:rsidR="005535FE" w:rsidRPr="0066103C">
        <w:t>our name</w:t>
      </w:r>
      <w:r w:rsidRPr="0066103C">
        <w:t xml:space="preserve"> </w:t>
      </w:r>
      <w:r w:rsidR="005535FE" w:rsidRPr="0066103C">
        <w:rPr>
          <w:vertAlign w:val="superscript"/>
        </w:rPr>
        <w:t>a</w:t>
      </w:r>
      <w:r w:rsidRPr="0066103C">
        <w:t>to our ki</w:t>
      </w:r>
      <w:r w:rsidR="00E925AD" w:rsidRPr="0066103C">
        <w:t>n</w:t>
      </w:r>
      <w:r w:rsidR="005535FE" w:rsidRPr="0066103C">
        <w:t>gs, our leaders, and our fathe</w:t>
      </w:r>
      <w:r w:rsidR="00E925AD" w:rsidRPr="0066103C">
        <w:t>r</w:t>
      </w:r>
      <w:r w:rsidRPr="0066103C">
        <w:t>s, and to all the people of the country.</w:t>
      </w:r>
      <w:r w:rsidR="005535FE" w:rsidRPr="0066103C">
        <w:rPr>
          <w:vertAlign w:val="superscript"/>
        </w:rPr>
        <w:t>a</w:t>
      </w:r>
      <w:r w:rsidRPr="0066103C">
        <w:t xml:space="preserve"> </w:t>
      </w:r>
      <w:r w:rsidRPr="0066103C">
        <w:rPr>
          <w:vertAlign w:val="superscript"/>
        </w:rPr>
        <w:t>7</w:t>
      </w:r>
      <w:r w:rsidRPr="0066103C">
        <w:t xml:space="preserve">Right belongs to you, Lord, while </w:t>
      </w:r>
      <w:r w:rsidRPr="0066103C">
        <w:rPr>
          <w:vertAlign w:val="superscript"/>
        </w:rPr>
        <w:t>a</w:t>
      </w:r>
      <w:r w:rsidRPr="0066103C">
        <w:t>a look of shame</w:t>
      </w:r>
      <w:r w:rsidRPr="0066103C">
        <w:rPr>
          <w:vertAlign w:val="superscript"/>
        </w:rPr>
        <w:t>a</w:t>
      </w:r>
      <w:r w:rsidRPr="0066103C">
        <w:t xml:space="preserve"> attaches to us this day,</w:t>
      </w:r>
      <w:r w:rsidRPr="0066103C">
        <w:rPr>
          <w:vertAlign w:val="superscript"/>
        </w:rPr>
        <w:t>b</w:t>
      </w:r>
      <w:r w:rsidR="008E4F2F" w:rsidRPr="0066103C">
        <w:t xml:space="preserve"> to the people of Yehu</w:t>
      </w:r>
      <w:r w:rsidRPr="0066103C">
        <w:t xml:space="preserve">dah and </w:t>
      </w:r>
      <w:r w:rsidR="00E925AD" w:rsidRPr="0066103C">
        <w:t xml:space="preserve">to </w:t>
      </w:r>
      <w:r w:rsidRPr="0066103C">
        <w:t xml:space="preserve">the citizens of </w:t>
      </w:r>
      <w:r w:rsidR="00BE516C" w:rsidRPr="0066103C">
        <w:t>Yerušalaim, and to all Yiś</w:t>
      </w:r>
      <w:r w:rsidRPr="0066103C">
        <w:t>ra</w:t>
      </w:r>
      <w:r w:rsidR="00BE516C" w:rsidRPr="0066103C">
        <w:t>’</w:t>
      </w:r>
      <w:r w:rsidRPr="0066103C">
        <w:t xml:space="preserve">el near and far </w:t>
      </w:r>
      <w:r w:rsidRPr="0066103C">
        <w:lastRenderedPageBreak/>
        <w:t>away in a</w:t>
      </w:r>
      <w:r w:rsidR="00E925AD" w:rsidRPr="0066103C">
        <w:t>ll the countries where you drove</w:t>
      </w:r>
      <w:r w:rsidRPr="0066103C">
        <w:t xml:space="preserve"> them beca</w:t>
      </w:r>
      <w:r w:rsidR="00E925AD" w:rsidRPr="0066103C">
        <w:t xml:space="preserve">use of the trespasses they </w:t>
      </w:r>
      <w:r w:rsidRPr="0066103C">
        <w:t xml:space="preserve">committed against you. </w:t>
      </w:r>
      <w:r w:rsidRPr="0066103C">
        <w:rPr>
          <w:vertAlign w:val="superscript"/>
        </w:rPr>
        <w:t>8</w:t>
      </w:r>
      <w:r w:rsidRPr="0066103C">
        <w:t xml:space="preserve">Yahweh, a look of shame attaches to us, our kings, </w:t>
      </w:r>
      <w:r w:rsidRPr="0066103C">
        <w:rPr>
          <w:vertAlign w:val="superscript"/>
        </w:rPr>
        <w:t>a</w:t>
      </w:r>
      <w:r w:rsidR="00FC2A3A">
        <w:t>our leaders, and our ancestor</w:t>
      </w:r>
      <w:r w:rsidR="00E925AD" w:rsidRPr="0066103C">
        <w:t xml:space="preserve">s, in that we </w:t>
      </w:r>
      <w:r w:rsidRPr="0066103C">
        <w:t xml:space="preserve">failed you; </w:t>
      </w:r>
      <w:r w:rsidRPr="0066103C">
        <w:rPr>
          <w:vertAlign w:val="superscript"/>
        </w:rPr>
        <w:t>9a</w:t>
      </w:r>
      <w:r w:rsidRPr="0066103C">
        <w:t>a deep compassion which keeps pardoning</w:t>
      </w:r>
      <w:r w:rsidRPr="0066103C">
        <w:rPr>
          <w:vertAlign w:val="superscript"/>
        </w:rPr>
        <w:t>a</w:t>
      </w:r>
      <w:r w:rsidRPr="0066103C">
        <w:t xml:space="preserve"> belongs to the Lord our God. </w:t>
      </w:r>
    </w:p>
    <w:p w:rsidR="00BE516C" w:rsidRPr="0066103C" w:rsidRDefault="00BE516C" w:rsidP="00DD5E95">
      <w:pPr>
        <w:pStyle w:val="Quote"/>
      </w:pPr>
      <w:r w:rsidRPr="0066103C">
        <w:tab/>
      </w:r>
      <w:r w:rsidR="003909F2" w:rsidRPr="0066103C">
        <w:t>Because</w:t>
      </w:r>
      <w:r w:rsidR="003909F2" w:rsidRPr="0066103C">
        <w:rPr>
          <w:vertAlign w:val="superscript"/>
        </w:rPr>
        <w:t>b</w:t>
      </w:r>
      <w:r w:rsidR="00E925AD" w:rsidRPr="0066103C">
        <w:t xml:space="preserve"> we </w:t>
      </w:r>
      <w:r w:rsidR="003909F2" w:rsidRPr="0066103C">
        <w:t xml:space="preserve">rebelled against him </w:t>
      </w:r>
      <w:r w:rsidR="003909F2" w:rsidRPr="0066103C">
        <w:rPr>
          <w:vertAlign w:val="superscript"/>
        </w:rPr>
        <w:t>10</w:t>
      </w:r>
      <w:r w:rsidR="00E925AD" w:rsidRPr="0066103C">
        <w:t>and did</w:t>
      </w:r>
      <w:r w:rsidR="00E36E6C">
        <w:t xml:space="preserve"> not listen</w:t>
      </w:r>
      <w:r w:rsidR="003909F2" w:rsidRPr="0066103C">
        <w:t xml:space="preserve"> to the voice of Yahweh our God by living according to his instructions</w:t>
      </w:r>
      <w:r w:rsidR="003909F2" w:rsidRPr="0066103C">
        <w:rPr>
          <w:vertAlign w:val="superscript"/>
        </w:rPr>
        <w:t>a</w:t>
      </w:r>
      <w:r w:rsidR="003909F2" w:rsidRPr="0066103C">
        <w:t xml:space="preserve"> which he set before us by means of his servants the prophets, </w:t>
      </w:r>
      <w:r w:rsidR="003909F2" w:rsidRPr="0066103C">
        <w:rPr>
          <w:vertAlign w:val="superscript"/>
        </w:rPr>
        <w:t>11</w:t>
      </w:r>
      <w:r w:rsidR="00E925AD" w:rsidRPr="0066103C">
        <w:t xml:space="preserve">and all Israel </w:t>
      </w:r>
      <w:r w:rsidR="003909F2" w:rsidRPr="0066103C">
        <w:t>overstepped your instruction and turned</w:t>
      </w:r>
      <w:r w:rsidR="00FC2A3A">
        <w:t xml:space="preserve"> away</w:t>
      </w:r>
      <w:r w:rsidR="003909F2" w:rsidRPr="0066103C">
        <w:rPr>
          <w:vertAlign w:val="superscript"/>
        </w:rPr>
        <w:t>a</w:t>
      </w:r>
      <w:r w:rsidR="003909F2" w:rsidRPr="0066103C">
        <w:t xml:space="preserve"> to avoid listening to your voice, </w:t>
      </w:r>
      <w:r w:rsidR="003909F2" w:rsidRPr="0066103C">
        <w:rPr>
          <w:vertAlign w:val="superscript"/>
        </w:rPr>
        <w:t>b</w:t>
      </w:r>
      <w:r w:rsidR="003909F2" w:rsidRPr="0066103C">
        <w:t>the solemn curse</w:t>
      </w:r>
      <w:r w:rsidR="003909F2" w:rsidRPr="0066103C">
        <w:rPr>
          <w:vertAlign w:val="superscript"/>
        </w:rPr>
        <w:t>b</w:t>
      </w:r>
      <w:r w:rsidR="003909F2" w:rsidRPr="0066103C">
        <w:t xml:space="preserve"> written in the instruction </w:t>
      </w:r>
      <w:r w:rsidR="008E4F2F" w:rsidRPr="0066103C">
        <w:t xml:space="preserve">of </w:t>
      </w:r>
      <w:r w:rsidR="00E925AD" w:rsidRPr="0066103C">
        <w:t xml:space="preserve">Moses the servant of God overwhelmed us. Because we </w:t>
      </w:r>
      <w:r w:rsidR="003909F2" w:rsidRPr="0066103C">
        <w:t>failed him,</w:t>
      </w:r>
      <w:r w:rsidR="003909F2" w:rsidRPr="0066103C">
        <w:rPr>
          <w:vertAlign w:val="superscript"/>
        </w:rPr>
        <w:t>c</w:t>
      </w:r>
      <w:r w:rsidR="003909F2" w:rsidRPr="0066103C">
        <w:t xml:space="preserve"> </w:t>
      </w:r>
      <w:r w:rsidR="003909F2" w:rsidRPr="0066103C">
        <w:rPr>
          <w:vertAlign w:val="superscript"/>
        </w:rPr>
        <w:t>12</w:t>
      </w:r>
      <w:r w:rsidR="00E925AD" w:rsidRPr="0066103C">
        <w:t xml:space="preserve">he </w:t>
      </w:r>
      <w:r w:rsidR="003909F2" w:rsidRPr="0066103C">
        <w:t>kept his words</w:t>
      </w:r>
      <w:r w:rsidR="003909F2" w:rsidRPr="0066103C">
        <w:rPr>
          <w:vertAlign w:val="superscript"/>
        </w:rPr>
        <w:t>a</w:t>
      </w:r>
      <w:r w:rsidR="003909F2" w:rsidRPr="0066103C">
        <w:t xml:space="preserve"> which he uttered against us and against </w:t>
      </w:r>
      <w:r w:rsidR="003909F2" w:rsidRPr="0066103C">
        <w:rPr>
          <w:vertAlign w:val="superscript"/>
        </w:rPr>
        <w:t>b</w:t>
      </w:r>
      <w:r w:rsidR="003909F2" w:rsidRPr="0066103C">
        <w:t>those who acted as our leaders</w:t>
      </w:r>
      <w:r w:rsidR="003909F2" w:rsidRPr="0066103C">
        <w:rPr>
          <w:vertAlign w:val="superscript"/>
        </w:rPr>
        <w:t>b</w:t>
      </w:r>
      <w:r w:rsidR="003909F2" w:rsidRPr="0066103C">
        <w:t xml:space="preserve"> </w:t>
      </w:r>
      <w:r w:rsidR="003909F2" w:rsidRPr="0066103C">
        <w:rPr>
          <w:vertAlign w:val="superscript"/>
        </w:rPr>
        <w:t>c</w:t>
      </w:r>
      <w:r w:rsidR="003909F2" w:rsidRPr="0066103C">
        <w:t>by bringing</w:t>
      </w:r>
      <w:r w:rsidR="003909F2" w:rsidRPr="0066103C">
        <w:rPr>
          <w:vertAlign w:val="superscript"/>
        </w:rPr>
        <w:t>c</w:t>
      </w:r>
      <w:r w:rsidR="003909F2" w:rsidRPr="0066103C">
        <w:t xml:space="preserve"> great trouble upon us, </w:t>
      </w:r>
      <w:r w:rsidR="003909F2" w:rsidRPr="0066103C">
        <w:rPr>
          <w:vertAlign w:val="superscript"/>
        </w:rPr>
        <w:t>d</w:t>
      </w:r>
      <w:r w:rsidR="003909F2" w:rsidRPr="0066103C">
        <w:t>in that</w:t>
      </w:r>
      <w:r w:rsidR="003909F2" w:rsidRPr="0066103C">
        <w:rPr>
          <w:vertAlign w:val="superscript"/>
        </w:rPr>
        <w:t>d</w:t>
      </w:r>
      <w:r w:rsidR="003909F2" w:rsidRPr="0066103C">
        <w:t xml:space="preserve"> nothing has happened in all the world such as happened to </w:t>
      </w:r>
      <w:r w:rsidRPr="0066103C">
        <w:t>Yerušalaim</w:t>
      </w:r>
      <w:r w:rsidR="003909F2" w:rsidRPr="0066103C">
        <w:t xml:space="preserve">, </w:t>
      </w:r>
      <w:r w:rsidR="003909F2" w:rsidRPr="0066103C">
        <w:rPr>
          <w:vertAlign w:val="superscript"/>
        </w:rPr>
        <w:t>13</w:t>
      </w:r>
      <w:r w:rsidR="003909F2" w:rsidRPr="0066103C">
        <w:t xml:space="preserve">just as it is written in the instruction of Moses, </w:t>
      </w:r>
      <w:r w:rsidR="003909F2" w:rsidRPr="0066103C">
        <w:rPr>
          <w:vertAlign w:val="superscript"/>
        </w:rPr>
        <w:t>a</w:t>
      </w:r>
      <w:r w:rsidR="00E925AD" w:rsidRPr="0066103C">
        <w:t>all this trouble—it ca</w:t>
      </w:r>
      <w:r w:rsidR="003909F2" w:rsidRPr="0066103C">
        <w:t>me</w:t>
      </w:r>
      <w:r w:rsidR="003909F2" w:rsidRPr="0066103C">
        <w:rPr>
          <w:vertAlign w:val="superscript"/>
        </w:rPr>
        <w:t>b</w:t>
      </w:r>
      <w:r w:rsidR="003909F2" w:rsidRPr="0066103C">
        <w:t xml:space="preserve"> upon us. </w:t>
      </w:r>
      <w:r w:rsidR="003909F2" w:rsidRPr="0066103C">
        <w:rPr>
          <w:vertAlign w:val="superscript"/>
        </w:rPr>
        <w:t>c</w:t>
      </w:r>
      <w:r w:rsidR="00E925AD" w:rsidRPr="0066103C">
        <w:t>We did</w:t>
      </w:r>
      <w:r w:rsidRPr="0066103C">
        <w:t xml:space="preserve"> </w:t>
      </w:r>
      <w:r w:rsidR="00E925AD" w:rsidRPr="0066103C">
        <w:t xml:space="preserve">not seek </w:t>
      </w:r>
      <w:r w:rsidR="003909F2" w:rsidRPr="0066103C">
        <w:t>mercy from</w:t>
      </w:r>
      <w:r w:rsidR="003909F2" w:rsidRPr="0066103C">
        <w:rPr>
          <w:vertAlign w:val="superscript"/>
        </w:rPr>
        <w:t>c</w:t>
      </w:r>
      <w:r w:rsidR="003909F2" w:rsidRPr="0066103C">
        <w:t xml:space="preserve"> Yahweh our God by turning from our waywardness and </w:t>
      </w:r>
      <w:r w:rsidR="003909F2" w:rsidRPr="0066103C">
        <w:rPr>
          <w:vertAlign w:val="superscript"/>
        </w:rPr>
        <w:t>d</w:t>
      </w:r>
      <w:r w:rsidR="003909F2" w:rsidRPr="0066103C">
        <w:t>giving heed to</w:t>
      </w:r>
      <w:r w:rsidR="003909F2" w:rsidRPr="0066103C">
        <w:rPr>
          <w:vertAlign w:val="superscript"/>
        </w:rPr>
        <w:t>d</w:t>
      </w:r>
      <w:r w:rsidR="00595891">
        <w:t xml:space="preserve"> your truth</w:t>
      </w:r>
      <w:r w:rsidR="003909F2" w:rsidRPr="0066103C">
        <w:t>fulness,</w:t>
      </w:r>
      <w:r w:rsidR="003909F2" w:rsidRPr="0066103C">
        <w:rPr>
          <w:vertAlign w:val="superscript"/>
        </w:rPr>
        <w:t>e</w:t>
      </w:r>
      <w:r w:rsidR="003909F2" w:rsidRPr="0066103C">
        <w:t xml:space="preserve"> </w:t>
      </w:r>
      <w:r w:rsidR="003909F2" w:rsidRPr="0066103C">
        <w:rPr>
          <w:vertAlign w:val="superscript"/>
        </w:rPr>
        <w:t>14</w:t>
      </w:r>
      <w:r w:rsidR="00E925AD" w:rsidRPr="0066103C">
        <w:t xml:space="preserve">and Yahweh </w:t>
      </w:r>
      <w:r w:rsidR="003909F2" w:rsidRPr="0066103C">
        <w:t>kept this trouble ready and brought it upon us. Yes,</w:t>
      </w:r>
      <w:r w:rsidR="003909F2" w:rsidRPr="0066103C">
        <w:rPr>
          <w:vertAlign w:val="superscript"/>
        </w:rPr>
        <w:t>a</w:t>
      </w:r>
      <w:r w:rsidR="003909F2" w:rsidRPr="0066103C">
        <w:t xml:space="preserve"> Yahweh our God </w:t>
      </w:r>
      <w:r w:rsidR="003909F2" w:rsidRPr="0066103C">
        <w:rPr>
          <w:vertAlign w:val="superscript"/>
        </w:rPr>
        <w:t>b</w:t>
      </w:r>
      <w:r w:rsidR="00E925AD" w:rsidRPr="0066103C">
        <w:t>was</w:t>
      </w:r>
      <w:r w:rsidR="003909F2" w:rsidRPr="0066103C">
        <w:t xml:space="preserve"> right</w:t>
      </w:r>
      <w:r w:rsidR="003909F2" w:rsidRPr="0066103C">
        <w:rPr>
          <w:vertAlign w:val="superscript"/>
        </w:rPr>
        <w:t>b</w:t>
      </w:r>
      <w:r w:rsidR="003909F2" w:rsidRPr="0066103C">
        <w:t xml:space="preserve"> in</w:t>
      </w:r>
      <w:r w:rsidR="00E925AD" w:rsidRPr="0066103C">
        <w:t xml:space="preserve"> all the things that he did, and we did not listen </w:t>
      </w:r>
      <w:r w:rsidR="003909F2" w:rsidRPr="0066103C">
        <w:t>to his voice.</w:t>
      </w:r>
    </w:p>
    <w:p w:rsidR="003909F2" w:rsidRPr="0066103C" w:rsidRDefault="00BE516C" w:rsidP="00DD5E95">
      <w:pPr>
        <w:pStyle w:val="Quote"/>
      </w:pPr>
      <w:r w:rsidRPr="0066103C">
        <w:tab/>
      </w:r>
      <w:r w:rsidR="003909F2" w:rsidRPr="0066103C">
        <w:rPr>
          <w:vertAlign w:val="superscript"/>
        </w:rPr>
        <w:t>15</w:t>
      </w:r>
      <w:r w:rsidR="003909F2" w:rsidRPr="0066103C">
        <w:t>But now, Lord our God, who bro</w:t>
      </w:r>
      <w:r w:rsidRPr="0066103C">
        <w:t>ught your people out of the country</w:t>
      </w:r>
      <w:r w:rsidR="003909F2" w:rsidRPr="0066103C">
        <w:t xml:space="preserve"> of Egypt by strength of hand</w:t>
      </w:r>
      <w:r w:rsidR="00F13C2C">
        <w:t>,</w:t>
      </w:r>
      <w:r w:rsidR="003909F2" w:rsidRPr="0066103C">
        <w:t xml:space="preserve"> and earned renown</w:t>
      </w:r>
      <w:r w:rsidR="00E925AD" w:rsidRPr="0066103C">
        <w:t xml:space="preserve"> for your</w:t>
      </w:r>
      <w:r w:rsidR="00E36E6C">
        <w:t>self this day: we failed, we acted faithlessly</w:t>
      </w:r>
      <w:r w:rsidR="003909F2" w:rsidRPr="0066103C">
        <w:t xml:space="preserve">. </w:t>
      </w:r>
      <w:r w:rsidR="003909F2" w:rsidRPr="0066103C">
        <w:rPr>
          <w:vertAlign w:val="superscript"/>
        </w:rPr>
        <w:t>16</w:t>
      </w:r>
      <w:r w:rsidR="003909F2" w:rsidRPr="0066103C">
        <w:t xml:space="preserve">Lord, in keeping with all your </w:t>
      </w:r>
      <w:r w:rsidR="003909F2" w:rsidRPr="0066103C">
        <w:rPr>
          <w:vertAlign w:val="superscript"/>
        </w:rPr>
        <w:t>a</w:t>
      </w:r>
      <w:r w:rsidR="003909F2" w:rsidRPr="0066103C">
        <w:t>right deeds,</w:t>
      </w:r>
      <w:r w:rsidR="003909F2" w:rsidRPr="0066103C">
        <w:rPr>
          <w:vertAlign w:val="superscript"/>
        </w:rPr>
        <w:t>a</w:t>
      </w:r>
      <w:r w:rsidR="003909F2" w:rsidRPr="0066103C">
        <w:t xml:space="preserve"> O may your burning fury tur</w:t>
      </w:r>
      <w:r w:rsidRPr="0066103C">
        <w:t>n away from your city, Yerušalaim</w:t>
      </w:r>
      <w:r w:rsidR="003909F2" w:rsidRPr="0066103C">
        <w:t>, your sacred mountain; for because of our failures and our an</w:t>
      </w:r>
      <w:r w:rsidRPr="0066103C">
        <w:t>cestors’ wayward acts, Yerušalaim</w:t>
      </w:r>
      <w:r w:rsidR="00E925AD" w:rsidRPr="0066103C">
        <w:t xml:space="preserve"> and your people beca</w:t>
      </w:r>
      <w:r w:rsidR="003909F2" w:rsidRPr="0066103C">
        <w:t xml:space="preserve">me objects of scorn to everyone around us. </w:t>
      </w:r>
      <w:r w:rsidR="003909F2" w:rsidRPr="0066103C">
        <w:rPr>
          <w:vertAlign w:val="superscript"/>
        </w:rPr>
        <w:t>17</w:t>
      </w:r>
      <w:r w:rsidR="003909F2" w:rsidRPr="0066103C">
        <w:t xml:space="preserve">But now, our God, listen to your servant’s prayers of supplication, and smile upon your desolate sanctuary, for </w:t>
      </w:r>
      <w:r w:rsidR="003909F2" w:rsidRPr="0066103C">
        <w:rPr>
          <w:vertAlign w:val="superscript"/>
        </w:rPr>
        <w:t>a</w:t>
      </w:r>
      <w:r w:rsidR="003909F2" w:rsidRPr="0066103C">
        <w:t>my Lord</w:t>
      </w:r>
      <w:r w:rsidR="008E4F2F" w:rsidRPr="0066103C">
        <w:t>’</w:t>
      </w:r>
      <w:r w:rsidR="003909F2" w:rsidRPr="0066103C">
        <w:t>s sake.</w:t>
      </w:r>
      <w:r w:rsidR="003909F2" w:rsidRPr="0066103C">
        <w:rPr>
          <w:vertAlign w:val="superscript"/>
        </w:rPr>
        <w:t>a</w:t>
      </w:r>
      <w:r w:rsidR="003909F2" w:rsidRPr="0066103C">
        <w:t xml:space="preserve"> </w:t>
      </w:r>
      <w:r w:rsidR="003909F2" w:rsidRPr="0066103C">
        <w:rPr>
          <w:vertAlign w:val="superscript"/>
        </w:rPr>
        <w:t>18</w:t>
      </w:r>
      <w:r w:rsidR="003909F2" w:rsidRPr="0066103C">
        <w:t>My God, give ear and listen,</w:t>
      </w:r>
      <w:r w:rsidR="003909F2" w:rsidRPr="0066103C">
        <w:rPr>
          <w:vertAlign w:val="superscript"/>
        </w:rPr>
        <w:t>a</w:t>
      </w:r>
      <w:r w:rsidR="003909F2" w:rsidRPr="0066103C">
        <w:t xml:space="preserve"> open</w:t>
      </w:r>
      <w:r w:rsidR="003909F2" w:rsidRPr="0066103C">
        <w:rPr>
          <w:vertAlign w:val="superscript"/>
        </w:rPr>
        <w:t>b</w:t>
      </w:r>
      <w:r w:rsidR="003909F2" w:rsidRPr="0066103C">
        <w:t xml:space="preserve"> your eyes and look at our desolate state in the city which bears your name,</w:t>
      </w:r>
      <w:r w:rsidR="003909F2" w:rsidRPr="0066103C">
        <w:rPr>
          <w:vertAlign w:val="superscript"/>
        </w:rPr>
        <w:t>c</w:t>
      </w:r>
      <w:r w:rsidR="003909F2" w:rsidRPr="0066103C">
        <w:t xml:space="preserve"> for it is not on the basis of our right deeds that we are laying down our supplications before you, but rather on the basis of your great compassion. </w:t>
      </w:r>
      <w:r w:rsidR="003909F2" w:rsidRPr="0066103C">
        <w:rPr>
          <w:vertAlign w:val="superscript"/>
        </w:rPr>
        <w:t>19</w:t>
      </w:r>
      <w:r w:rsidR="003909F2" w:rsidRPr="0066103C">
        <w:t>Lord, l</w:t>
      </w:r>
      <w:r w:rsidR="00F13C2C">
        <w:t xml:space="preserve">isten. Lord, pardon. Lord, hear </w:t>
      </w:r>
      <w:r w:rsidR="003909F2" w:rsidRPr="0066103C">
        <w:t>and act, do not delay, for your own sake, my God, because your city and your people bear your name.”</w:t>
      </w:r>
    </w:p>
    <w:p w:rsidR="00BE516C" w:rsidRPr="0066103C" w:rsidRDefault="00BE516C" w:rsidP="003909F2"/>
    <w:p w:rsidR="00AC6719" w:rsidRPr="0066103C" w:rsidRDefault="003909F2" w:rsidP="003909F2">
      <w:r w:rsidRPr="0066103C">
        <w:rPr>
          <w:vertAlign w:val="superscript"/>
        </w:rPr>
        <w:t>20a</w:t>
      </w:r>
      <w:r w:rsidRPr="0066103C">
        <w:t>I was still speaking, confessing in prayer</w:t>
      </w:r>
      <w:r w:rsidRPr="0066103C">
        <w:rPr>
          <w:vertAlign w:val="superscript"/>
        </w:rPr>
        <w:t>b</w:t>
      </w:r>
      <w:r w:rsidRPr="0066103C">
        <w:t xml:space="preserve"> my failure</w:t>
      </w:r>
      <w:r w:rsidRPr="0066103C">
        <w:rPr>
          <w:vertAlign w:val="superscript"/>
        </w:rPr>
        <w:t>c</w:t>
      </w:r>
      <w:r w:rsidRPr="0066103C">
        <w:t xml:space="preserve"> and the failure</w:t>
      </w:r>
      <w:r w:rsidRPr="0066103C">
        <w:rPr>
          <w:vertAlign w:val="superscript"/>
        </w:rPr>
        <w:t>c</w:t>
      </w:r>
      <w:r w:rsidR="008E4F2F" w:rsidRPr="0066103C">
        <w:t xml:space="preserve"> </w:t>
      </w:r>
      <w:r w:rsidR="00BE516C" w:rsidRPr="0066103C">
        <w:t>of my people Yiśra’</w:t>
      </w:r>
      <w:r w:rsidRPr="0066103C">
        <w:t>el</w:t>
      </w:r>
      <w:r w:rsidR="00E925AD" w:rsidRPr="0066103C">
        <w:t>,</w:t>
      </w:r>
      <w:r w:rsidRPr="0066103C">
        <w:t xml:space="preserve"> and laying down my supplication before Yahweh my God concerning the sacred mountain of my God, </w:t>
      </w:r>
      <w:r w:rsidRPr="0066103C">
        <w:rPr>
          <w:vertAlign w:val="superscript"/>
        </w:rPr>
        <w:t>21</w:t>
      </w:r>
      <w:r w:rsidRPr="0066103C">
        <w:t>still speaking in prayer, when Gabri</w:t>
      </w:r>
      <w:r w:rsidR="00BE516C" w:rsidRPr="0066103C">
        <w:t>’</w:t>
      </w:r>
      <w:r w:rsidRPr="0066103C">
        <w:t xml:space="preserve">el, </w:t>
      </w:r>
      <w:r w:rsidRPr="0066103C">
        <w:rPr>
          <w:vertAlign w:val="superscript"/>
        </w:rPr>
        <w:t>a</w:t>
      </w:r>
      <w:r w:rsidRPr="0066103C">
        <w:t>the being</w:t>
      </w:r>
      <w:r w:rsidRPr="0066103C">
        <w:rPr>
          <w:vertAlign w:val="superscript"/>
        </w:rPr>
        <w:t>a</w:t>
      </w:r>
      <w:r w:rsidRPr="0066103C">
        <w:t xml:space="preserve"> I had seen in the vision I had previously,</w:t>
      </w:r>
      <w:r w:rsidRPr="0066103C">
        <w:rPr>
          <w:vertAlign w:val="superscript"/>
        </w:rPr>
        <w:t>b</w:t>
      </w:r>
      <w:r w:rsidRPr="0066103C">
        <w:t xml:space="preserve"> </w:t>
      </w:r>
      <w:r w:rsidRPr="0066103C">
        <w:rPr>
          <w:vertAlign w:val="superscript"/>
        </w:rPr>
        <w:t>c</w:t>
      </w:r>
      <w:r w:rsidRPr="0066103C">
        <w:t>when I was tired and weary,</w:t>
      </w:r>
      <w:r w:rsidRPr="0066103C">
        <w:rPr>
          <w:vertAlign w:val="superscript"/>
        </w:rPr>
        <w:t xml:space="preserve">c </w:t>
      </w:r>
      <w:r w:rsidRPr="0066103C">
        <w:t>approached me at</w:t>
      </w:r>
      <w:r w:rsidRPr="0066103C">
        <w:rPr>
          <w:vertAlign w:val="superscript"/>
        </w:rPr>
        <w:t>e</w:t>
      </w:r>
      <w:r w:rsidRPr="0066103C">
        <w:t xml:space="preserve"> the time of the evening offering. </w:t>
      </w:r>
      <w:r w:rsidRPr="0066103C">
        <w:rPr>
          <w:vertAlign w:val="superscript"/>
        </w:rPr>
        <w:t>22a</w:t>
      </w:r>
      <w:r w:rsidRPr="0066103C">
        <w:t xml:space="preserve">He </w:t>
      </w:r>
      <w:r w:rsidR="009A22C1">
        <w:t>spoke with me and explained</w:t>
      </w:r>
      <w:r w:rsidRPr="0066103C">
        <w:t>:</w:t>
      </w:r>
      <w:r w:rsidRPr="0066103C">
        <w:rPr>
          <w:vertAlign w:val="superscript"/>
        </w:rPr>
        <w:t>a</w:t>
      </w:r>
      <w:r w:rsidRPr="0066103C">
        <w:t xml:space="preserve"> “Dani</w:t>
      </w:r>
      <w:r w:rsidR="00BE516C" w:rsidRPr="0066103C">
        <w:t>yy</w:t>
      </w:r>
      <w:r w:rsidRPr="0066103C">
        <w:t>e</w:t>
      </w:r>
      <w:r w:rsidR="00BE516C" w:rsidRPr="0066103C">
        <w:t>’</w:t>
      </w:r>
      <w:r w:rsidR="00037B5C">
        <w:t>l, I came out</w:t>
      </w:r>
      <w:r w:rsidRPr="0066103C">
        <w:rPr>
          <w:vertAlign w:val="superscript"/>
        </w:rPr>
        <w:t>b</w:t>
      </w:r>
      <w:r w:rsidRPr="0066103C">
        <w:t xml:space="preserve"> specifically</w:t>
      </w:r>
      <w:r w:rsidRPr="0066103C">
        <w:rPr>
          <w:vertAlign w:val="superscript"/>
        </w:rPr>
        <w:t>c</w:t>
      </w:r>
      <w:r w:rsidRPr="0066103C">
        <w:t xml:space="preserve"> </w:t>
      </w:r>
      <w:r w:rsidRPr="0066103C">
        <w:rPr>
          <w:vertAlign w:val="superscript"/>
        </w:rPr>
        <w:t>d</w:t>
      </w:r>
      <w:r w:rsidR="00D7339D">
        <w:t>to give you clear insight.</w:t>
      </w:r>
      <w:r w:rsidRPr="0066103C">
        <w:rPr>
          <w:vertAlign w:val="superscript"/>
        </w:rPr>
        <w:t>d</w:t>
      </w:r>
      <w:r w:rsidRPr="0066103C">
        <w:t xml:space="preserve"> </w:t>
      </w:r>
      <w:r w:rsidRPr="0066103C">
        <w:rPr>
          <w:vertAlign w:val="superscript"/>
        </w:rPr>
        <w:t>23</w:t>
      </w:r>
      <w:r w:rsidRPr="0066103C">
        <w:t>When you began your</w:t>
      </w:r>
      <w:r w:rsidR="00037B5C">
        <w:t xml:space="preserve"> supplications a word came out</w:t>
      </w:r>
      <w:r w:rsidRPr="0066103C">
        <w:t>,</w:t>
      </w:r>
      <w:r w:rsidRPr="0066103C">
        <w:rPr>
          <w:vertAlign w:val="superscript"/>
        </w:rPr>
        <w:t>a</w:t>
      </w:r>
      <w:r w:rsidR="004A0BAC">
        <w:t xml:space="preserve"> and I ca</w:t>
      </w:r>
      <w:r w:rsidRPr="0066103C">
        <w:t>me to declare it,</w:t>
      </w:r>
      <w:r w:rsidRPr="0066103C">
        <w:rPr>
          <w:vertAlign w:val="superscript"/>
        </w:rPr>
        <w:t>b</w:t>
      </w:r>
      <w:r w:rsidRPr="0066103C">
        <w:t xml:space="preserve"> for you are </w:t>
      </w:r>
      <w:r w:rsidRPr="0066103C">
        <w:rPr>
          <w:vertAlign w:val="superscript"/>
        </w:rPr>
        <w:t>c</w:t>
      </w:r>
      <w:r w:rsidRPr="0066103C">
        <w:t>held in high regard.</w:t>
      </w:r>
      <w:r w:rsidRPr="0066103C">
        <w:rPr>
          <w:vertAlign w:val="superscript"/>
        </w:rPr>
        <w:t>c</w:t>
      </w:r>
      <w:r w:rsidRPr="0066103C">
        <w:t xml:space="preserve"> </w:t>
      </w:r>
    </w:p>
    <w:p w:rsidR="00AC6719" w:rsidRPr="0066103C" w:rsidRDefault="00AC6719" w:rsidP="003909F2"/>
    <w:p w:rsidR="003909F2" w:rsidRPr="0066103C" w:rsidRDefault="003909F2" w:rsidP="003909F2">
      <w:pPr>
        <w:rPr>
          <w:vertAlign w:val="superscript"/>
        </w:rPr>
      </w:pPr>
      <w:r w:rsidRPr="0066103C">
        <w:rPr>
          <w:vertAlign w:val="superscript"/>
        </w:rPr>
        <w:t>d</w:t>
      </w:r>
      <w:r w:rsidRPr="0066103C">
        <w:t>So heed the word and give heed to the revelation</w:t>
      </w:r>
      <w:r w:rsidR="00E00389" w:rsidRPr="0066103C">
        <w:t>.</w:t>
      </w:r>
      <w:r w:rsidRPr="0066103C">
        <w:rPr>
          <w:vertAlign w:val="superscript"/>
        </w:rPr>
        <w:t>d</w:t>
      </w:r>
    </w:p>
    <w:p w:rsidR="00E00389" w:rsidRPr="0066103C" w:rsidRDefault="00E00389" w:rsidP="003909F2"/>
    <w:p w:rsidR="003909F2" w:rsidRPr="0066103C" w:rsidRDefault="003909F2" w:rsidP="003909F2">
      <w:r w:rsidRPr="0066103C">
        <w:rPr>
          <w:vertAlign w:val="superscript"/>
        </w:rPr>
        <w:t>24</w:t>
      </w:r>
      <w:r w:rsidRPr="0066103C">
        <w:t>Seventy sevens</w:t>
      </w:r>
      <w:r w:rsidRPr="0066103C">
        <w:rPr>
          <w:vertAlign w:val="superscript"/>
        </w:rPr>
        <w:t>a</w:t>
      </w:r>
      <w:r w:rsidRPr="0066103C">
        <w:t xml:space="preserve"> have been assigned</w:t>
      </w:r>
      <w:r w:rsidRPr="0066103C">
        <w:rPr>
          <w:vertAlign w:val="superscript"/>
        </w:rPr>
        <w:t>b</w:t>
      </w:r>
    </w:p>
    <w:p w:rsidR="003909F2" w:rsidRPr="0066103C" w:rsidRDefault="00E00389" w:rsidP="003909F2">
      <w:r w:rsidRPr="0066103C">
        <w:tab/>
      </w:r>
      <w:r w:rsidR="003909F2" w:rsidRPr="0066103C">
        <w:t>for</w:t>
      </w:r>
      <w:r w:rsidR="003909F2" w:rsidRPr="0066103C">
        <w:rPr>
          <w:vertAlign w:val="superscript"/>
        </w:rPr>
        <w:t>c</w:t>
      </w:r>
      <w:r w:rsidR="003909F2" w:rsidRPr="0066103C">
        <w:t xml:space="preserve"> your people and for</w:t>
      </w:r>
      <w:r w:rsidR="003909F2" w:rsidRPr="0066103C">
        <w:rPr>
          <w:vertAlign w:val="superscript"/>
        </w:rPr>
        <w:t>c</w:t>
      </w:r>
      <w:r w:rsidRPr="0066103C">
        <w:rPr>
          <w:vertAlign w:val="superscript"/>
        </w:rPr>
        <w:t xml:space="preserve"> </w:t>
      </w:r>
      <w:r w:rsidR="003909F2" w:rsidRPr="0066103C">
        <w:t>your sacred city,</w:t>
      </w:r>
    </w:p>
    <w:p w:rsidR="003909F2" w:rsidRPr="0066103C" w:rsidRDefault="00BE516C" w:rsidP="003909F2">
      <w:r w:rsidRPr="0066103C">
        <w:t>T</w:t>
      </w:r>
      <w:r w:rsidR="003909F2" w:rsidRPr="0066103C">
        <w:t>o end</w:t>
      </w:r>
      <w:r w:rsidR="003909F2" w:rsidRPr="0066103C">
        <w:rPr>
          <w:vertAlign w:val="superscript"/>
        </w:rPr>
        <w:t>d</w:t>
      </w:r>
      <w:r w:rsidR="003909F2" w:rsidRPr="0066103C">
        <w:t xml:space="preserve"> the rebellion,</w:t>
      </w:r>
    </w:p>
    <w:p w:rsidR="003909F2" w:rsidRPr="0066103C" w:rsidRDefault="00E00389" w:rsidP="003909F2">
      <w:r w:rsidRPr="0066103C">
        <w:rPr>
          <w:vertAlign w:val="superscript"/>
        </w:rPr>
        <w:tab/>
      </w:r>
      <w:r w:rsidR="003909F2" w:rsidRPr="0066103C">
        <w:rPr>
          <w:vertAlign w:val="superscript"/>
        </w:rPr>
        <w:t>e</w:t>
      </w:r>
      <w:r w:rsidR="00B31B3D">
        <w:t>to do away with</w:t>
      </w:r>
      <w:r w:rsidR="003909F2" w:rsidRPr="0066103C">
        <w:t xml:space="preserve"> failures,</w:t>
      </w:r>
      <w:r w:rsidR="003909F2" w:rsidRPr="0066103C">
        <w:rPr>
          <w:vertAlign w:val="superscript"/>
        </w:rPr>
        <w:t>f</w:t>
      </w:r>
    </w:p>
    <w:p w:rsidR="003909F2" w:rsidRPr="0066103C" w:rsidRDefault="00BE516C" w:rsidP="003909F2">
      <w:r w:rsidRPr="0066103C">
        <w:t>T</w:t>
      </w:r>
      <w:r w:rsidR="003909F2" w:rsidRPr="0066103C">
        <w:t>o wipe away</w:t>
      </w:r>
      <w:r w:rsidR="003909F2" w:rsidRPr="0066103C">
        <w:rPr>
          <w:vertAlign w:val="superscript"/>
        </w:rPr>
        <w:t>g</w:t>
      </w:r>
      <w:r w:rsidR="003909F2" w:rsidRPr="0066103C">
        <w:t xml:space="preserve"> waywardness,</w:t>
      </w:r>
    </w:p>
    <w:p w:rsidR="003909F2" w:rsidRPr="0066103C" w:rsidRDefault="00E00389" w:rsidP="003909F2">
      <w:r w:rsidRPr="0066103C">
        <w:tab/>
      </w:r>
      <w:r w:rsidR="003909F2" w:rsidRPr="0066103C">
        <w:t>to bring in lasting vindication,</w:t>
      </w:r>
      <w:r w:rsidR="003909F2" w:rsidRPr="0066103C">
        <w:rPr>
          <w:vertAlign w:val="superscript"/>
        </w:rPr>
        <w:t>h</w:t>
      </w:r>
    </w:p>
    <w:p w:rsidR="003909F2" w:rsidRPr="0066103C" w:rsidRDefault="00BE516C" w:rsidP="003909F2">
      <w:r w:rsidRPr="0066103C">
        <w:t>T</w:t>
      </w:r>
      <w:r w:rsidR="003909F2" w:rsidRPr="0066103C">
        <w:t xml:space="preserve">o seal </w:t>
      </w:r>
      <w:r w:rsidR="003909F2" w:rsidRPr="0066103C">
        <w:rPr>
          <w:vertAlign w:val="superscript"/>
        </w:rPr>
        <w:t>i</w:t>
      </w:r>
      <w:r w:rsidR="003909F2" w:rsidRPr="0066103C">
        <w:t>a prophet’s vision,</w:t>
      </w:r>
      <w:r w:rsidR="003909F2" w:rsidRPr="002E6874">
        <w:rPr>
          <w:vertAlign w:val="superscript"/>
        </w:rPr>
        <w:t>i</w:t>
      </w:r>
    </w:p>
    <w:p w:rsidR="003909F2" w:rsidRPr="0066103C" w:rsidRDefault="00E00389" w:rsidP="003909F2">
      <w:r w:rsidRPr="0066103C">
        <w:tab/>
      </w:r>
      <w:r w:rsidR="003909F2" w:rsidRPr="0066103C">
        <w:t xml:space="preserve">to anoint </w:t>
      </w:r>
      <w:r w:rsidR="003909F2" w:rsidRPr="0066103C">
        <w:rPr>
          <w:vertAlign w:val="superscript"/>
        </w:rPr>
        <w:t>j</w:t>
      </w:r>
      <w:r w:rsidR="003909F2" w:rsidRPr="0066103C">
        <w:t>a most sacred place.</w:t>
      </w:r>
      <w:r w:rsidR="003909F2" w:rsidRPr="0066103C">
        <w:rPr>
          <w:vertAlign w:val="superscript"/>
        </w:rPr>
        <w:t>j</w:t>
      </w:r>
    </w:p>
    <w:p w:rsidR="00171DAD" w:rsidRPr="0066103C" w:rsidRDefault="00171DAD" w:rsidP="003909F2">
      <w:pPr>
        <w:rPr>
          <w:vertAlign w:val="superscript"/>
        </w:rPr>
      </w:pPr>
    </w:p>
    <w:p w:rsidR="003909F2" w:rsidRPr="0066103C" w:rsidRDefault="003909F2" w:rsidP="003909F2">
      <w:r w:rsidRPr="0066103C">
        <w:rPr>
          <w:vertAlign w:val="superscript"/>
        </w:rPr>
        <w:t>25</w:t>
      </w:r>
      <w:r w:rsidR="00171DAD" w:rsidRPr="0066103C">
        <w:t>You must acknowledge and perceive:</w:t>
      </w:r>
    </w:p>
    <w:p w:rsidR="00BD0B9D" w:rsidRPr="0066103C" w:rsidRDefault="00BD0B9D" w:rsidP="003909F2"/>
    <w:p w:rsidR="00171DAD" w:rsidRPr="0066103C" w:rsidRDefault="00BD0B9D" w:rsidP="006766E5">
      <w:pPr>
        <w:tabs>
          <w:tab w:val="center" w:pos="5040"/>
        </w:tabs>
      </w:pPr>
      <w:r w:rsidRPr="0066103C">
        <w:t>F</w:t>
      </w:r>
      <w:r w:rsidR="00037B5C">
        <w:t>rom the coming out</w:t>
      </w:r>
      <w:r w:rsidR="003909F2" w:rsidRPr="0066103C">
        <w:t xml:space="preserve"> of a word </w:t>
      </w:r>
      <w:r w:rsidR="006766E5">
        <w:tab/>
      </w:r>
    </w:p>
    <w:p w:rsidR="003909F2" w:rsidRPr="0066103C" w:rsidRDefault="00171DAD" w:rsidP="003909F2">
      <w:r w:rsidRPr="0066103C">
        <w:tab/>
      </w:r>
      <w:r w:rsidR="003909F2" w:rsidRPr="0066103C">
        <w:t xml:space="preserve">to </w:t>
      </w:r>
      <w:r w:rsidR="003909F2" w:rsidRPr="0066103C">
        <w:rPr>
          <w:vertAlign w:val="superscript"/>
        </w:rPr>
        <w:t>a</w:t>
      </w:r>
      <w:r w:rsidR="003909F2" w:rsidRPr="0066103C">
        <w:t>build a restored</w:t>
      </w:r>
      <w:r w:rsidR="003909F2" w:rsidRPr="0066103C">
        <w:rPr>
          <w:vertAlign w:val="superscript"/>
        </w:rPr>
        <w:t>a</w:t>
      </w:r>
      <w:r w:rsidR="00BE516C" w:rsidRPr="0066103C">
        <w:t xml:space="preserve"> Yerušal</w:t>
      </w:r>
      <w:r w:rsidRPr="0066103C">
        <w:t>a</w:t>
      </w:r>
      <w:r w:rsidR="00BE516C" w:rsidRPr="0066103C">
        <w:t>i</w:t>
      </w:r>
      <w:r w:rsidR="003909F2" w:rsidRPr="0066103C">
        <w:t>m</w:t>
      </w:r>
      <w:r w:rsidRPr="0066103C">
        <w:t>,</w:t>
      </w:r>
    </w:p>
    <w:p w:rsidR="00E00389" w:rsidRPr="0066103C" w:rsidRDefault="00BE516C" w:rsidP="003909F2">
      <w:r w:rsidRPr="0066103C">
        <w:lastRenderedPageBreak/>
        <w:t>T</w:t>
      </w:r>
      <w:r w:rsidR="003909F2" w:rsidRPr="0066103C">
        <w:t>o an anointed, a leader</w:t>
      </w:r>
      <w:r w:rsidR="00171DAD" w:rsidRPr="0066103C">
        <w:t>:</w:t>
      </w:r>
      <w:r w:rsidR="003909F2" w:rsidRPr="0066103C">
        <w:t xml:space="preserve"> </w:t>
      </w:r>
    </w:p>
    <w:p w:rsidR="003909F2" w:rsidRPr="0066103C" w:rsidRDefault="00E00389" w:rsidP="003909F2">
      <w:r w:rsidRPr="0066103C">
        <w:tab/>
      </w:r>
      <w:r w:rsidR="003909F2" w:rsidRPr="0066103C">
        <w:rPr>
          <w:vertAlign w:val="superscript"/>
        </w:rPr>
        <w:t>b</w:t>
      </w:r>
      <w:r w:rsidR="003909F2" w:rsidRPr="0066103C">
        <w:t>seven sevens.</w:t>
      </w:r>
    </w:p>
    <w:p w:rsidR="00171DAD" w:rsidRPr="0066103C" w:rsidRDefault="003909F2" w:rsidP="003909F2">
      <w:r w:rsidRPr="0066103C">
        <w:t>For sixty-two sevens</w:t>
      </w:r>
      <w:r w:rsidRPr="0066103C">
        <w:rPr>
          <w:vertAlign w:val="superscript"/>
        </w:rPr>
        <w:t>b</w:t>
      </w:r>
      <w:r w:rsidRPr="0066103C">
        <w:t xml:space="preserve"> </w:t>
      </w:r>
      <w:r w:rsidRPr="0066103C">
        <w:rPr>
          <w:vertAlign w:val="superscript"/>
        </w:rPr>
        <w:t>c</w:t>
      </w:r>
      <w:r w:rsidRPr="0066103C">
        <w:t>it will be restored</w:t>
      </w:r>
      <w:r w:rsidR="00E925AD" w:rsidRPr="0066103C">
        <w:t>,</w:t>
      </w:r>
      <w:r w:rsidRPr="0066103C">
        <w:t xml:space="preserve"> </w:t>
      </w:r>
    </w:p>
    <w:p w:rsidR="003909F2" w:rsidRPr="0066103C" w:rsidRDefault="00171DAD" w:rsidP="003909F2">
      <w:r w:rsidRPr="0066103C">
        <w:tab/>
        <w:t>and rebuilt</w:t>
      </w:r>
      <w:r w:rsidR="003909F2" w:rsidRPr="0066103C">
        <w:rPr>
          <w:vertAlign w:val="superscript"/>
        </w:rPr>
        <w:t>c</w:t>
      </w:r>
      <w:r w:rsidRPr="0066103C">
        <w:rPr>
          <w:vertAlign w:val="superscript"/>
        </w:rPr>
        <w:t xml:space="preserve"> </w:t>
      </w:r>
      <w:r w:rsidR="003909F2" w:rsidRPr="0066103C">
        <w:t>squared and moat.</w:t>
      </w:r>
      <w:r w:rsidR="003909F2" w:rsidRPr="0066103C">
        <w:rPr>
          <w:vertAlign w:val="superscript"/>
        </w:rPr>
        <w:t>e</w:t>
      </w:r>
    </w:p>
    <w:p w:rsidR="003909F2" w:rsidRPr="0066103C" w:rsidRDefault="003909F2" w:rsidP="003909F2">
      <w:r w:rsidRPr="0066103C">
        <w:rPr>
          <w:vertAlign w:val="superscript"/>
        </w:rPr>
        <w:t>f</w:t>
      </w:r>
      <w:r w:rsidRPr="0066103C">
        <w:t>But in the pressure of the times</w:t>
      </w:r>
      <w:r w:rsidRPr="0066103C">
        <w:rPr>
          <w:vertAlign w:val="superscript"/>
        </w:rPr>
        <w:t>f</w:t>
      </w:r>
    </w:p>
    <w:p w:rsidR="003909F2" w:rsidRPr="00381F21" w:rsidRDefault="00E00389" w:rsidP="003909F2">
      <w:pPr>
        <w:rPr>
          <w:vertAlign w:val="superscript"/>
        </w:rPr>
      </w:pPr>
      <w:r w:rsidRPr="0066103C">
        <w:tab/>
      </w:r>
      <w:r w:rsidR="003909F2" w:rsidRPr="0066103C">
        <w:rPr>
          <w:vertAlign w:val="superscript"/>
        </w:rPr>
        <w:t>26</w:t>
      </w:r>
      <w:r w:rsidR="00171DAD" w:rsidRPr="0066103C">
        <w:t>and</w:t>
      </w:r>
      <w:r w:rsidR="003909F2" w:rsidRPr="0066103C">
        <w:t xml:space="preserve"> after the sixty-two sevens</w:t>
      </w:r>
      <w:r w:rsidR="00B31B3D">
        <w:t>,</w:t>
      </w:r>
      <w:r w:rsidR="00381F21">
        <w:rPr>
          <w:vertAlign w:val="superscript"/>
        </w:rPr>
        <w:t>a</w:t>
      </w:r>
    </w:p>
    <w:p w:rsidR="003909F2" w:rsidRPr="0066103C" w:rsidRDefault="00B31B3D" w:rsidP="003909F2">
      <w:r>
        <w:t>A</w:t>
      </w:r>
      <w:r w:rsidR="003909F2" w:rsidRPr="0066103C">
        <w:t>n anointed will be cut off</w:t>
      </w:r>
      <w:r w:rsidR="00381F21">
        <w:rPr>
          <w:vertAlign w:val="superscript"/>
        </w:rPr>
        <w:t>b</w:t>
      </w:r>
    </w:p>
    <w:p w:rsidR="003909F2" w:rsidRPr="0066103C" w:rsidRDefault="00E00389" w:rsidP="003909F2">
      <w:r w:rsidRPr="0066103C">
        <w:rPr>
          <w:vertAlign w:val="superscript"/>
        </w:rPr>
        <w:tab/>
      </w:r>
      <w:r w:rsidR="00381F21">
        <w:rPr>
          <w:vertAlign w:val="superscript"/>
        </w:rPr>
        <w:t>c</w:t>
      </w:r>
      <w:r w:rsidR="003909F2" w:rsidRPr="0066103C">
        <w:t>and will have neither the city nor the sanctuary.</w:t>
      </w:r>
      <w:r w:rsidR="00381F21">
        <w:rPr>
          <w:vertAlign w:val="superscript"/>
        </w:rPr>
        <w:t>c</w:t>
      </w:r>
    </w:p>
    <w:p w:rsidR="003909F2" w:rsidRPr="0066103C" w:rsidRDefault="003909F2" w:rsidP="003909F2">
      <w:r w:rsidRPr="0066103C">
        <w:t>A leader to come</w:t>
      </w:r>
      <w:r w:rsidR="00381F21">
        <w:rPr>
          <w:vertAlign w:val="superscript"/>
        </w:rPr>
        <w:t>d</w:t>
      </w:r>
      <w:r w:rsidRPr="0066103C">
        <w:t xml:space="preserve"> will devastate</w:t>
      </w:r>
      <w:r w:rsidR="00381F21">
        <w:rPr>
          <w:vertAlign w:val="superscript"/>
        </w:rPr>
        <w:t>e</w:t>
      </w:r>
      <w:r w:rsidRPr="0066103C">
        <w:t xml:space="preserve"> a people,</w:t>
      </w:r>
      <w:r w:rsidR="00381F21">
        <w:rPr>
          <w:vertAlign w:val="superscript"/>
        </w:rPr>
        <w:t>f</w:t>
      </w:r>
    </w:p>
    <w:p w:rsidR="003909F2" w:rsidRPr="0066103C" w:rsidRDefault="00E00389" w:rsidP="003909F2">
      <w:r w:rsidRPr="0066103C">
        <w:tab/>
      </w:r>
      <w:r w:rsidR="003909F2" w:rsidRPr="0066103C">
        <w:t>and its end</w:t>
      </w:r>
      <w:r w:rsidR="00171DAD" w:rsidRPr="0066103C">
        <w:t>:</w:t>
      </w:r>
      <w:r w:rsidR="00381F21">
        <w:rPr>
          <w:vertAlign w:val="superscript"/>
        </w:rPr>
        <w:t>g</w:t>
      </w:r>
      <w:r w:rsidR="003909F2" w:rsidRPr="0066103C">
        <w:t xml:space="preserve"> with the flood.</w:t>
      </w:r>
    </w:p>
    <w:p w:rsidR="003909F2" w:rsidRPr="0066103C" w:rsidRDefault="003909F2" w:rsidP="003909F2">
      <w:r w:rsidRPr="0066103C">
        <w:t>Until the end of</w:t>
      </w:r>
      <w:r w:rsidR="00381F21">
        <w:rPr>
          <w:vertAlign w:val="superscript"/>
        </w:rPr>
        <w:t>h</w:t>
      </w:r>
      <w:r w:rsidRPr="0066103C">
        <w:t xml:space="preserve"> battle</w:t>
      </w:r>
      <w:r w:rsidR="00A9098F">
        <w:t xml:space="preserve"> </w:t>
      </w:r>
      <w:r w:rsidR="00381F21">
        <w:rPr>
          <w:vertAlign w:val="superscript"/>
        </w:rPr>
        <w:t>i</w:t>
      </w:r>
      <w:r w:rsidRPr="0066103C">
        <w:t>desolations are determined,</w:t>
      </w:r>
      <w:r w:rsidR="00381F21">
        <w:rPr>
          <w:vertAlign w:val="superscript"/>
        </w:rPr>
        <w:t>i</w:t>
      </w:r>
    </w:p>
    <w:p w:rsidR="00171DAD" w:rsidRPr="0066103C" w:rsidRDefault="00BE516C" w:rsidP="003909F2">
      <w:r w:rsidRPr="0066103C">
        <w:rPr>
          <w:vertAlign w:val="superscript"/>
        </w:rPr>
        <w:tab/>
      </w:r>
      <w:r w:rsidR="003909F2" w:rsidRPr="0066103C">
        <w:rPr>
          <w:vertAlign w:val="superscript"/>
        </w:rPr>
        <w:t>27</w:t>
      </w:r>
      <w:r w:rsidR="00171DAD" w:rsidRPr="0066103C">
        <w:t>and a covenant will prevail</w:t>
      </w:r>
      <w:r w:rsidR="003909F2" w:rsidRPr="0066103C">
        <w:rPr>
          <w:vertAlign w:val="superscript"/>
        </w:rPr>
        <w:t>a</w:t>
      </w:r>
      <w:r w:rsidR="003909F2" w:rsidRPr="0066103C">
        <w:t xml:space="preserve"> for the multitude</w:t>
      </w:r>
      <w:r w:rsidR="003909F2" w:rsidRPr="0066103C">
        <w:rPr>
          <w:vertAlign w:val="superscript"/>
        </w:rPr>
        <w:t>b</w:t>
      </w:r>
      <w:r w:rsidR="00171DAD" w:rsidRPr="0066103C">
        <w:t xml:space="preserve"> </w:t>
      </w:r>
    </w:p>
    <w:p w:rsidR="003909F2" w:rsidRPr="0066103C" w:rsidRDefault="00171DAD" w:rsidP="003909F2">
      <w:r w:rsidRPr="0066103C">
        <w:tab/>
        <w:t>for one seven.</w:t>
      </w:r>
    </w:p>
    <w:p w:rsidR="00BD0B9D" w:rsidRPr="0066103C" w:rsidRDefault="00BD0B9D" w:rsidP="003909F2"/>
    <w:p w:rsidR="00171DAD" w:rsidRPr="0066103C" w:rsidRDefault="003909F2" w:rsidP="003909F2">
      <w:r w:rsidRPr="0066103C">
        <w:rPr>
          <w:vertAlign w:val="superscript"/>
        </w:rPr>
        <w:t>c</w:t>
      </w:r>
      <w:r w:rsidR="00171DAD" w:rsidRPr="0066103C">
        <w:t>I</w:t>
      </w:r>
      <w:r w:rsidRPr="0066103C">
        <w:t>n the middle of the seven</w:t>
      </w:r>
      <w:r w:rsidRPr="0066103C">
        <w:rPr>
          <w:vertAlign w:val="superscript"/>
        </w:rPr>
        <w:t>c</w:t>
      </w:r>
      <w:r w:rsidRPr="0066103C">
        <w:t xml:space="preserve"> </w:t>
      </w:r>
    </w:p>
    <w:p w:rsidR="003909F2" w:rsidRPr="0066103C" w:rsidRDefault="00171DAD" w:rsidP="003909F2">
      <w:r w:rsidRPr="0066103C">
        <w:tab/>
      </w:r>
      <w:r w:rsidR="003909F2" w:rsidRPr="0066103C">
        <w:t>sacrifice and offering will cease,</w:t>
      </w:r>
      <w:r w:rsidR="003909F2" w:rsidRPr="0066103C">
        <w:rPr>
          <w:vertAlign w:val="superscript"/>
        </w:rPr>
        <w:t>d</w:t>
      </w:r>
    </w:p>
    <w:p w:rsidR="003909F2" w:rsidRPr="0066103C" w:rsidRDefault="00BD0B9D" w:rsidP="003909F2">
      <w:r w:rsidRPr="0066103C">
        <w:t>A</w:t>
      </w:r>
      <w:r w:rsidR="003909F2" w:rsidRPr="0066103C">
        <w:t xml:space="preserve">nd </w:t>
      </w:r>
      <w:r w:rsidR="003909F2" w:rsidRPr="0066103C">
        <w:rPr>
          <w:vertAlign w:val="superscript"/>
        </w:rPr>
        <w:t>e</w:t>
      </w:r>
      <w:r w:rsidR="003909F2" w:rsidRPr="0066103C">
        <w:t>upon a wing</w:t>
      </w:r>
      <w:r w:rsidRPr="0066103C">
        <w:t>:</w:t>
      </w:r>
      <w:r w:rsidR="003909F2" w:rsidRPr="0066103C">
        <w:rPr>
          <w:vertAlign w:val="superscript"/>
        </w:rPr>
        <w:t>e</w:t>
      </w:r>
      <w:r w:rsidRPr="0066103C">
        <w:t xml:space="preserve"> </w:t>
      </w:r>
      <w:r w:rsidR="00171DAD" w:rsidRPr="0066103C">
        <w:t>a desolating abomination,</w:t>
      </w:r>
      <w:r w:rsidR="003909F2" w:rsidRPr="0066103C">
        <w:rPr>
          <w:vertAlign w:val="superscript"/>
        </w:rPr>
        <w:t>f</w:t>
      </w:r>
    </w:p>
    <w:p w:rsidR="003909F2" w:rsidRPr="0066103C" w:rsidRDefault="00BD0B9D" w:rsidP="003909F2">
      <w:r w:rsidRPr="0066103C">
        <w:tab/>
        <w:t>u</w:t>
      </w:r>
      <w:r w:rsidR="003909F2" w:rsidRPr="0066103C">
        <w:t xml:space="preserve">ntil </w:t>
      </w:r>
      <w:r w:rsidR="003909F2" w:rsidRPr="0066103C">
        <w:rPr>
          <w:vertAlign w:val="superscript"/>
        </w:rPr>
        <w:t>g</w:t>
      </w:r>
      <w:r w:rsidR="003909F2" w:rsidRPr="0066103C">
        <w:t>a conclusion which has been decreed</w:t>
      </w:r>
      <w:r w:rsidR="003909F2" w:rsidRPr="0066103C">
        <w:rPr>
          <w:vertAlign w:val="superscript"/>
        </w:rPr>
        <w:t>g</w:t>
      </w:r>
    </w:p>
    <w:p w:rsidR="003909F2" w:rsidRPr="0066103C" w:rsidRDefault="00E00389" w:rsidP="003909F2">
      <w:r w:rsidRPr="0066103C">
        <w:tab/>
      </w:r>
      <w:r w:rsidR="003909F2" w:rsidRPr="0066103C">
        <w:t>overwhelms a desolate one.</w:t>
      </w:r>
      <w:r w:rsidR="003909F2" w:rsidRPr="0066103C">
        <w:rPr>
          <w:vertAlign w:val="superscript"/>
        </w:rPr>
        <w:t>h</w:t>
      </w:r>
      <w:r w:rsidR="003909F2" w:rsidRPr="0066103C">
        <w:t>”</w:t>
      </w:r>
    </w:p>
    <w:p w:rsidR="003909F2" w:rsidRPr="00CC1756" w:rsidRDefault="003909F2" w:rsidP="00CC1756">
      <w:pPr>
        <w:pStyle w:val="Heading2"/>
      </w:pPr>
      <w:r w:rsidRPr="00CC1756">
        <w:t>Notes</w:t>
      </w:r>
    </w:p>
    <w:p w:rsidR="003909F2" w:rsidRPr="0066103C" w:rsidRDefault="003909F2" w:rsidP="003909F2">
      <w:r w:rsidRPr="0066103C">
        <w:t>1.a</w:t>
      </w:r>
      <w:r w:rsidR="00CB3221">
        <w:t>-a</w:t>
      </w:r>
      <w:r w:rsidRPr="0066103C">
        <w:t xml:space="preserve">. </w:t>
      </w:r>
      <w:r w:rsidRPr="0066103C">
        <w:rPr>
          <w:rFonts w:ascii="Arial" w:hAnsi="Arial" w:cs="Arial"/>
        </w:rPr>
        <w:t>הָמְלַךְ</w:t>
      </w:r>
      <w:r w:rsidRPr="0066103C">
        <w:t>, the only instance of the ho</w:t>
      </w:r>
      <w:r w:rsidR="00E70748" w:rsidRPr="0066103C">
        <w:t>phal</w:t>
      </w:r>
      <w:r w:rsidRPr="0066103C">
        <w:t xml:space="preserve"> in BH; BHS compares </w:t>
      </w:r>
      <w:r w:rsidRPr="0066103C">
        <w:rPr>
          <w:rFonts w:ascii="Arial" w:hAnsi="Arial" w:cs="Arial"/>
        </w:rPr>
        <w:t>מלכותא</w:t>
      </w:r>
      <w:r w:rsidRPr="0066103C">
        <w:t xml:space="preserve"> </w:t>
      </w:r>
      <w:r w:rsidR="003D616D" w:rsidRPr="003D616D">
        <w:rPr>
          <w:rFonts w:ascii="Arial" w:hAnsi="Arial" w:cs="Arial"/>
        </w:rPr>
        <w:t>ל</w:t>
      </w:r>
      <w:r w:rsidR="00CD11BB">
        <w:rPr>
          <w:rFonts w:ascii="Arial" w:hAnsi="Arial" w:cs="Arial"/>
        </w:rPr>
        <w:t xml:space="preserve"> </w:t>
      </w:r>
      <w:r w:rsidR="003D616D" w:rsidRPr="003D616D">
        <w:rPr>
          <w:rFonts w:ascii="Arial" w:hAnsi="Arial" w:cs="Arial"/>
        </w:rPr>
        <w:t>ב</w:t>
      </w:r>
      <w:r w:rsidR="00CD11BB">
        <w:rPr>
          <w:rFonts w:ascii="Arial" w:hAnsi="Arial" w:cs="Arial"/>
        </w:rPr>
        <w:t xml:space="preserve"> </w:t>
      </w:r>
      <w:r w:rsidR="003D616D" w:rsidRPr="003D616D">
        <w:rPr>
          <w:rFonts w:ascii="Arial" w:hAnsi="Arial" w:cs="Arial"/>
        </w:rPr>
        <w:t xml:space="preserve">ק </w:t>
      </w:r>
      <w:r w:rsidRPr="0066103C">
        <w:t xml:space="preserve">(taken as “received the kingship”) in </w:t>
      </w:r>
      <w:r w:rsidR="003D616D">
        <w:t>5:31 [</w:t>
      </w:r>
      <w:r w:rsidRPr="0066103C">
        <w:t>6:1</w:t>
      </w:r>
      <w:r w:rsidR="003D616D">
        <w:t>]</w:t>
      </w:r>
      <w:r w:rsidRPr="0066103C">
        <w:t xml:space="preserve">. G, Syr have </w:t>
      </w:r>
      <w:r w:rsidR="003D616D">
        <w:t xml:space="preserve">an </w:t>
      </w:r>
      <w:r w:rsidRPr="0066103C">
        <w:t>act</w:t>
      </w:r>
      <w:r w:rsidR="00E925AD" w:rsidRPr="0066103C">
        <w:t>ive</w:t>
      </w:r>
      <w:r w:rsidRPr="0066103C">
        <w:t xml:space="preserve"> </w:t>
      </w:r>
      <w:r w:rsidR="003D616D">
        <w:t>verb “he reigned</w:t>
      </w:r>
      <w:r w:rsidRPr="0066103C">
        <w:t>,</w:t>
      </w:r>
      <w:r w:rsidR="003D616D">
        <w:t>”</w:t>
      </w:r>
      <w:r w:rsidRPr="0066103C">
        <w:t xml:space="preserve"> </w:t>
      </w:r>
      <w:r w:rsidR="00E70748" w:rsidRPr="0066103C">
        <w:t>perhaps</w:t>
      </w:r>
      <w:r w:rsidRPr="0066103C">
        <w:t xml:space="preserve"> indicating </w:t>
      </w:r>
      <w:r w:rsidRPr="0066103C">
        <w:rPr>
          <w:rFonts w:ascii="Arial" w:hAnsi="Arial" w:cs="Arial"/>
        </w:rPr>
        <w:t>הִמְלַךְ</w:t>
      </w:r>
      <w:r w:rsidRPr="0066103C">
        <w:t xml:space="preserve"> </w:t>
      </w:r>
      <w:r w:rsidR="003D616D">
        <w:t xml:space="preserve">understood in an </w:t>
      </w:r>
      <w:r w:rsidRPr="0066103C">
        <w:t>inwardly trans</w:t>
      </w:r>
      <w:r w:rsidR="00E70748" w:rsidRPr="0066103C">
        <w:t>itive</w:t>
      </w:r>
      <w:r w:rsidRPr="0066103C">
        <w:t xml:space="preserve"> sense (cf. GKC 53def for other v</w:t>
      </w:r>
      <w:r w:rsidR="00E70748" w:rsidRPr="0066103C">
        <w:t>er</w:t>
      </w:r>
      <w:r w:rsidR="003D616D">
        <w:t xml:space="preserve">bs; PS, </w:t>
      </w:r>
      <w:r w:rsidRPr="0066103C">
        <w:t>277 for this v</w:t>
      </w:r>
      <w:r w:rsidR="00E70748" w:rsidRPr="0066103C">
        <w:t>er</w:t>
      </w:r>
      <w:r w:rsidRPr="0066103C">
        <w:t>b in Syriac). An Aramaism (Lacocque)?</w:t>
      </w:r>
    </w:p>
    <w:p w:rsidR="003909F2" w:rsidRDefault="003909F2" w:rsidP="003909F2">
      <w:r w:rsidRPr="0066103C">
        <w:t>2.a. Qal</w:t>
      </w:r>
      <w:r w:rsidR="007956F5" w:rsidRPr="0066103C">
        <w:t xml:space="preserve"> </w:t>
      </w:r>
      <w:r w:rsidR="007956F5" w:rsidRPr="0066103C">
        <w:rPr>
          <w:rFonts w:ascii="Arial" w:hAnsi="Arial" w:cs="Arial"/>
        </w:rPr>
        <w:t>י</w:t>
      </w:r>
      <w:r w:rsidR="007956F5" w:rsidRPr="0066103C">
        <w:t xml:space="preserve"> </w:t>
      </w:r>
      <w:r w:rsidR="007956F5" w:rsidRPr="0066103C">
        <w:rPr>
          <w:rFonts w:ascii="Arial" w:hAnsi="Arial" w:cs="Arial"/>
        </w:rPr>
        <w:t>ת</w:t>
      </w:r>
      <w:r w:rsidR="007956F5" w:rsidRPr="0066103C">
        <w:t xml:space="preserve"> </w:t>
      </w:r>
      <w:r w:rsidR="007956F5" w:rsidRPr="0066103C">
        <w:rPr>
          <w:rFonts w:ascii="Arial" w:hAnsi="Arial" w:cs="Arial"/>
        </w:rPr>
        <w:t>נ</w:t>
      </w:r>
      <w:r w:rsidRPr="0066103C">
        <w:t xml:space="preserve"> </w:t>
      </w:r>
      <w:r w:rsidR="007956F5" w:rsidRPr="0066103C">
        <w:rPr>
          <w:rFonts w:ascii="Arial" w:hAnsi="Arial" w:cs="Arial"/>
        </w:rPr>
        <w:t>י ב</w:t>
      </w:r>
      <w:r w:rsidR="007956F5" w:rsidRPr="0066103C">
        <w:t xml:space="preserve"> </w:t>
      </w:r>
      <w:r w:rsidRPr="0066103C">
        <w:t xml:space="preserve">(instead of </w:t>
      </w:r>
      <w:r w:rsidRPr="0066103C">
        <w:rPr>
          <w:rFonts w:ascii="Arial" w:hAnsi="Arial" w:cs="Arial"/>
        </w:rPr>
        <w:t>בנתי</w:t>
      </w:r>
      <w:r w:rsidRPr="0066103C">
        <w:t>) is a shortened hi</w:t>
      </w:r>
      <w:r w:rsidR="007956F5" w:rsidRPr="0066103C">
        <w:t>phil</w:t>
      </w:r>
      <w:r w:rsidRPr="0066103C">
        <w:t xml:space="preserve"> </w:t>
      </w:r>
      <w:r w:rsidR="00CD11BB">
        <w:t xml:space="preserve">in form </w:t>
      </w:r>
      <w:r w:rsidRPr="0066103C">
        <w:t xml:space="preserve">(see GKC 73a). For the meaning (“consider” is better than “understand”: that is part of Daniel’s problem!), see BDB; it need not be an Aramaism (against </w:t>
      </w:r>
      <w:r w:rsidR="007956F5" w:rsidRPr="0066103C">
        <w:t>Hartman/Di Lella</w:t>
      </w:r>
      <w:r w:rsidRPr="0066103C">
        <w:t>).</w:t>
      </w:r>
    </w:p>
    <w:p w:rsidR="00BD58AD" w:rsidRPr="00BD58AD" w:rsidRDefault="00BD58AD" w:rsidP="00BD58AD">
      <w:r>
        <w:t>2.b.</w:t>
      </w:r>
      <w:r w:rsidR="00264FA4">
        <w:t xml:space="preserve"> </w:t>
      </w:r>
      <w:r w:rsidR="00264FA4" w:rsidRPr="00264FA4">
        <w:rPr>
          <w:rFonts w:ascii="Arial" w:hAnsi="Arial" w:cs="Arial"/>
        </w:rPr>
        <w:t>ם</w:t>
      </w:r>
      <w:r>
        <w:t xml:space="preserve"> </w:t>
      </w:r>
      <w:r w:rsidRPr="00BD58AD">
        <w:rPr>
          <w:rFonts w:ascii="Arial" w:hAnsi="Arial" w:cs="Arial"/>
        </w:rPr>
        <w:t>י</w:t>
      </w:r>
      <w:r w:rsidR="00264FA4">
        <w:rPr>
          <w:rFonts w:ascii="Arial" w:hAnsi="Arial" w:cs="Arial"/>
        </w:rPr>
        <w:t xml:space="preserve"> </w:t>
      </w:r>
      <w:r w:rsidRPr="00BD58AD">
        <w:rPr>
          <w:rFonts w:ascii="Arial" w:hAnsi="Arial" w:cs="Arial"/>
        </w:rPr>
        <w:t>ר</w:t>
      </w:r>
      <w:r w:rsidR="00264FA4">
        <w:rPr>
          <w:rFonts w:ascii="Arial" w:hAnsi="Arial" w:cs="Arial"/>
        </w:rPr>
        <w:t xml:space="preserve"> </w:t>
      </w:r>
      <w:r w:rsidRPr="00BD58AD">
        <w:rPr>
          <w:rFonts w:ascii="Arial" w:hAnsi="Arial" w:cs="Arial"/>
        </w:rPr>
        <w:t>פ</w:t>
      </w:r>
      <w:r w:rsidR="00264FA4">
        <w:rPr>
          <w:rFonts w:ascii="Arial" w:hAnsi="Arial" w:cs="Arial"/>
        </w:rPr>
        <w:t xml:space="preserve"> </w:t>
      </w:r>
      <w:r w:rsidRPr="00BD58AD">
        <w:rPr>
          <w:rFonts w:ascii="Arial" w:hAnsi="Arial" w:cs="Arial"/>
        </w:rPr>
        <w:t>ס</w:t>
      </w:r>
      <w:r>
        <w:rPr>
          <w:rFonts w:ascii="Arial" w:hAnsi="Arial" w:cs="Arial"/>
        </w:rPr>
        <w:t xml:space="preserve">: </w:t>
      </w:r>
      <w:r w:rsidR="00CD11BB">
        <w:rPr>
          <w:rFonts w:cs="Arial"/>
        </w:rPr>
        <w:t>EVV</w:t>
      </w:r>
      <w:r w:rsidRPr="00BD58AD">
        <w:rPr>
          <w:rFonts w:cs="Arial"/>
        </w:rPr>
        <w:t xml:space="preserve"> “scriptures,”</w:t>
      </w:r>
      <w:r w:rsidR="00264FA4">
        <w:rPr>
          <w:rFonts w:cs="Arial"/>
        </w:rPr>
        <w:t xml:space="preserve"> </w:t>
      </w:r>
      <w:r>
        <w:rPr>
          <w:rFonts w:cs="Arial"/>
        </w:rPr>
        <w:t xml:space="preserve">may be too specific (so Wilson, </w:t>
      </w:r>
      <w:r w:rsidR="008D41F7">
        <w:rPr>
          <w:rFonts w:cs="Arial"/>
        </w:rPr>
        <w:t>“</w:t>
      </w:r>
      <w:r w:rsidR="008D41F7" w:rsidRPr="008D41F7">
        <w:rPr>
          <w:rFonts w:cs="Arial"/>
        </w:rPr>
        <w:t>The Prayer of Da</w:t>
      </w:r>
      <w:r w:rsidR="00264FA4">
        <w:rPr>
          <w:rFonts w:cs="Arial"/>
        </w:rPr>
        <w:t>niel 9</w:t>
      </w:r>
      <w:r w:rsidR="008D41F7" w:rsidRPr="008D41F7">
        <w:rPr>
          <w:rFonts w:cs="Arial"/>
        </w:rPr>
        <w:t>”</w:t>
      </w:r>
      <w:r w:rsidR="00264FA4">
        <w:rPr>
          <w:rFonts w:cs="Arial"/>
        </w:rPr>
        <w:t>)</w:t>
      </w:r>
    </w:p>
    <w:p w:rsidR="003909F2" w:rsidRPr="0066103C" w:rsidRDefault="00BD58AD" w:rsidP="003909F2">
      <w:r>
        <w:t>2.c-c</w:t>
      </w:r>
      <w:r w:rsidR="003909F2" w:rsidRPr="0066103C">
        <w:t xml:space="preserve">. The wording of the parenthesis, </w:t>
      </w:r>
      <w:r w:rsidR="003909F2" w:rsidRPr="0066103C">
        <w:rPr>
          <w:rFonts w:ascii="Arial" w:hAnsi="Arial" w:cs="Arial"/>
        </w:rPr>
        <w:t>הנביא</w:t>
      </w:r>
      <w:r w:rsidR="007956F5" w:rsidRPr="0066103C">
        <w:rPr>
          <w:rFonts w:ascii="Arial" w:hAnsi="Arial" w:cs="Arial"/>
        </w:rPr>
        <w:t xml:space="preserve"> ירמיה אל יהוה דבר היה אשר</w:t>
      </w:r>
      <w:r w:rsidR="003909F2" w:rsidRPr="0066103C">
        <w:t xml:space="preserve">, follows that of passages such as Jer 14:1, where </w:t>
      </w:r>
      <w:r w:rsidR="003909F2" w:rsidRPr="0066103C">
        <w:rPr>
          <w:rFonts w:ascii="Arial" w:hAnsi="Arial" w:cs="Arial"/>
        </w:rPr>
        <w:t>אשר</w:t>
      </w:r>
      <w:r w:rsidR="007956F5" w:rsidRPr="0066103C">
        <w:t xml:space="preserve"> “which” is </w:t>
      </w:r>
      <w:r w:rsidR="003909F2" w:rsidRPr="0066103C">
        <w:t xml:space="preserve">defined by the subsequent noun </w:t>
      </w:r>
      <w:r w:rsidR="003909F2" w:rsidRPr="0066103C">
        <w:rPr>
          <w:rFonts w:ascii="Arial" w:hAnsi="Arial" w:cs="Arial"/>
        </w:rPr>
        <w:t>דבר</w:t>
      </w:r>
      <w:r w:rsidR="003909F2" w:rsidRPr="0066103C">
        <w:t xml:space="preserve"> (see </w:t>
      </w:r>
      <w:r w:rsidR="00634A66" w:rsidRPr="0066103C">
        <w:t xml:space="preserve">BDB, </w:t>
      </w:r>
      <w:r w:rsidR="003909F2" w:rsidRPr="0066103C">
        <w:t>82b); it is not acc</w:t>
      </w:r>
      <w:r w:rsidR="007956F5" w:rsidRPr="0066103C">
        <w:t>usative of respect (as EVV</w:t>
      </w:r>
      <w:r w:rsidR="003909F2" w:rsidRPr="0066103C">
        <w:t>) (cf. Charles, comparing Deut 5:5).</w:t>
      </w:r>
    </w:p>
    <w:p w:rsidR="003909F2" w:rsidRPr="0066103C" w:rsidRDefault="003909F2" w:rsidP="003909F2">
      <w:r w:rsidRPr="0066103C">
        <w:t xml:space="preserve">3.a. In chap. 9 God is referred to as </w:t>
      </w:r>
      <w:r w:rsidRPr="0066103C">
        <w:rPr>
          <w:rFonts w:ascii="Arial" w:hAnsi="Arial" w:cs="Arial"/>
        </w:rPr>
        <w:t>יהוה</w:t>
      </w:r>
      <w:r w:rsidRPr="0066103C">
        <w:t xml:space="preserve"> “Yahweh”, </w:t>
      </w:r>
      <w:r w:rsidRPr="0066103C">
        <w:rPr>
          <w:rFonts w:ascii="Arial" w:hAnsi="Arial" w:cs="Arial"/>
        </w:rPr>
        <w:t>אדני</w:t>
      </w:r>
      <w:r w:rsidRPr="0066103C">
        <w:t xml:space="preserve"> “Lord,” and </w:t>
      </w:r>
      <w:r w:rsidRPr="0066103C">
        <w:rPr>
          <w:rFonts w:ascii="Arial" w:hAnsi="Arial" w:cs="Arial"/>
        </w:rPr>
        <w:t>אלהים</w:t>
      </w:r>
      <w:r w:rsidRPr="0066103C">
        <w:t xml:space="preserve"> “God.” OG uses δέσποτα (“Master,” only in the voc</w:t>
      </w:r>
      <w:r w:rsidR="007956F5" w:rsidRPr="0066103C">
        <w:t>ative</w:t>
      </w:r>
      <w:r w:rsidRPr="0066103C">
        <w:t xml:space="preserve">), κύριος “Lord,” and θεός “God.” In vv 3, 15, 16, 17, and 19a (twice), where L has </w:t>
      </w:r>
      <w:r w:rsidRPr="0066103C">
        <w:rPr>
          <w:rFonts w:ascii="Arial" w:hAnsi="Arial" w:cs="Arial"/>
        </w:rPr>
        <w:t>אדני</w:t>
      </w:r>
      <w:r w:rsidRPr="0066103C">
        <w:t xml:space="preserve">, some </w:t>
      </w:r>
      <w:r w:rsidR="003F4DB6" w:rsidRPr="003F4DB6">
        <w:t xml:space="preserve">medieval </w:t>
      </w:r>
      <w:r w:rsidRPr="0066103C">
        <w:t xml:space="preserve">mss have </w:t>
      </w:r>
      <w:r w:rsidRPr="0066103C">
        <w:rPr>
          <w:rFonts w:ascii="Arial" w:hAnsi="Arial" w:cs="Arial"/>
        </w:rPr>
        <w:t>ה</w:t>
      </w:r>
      <w:r w:rsidR="00264FA4">
        <w:rPr>
          <w:rFonts w:ascii="Arial" w:hAnsi="Arial" w:cs="Arial"/>
        </w:rPr>
        <w:t xml:space="preserve"> </w:t>
      </w:r>
      <w:r w:rsidRPr="0066103C">
        <w:rPr>
          <w:rFonts w:ascii="Arial" w:hAnsi="Arial" w:cs="Arial"/>
        </w:rPr>
        <w:t>ו</w:t>
      </w:r>
      <w:r w:rsidR="00264FA4">
        <w:rPr>
          <w:rFonts w:ascii="Arial" w:hAnsi="Arial" w:cs="Arial"/>
        </w:rPr>
        <w:t xml:space="preserve"> </w:t>
      </w:r>
      <w:r w:rsidRPr="0066103C">
        <w:rPr>
          <w:rFonts w:ascii="Arial" w:hAnsi="Arial" w:cs="Arial"/>
        </w:rPr>
        <w:t>ה</w:t>
      </w:r>
      <w:r w:rsidR="00264FA4">
        <w:rPr>
          <w:rFonts w:ascii="Arial" w:hAnsi="Arial" w:cs="Arial"/>
        </w:rPr>
        <w:t xml:space="preserve"> </w:t>
      </w:r>
      <w:r w:rsidR="00264FA4" w:rsidRPr="00264FA4">
        <w:rPr>
          <w:rFonts w:ascii="Arial" w:hAnsi="Arial" w:cs="Arial"/>
        </w:rPr>
        <w:t>י</w:t>
      </w:r>
      <w:r w:rsidRPr="0066103C">
        <w:t xml:space="preserve">. Q </w:t>
      </w:r>
      <w:r w:rsidRPr="0066103C">
        <w:rPr>
          <w:rFonts w:ascii="Arial" w:hAnsi="Arial" w:cs="Arial"/>
        </w:rPr>
        <w:t>אדני</w:t>
      </w:r>
      <w:r w:rsidRPr="0066103C">
        <w:t xml:space="preserve"> may </w:t>
      </w:r>
      <w:r w:rsidR="007956F5" w:rsidRPr="0066103C">
        <w:t xml:space="preserve">sometimes </w:t>
      </w:r>
      <w:r w:rsidRPr="0066103C">
        <w:t xml:space="preserve">have replaced </w:t>
      </w:r>
      <w:r w:rsidRPr="0066103C">
        <w:rPr>
          <w:rFonts w:ascii="Arial" w:hAnsi="Arial" w:cs="Arial"/>
        </w:rPr>
        <w:t>יהוה</w:t>
      </w:r>
      <w:r w:rsidR="007956F5" w:rsidRPr="0066103C">
        <w:t xml:space="preserve"> in the text</w:t>
      </w:r>
      <w:r w:rsidR="00264FA4">
        <w:t xml:space="preserve">, though the </w:t>
      </w:r>
      <w:r w:rsidRPr="0066103C">
        <w:t xml:space="preserve">substitution of </w:t>
      </w:r>
      <w:r w:rsidRPr="0066103C">
        <w:rPr>
          <w:rFonts w:ascii="Arial" w:hAnsi="Arial" w:cs="Arial"/>
        </w:rPr>
        <w:t>יהוה</w:t>
      </w:r>
      <w:r w:rsidRPr="0066103C">
        <w:t xml:space="preserve"> for </w:t>
      </w:r>
      <w:r w:rsidRPr="0066103C">
        <w:rPr>
          <w:rFonts w:ascii="Arial" w:hAnsi="Arial" w:cs="Arial"/>
        </w:rPr>
        <w:t>אדני</w:t>
      </w:r>
      <w:r w:rsidRPr="0066103C">
        <w:t xml:space="preserve"> is also explicable (e.g., in v 3, assimilating to v 2). In vv 15, 16, and 17 OG has δέσποτα, but not in v 3 (though this </w:t>
      </w:r>
      <w:r w:rsidR="007956F5" w:rsidRPr="0066103C">
        <w:t>difference might simply come about</w:t>
      </w:r>
      <w:r w:rsidRPr="0066103C">
        <w:t xml:space="preserve"> because the term there needs to be acc</w:t>
      </w:r>
      <w:r w:rsidR="007956F5" w:rsidRPr="0066103C">
        <w:t>usative</w:t>
      </w:r>
      <w:r w:rsidRPr="0066103C">
        <w:t xml:space="preserve">), nor in v 19a; OG also has δέσποτα where MT has </w:t>
      </w:r>
      <w:r w:rsidRPr="0066103C">
        <w:rPr>
          <w:rFonts w:ascii="Arial" w:hAnsi="Arial" w:cs="Arial"/>
        </w:rPr>
        <w:t>יהוה</w:t>
      </w:r>
      <w:r w:rsidR="007956F5" w:rsidRPr="0066103C">
        <w:t xml:space="preserve"> in v 8. OG’s</w:t>
      </w:r>
      <w:r w:rsidRPr="0066103C">
        <w:t xml:space="preserve"> use of δέσποτα must be utilized with caution as evidence for an original </w:t>
      </w:r>
      <w:r w:rsidRPr="0066103C">
        <w:rPr>
          <w:rFonts w:ascii="Arial" w:hAnsi="Arial" w:cs="Arial"/>
        </w:rPr>
        <w:t>יהוה</w:t>
      </w:r>
      <w:r w:rsidRPr="0066103C">
        <w:t xml:space="preserve"> since δέσποτα also appears as an equivalent of </w:t>
      </w:r>
      <w:r w:rsidRPr="0066103C">
        <w:rPr>
          <w:rFonts w:ascii="Arial" w:hAnsi="Arial" w:cs="Arial"/>
        </w:rPr>
        <w:t>אלהינו</w:t>
      </w:r>
      <w:r w:rsidRPr="0066103C">
        <w:t xml:space="preserve"> (“our God,” v 17) and </w:t>
      </w:r>
      <w:r w:rsidRPr="0066103C">
        <w:rPr>
          <w:rFonts w:ascii="Arial" w:hAnsi="Arial" w:cs="Arial"/>
        </w:rPr>
        <w:t>אלהי</w:t>
      </w:r>
      <w:r w:rsidRPr="0066103C">
        <w:t xml:space="preserve"> (“my God,” v 19b).</w:t>
      </w:r>
    </w:p>
    <w:p w:rsidR="003909F2" w:rsidRPr="0066103C" w:rsidRDefault="003909F2" w:rsidP="003909F2">
      <w:r w:rsidRPr="0066103C">
        <w:t xml:space="preserve">3.b-b. </w:t>
      </w:r>
      <w:r w:rsidRPr="0066103C">
        <w:rPr>
          <w:rFonts w:ascii="Arial" w:hAnsi="Arial" w:cs="Arial"/>
        </w:rPr>
        <w:t>ותחנונים</w:t>
      </w:r>
      <w:r w:rsidR="007956F5" w:rsidRPr="0066103C">
        <w:rPr>
          <w:rFonts w:ascii="Arial" w:hAnsi="Arial" w:cs="Arial"/>
        </w:rPr>
        <w:t xml:space="preserve"> תפלה לבקש</w:t>
      </w:r>
      <w:r w:rsidRPr="0066103C">
        <w:t>. “To seek prayer . . .” gives an odd sens</w:t>
      </w:r>
      <w:r w:rsidR="005535FE" w:rsidRPr="0066103C">
        <w:t>e. “To inquire with prayer…</w:t>
      </w:r>
      <w:r w:rsidRPr="0066103C">
        <w:t xml:space="preserve">” gives good sense, but when </w:t>
      </w:r>
      <w:r w:rsidRPr="0066103C">
        <w:rPr>
          <w:rFonts w:ascii="Arial" w:hAnsi="Arial" w:cs="Arial"/>
        </w:rPr>
        <w:t>בקש</w:t>
      </w:r>
      <w:r w:rsidRPr="0066103C">
        <w:t xml:space="preserve"> means seeking a word from God, it needs an obj</w:t>
      </w:r>
      <w:r w:rsidR="005535FE" w:rsidRPr="0066103C">
        <w:t>ect</w:t>
      </w:r>
      <w:r w:rsidRPr="0066103C">
        <w:t xml:space="preserve"> (2 Sam 21:1; Ezek 7:26; Amos 8:12); so also the similar use of </w:t>
      </w:r>
      <w:r w:rsidRPr="0066103C">
        <w:rPr>
          <w:rFonts w:ascii="Arial" w:hAnsi="Arial" w:cs="Arial"/>
        </w:rPr>
        <w:t>דרש</w:t>
      </w:r>
      <w:r w:rsidRPr="0066103C">
        <w:t xml:space="preserve">. Rather the lit. meaning is “to ask a prayer . . .,” i.e., to utter one: an Aramaism—cf. the use of </w:t>
      </w:r>
      <w:r w:rsidRPr="0066103C">
        <w:rPr>
          <w:rFonts w:ascii="Arial" w:hAnsi="Arial" w:cs="Arial"/>
        </w:rPr>
        <w:t>בעה</w:t>
      </w:r>
      <w:r w:rsidRPr="0066103C">
        <w:t xml:space="preserve"> in 6:8 [7] (Zimmerma</w:t>
      </w:r>
      <w:r w:rsidR="00CD11BB">
        <w:t>nn, “Aramaic Origin</w:t>
      </w:r>
      <w:r w:rsidR="005535FE" w:rsidRPr="0066103C">
        <w:t>,”</w:t>
      </w:r>
      <w:r w:rsidRPr="0066103C">
        <w:t xml:space="preserve"> 263). Appeal to </w:t>
      </w:r>
      <w:r w:rsidR="005535FE" w:rsidRPr="0066103C">
        <w:t xml:space="preserve">Akk. </w:t>
      </w:r>
      <w:r w:rsidR="005535FE" w:rsidRPr="0066103C">
        <w:rPr>
          <w:i/>
        </w:rPr>
        <w:t>baqaš</w:t>
      </w:r>
      <w:r w:rsidR="005535FE" w:rsidRPr="0066103C">
        <w:t>u (G. R. Driver, according to Porteous)</w:t>
      </w:r>
      <w:r w:rsidRPr="0066103C">
        <w:t xml:space="preserve"> seems forced and unnecessary. The first noun is a general one f</w:t>
      </w:r>
      <w:r w:rsidR="00264FA4">
        <w:t>or (formal, liturgical) prayer;</w:t>
      </w:r>
      <w:r w:rsidR="005535FE" w:rsidRPr="0066103C">
        <w:t xml:space="preserve"> </w:t>
      </w:r>
      <w:r w:rsidRPr="0066103C">
        <w:t xml:space="preserve">the second specifies the kind of prayer. Cf. vv 17, 18, 23; also </w:t>
      </w:r>
      <w:r w:rsidRPr="0066103C">
        <w:lastRenderedPageBreak/>
        <w:t xml:space="preserve">for the compound expression </w:t>
      </w:r>
      <w:r w:rsidR="005535FE" w:rsidRPr="0066103C">
        <w:t>1 Kgs 8:30, 33, 45, 49; Dan 6:11 [12</w:t>
      </w:r>
      <w:r w:rsidRPr="0066103C">
        <w:t xml:space="preserve">] for an Aram. equivalent with </w:t>
      </w:r>
      <w:r w:rsidR="00E70748" w:rsidRPr="0066103C">
        <w:t>verb</w:t>
      </w:r>
      <w:r w:rsidR="005535FE" w:rsidRPr="0066103C">
        <w:t>s. See Sawyer, “Types of Prayer in the OT</w:t>
      </w:r>
      <w:r w:rsidRPr="0066103C">
        <w:t>.</w:t>
      </w:r>
      <w:r w:rsidR="005535FE" w:rsidRPr="0066103C">
        <w:t>”</w:t>
      </w:r>
    </w:p>
    <w:p w:rsidR="00C141DC" w:rsidRDefault="003909F2" w:rsidP="003909F2">
      <w:r w:rsidRPr="0066103C">
        <w:t xml:space="preserve">4.a. </w:t>
      </w:r>
      <w:r w:rsidRPr="0066103C">
        <w:rPr>
          <w:rFonts w:ascii="Arial" w:hAnsi="Arial" w:cs="Arial"/>
        </w:rPr>
        <w:t>ואתודה</w:t>
      </w:r>
      <w:r w:rsidRPr="0066103C">
        <w:t xml:space="preserve"> . . . </w:t>
      </w:r>
      <w:r w:rsidRPr="0066103C">
        <w:rPr>
          <w:rFonts w:ascii="Arial" w:hAnsi="Arial" w:cs="Arial"/>
        </w:rPr>
        <w:t>ואתפללה</w:t>
      </w:r>
      <w:r w:rsidRPr="0066103C">
        <w:t xml:space="preserve"> “I prayed and confessed”: again </w:t>
      </w:r>
      <w:r w:rsidR="00C141DC">
        <w:t xml:space="preserve">(see n. 3.b-b) </w:t>
      </w:r>
      <w:r w:rsidRPr="0066103C">
        <w:t>the first word is a general one for (formal, liturgical) prayer, the second specifies th</w:t>
      </w:r>
      <w:r w:rsidR="005535FE" w:rsidRPr="0066103C">
        <w:t xml:space="preserve">e kind of prayer. </w:t>
      </w:r>
    </w:p>
    <w:p w:rsidR="003909F2" w:rsidRPr="0066103C" w:rsidRDefault="005535FE" w:rsidP="003909F2">
      <w:r w:rsidRPr="0066103C">
        <w:t>4.b. “O” in EVV</w:t>
      </w:r>
      <w:r w:rsidR="003909F2" w:rsidRPr="0066103C">
        <w:t xml:space="preserve"> before a voc</w:t>
      </w:r>
      <w:r w:rsidRPr="0066103C">
        <w:t xml:space="preserve">ative rarely </w:t>
      </w:r>
      <w:r w:rsidR="00CD11BB">
        <w:t>has a BH equivalent, but it has one</w:t>
      </w:r>
      <w:r w:rsidR="003909F2" w:rsidRPr="0066103C">
        <w:t xml:space="preserve"> here (contrast vv 7, 8, 15, 16, 17, 18, 19</w:t>
      </w:r>
      <w:r w:rsidRPr="0066103C">
        <w:t xml:space="preserve"> in EVV</w:t>
      </w:r>
      <w:r w:rsidR="003909F2" w:rsidRPr="0066103C">
        <w:t xml:space="preserve">): </w:t>
      </w:r>
      <w:r w:rsidR="003909F2" w:rsidRPr="0066103C">
        <w:rPr>
          <w:rFonts w:ascii="Arial" w:hAnsi="Arial" w:cs="Arial"/>
        </w:rPr>
        <w:t>אנא</w:t>
      </w:r>
      <w:r w:rsidR="003909F2" w:rsidRPr="0066103C">
        <w:t xml:space="preserve"> is “a strong part</w:t>
      </w:r>
      <w:r w:rsidRPr="0066103C">
        <w:t>[icle] of entreaty” (BDB). C</w:t>
      </w:r>
      <w:r w:rsidR="00CD11BB">
        <w:t xml:space="preserve">f. </w:t>
      </w:r>
      <w:r w:rsidR="003909F2" w:rsidRPr="0066103C">
        <w:t xml:space="preserve">enclitic </w:t>
      </w:r>
      <w:r w:rsidR="003909F2" w:rsidRPr="0066103C">
        <w:rPr>
          <w:rFonts w:ascii="Arial" w:hAnsi="Arial" w:cs="Arial"/>
        </w:rPr>
        <w:t>נא</w:t>
      </w:r>
      <w:r w:rsidR="003909F2" w:rsidRPr="0066103C">
        <w:t xml:space="preserve"> (v 16).</w:t>
      </w:r>
    </w:p>
    <w:p w:rsidR="003909F2" w:rsidRPr="0066103C" w:rsidRDefault="003909F2" w:rsidP="003909F2">
      <w:r w:rsidRPr="0066103C">
        <w:t xml:space="preserve">4.c. </w:t>
      </w:r>
      <w:r w:rsidRPr="0066103C">
        <w:rPr>
          <w:rFonts w:ascii="Arial" w:hAnsi="Arial" w:cs="Arial"/>
        </w:rPr>
        <w:t>והחסד</w:t>
      </w:r>
      <w:r w:rsidRPr="0066103C">
        <w:t xml:space="preserve"> </w:t>
      </w:r>
      <w:r w:rsidR="005535FE" w:rsidRPr="0066103C">
        <w:rPr>
          <w:rFonts w:ascii="Arial" w:hAnsi="Arial" w:cs="Arial"/>
        </w:rPr>
        <w:t>הברית</w:t>
      </w:r>
      <w:r w:rsidR="005535FE" w:rsidRPr="0066103C">
        <w:t xml:space="preserve"> </w:t>
      </w:r>
      <w:r w:rsidRPr="0066103C">
        <w:t>“the covenant and the commitment.”</w:t>
      </w:r>
    </w:p>
    <w:p w:rsidR="003909F2" w:rsidRPr="0066103C" w:rsidRDefault="005535FE" w:rsidP="003909F2">
      <w:r w:rsidRPr="0066103C">
        <w:t xml:space="preserve">5.a. The three </w:t>
      </w:r>
      <w:r w:rsidR="00E70748" w:rsidRPr="0066103C">
        <w:t>verb</w:t>
      </w:r>
      <w:r w:rsidR="00FC2A3A">
        <w:t xml:space="preserve">s are </w:t>
      </w:r>
      <w:r w:rsidR="003909F2" w:rsidRPr="0066103C">
        <w:t xml:space="preserve">simple </w:t>
      </w:r>
      <w:r w:rsidR="003909F2" w:rsidRPr="003A423E">
        <w:rPr>
          <w:i/>
        </w:rPr>
        <w:t>waw</w:t>
      </w:r>
      <w:r w:rsidR="00FC2A3A">
        <w:t xml:space="preserve"> plus perfect</w:t>
      </w:r>
      <w:r w:rsidR="003909F2" w:rsidRPr="0066103C">
        <w:t>, the events being coordinate not consecutive (</w:t>
      </w:r>
      <w:r w:rsidR="003909F2" w:rsidRPr="0066103C">
        <w:rPr>
          <w:i/>
        </w:rPr>
        <w:t>TTH</w:t>
      </w:r>
      <w:r w:rsidR="003909F2" w:rsidRPr="0066103C">
        <w:t xml:space="preserve"> 131–33). Q omits </w:t>
      </w:r>
      <w:r w:rsidR="003909F2" w:rsidRPr="0066103C">
        <w:rPr>
          <w:rFonts w:ascii="Arial" w:hAnsi="Arial" w:cs="Arial"/>
        </w:rPr>
        <w:t>ו</w:t>
      </w:r>
      <w:r w:rsidR="003909F2" w:rsidRPr="0066103C">
        <w:t xml:space="preserve"> “and” from </w:t>
      </w:r>
      <w:r w:rsidR="003909F2" w:rsidRPr="0066103C">
        <w:rPr>
          <w:rFonts w:ascii="Arial" w:hAnsi="Arial" w:cs="Arial"/>
        </w:rPr>
        <w:t>והרשענו</w:t>
      </w:r>
      <w:r w:rsidRPr="0066103C">
        <w:t xml:space="preserve"> “[and] </w:t>
      </w:r>
      <w:r w:rsidR="00E36E6C">
        <w:t>we acted faithlessly</w:t>
      </w:r>
      <w:r w:rsidR="003909F2" w:rsidRPr="0066103C">
        <w:t>,” assimilating to 1 Kgs 8:47; G omit</w:t>
      </w:r>
      <w:r w:rsidRPr="0066103C">
        <w:t>s</w:t>
      </w:r>
      <w:r w:rsidR="003909F2" w:rsidRPr="0066103C">
        <w:t xml:space="preserve"> </w:t>
      </w:r>
      <w:r w:rsidRPr="0066103C">
        <w:t xml:space="preserve">both </w:t>
      </w:r>
      <w:r w:rsidR="003909F2" w:rsidRPr="0066103C">
        <w:t>this “and” and the previous one for stylistic reasons.</w:t>
      </w:r>
    </w:p>
    <w:p w:rsidR="003909F2" w:rsidRPr="0066103C" w:rsidRDefault="003909F2" w:rsidP="003909F2">
      <w:r w:rsidRPr="0066103C">
        <w:t xml:space="preserve">5.b-b. </w:t>
      </w:r>
      <w:r w:rsidRPr="0066103C">
        <w:rPr>
          <w:rFonts w:ascii="Arial" w:hAnsi="Arial" w:cs="Arial"/>
        </w:rPr>
        <w:t>וסור</w:t>
      </w:r>
      <w:r w:rsidR="0081660E">
        <w:t xml:space="preserve">, inf. </w:t>
      </w:r>
      <w:r w:rsidRPr="0066103C">
        <w:t>abs</w:t>
      </w:r>
      <w:r w:rsidR="005535FE" w:rsidRPr="0066103C">
        <w:t>olute</w:t>
      </w:r>
      <w:r w:rsidRPr="0066103C">
        <w:t xml:space="preserve"> continuing the series of finite </w:t>
      </w:r>
      <w:r w:rsidR="00E70748" w:rsidRPr="0066103C">
        <w:t>verb</w:t>
      </w:r>
      <w:r w:rsidRPr="0066103C">
        <w:t>s; cf. GKC 113z (cf. v 11).</w:t>
      </w:r>
    </w:p>
    <w:p w:rsidR="003909F2" w:rsidRPr="0066103C" w:rsidRDefault="003909F2" w:rsidP="003909F2">
      <w:r w:rsidRPr="0066103C">
        <w:t xml:space="preserve">5.c-c. </w:t>
      </w:r>
      <w:r w:rsidRPr="0066103C">
        <w:rPr>
          <w:rFonts w:ascii="Arial" w:hAnsi="Arial" w:cs="Arial"/>
        </w:rPr>
        <w:t>וממשפטיך</w:t>
      </w:r>
      <w:r w:rsidRPr="0066103C">
        <w:t xml:space="preserve"> </w:t>
      </w:r>
      <w:r w:rsidR="005535FE" w:rsidRPr="0066103C">
        <w:rPr>
          <w:rFonts w:ascii="Arial" w:hAnsi="Arial" w:cs="Arial"/>
        </w:rPr>
        <w:t>ממצותך</w:t>
      </w:r>
      <w:r w:rsidR="005535FE" w:rsidRPr="0066103C">
        <w:t xml:space="preserve"> </w:t>
      </w:r>
      <w:r w:rsidRPr="0066103C">
        <w:t>“from your commands and from your decisions.”</w:t>
      </w:r>
    </w:p>
    <w:p w:rsidR="003909F2" w:rsidRPr="0066103C" w:rsidRDefault="005535FE" w:rsidP="003909F2">
      <w:r w:rsidRPr="0066103C">
        <w:t xml:space="preserve">6.a-a. </w:t>
      </w:r>
      <w:r w:rsidR="003909F2" w:rsidRPr="0066103C">
        <w:t>The terms ar</w:t>
      </w:r>
      <w:r w:rsidR="00FC2A3A">
        <w:t>e in descending order of status;</w:t>
      </w:r>
      <w:r w:rsidR="003909F2" w:rsidRPr="0066103C">
        <w:t xml:space="preserve"> </w:t>
      </w:r>
      <w:r w:rsidR="003909F2" w:rsidRPr="0066103C">
        <w:rPr>
          <w:rFonts w:ascii="Arial" w:hAnsi="Arial" w:cs="Arial"/>
        </w:rPr>
        <w:t>אבות</w:t>
      </w:r>
      <w:r w:rsidR="003909F2" w:rsidRPr="0066103C">
        <w:t xml:space="preserve"> thus ref</w:t>
      </w:r>
      <w:r w:rsidR="00FC2A3A">
        <w:t xml:space="preserve">ers </w:t>
      </w:r>
      <w:r w:rsidRPr="0066103C">
        <w:t xml:space="preserve">to heads of local </w:t>
      </w:r>
      <w:r w:rsidR="003909F2" w:rsidRPr="0066103C">
        <w:t>kinship groups (</w:t>
      </w:r>
      <w:r w:rsidRPr="0066103C">
        <w:t>not here “ancestors,” as JB</w:t>
      </w:r>
      <w:r w:rsidR="003909F2" w:rsidRPr="0066103C">
        <w:t xml:space="preserve">) and </w:t>
      </w:r>
      <w:r w:rsidR="003909F2" w:rsidRPr="0066103C">
        <w:rPr>
          <w:rFonts w:ascii="Arial" w:hAnsi="Arial" w:cs="Arial"/>
        </w:rPr>
        <w:t>הארץ</w:t>
      </w:r>
      <w:r w:rsidR="003909F2" w:rsidRPr="0066103C">
        <w:t xml:space="preserve"> </w:t>
      </w:r>
      <w:r w:rsidR="00BD00E1" w:rsidRPr="0066103C">
        <w:rPr>
          <w:rFonts w:ascii="Arial" w:hAnsi="Arial" w:cs="Arial"/>
        </w:rPr>
        <w:t>ם</w:t>
      </w:r>
      <w:r w:rsidR="00CD11BB">
        <w:rPr>
          <w:rFonts w:ascii="Arial" w:hAnsi="Arial" w:cs="Arial"/>
        </w:rPr>
        <w:t xml:space="preserve"> </w:t>
      </w:r>
      <w:r w:rsidR="00BD00E1" w:rsidRPr="0066103C">
        <w:rPr>
          <w:rFonts w:ascii="Arial" w:hAnsi="Arial" w:cs="Arial"/>
        </w:rPr>
        <w:t>ע</w:t>
      </w:r>
      <w:r w:rsidR="00BD00E1" w:rsidRPr="0066103C">
        <w:t xml:space="preserve"> </w:t>
      </w:r>
      <w:r w:rsidR="003909F2" w:rsidRPr="0066103C">
        <w:t>to ordinary people; cf. Jer 1:18 (Jeffery).</w:t>
      </w:r>
    </w:p>
    <w:p w:rsidR="003909F2" w:rsidRPr="0066103C" w:rsidRDefault="003909F2" w:rsidP="003909F2">
      <w:r w:rsidRPr="0066103C">
        <w:t xml:space="preserve">7.a-a. </w:t>
      </w:r>
      <w:r w:rsidRPr="0066103C">
        <w:rPr>
          <w:rFonts w:ascii="Arial" w:hAnsi="Arial" w:cs="Arial"/>
        </w:rPr>
        <w:t>הפנים</w:t>
      </w:r>
      <w:r w:rsidRPr="0066103C">
        <w:t xml:space="preserve"> </w:t>
      </w:r>
      <w:r w:rsidR="00BD00E1" w:rsidRPr="0066103C">
        <w:rPr>
          <w:rFonts w:ascii="Arial" w:hAnsi="Arial" w:cs="Arial"/>
        </w:rPr>
        <w:t>בשת</w:t>
      </w:r>
      <w:r w:rsidR="00BD00E1" w:rsidRPr="0066103C">
        <w:t xml:space="preserve"> </w:t>
      </w:r>
      <w:r w:rsidRPr="0066103C">
        <w:t>“shame of face.”</w:t>
      </w:r>
    </w:p>
    <w:p w:rsidR="003909F2" w:rsidRPr="0066103C" w:rsidRDefault="003909F2" w:rsidP="003909F2">
      <w:r w:rsidRPr="0066103C">
        <w:t xml:space="preserve">7.b. </w:t>
      </w:r>
      <w:r w:rsidRPr="0066103C">
        <w:rPr>
          <w:rFonts w:ascii="Arial" w:hAnsi="Arial" w:cs="Arial"/>
        </w:rPr>
        <w:t>הזה</w:t>
      </w:r>
      <w:r w:rsidR="00BD00E1" w:rsidRPr="0066103C">
        <w:t xml:space="preserve"> </w:t>
      </w:r>
      <w:r w:rsidR="00BD00E1" w:rsidRPr="0066103C">
        <w:rPr>
          <w:rFonts w:ascii="Arial" w:hAnsi="Arial" w:cs="Arial"/>
        </w:rPr>
        <w:t>כיום</w:t>
      </w:r>
      <w:r w:rsidR="00BD00E1" w:rsidRPr="0066103C">
        <w:t xml:space="preserve"> regularly means “today,</w:t>
      </w:r>
      <w:r w:rsidRPr="0066103C">
        <w:t>” “this very day,” not “as at this day” (</w:t>
      </w:r>
      <w:r w:rsidR="005535FE" w:rsidRPr="0066103C">
        <w:t>EVV</w:t>
      </w:r>
      <w:r w:rsidR="00BD00E1" w:rsidRPr="0066103C">
        <w:t xml:space="preserve">); see, e.g., Jer 44:6, 22, 23. </w:t>
      </w:r>
      <w:r w:rsidRPr="0066103C">
        <w:t xml:space="preserve">Cf. </w:t>
      </w:r>
      <w:r w:rsidRPr="0066103C">
        <w:rPr>
          <w:i/>
        </w:rPr>
        <w:t>HS</w:t>
      </w:r>
      <w:r w:rsidRPr="0066103C">
        <w:t xml:space="preserve"> 262.</w:t>
      </w:r>
    </w:p>
    <w:p w:rsidR="003909F2" w:rsidRPr="0066103C" w:rsidRDefault="003909F2" w:rsidP="003909F2">
      <w:r w:rsidRPr="0066103C">
        <w:t xml:space="preserve">8.a. </w:t>
      </w:r>
      <w:r w:rsidRPr="0066103C">
        <w:rPr>
          <w:rFonts w:ascii="Arial" w:hAnsi="Arial" w:cs="Arial"/>
        </w:rPr>
        <w:t>ולשרינו</w:t>
      </w:r>
      <w:r w:rsidRPr="0066103C">
        <w:t xml:space="preserve"> “and our leaders” acc.</w:t>
      </w:r>
      <w:r w:rsidR="00BD00E1" w:rsidRPr="0066103C">
        <w:t xml:space="preserve"> Oriental mss (so BHK), G, Syr.</w:t>
      </w:r>
    </w:p>
    <w:p w:rsidR="003909F2" w:rsidRPr="0066103C" w:rsidRDefault="003909F2" w:rsidP="003909F2">
      <w:r w:rsidRPr="0066103C">
        <w:t xml:space="preserve">9.a-a. </w:t>
      </w:r>
      <w:r w:rsidRPr="0066103C">
        <w:rPr>
          <w:rFonts w:ascii="Arial" w:hAnsi="Arial" w:cs="Arial"/>
        </w:rPr>
        <w:t>והסלחות</w:t>
      </w:r>
      <w:r w:rsidR="00BD00E1" w:rsidRPr="0066103C">
        <w:rPr>
          <w:rFonts w:ascii="Arial" w:hAnsi="Arial" w:cs="Arial"/>
        </w:rPr>
        <w:t xml:space="preserve"> </w:t>
      </w:r>
      <w:r w:rsidR="00B40D74" w:rsidRPr="00B40D74">
        <w:rPr>
          <w:rFonts w:ascii="Arial" w:hAnsi="Arial" w:cs="Arial"/>
        </w:rPr>
        <w:t xml:space="preserve">ים </w:t>
      </w:r>
      <w:r w:rsidR="00BD00E1" w:rsidRPr="0066103C">
        <w:rPr>
          <w:rFonts w:ascii="Arial" w:hAnsi="Arial" w:cs="Arial"/>
        </w:rPr>
        <w:t>הרחמ</w:t>
      </w:r>
      <w:r w:rsidRPr="0066103C">
        <w:t>, both pl., perhaps suggesting “acts of.”</w:t>
      </w:r>
    </w:p>
    <w:p w:rsidR="003909F2" w:rsidRPr="0066103C" w:rsidRDefault="00B40D74" w:rsidP="003909F2">
      <w:r>
        <w:t xml:space="preserve">9.b. It is </w:t>
      </w:r>
      <w:r w:rsidR="003909F2" w:rsidRPr="0066103C">
        <w:t xml:space="preserve">hard to instance </w:t>
      </w:r>
      <w:r w:rsidR="003909F2" w:rsidRPr="0066103C">
        <w:rPr>
          <w:rFonts w:ascii="Arial" w:hAnsi="Arial" w:cs="Arial"/>
        </w:rPr>
        <w:t>כי</w:t>
      </w:r>
      <w:r w:rsidR="00BD00E1" w:rsidRPr="0066103C">
        <w:t xml:space="preserve"> meaning “although” (NEB</w:t>
      </w:r>
      <w:r w:rsidR="003909F2" w:rsidRPr="0066103C">
        <w:t xml:space="preserve">), though “when” comes near that </w:t>
      </w:r>
      <w:r w:rsidR="00BD00E1" w:rsidRPr="0066103C">
        <w:t xml:space="preserve">implication </w:t>
      </w:r>
      <w:r w:rsidR="003909F2" w:rsidRPr="0066103C">
        <w:t>(cf. BDB</w:t>
      </w:r>
      <w:r w:rsidR="00BD00E1" w:rsidRPr="0066103C">
        <w:t xml:space="preserve">, 473b). See </w:t>
      </w:r>
      <w:r w:rsidR="003909F2" w:rsidRPr="0066103C">
        <w:t xml:space="preserve">Aejmelaeus, “Function and Interpretation of </w:t>
      </w:r>
      <w:r w:rsidR="003909F2" w:rsidRPr="0066103C">
        <w:rPr>
          <w:rFonts w:ascii="Arial" w:hAnsi="Arial" w:cs="Arial"/>
        </w:rPr>
        <w:t>כי</w:t>
      </w:r>
      <w:r w:rsidR="00CD11BB">
        <w:t xml:space="preserve"> </w:t>
      </w:r>
      <w:r w:rsidR="003909F2" w:rsidRPr="0066103C">
        <w:t>,</w:t>
      </w:r>
      <w:r w:rsidR="00BD00E1" w:rsidRPr="0066103C">
        <w:t>” esp</w:t>
      </w:r>
      <w:r w:rsidR="00E32AAE" w:rsidRPr="0066103C">
        <w:t xml:space="preserve">. 207; contrast </w:t>
      </w:r>
      <w:r w:rsidR="003909F2" w:rsidRPr="0066103C">
        <w:t>Vriezen, “Einige Notizen zur Übersetzung</w:t>
      </w:r>
      <w:r w:rsidR="00E32AAE" w:rsidRPr="0066103C">
        <w:t xml:space="preserve"> des Bindesworts kī,” 272; </w:t>
      </w:r>
      <w:r w:rsidR="003909F2" w:rsidRPr="0066103C">
        <w:t xml:space="preserve">Schoors, “The Particle </w:t>
      </w:r>
      <w:r w:rsidR="003909F2" w:rsidRPr="0066103C">
        <w:rPr>
          <w:rFonts w:ascii="Arial" w:hAnsi="Arial" w:cs="Arial"/>
        </w:rPr>
        <w:t>כי</w:t>
      </w:r>
      <w:r w:rsidR="00E32AAE" w:rsidRPr="0066103C">
        <w:t>,”</w:t>
      </w:r>
      <w:r w:rsidR="003909F2" w:rsidRPr="0066103C">
        <w:t xml:space="preserve"> 272–73. But </w:t>
      </w:r>
      <w:r w:rsidR="00E32AAE" w:rsidRPr="0066103C">
        <w:t xml:space="preserve">anyway, </w:t>
      </w:r>
      <w:r w:rsidR="003909F2" w:rsidRPr="0066103C">
        <w:t xml:space="preserve">the </w:t>
      </w:r>
      <w:r w:rsidRPr="00B40D74">
        <w:rPr>
          <w:rFonts w:ascii="Arial" w:hAnsi="Arial" w:cs="Arial"/>
        </w:rPr>
        <w:t>י</w:t>
      </w:r>
      <w:r w:rsidRPr="00B40D74">
        <w:t xml:space="preserve"> </w:t>
      </w:r>
      <w:r w:rsidR="003909F2" w:rsidRPr="0066103C">
        <w:rPr>
          <w:rFonts w:ascii="Arial" w:hAnsi="Arial" w:cs="Arial"/>
        </w:rPr>
        <w:t>כ</w:t>
      </w:r>
      <w:r>
        <w:rPr>
          <w:rFonts w:ascii="Arial" w:hAnsi="Arial" w:cs="Arial"/>
        </w:rPr>
        <w:t xml:space="preserve"> c</w:t>
      </w:r>
      <w:r w:rsidR="003909F2" w:rsidRPr="0066103C">
        <w:t>lause is an odd follow-up to v 9a, and more likely begins a new sentence (Joubert, 162–63).</w:t>
      </w:r>
    </w:p>
    <w:p w:rsidR="003909F2" w:rsidRPr="0066103C" w:rsidRDefault="00634A66" w:rsidP="003909F2">
      <w:r w:rsidRPr="0066103C">
        <w:t>10.a. OG,</w:t>
      </w:r>
      <w:r w:rsidR="003909F2" w:rsidRPr="0066103C">
        <w:t xml:space="preserve"> Vg have s</w:t>
      </w:r>
      <w:r w:rsidRPr="0066103C">
        <w:t>.</w:t>
      </w:r>
      <w:r w:rsidR="003909F2" w:rsidRPr="0066103C">
        <w:t>, but the less usual pl. is surely original.</w:t>
      </w:r>
    </w:p>
    <w:p w:rsidR="003909F2" w:rsidRPr="0066103C" w:rsidRDefault="00CD11BB" w:rsidP="003909F2">
      <w:r>
        <w:t>11.a</w:t>
      </w:r>
      <w:r w:rsidR="00634A66" w:rsidRPr="0066103C">
        <w:t>. Cf. n. 5.b-b.</w:t>
      </w:r>
    </w:p>
    <w:p w:rsidR="003909F2" w:rsidRPr="0066103C" w:rsidRDefault="003909F2" w:rsidP="003909F2">
      <w:r w:rsidRPr="0066103C">
        <w:t xml:space="preserve">11.b-b. </w:t>
      </w:r>
      <w:r w:rsidRPr="0066103C">
        <w:rPr>
          <w:rFonts w:ascii="Arial" w:hAnsi="Arial" w:cs="Arial"/>
        </w:rPr>
        <w:t>והשבעה</w:t>
      </w:r>
      <w:r w:rsidRPr="0066103C">
        <w:t xml:space="preserve"> </w:t>
      </w:r>
      <w:r w:rsidR="00634A66" w:rsidRPr="0066103C">
        <w:rPr>
          <w:rFonts w:ascii="Arial" w:hAnsi="Arial" w:cs="Arial"/>
        </w:rPr>
        <w:t>האלה</w:t>
      </w:r>
      <w:r w:rsidR="00634A66" w:rsidRPr="0066103C">
        <w:t xml:space="preserve"> </w:t>
      </w:r>
      <w:r w:rsidRPr="0066103C">
        <w:t>“the curse and the oath.”</w:t>
      </w:r>
    </w:p>
    <w:p w:rsidR="003909F2" w:rsidRPr="0066103C" w:rsidRDefault="003909F2" w:rsidP="003909F2">
      <w:r w:rsidRPr="0066103C">
        <w:t xml:space="preserve">11.c. Some </w:t>
      </w:r>
      <w:r w:rsidR="003F4DB6" w:rsidRPr="003F4DB6">
        <w:t xml:space="preserve">medieval </w:t>
      </w:r>
      <w:r w:rsidRPr="0066103C">
        <w:t xml:space="preserve">mss correct </w:t>
      </w:r>
      <w:r w:rsidRPr="0066103C">
        <w:rPr>
          <w:rFonts w:ascii="Arial" w:hAnsi="Arial" w:cs="Arial"/>
        </w:rPr>
        <w:t>לו</w:t>
      </w:r>
      <w:r w:rsidRPr="0066103C">
        <w:t xml:space="preserve"> “him” to </w:t>
      </w:r>
      <w:r w:rsidRPr="0066103C">
        <w:rPr>
          <w:rFonts w:ascii="Arial" w:hAnsi="Arial" w:cs="Arial"/>
        </w:rPr>
        <w:t>לד</w:t>
      </w:r>
      <w:r w:rsidR="00634A66" w:rsidRPr="0066103C">
        <w:t xml:space="preserve"> “you.” But </w:t>
      </w:r>
      <w:r w:rsidRPr="0066103C">
        <w:t>the prayer keeps moving between 2nd and 3rd person (as psalms do); God has been referred to in the 3rd person three words previously, and the 3rd person ref</w:t>
      </w:r>
      <w:r w:rsidR="00634A66" w:rsidRPr="0066103C">
        <w:t>erence</w:t>
      </w:r>
      <w:r w:rsidRPr="0066103C">
        <w:t xml:space="preserve"> is presu</w:t>
      </w:r>
      <w:r w:rsidR="00B40D74">
        <w:t>pposed by the opening of v 12. I take t</w:t>
      </w:r>
      <w:r w:rsidRPr="0066103C">
        <w:t>his cl</w:t>
      </w:r>
      <w:r w:rsidR="00B40D74">
        <w:t>ause as</w:t>
      </w:r>
      <w:r w:rsidRPr="0066103C">
        <w:t xml:space="preserve"> the beginning of that sentence (Wambacq, </w:t>
      </w:r>
      <w:r w:rsidR="00634A66" w:rsidRPr="0066103C">
        <w:t>“Les Prières de Baruch et de Daniel,”</w:t>
      </w:r>
      <w:r w:rsidRPr="0066103C">
        <w:t xml:space="preserve"> 469).</w:t>
      </w:r>
    </w:p>
    <w:p w:rsidR="003909F2" w:rsidRPr="0066103C" w:rsidRDefault="003909F2" w:rsidP="003909F2">
      <w:r w:rsidRPr="0066103C">
        <w:t>12.a. Q has s</w:t>
      </w:r>
      <w:r w:rsidR="00634A66" w:rsidRPr="0066103C">
        <w:t>.</w:t>
      </w:r>
      <w:r w:rsidRPr="0066103C">
        <w:t>, perhaps rightly (Plöger).</w:t>
      </w:r>
    </w:p>
    <w:p w:rsidR="003909F2" w:rsidRPr="0066103C" w:rsidRDefault="003909F2" w:rsidP="003909F2">
      <w:r w:rsidRPr="0066103C">
        <w:t xml:space="preserve">12.b-b. </w:t>
      </w:r>
      <w:r w:rsidRPr="0066103C">
        <w:rPr>
          <w:rFonts w:ascii="Arial" w:hAnsi="Arial" w:cs="Arial"/>
        </w:rPr>
        <w:t>שפטינו</w:t>
      </w:r>
      <w:r w:rsidRPr="0066103C">
        <w:t xml:space="preserve"> </w:t>
      </w:r>
      <w:r w:rsidRPr="0066103C">
        <w:rPr>
          <w:rFonts w:ascii="Arial" w:hAnsi="Arial" w:cs="Arial"/>
        </w:rPr>
        <w:t>אשר</w:t>
      </w:r>
      <w:r w:rsidR="007C36A5">
        <w:rPr>
          <w:rFonts w:ascii="Arial" w:hAnsi="Arial" w:cs="Arial"/>
        </w:rPr>
        <w:t xml:space="preserve"> </w:t>
      </w:r>
      <w:r w:rsidRPr="0066103C">
        <w:t xml:space="preserve"> </w:t>
      </w:r>
      <w:r w:rsidRPr="0066103C">
        <w:rPr>
          <w:rFonts w:ascii="Arial" w:hAnsi="Arial" w:cs="Arial"/>
        </w:rPr>
        <w:t>ו</w:t>
      </w:r>
      <w:r w:rsidR="005B253D">
        <w:rPr>
          <w:rFonts w:ascii="Arial" w:hAnsi="Arial" w:cs="Arial"/>
        </w:rPr>
        <w:t xml:space="preserve"> </w:t>
      </w:r>
      <w:r w:rsidRPr="0066103C">
        <w:rPr>
          <w:rFonts w:ascii="Arial" w:hAnsi="Arial" w:cs="Arial"/>
        </w:rPr>
        <w:t>נ</w:t>
      </w:r>
      <w:r w:rsidR="005B253D">
        <w:rPr>
          <w:rFonts w:ascii="Arial" w:hAnsi="Arial" w:cs="Arial"/>
        </w:rPr>
        <w:t xml:space="preserve"> </w:t>
      </w:r>
      <w:r w:rsidR="007C36A5" w:rsidRPr="007C36A5">
        <w:rPr>
          <w:rFonts w:ascii="Arial" w:hAnsi="Arial" w:cs="Arial"/>
        </w:rPr>
        <w:t>י</w:t>
      </w:r>
      <w:r w:rsidR="005B253D">
        <w:rPr>
          <w:rFonts w:ascii="Arial" w:hAnsi="Arial" w:cs="Arial"/>
        </w:rPr>
        <w:t xml:space="preserve"> </w:t>
      </w:r>
      <w:r w:rsidR="005B253D" w:rsidRPr="005B253D">
        <w:rPr>
          <w:rFonts w:ascii="Arial" w:hAnsi="Arial" w:cs="Arial"/>
        </w:rPr>
        <w:t>ט</w:t>
      </w:r>
      <w:r w:rsidRPr="0066103C">
        <w:t xml:space="preserve"> </w:t>
      </w:r>
      <w:r w:rsidR="005B253D" w:rsidRPr="005B253D">
        <w:rPr>
          <w:rFonts w:ascii="Arial" w:hAnsi="Arial" w:cs="Arial"/>
        </w:rPr>
        <w:t>פ</w:t>
      </w:r>
      <w:r w:rsidR="005B253D">
        <w:t xml:space="preserve"> </w:t>
      </w:r>
      <w:r w:rsidR="005B253D" w:rsidRPr="005B253D">
        <w:rPr>
          <w:rFonts w:ascii="Arial" w:hAnsi="Arial" w:cs="Arial"/>
        </w:rPr>
        <w:t>ש</w:t>
      </w:r>
      <w:r w:rsidR="005B253D">
        <w:t xml:space="preserve"> </w:t>
      </w:r>
      <w:r w:rsidRPr="0066103C">
        <w:t xml:space="preserve">“our judges who judged us”: </w:t>
      </w:r>
      <w:r w:rsidR="00B40D74">
        <w:t xml:space="preserve">but </w:t>
      </w:r>
      <w:r w:rsidRPr="0066103C">
        <w:t>the noun can denote leaders other than the “judges” (BDB).</w:t>
      </w:r>
    </w:p>
    <w:p w:rsidR="003909F2" w:rsidRPr="0066103C" w:rsidRDefault="003909F2" w:rsidP="003909F2">
      <w:r w:rsidRPr="0066103C">
        <w:t xml:space="preserve">12.c-c. </w:t>
      </w:r>
      <w:r w:rsidRPr="0066103C">
        <w:rPr>
          <w:rFonts w:ascii="Arial" w:hAnsi="Arial" w:cs="Arial"/>
        </w:rPr>
        <w:t>להביא</w:t>
      </w:r>
      <w:r w:rsidRPr="0066103C">
        <w:t>, p</w:t>
      </w:r>
      <w:r w:rsidR="00634A66" w:rsidRPr="0066103C">
        <w:t>erhaps “that he would bring” (JB</w:t>
      </w:r>
      <w:r w:rsidRPr="0066103C">
        <w:t>).</w:t>
      </w:r>
    </w:p>
    <w:p w:rsidR="003909F2" w:rsidRPr="0066103C" w:rsidRDefault="003909F2" w:rsidP="003909F2">
      <w:r w:rsidRPr="0066103C">
        <w:t xml:space="preserve">12.d-d. </w:t>
      </w:r>
      <w:r w:rsidRPr="0066103C">
        <w:rPr>
          <w:rFonts w:ascii="Arial" w:hAnsi="Arial" w:cs="Arial"/>
        </w:rPr>
        <w:t>אשר</w:t>
      </w:r>
      <w:r w:rsidRPr="0066103C">
        <w:t>; Bevan “so that.” For both</w:t>
      </w:r>
      <w:r w:rsidR="00634A66" w:rsidRPr="0066103C">
        <w:t xml:space="preserve"> possible meanings</w:t>
      </w:r>
      <w:r w:rsidRPr="0066103C">
        <w:t>, cf. BDB</w:t>
      </w:r>
      <w:r w:rsidR="00634A66" w:rsidRPr="0066103C">
        <w:t>,</w:t>
      </w:r>
      <w:r w:rsidRPr="0066103C">
        <w:t xml:space="preserve"> 83b.</w:t>
      </w:r>
    </w:p>
    <w:p w:rsidR="003909F2" w:rsidRPr="0066103C" w:rsidRDefault="003909F2" w:rsidP="003909F2">
      <w:r w:rsidRPr="0066103C">
        <w:t xml:space="preserve">13.a. </w:t>
      </w:r>
      <w:r w:rsidRPr="0066103C">
        <w:rPr>
          <w:rFonts w:ascii="Arial" w:hAnsi="Arial" w:cs="Arial"/>
        </w:rPr>
        <w:t>הרעה</w:t>
      </w:r>
      <w:r w:rsidR="00634A66" w:rsidRPr="0066103C">
        <w:rPr>
          <w:rFonts w:ascii="Arial" w:hAnsi="Arial" w:cs="Arial"/>
        </w:rPr>
        <w:t xml:space="preserve"> כל</w:t>
      </w:r>
      <w:r w:rsidRPr="0066103C">
        <w:t xml:space="preserve"> </w:t>
      </w:r>
      <w:r w:rsidR="00634A66" w:rsidRPr="0066103C">
        <w:rPr>
          <w:rFonts w:ascii="Arial" w:hAnsi="Arial" w:cs="Arial"/>
        </w:rPr>
        <w:t>את</w:t>
      </w:r>
      <w:r w:rsidR="00634A66" w:rsidRPr="0066103C">
        <w:t xml:space="preserve"> </w:t>
      </w:r>
      <w:r w:rsidRPr="0066103C">
        <w:t xml:space="preserve">perhaps resumes </w:t>
      </w:r>
      <w:r w:rsidRPr="0066103C">
        <w:rPr>
          <w:rFonts w:ascii="Arial" w:hAnsi="Arial" w:cs="Arial"/>
        </w:rPr>
        <w:t>גדלה</w:t>
      </w:r>
      <w:r w:rsidRPr="0066103C">
        <w:t xml:space="preserve"> </w:t>
      </w:r>
      <w:r w:rsidR="00634A66" w:rsidRPr="0066103C">
        <w:rPr>
          <w:rFonts w:ascii="Arial" w:hAnsi="Arial" w:cs="Arial"/>
        </w:rPr>
        <w:t>רעה</w:t>
      </w:r>
      <w:r w:rsidR="00634A66" w:rsidRPr="0066103C">
        <w:t xml:space="preserve"> </w:t>
      </w:r>
      <w:r w:rsidRPr="0066103C">
        <w:t>“great trouble” (v 12)—hence the obj</w:t>
      </w:r>
      <w:r w:rsidR="00634A66" w:rsidRPr="0066103C">
        <w:t>ect</w:t>
      </w:r>
      <w:r w:rsidRPr="0066103C">
        <w:t xml:space="preserve"> marker (so Behrmann, Marti). It is doubtful if </w:t>
      </w:r>
      <w:r w:rsidRPr="0066103C">
        <w:rPr>
          <w:rFonts w:ascii="Arial" w:hAnsi="Arial" w:cs="Arial"/>
        </w:rPr>
        <w:t>את</w:t>
      </w:r>
      <w:r w:rsidRPr="0066103C">
        <w:t xml:space="preserve"> simply emp</w:t>
      </w:r>
      <w:r w:rsidR="007C36A5">
        <w:t xml:space="preserve">hasizes the noun, which is </w:t>
      </w:r>
      <w:r w:rsidRPr="0066103C">
        <w:t xml:space="preserve">actually the subject of </w:t>
      </w:r>
      <w:r w:rsidRPr="0066103C">
        <w:rPr>
          <w:rFonts w:ascii="Arial" w:hAnsi="Arial" w:cs="Arial"/>
        </w:rPr>
        <w:t>באה</w:t>
      </w:r>
      <w:r w:rsidRPr="0066103C">
        <w:t xml:space="preserve"> (see </w:t>
      </w:r>
      <w:r w:rsidRPr="0066103C">
        <w:rPr>
          <w:i/>
        </w:rPr>
        <w:t>EWS</w:t>
      </w:r>
      <w:r w:rsidR="00634A66" w:rsidRPr="0066103C">
        <w:t>,</w:t>
      </w:r>
      <w:r w:rsidR="00CD30DA" w:rsidRPr="0066103C">
        <w:t xml:space="preserve"> 148–54 against GKC 117m; </w:t>
      </w:r>
      <w:r w:rsidRPr="0066103C">
        <w:t xml:space="preserve">Saydon, “Meanings and Uses of the Particle </w:t>
      </w:r>
      <w:r w:rsidRPr="0066103C">
        <w:rPr>
          <w:rFonts w:ascii="Arial" w:hAnsi="Arial" w:cs="Arial"/>
        </w:rPr>
        <w:t>את</w:t>
      </w:r>
      <w:r w:rsidRPr="0066103C">
        <w:t>”</w:t>
      </w:r>
      <w:r w:rsidR="00CD30DA" w:rsidRPr="0066103C">
        <w:t>;</w:t>
      </w:r>
      <w:r w:rsidRPr="0066103C">
        <w:t xml:space="preserve"> Macdonald, “The Particle </w:t>
      </w:r>
      <w:r w:rsidRPr="0066103C">
        <w:rPr>
          <w:rFonts w:ascii="Arial" w:hAnsi="Arial" w:cs="Arial"/>
        </w:rPr>
        <w:t>את</w:t>
      </w:r>
      <w:r w:rsidR="00CD30DA" w:rsidRPr="0066103C">
        <w:t>”)</w:t>
      </w:r>
      <w:r w:rsidRPr="0066103C">
        <w:t>. The phrase may be the quasi-obj</w:t>
      </w:r>
      <w:r w:rsidR="00CD30DA" w:rsidRPr="0066103C">
        <w:t>ect</w:t>
      </w:r>
      <w:r w:rsidRPr="0066103C">
        <w:t xml:space="preserve"> of the pass</w:t>
      </w:r>
      <w:r w:rsidR="00CD30DA" w:rsidRPr="0066103C">
        <w:t>ive</w:t>
      </w:r>
      <w:r w:rsidRPr="0066103C">
        <w:t xml:space="preserve"> </w:t>
      </w:r>
      <w:r w:rsidRPr="0066103C">
        <w:rPr>
          <w:rFonts w:ascii="Arial" w:hAnsi="Arial" w:cs="Arial"/>
        </w:rPr>
        <w:t>כתוב</w:t>
      </w:r>
      <w:r w:rsidRPr="0066103C">
        <w:t xml:space="preserve"> “is written” (Bevan; cf. GKC 117k, 121c); or the construction may simply break down (so i</w:t>
      </w:r>
      <w:r w:rsidR="00CD30DA" w:rsidRPr="0066103C">
        <w:t xml:space="preserve">n different ways Montgomery; </w:t>
      </w:r>
      <w:r w:rsidRPr="0066103C">
        <w:t xml:space="preserve">Blau, “Zum angeblichen Gebrauch von </w:t>
      </w:r>
      <w:r w:rsidRPr="0066103C">
        <w:rPr>
          <w:rFonts w:ascii="Arial" w:hAnsi="Arial" w:cs="Arial"/>
        </w:rPr>
        <w:t>את</w:t>
      </w:r>
      <w:r w:rsidR="00CD30DA" w:rsidRPr="0066103C">
        <w:t xml:space="preserve"> vor dem Nominativ,”</w:t>
      </w:r>
      <w:r w:rsidRPr="0066103C">
        <w:t xml:space="preserve"> 9).</w:t>
      </w:r>
    </w:p>
    <w:p w:rsidR="003909F2" w:rsidRPr="0066103C" w:rsidRDefault="003909F2" w:rsidP="003909F2">
      <w:r w:rsidRPr="0066103C">
        <w:t xml:space="preserve">13.b. </w:t>
      </w:r>
      <w:r w:rsidRPr="0066103C">
        <w:rPr>
          <w:rFonts w:ascii="Arial" w:hAnsi="Arial" w:cs="Arial"/>
        </w:rPr>
        <w:t>באה</w:t>
      </w:r>
      <w:r w:rsidRPr="0066103C">
        <w:t xml:space="preserve"> accented on the fir</w:t>
      </w:r>
      <w:r w:rsidR="00CD30DA" w:rsidRPr="0066103C">
        <w:t>st syllable and thus taken as perfect</w:t>
      </w:r>
      <w:r w:rsidRPr="0066103C">
        <w:t xml:space="preserve">. Some </w:t>
      </w:r>
      <w:r w:rsidR="003F4DB6" w:rsidRPr="003F4DB6">
        <w:t xml:space="preserve">medieval </w:t>
      </w:r>
      <w:r w:rsidRPr="0066103C">
        <w:t>mss</w:t>
      </w:r>
      <w:r w:rsidR="00CD30DA" w:rsidRPr="0066103C">
        <w:t xml:space="preserve"> have</w:t>
      </w:r>
      <w:r w:rsidRPr="0066103C">
        <w:t xml:space="preserve"> </w:t>
      </w:r>
      <w:r w:rsidRPr="0066103C">
        <w:rPr>
          <w:rFonts w:ascii="Arial" w:hAnsi="Arial" w:cs="Arial"/>
        </w:rPr>
        <w:t>הבאה</w:t>
      </w:r>
      <w:r w:rsidR="00CD30DA" w:rsidRPr="0066103C">
        <w:t xml:space="preserve"> (participle</w:t>
      </w:r>
      <w:r w:rsidRPr="0066103C">
        <w:t>, “which came”).</w:t>
      </w:r>
    </w:p>
    <w:p w:rsidR="003909F2" w:rsidRPr="0066103C" w:rsidRDefault="003909F2" w:rsidP="003909F2">
      <w:r w:rsidRPr="0066103C">
        <w:t xml:space="preserve">13.c-c. </w:t>
      </w:r>
      <w:r w:rsidRPr="0066103C">
        <w:rPr>
          <w:rFonts w:ascii="Arial" w:hAnsi="Arial" w:cs="Arial"/>
        </w:rPr>
        <w:t>את</w:t>
      </w:r>
      <w:r w:rsidRPr="0066103C">
        <w:t xml:space="preserve"> </w:t>
      </w:r>
      <w:r w:rsidRPr="0066103C">
        <w:rPr>
          <w:rFonts w:ascii="Arial" w:hAnsi="Arial" w:cs="Arial"/>
        </w:rPr>
        <w:t>פני</w:t>
      </w:r>
      <w:r w:rsidRPr="0066103C">
        <w:t xml:space="preserve"> </w:t>
      </w:r>
      <w:r w:rsidR="00CD30DA" w:rsidRPr="0066103C">
        <w:rPr>
          <w:rFonts w:ascii="Arial" w:hAnsi="Arial" w:cs="Arial"/>
        </w:rPr>
        <w:t>חלינו</w:t>
      </w:r>
      <w:r w:rsidR="00CD30DA" w:rsidRPr="0066103C">
        <w:t xml:space="preserve"> </w:t>
      </w:r>
      <w:r w:rsidR="00CD30DA" w:rsidRPr="0066103C">
        <w:rPr>
          <w:rFonts w:ascii="Arial" w:hAnsi="Arial" w:cs="Arial"/>
        </w:rPr>
        <w:t>ולא</w:t>
      </w:r>
      <w:r w:rsidR="00CD30DA" w:rsidRPr="0066103C">
        <w:t xml:space="preserve"> </w:t>
      </w:r>
      <w:r w:rsidRPr="0066103C">
        <w:t xml:space="preserve">“and we have not sweetened the face of”: a different </w:t>
      </w:r>
      <w:r w:rsidRPr="0066103C">
        <w:rPr>
          <w:rFonts w:ascii="Arial" w:hAnsi="Arial" w:cs="Arial"/>
        </w:rPr>
        <w:t>חלה</w:t>
      </w:r>
      <w:r w:rsidRPr="0066103C">
        <w:t xml:space="preserve"> from </w:t>
      </w:r>
      <w:r w:rsidRPr="0066103C">
        <w:rPr>
          <w:rFonts w:ascii="Arial" w:hAnsi="Arial" w:cs="Arial"/>
        </w:rPr>
        <w:t>חלה</w:t>
      </w:r>
      <w:r w:rsidR="00CD30DA" w:rsidRPr="0066103C">
        <w:t xml:space="preserve"> “be sick” (</w:t>
      </w:r>
      <w:r w:rsidRPr="0066103C">
        <w:t>cf. BDB</w:t>
      </w:r>
      <w:r w:rsidR="00CD30DA" w:rsidRPr="0066103C">
        <w:t>)</w:t>
      </w:r>
      <w:r w:rsidRPr="0066103C">
        <w:t xml:space="preserve">. </w:t>
      </w:r>
      <w:r w:rsidR="005535FE" w:rsidRPr="0066103C">
        <w:t>EVV</w:t>
      </w:r>
      <w:r w:rsidRPr="0066103C">
        <w:t xml:space="preserve"> continue from the previous cl</w:t>
      </w:r>
      <w:r w:rsidR="00CD30DA" w:rsidRPr="0066103C">
        <w:t>ause</w:t>
      </w:r>
      <w:r w:rsidRPr="0066103C">
        <w:t>, implying that v 13b denotes a failure to seek God after his punishmen</w:t>
      </w:r>
      <w:r w:rsidR="00595891">
        <w:t xml:space="preserve">t fell. But this </w:t>
      </w:r>
      <w:r w:rsidRPr="0066103C">
        <w:t>understanding of ei</w:t>
      </w:r>
      <w:r w:rsidR="00365F8C">
        <w:t>ther the</w:t>
      </w:r>
      <w:r w:rsidR="00403126">
        <w:t xml:space="preserve"> Babylonian or the Second Temple</w:t>
      </w:r>
      <w:r w:rsidRPr="0066103C">
        <w:t xml:space="preserve"> period</w:t>
      </w:r>
      <w:r w:rsidR="00595891">
        <w:t xml:space="preserve"> </w:t>
      </w:r>
      <w:r w:rsidR="00595891">
        <w:lastRenderedPageBreak/>
        <w:t>is unlikely;</w:t>
      </w:r>
      <w:r w:rsidRPr="0066103C">
        <w:t xml:space="preserve"> more likely v 13b again reviews </w:t>
      </w:r>
      <w:r w:rsidR="00595891">
        <w:t>Israel’s history in broader fashion. I</w:t>
      </w:r>
      <w:r w:rsidRPr="0066103C">
        <w:t>f the ref</w:t>
      </w:r>
      <w:r w:rsidR="00CD30DA" w:rsidRPr="0066103C">
        <w:t>erence</w:t>
      </w:r>
      <w:r w:rsidR="00B40D74">
        <w:t xml:space="preserve"> </w:t>
      </w:r>
      <w:r w:rsidRPr="0066103C">
        <w:t>should be tied down more specifically, it would be to the preexilic period (cf. v 9b and the last cl</w:t>
      </w:r>
      <w:r w:rsidR="00595891">
        <w:t>ause</w:t>
      </w:r>
      <w:r w:rsidRPr="0066103C">
        <w:t xml:space="preserve"> of v 11).</w:t>
      </w:r>
    </w:p>
    <w:p w:rsidR="003909F2" w:rsidRPr="0066103C" w:rsidRDefault="003909F2" w:rsidP="003909F2">
      <w:r w:rsidRPr="0066103C">
        <w:t xml:space="preserve">13.d-d. </w:t>
      </w:r>
      <w:r w:rsidR="00595891" w:rsidRPr="00595891">
        <w:rPr>
          <w:rFonts w:ascii="Arial" w:hAnsi="Arial" w:cs="Arial"/>
        </w:rPr>
        <w:t>ב</w:t>
      </w:r>
      <w:r w:rsidR="00595891">
        <w:t xml:space="preserve"> </w:t>
      </w:r>
      <w:r w:rsidRPr="0066103C">
        <w:rPr>
          <w:rFonts w:ascii="Arial" w:hAnsi="Arial" w:cs="Arial"/>
        </w:rPr>
        <w:t>השכיל</w:t>
      </w:r>
      <w:r w:rsidRPr="0066103C">
        <w:t xml:space="preserve"> might mean “gaining insight in/by means of”: cf. v 25.</w:t>
      </w:r>
    </w:p>
    <w:p w:rsidR="003909F2" w:rsidRPr="0066103C" w:rsidRDefault="003909F2" w:rsidP="003909F2">
      <w:r w:rsidRPr="0066103C">
        <w:t xml:space="preserve">13.e. </w:t>
      </w:r>
      <w:r w:rsidRPr="0066103C">
        <w:rPr>
          <w:rFonts w:ascii="Arial" w:hAnsi="Arial" w:cs="Arial"/>
        </w:rPr>
        <w:t>אמת</w:t>
      </w:r>
      <w:r w:rsidRPr="0066103C">
        <w:t xml:space="preserve"> sug</w:t>
      </w:r>
      <w:r w:rsidR="00595891">
        <w:t>gested “true religion” in 8:12, “reliability” in 8:26, but the</w:t>
      </w:r>
      <w:r w:rsidR="00CD30DA" w:rsidRPr="0066103C">
        <w:t xml:space="preserve"> more common OT meaning </w:t>
      </w:r>
      <w:r w:rsidR="00A37CD5" w:rsidRPr="00A37CD5">
        <w:t>fits well here</w:t>
      </w:r>
      <w:r w:rsidR="00A37CD5">
        <w:t xml:space="preserve"> </w:t>
      </w:r>
      <w:r w:rsidR="00CD30DA" w:rsidRPr="0066103C">
        <w:t>(cf. NEB</w:t>
      </w:r>
      <w:r w:rsidRPr="0066103C">
        <w:t xml:space="preserve"> “[remembered] that thou art true to thy word”).</w:t>
      </w:r>
    </w:p>
    <w:p w:rsidR="003909F2" w:rsidRPr="0066103C" w:rsidRDefault="003909F2" w:rsidP="003909F2">
      <w:r w:rsidRPr="0066103C">
        <w:t xml:space="preserve">14.a. </w:t>
      </w:r>
      <w:r w:rsidR="005535FE" w:rsidRPr="0066103C">
        <w:t>EVV</w:t>
      </w:r>
      <w:r w:rsidRPr="0066103C">
        <w:t xml:space="preserve"> “for”: we </w:t>
      </w:r>
      <w:r w:rsidR="00CD30DA" w:rsidRPr="0066103C">
        <w:t>sh</w:t>
      </w:r>
      <w:r w:rsidR="00A37CD5">
        <w:t>ould perhaps give</w:t>
      </w:r>
      <w:r w:rsidR="00CD30DA" w:rsidRPr="0066103C">
        <w:t xml:space="preserve"> even </w:t>
      </w:r>
      <w:r w:rsidRPr="0066103C">
        <w:t xml:space="preserve">apparently asseverative </w:t>
      </w:r>
      <w:r w:rsidRPr="0066103C">
        <w:rPr>
          <w:rFonts w:ascii="Arial" w:hAnsi="Arial" w:cs="Arial"/>
        </w:rPr>
        <w:t>כי</w:t>
      </w:r>
      <w:r w:rsidRPr="0066103C">
        <w:t xml:space="preserve"> some connective f</w:t>
      </w:r>
      <w:r w:rsidR="00595891">
        <w:t>unction (</w:t>
      </w:r>
      <w:r w:rsidR="00CD30DA" w:rsidRPr="0066103C">
        <w:t xml:space="preserve">Aejmelaeus, “Function and Interpretation of </w:t>
      </w:r>
      <w:r w:rsidR="00CD30DA" w:rsidRPr="0066103C">
        <w:rPr>
          <w:rFonts w:ascii="Arial" w:hAnsi="Arial" w:cs="Arial"/>
        </w:rPr>
        <w:t>כי</w:t>
      </w:r>
      <w:r w:rsidR="00CD30DA" w:rsidRPr="0066103C">
        <w:t xml:space="preserve"> in Biblical Hebrew,</w:t>
      </w:r>
      <w:r w:rsidRPr="0066103C">
        <w:t xml:space="preserve"> 205), but this </w:t>
      </w:r>
      <w:r w:rsidRPr="0066103C">
        <w:rPr>
          <w:rFonts w:ascii="Arial" w:hAnsi="Arial" w:cs="Arial"/>
        </w:rPr>
        <w:t>כי</w:t>
      </w:r>
      <w:r w:rsidRPr="0066103C">
        <w:t xml:space="preserve"> introduces a closing cl</w:t>
      </w:r>
      <w:r w:rsidR="00CD30DA" w:rsidRPr="0066103C">
        <w:t>ause</w:t>
      </w:r>
      <w:r w:rsidRPr="0066103C">
        <w:t xml:space="preserve"> which balances v 7 (see </w:t>
      </w:r>
      <w:r w:rsidRPr="0066103C">
        <w:rPr>
          <w:i/>
        </w:rPr>
        <w:t>Structure</w:t>
      </w:r>
      <w:r w:rsidRPr="0066103C">
        <w:t>) and the connection is with vv 9b–14a as a whole, not just with v 14a.</w:t>
      </w:r>
    </w:p>
    <w:p w:rsidR="003909F2" w:rsidRPr="0066103C" w:rsidRDefault="003909F2" w:rsidP="003909F2">
      <w:r w:rsidRPr="0066103C">
        <w:t>14.b-b. The context has to determine the time ref</w:t>
      </w:r>
      <w:r w:rsidR="00CD30DA" w:rsidRPr="0066103C">
        <w:t>erence</w:t>
      </w:r>
      <w:r w:rsidRPr="0066103C">
        <w:t xml:space="preserve"> of a noun cl</w:t>
      </w:r>
      <w:r w:rsidR="00CD30DA" w:rsidRPr="0066103C">
        <w:t xml:space="preserve">ause, and </w:t>
      </w:r>
      <w:r w:rsidRPr="0066103C">
        <w:t>past ref</w:t>
      </w:r>
      <w:r w:rsidR="00CD30DA" w:rsidRPr="0066103C">
        <w:t>erence</w:t>
      </w:r>
      <w:r w:rsidRPr="0066103C">
        <w:t xml:space="preserve"> seems appropriate here.</w:t>
      </w:r>
    </w:p>
    <w:p w:rsidR="003909F2" w:rsidRPr="0066103C" w:rsidRDefault="003909F2" w:rsidP="003909F2">
      <w:r w:rsidRPr="0066103C">
        <w:t xml:space="preserve">16.a. Taking </w:t>
      </w:r>
      <w:r w:rsidRPr="0066103C">
        <w:rPr>
          <w:rFonts w:ascii="Arial" w:hAnsi="Arial" w:cs="Arial"/>
        </w:rPr>
        <w:t>צדקתך</w:t>
      </w:r>
      <w:r w:rsidRPr="0066103C">
        <w:t xml:space="preserve"> as literal pl. (</w:t>
      </w:r>
      <w:r w:rsidR="00634A66" w:rsidRPr="0066103C">
        <w:t>BDB, 842b, cf. Syr</w:t>
      </w:r>
      <w:r w:rsidRPr="0066103C">
        <w:t>) rather than pl. of amplification (“true justice,” see GKC 124e; cf. G).</w:t>
      </w:r>
    </w:p>
    <w:p w:rsidR="003909F2" w:rsidRPr="0066103C" w:rsidRDefault="003909F2" w:rsidP="003909F2">
      <w:r w:rsidRPr="0066103C">
        <w:t xml:space="preserve">17.a-a. </w:t>
      </w:r>
      <w:r w:rsidRPr="0066103C">
        <w:rPr>
          <w:rFonts w:ascii="Arial" w:hAnsi="Arial" w:cs="Arial"/>
        </w:rPr>
        <w:t>אדני</w:t>
      </w:r>
      <w:r w:rsidR="00CD30DA" w:rsidRPr="0066103C">
        <w:rPr>
          <w:rFonts w:ascii="Arial" w:hAnsi="Arial" w:cs="Arial"/>
        </w:rPr>
        <w:t xml:space="preserve"> למען</w:t>
      </w:r>
      <w:r w:rsidRPr="0066103C">
        <w:t>, an odd expression (esp. in a 2nd person context), but apparentl</w:t>
      </w:r>
      <w:r w:rsidR="00CD30DA" w:rsidRPr="0066103C">
        <w:t xml:space="preserve">y original, since Th (“for your </w:t>
      </w:r>
      <w:r w:rsidRPr="0066103C">
        <w:t xml:space="preserve">sake, Lord”), OG (“for your </w:t>
      </w:r>
      <w:r w:rsidR="00CD30DA" w:rsidRPr="0066103C">
        <w:t>servants’ sake, Lord”), and Syr</w:t>
      </w:r>
      <w:r w:rsidRPr="0066103C">
        <w:t xml:space="preserve"> (“for your name’s sake, Lord”) all offer different “improvements” on MT</w:t>
      </w:r>
      <w:r w:rsidR="00CD30DA" w:rsidRPr="0066103C">
        <w:t>.</w:t>
      </w:r>
    </w:p>
    <w:p w:rsidR="003909F2" w:rsidRPr="0066103C" w:rsidRDefault="003909F2" w:rsidP="003909F2">
      <w:r w:rsidRPr="0066103C">
        <w:t>18.a.</w:t>
      </w:r>
      <w:r w:rsidR="00CD30DA" w:rsidRPr="0066103C">
        <w:t xml:space="preserve"> </w:t>
      </w:r>
      <w:r w:rsidR="00CD30DA" w:rsidRPr="0066103C">
        <w:rPr>
          <w:rFonts w:ascii="Arial" w:hAnsi="Arial" w:cs="Arial"/>
        </w:rPr>
        <w:t>ע</w:t>
      </w:r>
      <w:r w:rsidRPr="0066103C">
        <w:rPr>
          <w:rFonts w:ascii="Arial" w:hAnsi="Arial" w:cs="Arial"/>
        </w:rPr>
        <w:t>וּשֲׁמָ</w:t>
      </w:r>
      <w:r w:rsidRPr="0066103C">
        <w:t xml:space="preserve">: the composite shewa emphasizes the vocal character of the shewa after </w:t>
      </w:r>
      <w:r w:rsidRPr="0066103C">
        <w:rPr>
          <w:rFonts w:ascii="Arial" w:hAnsi="Arial" w:cs="Arial"/>
        </w:rPr>
        <w:t>ו</w:t>
      </w:r>
      <w:r w:rsidRPr="0066103C">
        <w:t xml:space="preserve"> (GKC 10g).</w:t>
      </w:r>
    </w:p>
    <w:p w:rsidR="003909F2" w:rsidRPr="0066103C" w:rsidRDefault="003909F2" w:rsidP="003909F2">
      <w:r w:rsidRPr="0066103C">
        <w:t xml:space="preserve">18.b. K reads </w:t>
      </w:r>
      <w:r w:rsidRPr="0066103C">
        <w:rPr>
          <w:rFonts w:ascii="Arial" w:hAnsi="Arial" w:cs="Arial"/>
        </w:rPr>
        <w:t>פקחה</w:t>
      </w:r>
      <w:r w:rsidRPr="0066103C">
        <w:t xml:space="preserve"> as a lengthened form of the imper</w:t>
      </w:r>
      <w:r w:rsidR="00CD30DA" w:rsidRPr="0066103C">
        <w:t>ative</w:t>
      </w:r>
      <w:r w:rsidRPr="0066103C">
        <w:t xml:space="preserve"> (cf. v 19); cf. Q </w:t>
      </w:r>
      <w:r w:rsidRPr="0066103C">
        <w:rPr>
          <w:rFonts w:ascii="Arial" w:hAnsi="Arial" w:cs="Arial"/>
        </w:rPr>
        <w:t>פקח</w:t>
      </w:r>
      <w:r w:rsidRPr="0066103C">
        <w:t xml:space="preserve">. But the </w:t>
      </w:r>
      <w:r w:rsidRPr="0066103C">
        <w:rPr>
          <w:rFonts w:ascii="Arial" w:hAnsi="Arial" w:cs="Arial"/>
        </w:rPr>
        <w:t>ה</w:t>
      </w:r>
      <w:r w:rsidRPr="0066103C">
        <w:t xml:space="preserve"> might be an abbreviation for </w:t>
      </w:r>
      <w:r w:rsidRPr="0066103C">
        <w:rPr>
          <w:rFonts w:ascii="Arial" w:hAnsi="Arial" w:cs="Arial"/>
        </w:rPr>
        <w:t>יהוה</w:t>
      </w:r>
      <w:r w:rsidRPr="0066103C">
        <w:t>; the cl</w:t>
      </w:r>
      <w:r w:rsidR="00F13C2C">
        <w:t>ause</w:t>
      </w:r>
      <w:r w:rsidRPr="0066103C">
        <w:t>’s structure then parallels its predecessor and the pair parallel 2 Kgs 19:16 (Lacocque).</w:t>
      </w:r>
    </w:p>
    <w:p w:rsidR="003909F2" w:rsidRPr="0066103C" w:rsidRDefault="003909F2" w:rsidP="003909F2">
      <w:r w:rsidRPr="0066103C">
        <w:t xml:space="preserve">18.c. </w:t>
      </w:r>
      <w:r w:rsidRPr="0066103C">
        <w:rPr>
          <w:rFonts w:ascii="Arial" w:hAnsi="Arial" w:cs="Arial"/>
        </w:rPr>
        <w:t>עליה</w:t>
      </w:r>
      <w:r w:rsidRPr="0066103C">
        <w:t xml:space="preserve"> </w:t>
      </w:r>
      <w:r w:rsidR="00CD30DA" w:rsidRPr="0066103C">
        <w:rPr>
          <w:rFonts w:ascii="Arial" w:hAnsi="Arial" w:cs="Arial"/>
        </w:rPr>
        <w:t>שמך</w:t>
      </w:r>
      <w:r w:rsidR="00CD30DA" w:rsidRPr="0066103C">
        <w:t xml:space="preserve"> </w:t>
      </w:r>
      <w:r w:rsidR="00CD30DA" w:rsidRPr="0066103C">
        <w:rPr>
          <w:rFonts w:ascii="Arial" w:hAnsi="Arial" w:cs="Arial"/>
        </w:rPr>
        <w:t>נקרא</w:t>
      </w:r>
      <w:r w:rsidR="00CD30DA" w:rsidRPr="0066103C">
        <w:t xml:space="preserve"> </w:t>
      </w:r>
      <w:r w:rsidR="00CD30DA" w:rsidRPr="0066103C">
        <w:rPr>
          <w:rFonts w:ascii="Arial" w:hAnsi="Arial" w:cs="Arial"/>
        </w:rPr>
        <w:t>אשר</w:t>
      </w:r>
      <w:r w:rsidR="00CD30DA" w:rsidRPr="0066103C">
        <w:t xml:space="preserve"> “over which your name has</w:t>
      </w:r>
      <w:r w:rsidRPr="0066103C">
        <w:t xml:space="preserve"> been proclaimed.”</w:t>
      </w:r>
    </w:p>
    <w:p w:rsidR="003909F2" w:rsidRPr="0066103C" w:rsidRDefault="003909F2" w:rsidP="003909F2">
      <w:r w:rsidRPr="0066103C">
        <w:t>20.a. On the circumstantial cl</w:t>
      </w:r>
      <w:r w:rsidR="00CD30DA" w:rsidRPr="0066103C">
        <w:t>ause</w:t>
      </w:r>
      <w:r w:rsidRPr="0066103C">
        <w:t xml:space="preserve">, see </w:t>
      </w:r>
      <w:r w:rsidRPr="0066103C">
        <w:rPr>
          <w:i/>
        </w:rPr>
        <w:t>TTH</w:t>
      </w:r>
      <w:r w:rsidRPr="0066103C">
        <w:t xml:space="preserve"> 169; GKC 116u.</w:t>
      </w:r>
    </w:p>
    <w:p w:rsidR="003909F2" w:rsidRPr="0066103C" w:rsidRDefault="003909F2" w:rsidP="003909F2">
      <w:r w:rsidRPr="0066103C">
        <w:t xml:space="preserve">20.b. On </w:t>
      </w:r>
      <w:r w:rsidRPr="0066103C">
        <w:rPr>
          <w:rFonts w:ascii="Arial" w:hAnsi="Arial" w:cs="Arial"/>
        </w:rPr>
        <w:t>ומתודה</w:t>
      </w:r>
      <w:r w:rsidRPr="0066103C">
        <w:t xml:space="preserve"> </w:t>
      </w:r>
      <w:r w:rsidR="00CD30DA" w:rsidRPr="0066103C">
        <w:rPr>
          <w:rFonts w:ascii="Arial" w:hAnsi="Arial" w:cs="Arial"/>
        </w:rPr>
        <w:t>ומתפלל</w:t>
      </w:r>
      <w:r w:rsidR="00CD30DA" w:rsidRPr="0066103C">
        <w:t xml:space="preserve"> </w:t>
      </w:r>
      <w:r w:rsidRPr="0066103C">
        <w:t>“prayi</w:t>
      </w:r>
      <w:r w:rsidR="00CD30DA" w:rsidRPr="0066103C">
        <w:t>ng and confessing,” see n. 4.a.</w:t>
      </w:r>
    </w:p>
    <w:p w:rsidR="003909F2" w:rsidRPr="0066103C" w:rsidRDefault="00A37CD5" w:rsidP="003909F2">
      <w:r>
        <w:t>20.c. G, Vg, Syr</w:t>
      </w:r>
      <w:r w:rsidR="003909F2" w:rsidRPr="0066103C">
        <w:t xml:space="preserve"> presuppose pl. pointing each time.</w:t>
      </w:r>
    </w:p>
    <w:p w:rsidR="003909F2" w:rsidRPr="0066103C" w:rsidRDefault="003909F2" w:rsidP="003909F2">
      <w:r w:rsidRPr="0066103C">
        <w:t xml:space="preserve">21.a-a. G “behold the man. . .” perhaps presuppose reading </w:t>
      </w:r>
      <w:r w:rsidRPr="0066103C">
        <w:rPr>
          <w:rFonts w:ascii="Arial" w:hAnsi="Arial" w:cs="Arial"/>
        </w:rPr>
        <w:t>האיש</w:t>
      </w:r>
      <w:r w:rsidRPr="0066103C">
        <w:t xml:space="preserve"> </w:t>
      </w:r>
      <w:r w:rsidR="00EC5337" w:rsidRPr="0066103C">
        <w:rPr>
          <w:rFonts w:ascii="Arial" w:hAnsi="Arial" w:cs="Arial"/>
        </w:rPr>
        <w:t>והא</w:t>
      </w:r>
      <w:r w:rsidR="00EC5337" w:rsidRPr="0066103C">
        <w:t xml:space="preserve"> </w:t>
      </w:r>
      <w:r w:rsidRPr="0066103C">
        <w:t xml:space="preserve">(Montgomery); for </w:t>
      </w:r>
      <w:r w:rsidRPr="0066103C">
        <w:rPr>
          <w:rFonts w:ascii="Arial" w:hAnsi="Arial" w:cs="Arial"/>
        </w:rPr>
        <w:t>הא</w:t>
      </w:r>
      <w:r w:rsidRPr="0066103C">
        <w:t xml:space="preserve"> see BDB</w:t>
      </w:r>
      <w:r w:rsidR="00CD30DA" w:rsidRPr="0066103C">
        <w:t>,</w:t>
      </w:r>
      <w:r w:rsidRPr="0066103C">
        <w:t xml:space="preserve"> 210b, 1089b. “The m</w:t>
      </w:r>
      <w:r w:rsidR="00EC5337" w:rsidRPr="0066103C">
        <w:t xml:space="preserve">an Gabriel” is odd, even in </w:t>
      </w:r>
      <w:r w:rsidRPr="0066103C">
        <w:t>light of 8:15; Ehrlich compares Exod 11:3 and suggests translating “the lord Gabriel.”</w:t>
      </w:r>
    </w:p>
    <w:p w:rsidR="003909F2" w:rsidRPr="0066103C" w:rsidRDefault="003909F2" w:rsidP="003909F2">
      <w:r w:rsidRPr="0066103C">
        <w:t xml:space="preserve">21.b. </w:t>
      </w:r>
      <w:r w:rsidR="003E5119" w:rsidRPr="0066103C">
        <w:t xml:space="preserve">In isolation one could take </w:t>
      </w:r>
      <w:r w:rsidR="003E5119" w:rsidRPr="0066103C">
        <w:rPr>
          <w:rFonts w:ascii="Arial" w:hAnsi="Arial" w:cs="Arial"/>
        </w:rPr>
        <w:t>בתחלה</w:t>
      </w:r>
      <w:r w:rsidR="003E5119" w:rsidRPr="0066103C">
        <w:t xml:space="preserve"> to me</w:t>
      </w:r>
      <w:r w:rsidR="00F13C2C">
        <w:t xml:space="preserve">an “at the beginning” and as </w:t>
      </w:r>
      <w:r w:rsidR="003E5119" w:rsidRPr="0066103C">
        <w:t>referring back to chap. 7; but following on the occurrence of the</w:t>
      </w:r>
      <w:r w:rsidR="00F07840">
        <w:t xml:space="preserve"> expression in 8:1 (see n. </w:t>
      </w:r>
      <w:r w:rsidR="00D5207F">
        <w:t>1</w:t>
      </w:r>
      <w:r w:rsidR="00F07840">
        <w:t>.</w:t>
      </w:r>
      <w:r w:rsidR="00D5207F">
        <w:t>d</w:t>
      </w:r>
      <w:r w:rsidR="00F07840">
        <w:t xml:space="preserve"> there</w:t>
      </w:r>
      <w:r w:rsidR="003E5119" w:rsidRPr="0066103C">
        <w:t>) it more likely again means “previously.”</w:t>
      </w:r>
    </w:p>
    <w:p w:rsidR="003909F2" w:rsidRPr="0066103C" w:rsidRDefault="003909F2" w:rsidP="003909F2">
      <w:r w:rsidRPr="0066103C">
        <w:t xml:space="preserve">21.c-c. Grammatically, </w:t>
      </w:r>
      <w:r w:rsidRPr="0066103C">
        <w:rPr>
          <w:rFonts w:ascii="Arial" w:hAnsi="Arial" w:cs="Arial"/>
        </w:rPr>
        <w:t>ביעף</w:t>
      </w:r>
      <w:r w:rsidRPr="0066103C">
        <w:t xml:space="preserve"> </w:t>
      </w:r>
      <w:r w:rsidR="00EC5337" w:rsidRPr="0066103C">
        <w:rPr>
          <w:rFonts w:ascii="Arial" w:hAnsi="Arial" w:cs="Arial"/>
        </w:rPr>
        <w:t>מעף</w:t>
      </w:r>
      <w:r w:rsidR="00EC5337" w:rsidRPr="0066103C">
        <w:t xml:space="preserve"> </w:t>
      </w:r>
      <w:r w:rsidRPr="0066103C">
        <w:t>“wearied with weariness” could apply to Daniel or Gabriel,</w:t>
      </w:r>
      <w:r w:rsidR="00EC5337" w:rsidRPr="0066103C">
        <w:t xml:space="preserve"> but the word order implies the </w:t>
      </w:r>
      <w:r w:rsidRPr="0066103C">
        <w:t>former (Keil), and also suggests referring it to the faint of 8:17–18 rather than to the result of this time of prayer and f</w:t>
      </w:r>
      <w:r w:rsidR="00D5207F">
        <w:t>asting. G, Syr, Vg</w:t>
      </w:r>
      <w:r w:rsidRPr="0066103C">
        <w:t xml:space="preserve"> connect the phrase with Ga</w:t>
      </w:r>
      <w:r w:rsidR="00EC5337" w:rsidRPr="0066103C">
        <w:t>briel’s flight</w:t>
      </w:r>
      <w:r w:rsidR="00D5207F">
        <w:t xml:space="preserve"> and presuppose</w:t>
      </w:r>
      <w:r w:rsidRPr="0066103C">
        <w:t xml:space="preserve"> that </w:t>
      </w:r>
      <w:r w:rsidRPr="0066103C">
        <w:rPr>
          <w:rFonts w:ascii="Arial" w:hAnsi="Arial" w:cs="Arial"/>
        </w:rPr>
        <w:t>יעף</w:t>
      </w:r>
      <w:r w:rsidRPr="0066103C">
        <w:t xml:space="preserve"> “be weary” has a homonym meaning “fly,” a by-form of </w:t>
      </w:r>
      <w:r w:rsidRPr="0066103C">
        <w:rPr>
          <w:rFonts w:ascii="Arial" w:hAnsi="Arial" w:cs="Arial"/>
        </w:rPr>
        <w:t>עוף</w:t>
      </w:r>
      <w:r w:rsidRPr="0066103C">
        <w:t xml:space="preserve"> (Brockington emends to </w:t>
      </w:r>
      <w:r w:rsidRPr="0066103C">
        <w:rPr>
          <w:rFonts w:ascii="Arial" w:hAnsi="Arial" w:cs="Arial"/>
        </w:rPr>
        <w:t>עף</w:t>
      </w:r>
      <w:r w:rsidR="00EC5337" w:rsidRPr="0066103C">
        <w:rPr>
          <w:rFonts w:ascii="Arial" w:hAnsi="Arial" w:cs="Arial"/>
        </w:rPr>
        <w:t xml:space="preserve"> מעפף</w:t>
      </w:r>
      <w:r w:rsidRPr="0066103C">
        <w:t xml:space="preserve">, forms of </w:t>
      </w:r>
      <w:r w:rsidRPr="0066103C">
        <w:rPr>
          <w:rFonts w:ascii="Arial" w:hAnsi="Arial" w:cs="Arial"/>
        </w:rPr>
        <w:t>עוף</w:t>
      </w:r>
      <w:r w:rsidR="00D5207F">
        <w:t xml:space="preserve"> itself), which</w:t>
      </w:r>
      <w:r w:rsidR="00FF4F3A">
        <w:t xml:space="preserve"> implies that such heavenly aides, like seraphs and </w:t>
      </w:r>
      <w:r w:rsidRPr="0066103C">
        <w:t>cherubs, have</w:t>
      </w:r>
      <w:r w:rsidR="00EC5337" w:rsidRPr="0066103C">
        <w:t xml:space="preserve"> wings to fly with. V 21 </w:t>
      </w:r>
      <w:r w:rsidR="00D5207F">
        <w:t>rather implies</w:t>
      </w:r>
      <w:r w:rsidRPr="0066103C">
        <w:t xml:space="preserve"> (like oth</w:t>
      </w:r>
      <w:r w:rsidR="00D5207F">
        <w:t xml:space="preserve">er parts of the OT) </w:t>
      </w:r>
      <w:r w:rsidRPr="0066103C">
        <w:t>th</w:t>
      </w:r>
      <w:r w:rsidR="00FF4F3A">
        <w:t>at such beings</w:t>
      </w:r>
      <w:r w:rsidR="00D5207F">
        <w:t xml:space="preserve"> are human in form and</w:t>
      </w:r>
      <w:r w:rsidRPr="0066103C">
        <w:t xml:space="preserve"> can be distinguished from seraphs (Isa 6) and the </w:t>
      </w:r>
      <w:r w:rsidR="00EC5337" w:rsidRPr="0066103C">
        <w:t>hybrid figures in Ezek 1: s</w:t>
      </w:r>
      <w:r w:rsidR="00FF4F3A">
        <w:t>ee esp. Gen 28:12 (supernatural aides</w:t>
      </w:r>
      <w:r w:rsidRPr="0066103C">
        <w:t xml:space="preserve"> moving between heaven and earth by ladder); even I Chr 21:16 does not </w:t>
      </w:r>
      <w:r w:rsidR="00FF4F3A">
        <w:t>say that the aide</w:t>
      </w:r>
      <w:r w:rsidRPr="0066103C">
        <w:t xml:space="preserve"> has wings to fly with.</w:t>
      </w:r>
    </w:p>
    <w:p w:rsidR="003909F2" w:rsidRPr="0066103C" w:rsidRDefault="003909F2" w:rsidP="003909F2">
      <w:r w:rsidRPr="0066103C">
        <w:t xml:space="preserve">21.d. </w:t>
      </w:r>
      <w:r w:rsidRPr="0066103C">
        <w:rPr>
          <w:rFonts w:ascii="Arial" w:hAnsi="Arial" w:cs="Arial"/>
        </w:rPr>
        <w:t>נגע</w:t>
      </w:r>
      <w:r w:rsidRPr="0066103C">
        <w:t xml:space="preserve"> can mean “touched” (so Th, cf. </w:t>
      </w:r>
      <w:r w:rsidR="00EC5337" w:rsidRPr="0066103C">
        <w:t>8:18; 10:16), but “reached” (</w:t>
      </w:r>
      <w:r w:rsidRPr="0066103C">
        <w:t>OG,</w:t>
      </w:r>
      <w:r w:rsidR="00EC5337" w:rsidRPr="0066103C">
        <w:t xml:space="preserve"> Syr, cf. 8:7; 12:12) fits better here. For the participle</w:t>
      </w:r>
      <w:r w:rsidRPr="0066103C">
        <w:t xml:space="preserve"> referring to a p</w:t>
      </w:r>
      <w:r w:rsidR="00EC5337" w:rsidRPr="0066103C">
        <w:t>unctiliar event in a double participial</w:t>
      </w:r>
      <w:r w:rsidRPr="0066103C">
        <w:t xml:space="preserve"> construction, see GKC 116u.</w:t>
      </w:r>
    </w:p>
    <w:p w:rsidR="003909F2" w:rsidRPr="0066103C" w:rsidRDefault="003909F2" w:rsidP="003909F2">
      <w:r w:rsidRPr="0066103C">
        <w:t xml:space="preserve">21.e. </w:t>
      </w:r>
      <w:r w:rsidRPr="0066103C">
        <w:rPr>
          <w:rFonts w:ascii="Arial" w:hAnsi="Arial" w:cs="Arial"/>
        </w:rPr>
        <w:t>כ</w:t>
      </w:r>
      <w:r w:rsidRPr="0066103C">
        <w:t>‍ indicat</w:t>
      </w:r>
      <w:r w:rsidR="00D5207F">
        <w:t>ing time at which, not “about” which</w:t>
      </w:r>
      <w:r w:rsidR="00EC5337" w:rsidRPr="0066103C">
        <w:t xml:space="preserve"> (against NIV</w:t>
      </w:r>
      <w:r w:rsidRPr="0066103C">
        <w:t xml:space="preserve">) (cf. </w:t>
      </w:r>
      <w:r w:rsidRPr="0066103C">
        <w:rPr>
          <w:i/>
        </w:rPr>
        <w:t>HS</w:t>
      </w:r>
      <w:r w:rsidRPr="0066103C">
        <w:t xml:space="preserve"> 262); the variants </w:t>
      </w:r>
      <w:r w:rsidRPr="0066103C">
        <w:rPr>
          <w:rFonts w:ascii="Arial" w:hAnsi="Arial" w:cs="Arial"/>
        </w:rPr>
        <w:t>ל</w:t>
      </w:r>
      <w:r w:rsidRPr="0066103C">
        <w:t xml:space="preserve"> and </w:t>
      </w:r>
      <w:r w:rsidRPr="0066103C">
        <w:rPr>
          <w:rFonts w:ascii="Arial" w:hAnsi="Arial" w:cs="Arial"/>
        </w:rPr>
        <w:t>ב</w:t>
      </w:r>
      <w:r w:rsidRPr="0066103C">
        <w:t xml:space="preserve"> make this explicit.</w:t>
      </w:r>
    </w:p>
    <w:p w:rsidR="003909F2" w:rsidRPr="0066103C" w:rsidRDefault="003909F2" w:rsidP="003909F2">
      <w:r w:rsidRPr="0066103C">
        <w:t xml:space="preserve">22.a. </w:t>
      </w:r>
      <w:r w:rsidRPr="0066103C">
        <w:rPr>
          <w:rFonts w:ascii="Arial" w:hAnsi="Arial" w:cs="Arial"/>
        </w:rPr>
        <w:t>ויאמר</w:t>
      </w:r>
      <w:r w:rsidRPr="0066103C">
        <w:t xml:space="preserve"> </w:t>
      </w:r>
      <w:r w:rsidR="00EC5337" w:rsidRPr="0066103C">
        <w:rPr>
          <w:rFonts w:ascii="Arial" w:hAnsi="Arial" w:cs="Arial"/>
        </w:rPr>
        <w:t>עמי</w:t>
      </w:r>
      <w:r w:rsidR="00EC5337" w:rsidRPr="0066103C">
        <w:t xml:space="preserve"> </w:t>
      </w:r>
      <w:r w:rsidR="00EC5337" w:rsidRPr="0066103C">
        <w:rPr>
          <w:rFonts w:ascii="Arial" w:hAnsi="Arial" w:cs="Arial"/>
        </w:rPr>
        <w:t>וידבר</w:t>
      </w:r>
      <w:r w:rsidR="00EC5337" w:rsidRPr="0066103C">
        <w:t xml:space="preserve"> </w:t>
      </w:r>
      <w:r w:rsidR="00EC5337" w:rsidRPr="0066103C">
        <w:rPr>
          <w:rFonts w:ascii="Arial" w:hAnsi="Arial" w:cs="Arial"/>
        </w:rPr>
        <w:t>ויבן</w:t>
      </w:r>
      <w:r w:rsidR="00EC5337" w:rsidRPr="0066103C">
        <w:t xml:space="preserve"> </w:t>
      </w:r>
      <w:r w:rsidRPr="0066103C">
        <w:t xml:space="preserve">“he explained </w:t>
      </w:r>
      <w:r w:rsidR="00EC5337" w:rsidRPr="0066103C">
        <w:t>and spoke with me and said.” NAB emends to …</w:t>
      </w:r>
      <w:r w:rsidRPr="0066103C">
        <w:rPr>
          <w:rFonts w:ascii="Arial" w:hAnsi="Arial" w:cs="Arial"/>
        </w:rPr>
        <w:t>ויבינני</w:t>
      </w:r>
      <w:r w:rsidRPr="0066103C">
        <w:t xml:space="preserve"> “he made me understand,” comparing</w:t>
      </w:r>
      <w:r w:rsidR="00EC5337" w:rsidRPr="0066103C">
        <w:t xml:space="preserve"> Th, Vg—but they may only be translating</w:t>
      </w:r>
      <w:r w:rsidR="00037B5C">
        <w:t xml:space="preserve"> in light of the context</w:t>
      </w:r>
      <w:r w:rsidRPr="0066103C">
        <w:t xml:space="preserve">; </w:t>
      </w:r>
      <w:r w:rsidRPr="0066103C">
        <w:rPr>
          <w:rFonts w:ascii="Arial" w:hAnsi="Arial" w:cs="Arial"/>
        </w:rPr>
        <w:t>בין</w:t>
      </w:r>
      <w:r w:rsidRPr="0066103C">
        <w:t xml:space="preserve"> </w:t>
      </w:r>
      <w:r w:rsidR="00037B5C" w:rsidRPr="00037B5C">
        <w:rPr>
          <w:rFonts w:ascii="Arial" w:hAnsi="Arial" w:cs="Arial"/>
        </w:rPr>
        <w:t>ה</w:t>
      </w:r>
      <w:r w:rsidR="00037B5C" w:rsidRPr="00037B5C">
        <w:t xml:space="preserve"> </w:t>
      </w:r>
      <w:r w:rsidRPr="0066103C">
        <w:t>can b</w:t>
      </w:r>
      <w:r w:rsidR="00EC5337" w:rsidRPr="0066103C">
        <w:t>e used absolutely (BDB</w:t>
      </w:r>
      <w:r w:rsidR="004A0BAC">
        <w:t>, 107a</w:t>
      </w:r>
      <w:r w:rsidR="00EC5337" w:rsidRPr="0066103C">
        <w:t xml:space="preserve">). </w:t>
      </w:r>
      <w:r w:rsidR="00BB22D2">
        <w:t>N</w:t>
      </w:r>
      <w:r w:rsidR="00EC5337" w:rsidRPr="0066103C">
        <w:t>RSV, JB</w:t>
      </w:r>
      <w:r w:rsidRPr="0066103C">
        <w:t xml:space="preserve"> emend to </w:t>
      </w:r>
      <w:r w:rsidRPr="0066103C">
        <w:rPr>
          <w:rFonts w:ascii="Arial" w:hAnsi="Arial" w:cs="Arial"/>
        </w:rPr>
        <w:t>ויבא</w:t>
      </w:r>
      <w:r w:rsidRPr="0066103C">
        <w:t>, comparing OG</w:t>
      </w:r>
      <w:r w:rsidR="00EC5337" w:rsidRPr="0066103C">
        <w:t>, Syr</w:t>
      </w:r>
      <w:r w:rsidRPr="0066103C">
        <w:t>—but they are more likely resolving some typical Danielic fulsomeness.</w:t>
      </w:r>
    </w:p>
    <w:p w:rsidR="003909F2" w:rsidRPr="0066103C" w:rsidRDefault="003909F2" w:rsidP="003909F2">
      <w:r w:rsidRPr="0066103C">
        <w:lastRenderedPageBreak/>
        <w:t xml:space="preserve">22.b. </w:t>
      </w:r>
      <w:r w:rsidRPr="0066103C">
        <w:rPr>
          <w:rFonts w:ascii="Arial" w:hAnsi="Arial" w:cs="Arial"/>
        </w:rPr>
        <w:t>יצאתי</w:t>
      </w:r>
      <w:r w:rsidR="00037B5C">
        <w:t xml:space="preserve"> “come out</w:t>
      </w:r>
      <w:r w:rsidRPr="0066103C">
        <w:t>,” as in vv 23, 25 with</w:t>
      </w:r>
      <w:r w:rsidR="009A22C1">
        <w:t xml:space="preserve"> resp</w:t>
      </w:r>
      <w:r w:rsidR="00037B5C">
        <w:t>ect to the message “coming out</w:t>
      </w:r>
      <w:r w:rsidRPr="0066103C">
        <w:t xml:space="preserve">,” suggests a supernatural commission more specifically than the </w:t>
      </w:r>
      <w:r w:rsidRPr="0066103C">
        <w:rPr>
          <w:rFonts w:ascii="Arial" w:hAnsi="Arial" w:cs="Arial"/>
        </w:rPr>
        <w:t>בוא</w:t>
      </w:r>
      <w:r w:rsidRPr="0066103C">
        <w:t xml:space="preserve"> of the similar passage Josh 5:13–15 (cf. 2 Sam 14:15).</w:t>
      </w:r>
    </w:p>
    <w:p w:rsidR="003909F2" w:rsidRPr="0066103C" w:rsidRDefault="003909F2" w:rsidP="003909F2">
      <w:r w:rsidRPr="0066103C">
        <w:t xml:space="preserve">22.c. </w:t>
      </w:r>
      <w:r w:rsidRPr="0066103C">
        <w:rPr>
          <w:rFonts w:ascii="Arial" w:hAnsi="Arial" w:cs="Arial"/>
        </w:rPr>
        <w:t>עתה</w:t>
      </w:r>
      <w:r w:rsidR="004A0BAC">
        <w:t xml:space="preserve"> </w:t>
      </w:r>
      <w:r w:rsidRPr="0066103C">
        <w:t>draws attention to the “moment-ousness” of the occasion</w:t>
      </w:r>
      <w:r w:rsidR="00037B5C">
        <w:t xml:space="preserve"> rather than having</w:t>
      </w:r>
      <w:r w:rsidR="00037B5C" w:rsidRPr="00037B5C">
        <w:t xml:space="preserve"> a simply temporal reference (“n</w:t>
      </w:r>
      <w:r w:rsidR="00037B5C">
        <w:t>ow”) in such contexts</w:t>
      </w:r>
      <w:r w:rsidRPr="0066103C">
        <w:t>; cf. Josh 5:14 (Ehrlich).</w:t>
      </w:r>
    </w:p>
    <w:p w:rsidR="003909F2" w:rsidRPr="0066103C" w:rsidRDefault="003909F2" w:rsidP="003909F2">
      <w:r w:rsidRPr="0066103C">
        <w:t xml:space="preserve">22.d-d. </w:t>
      </w:r>
      <w:r w:rsidRPr="0066103C">
        <w:rPr>
          <w:rFonts w:ascii="Arial" w:hAnsi="Arial" w:cs="Arial"/>
        </w:rPr>
        <w:t>בינה</w:t>
      </w:r>
      <w:r w:rsidRPr="0066103C">
        <w:t xml:space="preserve"> </w:t>
      </w:r>
      <w:r w:rsidR="00EC5337" w:rsidRPr="0066103C">
        <w:rPr>
          <w:rFonts w:ascii="Arial" w:hAnsi="Arial" w:cs="Arial"/>
        </w:rPr>
        <w:t>להשכילך</w:t>
      </w:r>
      <w:r w:rsidR="00EC5337" w:rsidRPr="0066103C">
        <w:t xml:space="preserve"> </w:t>
      </w:r>
      <w:r w:rsidRPr="0066103C">
        <w:t>“to instruct you [in] insight”; the noun is adv</w:t>
      </w:r>
      <w:r w:rsidR="00EC5337" w:rsidRPr="0066103C">
        <w:t>erbial</w:t>
      </w:r>
      <w:r w:rsidRPr="0066103C">
        <w:t xml:space="preserve"> acc</w:t>
      </w:r>
      <w:r w:rsidR="00EC5337" w:rsidRPr="0066103C">
        <w:t>usative</w:t>
      </w:r>
      <w:r w:rsidRPr="0066103C">
        <w:t>.</w:t>
      </w:r>
    </w:p>
    <w:p w:rsidR="003909F2" w:rsidRPr="0066103C" w:rsidRDefault="003909F2" w:rsidP="003909F2">
      <w:r w:rsidRPr="0066103C">
        <w:t xml:space="preserve">23.a. </w:t>
      </w:r>
      <w:r w:rsidRPr="0066103C">
        <w:rPr>
          <w:rFonts w:ascii="Arial" w:hAnsi="Arial" w:cs="Arial"/>
        </w:rPr>
        <w:t>יצא</w:t>
      </w:r>
      <w:r w:rsidRPr="0066103C">
        <w:t>, as in v 22 to refer to Gabriel himself.</w:t>
      </w:r>
    </w:p>
    <w:p w:rsidR="003909F2" w:rsidRPr="0066103C" w:rsidRDefault="003909F2" w:rsidP="003909F2">
      <w:r w:rsidRPr="0066103C">
        <w:t>23.b. Heb. lacks “it”; direct and indirect obj</w:t>
      </w:r>
      <w:r w:rsidR="00EC5337" w:rsidRPr="0066103C">
        <w:t>ect</w:t>
      </w:r>
      <w:r w:rsidRPr="0066103C">
        <w:t xml:space="preserve"> can be omitted after </w:t>
      </w:r>
      <w:r w:rsidRPr="0066103C">
        <w:rPr>
          <w:rFonts w:ascii="Arial" w:hAnsi="Arial" w:cs="Arial"/>
        </w:rPr>
        <w:t>הגיד</w:t>
      </w:r>
      <w:r w:rsidRPr="0066103C">
        <w:t xml:space="preserve"> (</w:t>
      </w:r>
      <w:r w:rsidR="00634A66" w:rsidRPr="0066103C">
        <w:t xml:space="preserve">BDB, </w:t>
      </w:r>
      <w:r w:rsidRPr="0066103C">
        <w:t xml:space="preserve">616b). </w:t>
      </w:r>
      <w:r w:rsidRPr="0066103C">
        <w:rPr>
          <w:rFonts w:ascii="Arial" w:hAnsi="Arial" w:cs="Arial"/>
        </w:rPr>
        <w:t>לך</w:t>
      </w:r>
      <w:r w:rsidR="00EC5337" w:rsidRPr="0066103C">
        <w:t xml:space="preserve"> (“to you”; 2 </w:t>
      </w:r>
      <w:r w:rsidR="003F4DB6" w:rsidRPr="003F4DB6">
        <w:t xml:space="preserve">medieval </w:t>
      </w:r>
      <w:r w:rsidR="00EC5337" w:rsidRPr="0066103C">
        <w:t>mss, cf. G, Syr</w:t>
      </w:r>
      <w:r w:rsidRPr="0066103C">
        <w:t>) is presumably an addition. The following cl</w:t>
      </w:r>
      <w:r w:rsidR="00EC5337" w:rsidRPr="0066103C">
        <w:t>ause</w:t>
      </w:r>
      <w:r w:rsidRPr="0066103C">
        <w:t xml:space="preserve"> (</w:t>
      </w:r>
      <w:r w:rsidRPr="0066103C">
        <w:rPr>
          <w:rFonts w:ascii="Arial" w:hAnsi="Arial" w:cs="Arial"/>
        </w:rPr>
        <w:t>אתה</w:t>
      </w:r>
      <w:r w:rsidR="00EC5337" w:rsidRPr="0066103C">
        <w:rPr>
          <w:rFonts w:ascii="Arial" w:hAnsi="Arial" w:cs="Arial"/>
        </w:rPr>
        <w:t xml:space="preserve"> חמודות כי</w:t>
      </w:r>
      <w:r w:rsidRPr="0066103C">
        <w:t xml:space="preserve">) might be </w:t>
      </w:r>
      <w:r w:rsidR="00EC5337" w:rsidRPr="0066103C">
        <w:t xml:space="preserve">the </w:t>
      </w:r>
      <w:r w:rsidRPr="0066103C">
        <w:t>obj</w:t>
      </w:r>
      <w:r w:rsidR="00EC5337" w:rsidRPr="0066103C">
        <w:t>ect</w:t>
      </w:r>
      <w:r w:rsidRPr="0066103C">
        <w:t xml:space="preserve"> of </w:t>
      </w:r>
      <w:r w:rsidRPr="0066103C">
        <w:rPr>
          <w:rFonts w:ascii="Arial" w:hAnsi="Arial" w:cs="Arial"/>
        </w:rPr>
        <w:t>הגיד</w:t>
      </w:r>
      <w:r w:rsidRPr="0066103C">
        <w:t xml:space="preserve"> (“that you are</w:t>
      </w:r>
      <w:r w:rsidR="000B5A1C" w:rsidRPr="0066103C">
        <w:t xml:space="preserve"> held in high regard”) (cf. Barthélemy, </w:t>
      </w:r>
      <w:r w:rsidR="000B5A1C" w:rsidRPr="0066103C">
        <w:rPr>
          <w:i/>
        </w:rPr>
        <w:t>Critique textuelle de l’AT</w:t>
      </w:r>
      <w:r w:rsidR="000B5A1C" w:rsidRPr="0066103C">
        <w:t xml:space="preserve"> 3:471)</w:t>
      </w:r>
      <w:r w:rsidRPr="0066103C">
        <w:t>.</w:t>
      </w:r>
    </w:p>
    <w:p w:rsidR="00037B5C" w:rsidRDefault="003909F2" w:rsidP="003909F2">
      <w:r w:rsidRPr="0066103C">
        <w:t xml:space="preserve">23.c. </w:t>
      </w:r>
      <w:r w:rsidRPr="0066103C">
        <w:rPr>
          <w:rFonts w:ascii="Arial" w:hAnsi="Arial" w:cs="Arial"/>
        </w:rPr>
        <w:t>חמודות</w:t>
      </w:r>
      <w:r w:rsidRPr="0066103C">
        <w:t>, intensive pl. (see GKC 124e). The term is usually preceded by a constr</w:t>
      </w:r>
      <w:r w:rsidR="000B5A1C" w:rsidRPr="0066103C">
        <w:t>uct</w:t>
      </w:r>
      <w:r w:rsidRPr="0066103C">
        <w:t xml:space="preserve"> noun, and </w:t>
      </w:r>
      <w:r w:rsidRPr="0066103C">
        <w:rPr>
          <w:rFonts w:ascii="Arial" w:hAnsi="Arial" w:cs="Arial"/>
        </w:rPr>
        <w:t>איש</w:t>
      </w:r>
      <w:r w:rsidRPr="0066103C">
        <w:t xml:space="preserve"> might be added here as in 10:11, 19 (cf. Th), but grammatically the noun in the predicate of a noun cl</w:t>
      </w:r>
      <w:r w:rsidR="000B5A1C" w:rsidRPr="0066103C">
        <w:t>ause</w:t>
      </w:r>
      <w:r w:rsidRPr="0066103C">
        <w:t xml:space="preserve"> is quite regular (GKC 141c, </w:t>
      </w:r>
      <w:r w:rsidRPr="0066103C">
        <w:rPr>
          <w:i/>
        </w:rPr>
        <w:t>TTH</w:t>
      </w:r>
      <w:r w:rsidRPr="0066103C">
        <w:t xml:space="preserve"> 189).</w:t>
      </w:r>
      <w:r w:rsidR="00016ABC">
        <w:t xml:space="preserve"> </w:t>
      </w:r>
    </w:p>
    <w:p w:rsidR="003909F2" w:rsidRPr="0066103C" w:rsidRDefault="003909F2" w:rsidP="003909F2">
      <w:r w:rsidRPr="0066103C">
        <w:t xml:space="preserve">23.d-d. </w:t>
      </w:r>
      <w:r w:rsidRPr="0066103C">
        <w:rPr>
          <w:rFonts w:ascii="Arial" w:hAnsi="Arial" w:cs="Arial"/>
        </w:rPr>
        <w:t>במראה</w:t>
      </w:r>
      <w:r w:rsidR="000B5A1C" w:rsidRPr="0066103C">
        <w:rPr>
          <w:rFonts w:ascii="Arial" w:hAnsi="Arial" w:cs="Arial"/>
        </w:rPr>
        <w:t xml:space="preserve"> והבן בדבר ובין</w:t>
      </w:r>
      <w:r w:rsidRPr="0066103C">
        <w:t>, a double hendiadys, “give careful heed to the revelatory word.”</w:t>
      </w:r>
    </w:p>
    <w:p w:rsidR="003909F2" w:rsidRPr="0066103C" w:rsidRDefault="003909F2" w:rsidP="003909F2">
      <w:r w:rsidRPr="0066103C">
        <w:t xml:space="preserve">24.a. </w:t>
      </w:r>
      <w:r w:rsidRPr="0066103C">
        <w:rPr>
          <w:rFonts w:ascii="Arial" w:hAnsi="Arial" w:cs="Arial"/>
        </w:rPr>
        <w:t>שבעים</w:t>
      </w:r>
      <w:r w:rsidRPr="0066103C">
        <w:t xml:space="preserve">; </w:t>
      </w:r>
      <w:r w:rsidR="002816BB">
        <w:t xml:space="preserve">while </w:t>
      </w:r>
      <w:r w:rsidRPr="0066103C">
        <w:rPr>
          <w:rFonts w:ascii="Arial" w:hAnsi="Arial" w:cs="Arial"/>
        </w:rPr>
        <w:t>שבוע</w:t>
      </w:r>
      <w:r w:rsidR="000B5A1C" w:rsidRPr="0066103C">
        <w:t xml:space="preserve"> is the regular BH word for </w:t>
      </w:r>
      <w:r w:rsidR="002816BB">
        <w:t>“week,” etymologica</w:t>
      </w:r>
      <w:r w:rsidRPr="0066103C">
        <w:t xml:space="preserve">lly it means a heptad (a period or group of seven of something); as well as meaning seven days, it can thus mean seven years in </w:t>
      </w:r>
      <w:r w:rsidRPr="00F0587C">
        <w:rPr>
          <w:i/>
        </w:rPr>
        <w:t>Jub</w:t>
      </w:r>
      <w:r w:rsidR="00F0587C" w:rsidRPr="00F0587C">
        <w:rPr>
          <w:i/>
        </w:rPr>
        <w:t>ilees</w:t>
      </w:r>
      <w:r w:rsidR="00F0587C">
        <w:t xml:space="preserve"> </w:t>
      </w:r>
      <w:r w:rsidR="004A0BAC">
        <w:t xml:space="preserve">and </w:t>
      </w:r>
      <w:r w:rsidR="000A385A">
        <w:t xml:space="preserve">in </w:t>
      </w:r>
      <w:r w:rsidR="004A0BAC">
        <w:t>postbiblical Hebrew</w:t>
      </w:r>
      <w:r w:rsidRPr="0066103C">
        <w:t xml:space="preserve"> (</w:t>
      </w:r>
      <w:r w:rsidRPr="0066103C">
        <w:rPr>
          <w:i/>
        </w:rPr>
        <w:t>DTT</w:t>
      </w:r>
      <w:r w:rsidR="004A0BAC">
        <w:t>). O</w:t>
      </w:r>
      <w:r w:rsidRPr="0066103C">
        <w:t>utside Dan (9:24–27; 10:1–2)</w:t>
      </w:r>
      <w:r w:rsidR="004A0BAC">
        <w:t>, its pl.</w:t>
      </w:r>
      <w:r w:rsidRPr="0066103C">
        <w:t xml:space="preserve"> is </w:t>
      </w:r>
      <w:r w:rsidRPr="0066103C">
        <w:rPr>
          <w:rFonts w:ascii="Arial" w:hAnsi="Arial" w:cs="Arial"/>
        </w:rPr>
        <w:t>שבועות</w:t>
      </w:r>
      <w:r w:rsidRPr="0066103C">
        <w:t xml:space="preserve">; </w:t>
      </w:r>
      <w:r w:rsidRPr="0066103C">
        <w:rPr>
          <w:rFonts w:ascii="Arial" w:hAnsi="Arial" w:cs="Arial"/>
        </w:rPr>
        <w:t>שבועים</w:t>
      </w:r>
      <w:r w:rsidRPr="0066103C">
        <w:t xml:space="preserve"> may be an Aramaism (</w:t>
      </w:r>
      <w:r w:rsidR="007956F5" w:rsidRPr="0066103C">
        <w:t>Hartman/Di Lella</w:t>
      </w:r>
      <w:r w:rsidRPr="0066103C">
        <w:t>).</w:t>
      </w:r>
    </w:p>
    <w:p w:rsidR="003909F2" w:rsidRPr="0066103C" w:rsidRDefault="003909F2" w:rsidP="003909F2">
      <w:r w:rsidRPr="0066103C">
        <w:t>24.b. The s</w:t>
      </w:r>
      <w:r w:rsidR="000B5A1C" w:rsidRPr="0066103C">
        <w:t>.</w:t>
      </w:r>
      <w:r w:rsidRPr="0066103C">
        <w:t xml:space="preserve"> </w:t>
      </w:r>
      <w:r w:rsidRPr="0066103C">
        <w:rPr>
          <w:rFonts w:ascii="Arial" w:hAnsi="Arial" w:cs="Arial"/>
        </w:rPr>
        <w:t>נחתך</w:t>
      </w:r>
      <w:r w:rsidRPr="0066103C">
        <w:t xml:space="preserve"> implies “there has been determined/God has determined seventy sevens” (GKC 121ab), or perhaps “[a period of] seventy sevens has been determined” (cf. GKC 145h, 124ab).</w:t>
      </w:r>
    </w:p>
    <w:p w:rsidR="003909F2" w:rsidRPr="0066103C" w:rsidRDefault="000B5A1C" w:rsidP="003909F2">
      <w:r w:rsidRPr="0066103C">
        <w:t>24.c. Montgomery translates</w:t>
      </w:r>
      <w:r w:rsidR="003909F2" w:rsidRPr="0066103C">
        <w:t xml:space="preserve"> </w:t>
      </w:r>
      <w:r w:rsidR="003909F2" w:rsidRPr="0066103C">
        <w:rPr>
          <w:rFonts w:ascii="Arial" w:hAnsi="Arial" w:cs="Arial"/>
        </w:rPr>
        <w:t>על</w:t>
      </w:r>
      <w:r w:rsidR="003909F2" w:rsidRPr="0066103C">
        <w:t xml:space="preserve"> “against,” but the context points rather to the frequent meaning “concerning” (cf. </w:t>
      </w:r>
      <w:r w:rsidR="00634A66" w:rsidRPr="0066103C">
        <w:t xml:space="preserve">BDB, </w:t>
      </w:r>
      <w:r w:rsidR="004A0BAC">
        <w:t>754b; also in Aram.</w:t>
      </w:r>
      <w:r w:rsidR="002816BB">
        <w:t>,</w:t>
      </w:r>
      <w:r w:rsidR="003909F2" w:rsidRPr="0066103C">
        <w:t xml:space="preserve"> </w:t>
      </w:r>
      <w:r w:rsidR="00634A66" w:rsidRPr="0066103C">
        <w:t xml:space="preserve">BDB, </w:t>
      </w:r>
      <w:r w:rsidR="003909F2" w:rsidRPr="0066103C">
        <w:t>1106a).</w:t>
      </w:r>
    </w:p>
    <w:p w:rsidR="003909F2" w:rsidRPr="006F1B9D" w:rsidRDefault="003909F2" w:rsidP="003909F2">
      <w:r w:rsidRPr="0066103C">
        <w:t>24.d. K probably implies</w:t>
      </w:r>
      <w:r w:rsidR="00C57FEA" w:rsidRPr="00C57FEA">
        <w:t xml:space="preserve"> </w:t>
      </w:r>
      <w:r w:rsidR="00C57FEA" w:rsidRPr="00C57FEA">
        <w:rPr>
          <w:rFonts w:ascii="Arial" w:hAnsi="Arial" w:cs="Arial"/>
        </w:rPr>
        <w:t>לִכְלאֹ</w:t>
      </w:r>
      <w:r w:rsidR="00945C8C">
        <w:t xml:space="preserve"> </w:t>
      </w:r>
      <w:r w:rsidRPr="0066103C">
        <w:t xml:space="preserve">from </w:t>
      </w:r>
      <w:r w:rsidRPr="0066103C">
        <w:rPr>
          <w:rFonts w:ascii="Arial" w:hAnsi="Arial" w:cs="Arial"/>
        </w:rPr>
        <w:t>כלא</w:t>
      </w:r>
      <w:r w:rsidRPr="0066103C">
        <w:t xml:space="preserve"> “restrain,” leading into </w:t>
      </w:r>
      <w:r w:rsidRPr="0066103C">
        <w:rPr>
          <w:rFonts w:ascii="Arial" w:hAnsi="Arial" w:cs="Arial"/>
        </w:rPr>
        <w:t>לחתם</w:t>
      </w:r>
      <w:r w:rsidRPr="0066103C">
        <w:t xml:space="preserve"> “seal” in</w:t>
      </w:r>
      <w:r w:rsidR="000B5A1C" w:rsidRPr="0066103C">
        <w:t xml:space="preserve"> the next phrase (see n. 24.e-e</w:t>
      </w:r>
      <w:r w:rsidRPr="0066103C">
        <w:t xml:space="preserve">) (RVmg). The </w:t>
      </w:r>
      <w:r w:rsidR="00E70748" w:rsidRPr="0066103C">
        <w:t>verb</w:t>
      </w:r>
      <w:r w:rsidRPr="0066103C">
        <w:t>s through v 24a then develop, but not in a very plausi</w:t>
      </w:r>
      <w:r w:rsidR="00C57FEA">
        <w:t>ble way. More likely with Q the verbs</w:t>
      </w:r>
      <w:r w:rsidRPr="0066103C">
        <w:t xml:space="preserve"> are synonyms, and </w:t>
      </w:r>
      <w:r w:rsidRPr="0066103C">
        <w:rPr>
          <w:rFonts w:ascii="Arial" w:hAnsi="Arial" w:cs="Arial"/>
        </w:rPr>
        <w:t>לכלא</w:t>
      </w:r>
      <w:r w:rsidRPr="0066103C">
        <w:t xml:space="preserve"> comes from </w:t>
      </w:r>
      <w:r w:rsidRPr="0066103C">
        <w:rPr>
          <w:rFonts w:ascii="Arial" w:hAnsi="Arial" w:cs="Arial"/>
        </w:rPr>
        <w:t>כלה</w:t>
      </w:r>
      <w:r w:rsidRPr="0066103C">
        <w:t xml:space="preserve"> not </w:t>
      </w:r>
      <w:r w:rsidRPr="0066103C">
        <w:rPr>
          <w:rFonts w:ascii="Arial" w:hAnsi="Arial" w:cs="Arial"/>
        </w:rPr>
        <w:t>כלא</w:t>
      </w:r>
      <w:r w:rsidRPr="0066103C">
        <w:t xml:space="preserve"> (cf. </w:t>
      </w:r>
      <w:r w:rsidR="00634A66" w:rsidRPr="0066103C">
        <w:t xml:space="preserve">BDB, </w:t>
      </w:r>
      <w:r w:rsidRPr="0066103C">
        <w:t>476b, 478a; GKC 75aa, rr; G ουντελεσθῆναι</w:t>
      </w:r>
      <w:r w:rsidR="002816BB">
        <w:t>, also Aq</w:t>
      </w:r>
      <w:r w:rsidRPr="0066103C">
        <w:t xml:space="preserve">; cf. Q and many </w:t>
      </w:r>
      <w:r w:rsidR="003F4DB6" w:rsidRPr="003F4DB6">
        <w:t xml:space="preserve">medieval </w:t>
      </w:r>
      <w:r w:rsidRPr="0066103C">
        <w:t xml:space="preserve">mss </w:t>
      </w:r>
      <w:r w:rsidRPr="0066103C">
        <w:rPr>
          <w:rFonts w:ascii="Arial" w:hAnsi="Arial" w:cs="Arial"/>
        </w:rPr>
        <w:t>לכלה</w:t>
      </w:r>
      <w:r w:rsidRPr="0066103C">
        <w:t xml:space="preserve">). </w:t>
      </w:r>
      <w:r w:rsidRPr="0066103C">
        <w:rPr>
          <w:rFonts w:ascii="Arial" w:hAnsi="Arial" w:cs="Arial"/>
        </w:rPr>
        <w:t>כלה</w:t>
      </w:r>
      <w:r w:rsidR="000B5A1C" w:rsidRPr="0066103C">
        <w:t xml:space="preserve"> can mean “complete, finish</w:t>
      </w:r>
      <w:r w:rsidRPr="0066103C">
        <w:t>” or “eliminate</w:t>
      </w:r>
      <w:r w:rsidR="000B5A1C" w:rsidRPr="0066103C">
        <w:t>, finish off</w:t>
      </w:r>
      <w:r w:rsidR="002816BB">
        <w:t>”</w:t>
      </w:r>
      <w:r w:rsidRPr="0066103C">
        <w:t xml:space="preserve"> </w:t>
      </w:r>
      <w:r w:rsidR="002816BB">
        <w:t>(</w:t>
      </w:r>
      <w:r w:rsidRPr="0066103C">
        <w:t>cf. 9:</w:t>
      </w:r>
      <w:r w:rsidR="002816BB">
        <w:t>27; 11:16, 36; 12:7)</w:t>
      </w:r>
      <w:r w:rsidRPr="0066103C">
        <w:t xml:space="preserve"> </w:t>
      </w:r>
      <w:r w:rsidR="002816BB">
        <w:t xml:space="preserve">which </w:t>
      </w:r>
      <w:r w:rsidRPr="0066103C">
        <w:t xml:space="preserve">better fits </w:t>
      </w:r>
      <w:r w:rsidR="000B5A1C" w:rsidRPr="0066103C">
        <w:t>the general context here (Bevan;</w:t>
      </w:r>
      <w:r w:rsidR="002816BB">
        <w:t xml:space="preserve"> contrast Plöger). F</w:t>
      </w:r>
      <w:r w:rsidR="006F1B9D">
        <w:t xml:space="preserve">inish off in the sense of completing the payment for a debt (Anderson, </w:t>
      </w:r>
      <w:r w:rsidR="006F1B9D">
        <w:rPr>
          <w:i/>
        </w:rPr>
        <w:t>Sin</w:t>
      </w:r>
      <w:r w:rsidR="006F1B9D">
        <w:t>, 85-89) requires more reading in.</w:t>
      </w:r>
    </w:p>
    <w:p w:rsidR="003909F2" w:rsidRPr="0066103C" w:rsidRDefault="003909F2" w:rsidP="003909F2">
      <w:r w:rsidRPr="0066103C">
        <w:t xml:space="preserve">24.e-e. Reading </w:t>
      </w:r>
      <w:r w:rsidRPr="0066103C">
        <w:rPr>
          <w:rFonts w:ascii="Arial" w:hAnsi="Arial" w:cs="Arial"/>
        </w:rPr>
        <w:t>ולהתם</w:t>
      </w:r>
      <w:r w:rsidRPr="0066103C">
        <w:t xml:space="preserve"> (from </w:t>
      </w:r>
      <w:r w:rsidRPr="0066103C">
        <w:rPr>
          <w:rFonts w:ascii="Arial" w:hAnsi="Arial" w:cs="Arial"/>
        </w:rPr>
        <w:t>תמם</w:t>
      </w:r>
      <w:r w:rsidR="000B5A1C" w:rsidRPr="0066103C">
        <w:t xml:space="preserve">) with Q, cf. OG, </w:t>
      </w:r>
      <w:r w:rsidR="00B654C5">
        <w:t xml:space="preserve">Aq, </w:t>
      </w:r>
      <w:r w:rsidR="000B5A1C" w:rsidRPr="0066103C">
        <w:t>Syr</w:t>
      </w:r>
      <w:r w:rsidR="00775263" w:rsidRPr="0066103C">
        <w:t xml:space="preserve">, Vg. K </w:t>
      </w:r>
      <w:r w:rsidRPr="0066103C">
        <w:rPr>
          <w:rFonts w:ascii="Arial" w:hAnsi="Arial" w:cs="Arial"/>
        </w:rPr>
        <w:t>לחתם</w:t>
      </w:r>
      <w:r w:rsidR="00775263" w:rsidRPr="0066103C">
        <w:t xml:space="preserve"> “to seal” (cf. Th</w:t>
      </w:r>
      <w:r w:rsidRPr="0066103C">
        <w:t xml:space="preserve">) perhaps follows on from </w:t>
      </w:r>
      <w:r w:rsidRPr="0066103C">
        <w:rPr>
          <w:rFonts w:ascii="Arial" w:hAnsi="Arial" w:cs="Arial"/>
        </w:rPr>
        <w:t>לִכְלאֹ</w:t>
      </w:r>
      <w:r w:rsidRPr="0066103C">
        <w:t xml:space="preserve"> (n. 24.d); after </w:t>
      </w:r>
      <w:r w:rsidRPr="0066103C">
        <w:rPr>
          <w:rFonts w:ascii="Arial" w:hAnsi="Arial" w:cs="Arial"/>
        </w:rPr>
        <w:t>לְכַלֵּא</w:t>
      </w:r>
      <w:r w:rsidRPr="0066103C">
        <w:t xml:space="preserve"> it might imply sealing up as complete (Bentzen), but this </w:t>
      </w:r>
      <w:r w:rsidR="00775263" w:rsidRPr="0066103C">
        <w:t xml:space="preserve">idea </w:t>
      </w:r>
      <w:r w:rsidRPr="0066103C">
        <w:t xml:space="preserve">is </w:t>
      </w:r>
      <w:r w:rsidR="00775263" w:rsidRPr="0066103C">
        <w:t xml:space="preserve">also rather allusive, and it is more likely </w:t>
      </w:r>
      <w:r w:rsidRPr="0066103C">
        <w:rPr>
          <w:rFonts w:ascii="Arial" w:hAnsi="Arial" w:cs="Arial"/>
        </w:rPr>
        <w:t>לחתם</w:t>
      </w:r>
      <w:r w:rsidRPr="0066103C">
        <w:t xml:space="preserve"> here is assimilated to </w:t>
      </w:r>
      <w:r w:rsidRPr="0066103C">
        <w:rPr>
          <w:rFonts w:ascii="Arial" w:hAnsi="Arial" w:cs="Arial"/>
        </w:rPr>
        <w:t>לחתם</w:t>
      </w:r>
      <w:r w:rsidRPr="0066103C">
        <w:t xml:space="preserve"> in v 24b than </w:t>
      </w:r>
      <w:r w:rsidR="002816BB">
        <w:t xml:space="preserve">that the word is used twice </w:t>
      </w:r>
      <w:r w:rsidRPr="0066103C">
        <w:t>with different meanings.</w:t>
      </w:r>
    </w:p>
    <w:p w:rsidR="003909F2" w:rsidRPr="0066103C" w:rsidRDefault="003909F2" w:rsidP="003909F2">
      <w:r w:rsidRPr="0066103C">
        <w:t xml:space="preserve">24.f. Following K </w:t>
      </w:r>
      <w:r w:rsidRPr="0066103C">
        <w:rPr>
          <w:rFonts w:ascii="Arial" w:hAnsi="Arial" w:cs="Arial"/>
        </w:rPr>
        <w:t>חַטָאוֹת</w:t>
      </w:r>
      <w:r w:rsidR="00775263" w:rsidRPr="0066103C">
        <w:t xml:space="preserve"> (cf. G, Syr</w:t>
      </w:r>
      <w:r w:rsidR="002816BB">
        <w:t>).</w:t>
      </w:r>
      <w:r w:rsidRPr="0066103C">
        <w:t xml:space="preserve"> Q and many </w:t>
      </w:r>
      <w:r w:rsidR="003F4DB6" w:rsidRPr="003F4DB6">
        <w:t xml:space="preserve">medieval </w:t>
      </w:r>
      <w:r w:rsidRPr="0066103C">
        <w:t>mss</w:t>
      </w:r>
      <w:r w:rsidR="00B654C5">
        <w:t>, also Aq,</w:t>
      </w:r>
      <w:r w:rsidRPr="0066103C">
        <w:t xml:space="preserve"> </w:t>
      </w:r>
      <w:r w:rsidR="00B654C5">
        <w:t>have s.</w:t>
      </w:r>
      <w:r w:rsidR="002816BB">
        <w:t xml:space="preserve"> </w:t>
      </w:r>
      <w:r w:rsidR="002816BB" w:rsidRPr="002816BB">
        <w:rPr>
          <w:rFonts w:ascii="Arial" w:hAnsi="Arial" w:cs="Arial"/>
        </w:rPr>
        <w:t>ת</w:t>
      </w:r>
      <w:r w:rsidR="00B654C5">
        <w:t xml:space="preserve"> </w:t>
      </w:r>
      <w:r w:rsidRPr="0066103C">
        <w:rPr>
          <w:rFonts w:ascii="Arial" w:hAnsi="Arial" w:cs="Arial"/>
        </w:rPr>
        <w:t>הַטָא</w:t>
      </w:r>
      <w:r w:rsidR="002816BB">
        <w:rPr>
          <w:rFonts w:ascii="Arial" w:hAnsi="Arial" w:cs="Arial"/>
        </w:rPr>
        <w:t xml:space="preserve"> </w:t>
      </w:r>
      <w:r w:rsidR="002816BB">
        <w:t>“failure,” which</w:t>
      </w:r>
      <w:r w:rsidRPr="0066103C">
        <w:t xml:space="preserve"> looks like assimilation to s</w:t>
      </w:r>
      <w:r w:rsidR="00775263" w:rsidRPr="0066103C">
        <w:t>.</w:t>
      </w:r>
      <w:r w:rsidRPr="0066103C">
        <w:t xml:space="preserve"> </w:t>
      </w:r>
      <w:r w:rsidRPr="0066103C">
        <w:rPr>
          <w:rFonts w:ascii="Arial" w:hAnsi="Arial" w:cs="Arial"/>
        </w:rPr>
        <w:t>פשע</w:t>
      </w:r>
      <w:r w:rsidRPr="0066103C">
        <w:t xml:space="preserve"> (Bevan). Perhaps </w:t>
      </w:r>
      <w:r w:rsidR="00775263" w:rsidRPr="0066103C">
        <w:t>the three expressions for sin (the rebellion, failures, waywardness</w:t>
      </w:r>
      <w:r w:rsidRPr="0066103C">
        <w:t>) deliberately vary (article with s</w:t>
      </w:r>
      <w:r w:rsidR="00775263" w:rsidRPr="0066103C">
        <w:t>.</w:t>
      </w:r>
      <w:r w:rsidRPr="0066103C">
        <w:t>, anarthrous pl., anarthrous s</w:t>
      </w:r>
      <w:r w:rsidR="00775263" w:rsidRPr="0066103C">
        <w:t>.</w:t>
      </w:r>
      <w:r w:rsidRPr="0066103C">
        <w:t>).</w:t>
      </w:r>
    </w:p>
    <w:p w:rsidR="003909F2" w:rsidRPr="0066103C" w:rsidRDefault="003909F2" w:rsidP="003909F2">
      <w:r w:rsidRPr="0066103C">
        <w:t xml:space="preserve">24.g. </w:t>
      </w:r>
      <w:r w:rsidRPr="0066103C">
        <w:rPr>
          <w:rFonts w:ascii="Arial" w:hAnsi="Arial" w:cs="Arial"/>
        </w:rPr>
        <w:t>כפר</w:t>
      </w:r>
      <w:r w:rsidRPr="0066103C">
        <w:t xml:space="preserve">; in Arabic </w:t>
      </w:r>
      <w:r w:rsidRPr="0066103C">
        <w:rPr>
          <w:i/>
        </w:rPr>
        <w:t>kpr</w:t>
      </w:r>
      <w:r w:rsidRPr="0066103C">
        <w:t xml:space="preserve"> can mean “cover,” but the Heb. meaning links rather with Akk. </w:t>
      </w:r>
      <w:r w:rsidRPr="0066103C">
        <w:rPr>
          <w:i/>
        </w:rPr>
        <w:t>kaparu</w:t>
      </w:r>
      <w:r w:rsidRPr="0066103C">
        <w:t>/</w:t>
      </w:r>
      <w:r w:rsidRPr="0066103C">
        <w:rPr>
          <w:i/>
        </w:rPr>
        <w:t>kuppuru</w:t>
      </w:r>
      <w:r w:rsidRPr="0066103C">
        <w:t xml:space="preserve"> “cleanse”: </w:t>
      </w:r>
      <w:r w:rsidRPr="0066103C">
        <w:rPr>
          <w:i/>
        </w:rPr>
        <w:t>CAD</w:t>
      </w:r>
      <w:r w:rsidR="00775263" w:rsidRPr="0066103C">
        <w:t xml:space="preserve">; </w:t>
      </w:r>
      <w:r w:rsidRPr="0066103C">
        <w:t xml:space="preserve">Levine, </w:t>
      </w:r>
      <w:r w:rsidRPr="0066103C">
        <w:rPr>
          <w:i/>
        </w:rPr>
        <w:t>In the Presence of the Lord</w:t>
      </w:r>
      <w:r w:rsidR="00775263" w:rsidRPr="0066103C">
        <w:t>,</w:t>
      </w:r>
      <w:r w:rsidRPr="0066103C">
        <w:t xml:space="preserve"> 56–66, 123–27; against BDB.</w:t>
      </w:r>
      <w:r w:rsidR="00B654C5">
        <w:t xml:space="preserve"> Cf. OG.</w:t>
      </w:r>
    </w:p>
    <w:p w:rsidR="003909F2" w:rsidRPr="0066103C" w:rsidRDefault="003909F2" w:rsidP="003909F2">
      <w:r w:rsidRPr="0066103C">
        <w:t xml:space="preserve">24.h. MT punctuation divides v 24 after </w:t>
      </w:r>
      <w:r w:rsidRPr="0066103C">
        <w:rPr>
          <w:rFonts w:ascii="Arial" w:hAnsi="Arial" w:cs="Arial"/>
        </w:rPr>
        <w:t>עלמים</w:t>
      </w:r>
      <w:r w:rsidRPr="0066103C">
        <w:t xml:space="preserve"> </w:t>
      </w:r>
      <w:r w:rsidR="00775263" w:rsidRPr="0066103C">
        <w:rPr>
          <w:rFonts w:ascii="Arial" w:hAnsi="Arial" w:cs="Arial"/>
        </w:rPr>
        <w:t>צדק</w:t>
      </w:r>
      <w:r w:rsidR="00775263" w:rsidRPr="0066103C">
        <w:t xml:space="preserve"> </w:t>
      </w:r>
      <w:r w:rsidRPr="0066103C">
        <w:t>“lasting vindication,” but more likely we should divide the inf</w:t>
      </w:r>
      <w:r w:rsidR="0081660E">
        <w:t>initival</w:t>
      </w:r>
      <w:r w:rsidRPr="0066103C">
        <w:t xml:space="preserve"> cl</w:t>
      </w:r>
      <w:r w:rsidR="00775263" w:rsidRPr="0066103C">
        <w:t>ause</w:t>
      </w:r>
      <w:r w:rsidRPr="0066103C">
        <w:t>(s) between the three negatives (all two-word cl</w:t>
      </w:r>
      <w:r w:rsidR="00775263" w:rsidRPr="0066103C">
        <w:t>ause</w:t>
      </w:r>
      <w:r w:rsidRPr="0066103C">
        <w:t>s) and the three positives (all three-word</w:t>
      </w:r>
      <w:r w:rsidR="00775263" w:rsidRPr="0066103C">
        <w:t xml:space="preserve"> clauses</w:t>
      </w:r>
      <w:r w:rsidRPr="0066103C">
        <w:t>); cf. BHS</w:t>
      </w:r>
      <w:r w:rsidR="00C57FEA">
        <w:t>.</w:t>
      </w:r>
    </w:p>
    <w:p w:rsidR="003909F2" w:rsidRPr="0066103C" w:rsidRDefault="003909F2" w:rsidP="003909F2">
      <w:r w:rsidRPr="0066103C">
        <w:t xml:space="preserve">24.i-i. </w:t>
      </w:r>
      <w:r w:rsidRPr="0066103C">
        <w:rPr>
          <w:rFonts w:ascii="Arial" w:hAnsi="Arial" w:cs="Arial"/>
        </w:rPr>
        <w:t>ונביא</w:t>
      </w:r>
      <w:r w:rsidRPr="0066103C">
        <w:t xml:space="preserve"> </w:t>
      </w:r>
      <w:r w:rsidR="00775263" w:rsidRPr="0066103C">
        <w:rPr>
          <w:rFonts w:ascii="Arial" w:hAnsi="Arial" w:cs="Arial"/>
        </w:rPr>
        <w:t>חזון</w:t>
      </w:r>
      <w:r w:rsidR="00775263" w:rsidRPr="0066103C">
        <w:t xml:space="preserve"> </w:t>
      </w:r>
      <w:r w:rsidRPr="0066103C">
        <w:t>“vision and prophet.”</w:t>
      </w:r>
    </w:p>
    <w:p w:rsidR="003909F2" w:rsidRPr="0066103C" w:rsidRDefault="003909F2" w:rsidP="003909F2">
      <w:r w:rsidRPr="0066103C">
        <w:t xml:space="preserve">24.j-j. </w:t>
      </w:r>
      <w:r w:rsidRPr="0066103C">
        <w:rPr>
          <w:rFonts w:ascii="Arial" w:hAnsi="Arial" w:cs="Arial"/>
        </w:rPr>
        <w:t>קדשים</w:t>
      </w:r>
      <w:r w:rsidR="00775263" w:rsidRPr="0066103C">
        <w:t xml:space="preserve"> </w:t>
      </w:r>
      <w:r w:rsidR="00775263" w:rsidRPr="0066103C">
        <w:rPr>
          <w:rFonts w:ascii="Arial" w:hAnsi="Arial" w:cs="Arial"/>
        </w:rPr>
        <w:t>קדש</w:t>
      </w:r>
      <w:r w:rsidR="00775263" w:rsidRPr="0066103C">
        <w:t xml:space="preserve"> “a sacredness of </w:t>
      </w:r>
      <w:r w:rsidRPr="0066103C">
        <w:t xml:space="preserve">sacrednesses.” There is no word for “place,” but </w:t>
      </w:r>
      <w:r w:rsidR="006A5995">
        <w:t xml:space="preserve">in the OT </w:t>
      </w:r>
      <w:r w:rsidRPr="0066103C">
        <w:t>the phrase always refers to loca</w:t>
      </w:r>
      <w:r w:rsidR="00775263" w:rsidRPr="0066103C">
        <w:t>tions or objects (the wilderness sanctuary</w:t>
      </w:r>
      <w:r w:rsidRPr="0066103C">
        <w:t xml:space="preserve"> or </w:t>
      </w:r>
      <w:r w:rsidR="00775263" w:rsidRPr="0066103C">
        <w:t xml:space="preserve">the </w:t>
      </w:r>
      <w:r w:rsidRPr="0066103C">
        <w:t>temple, esp. its inmost room, also its altars, ves</w:t>
      </w:r>
      <w:r w:rsidR="00775263" w:rsidRPr="0066103C">
        <w:t xml:space="preserve">sels, incense, sacrifices, etc.: see Driver). Vg </w:t>
      </w:r>
      <w:r w:rsidRPr="0066103C">
        <w:t>takes it to refer to a person</w:t>
      </w:r>
      <w:r w:rsidR="006A5995">
        <w:t xml:space="preserve"> (cf.</w:t>
      </w:r>
      <w:r w:rsidR="006A5995" w:rsidRPr="006A5995">
        <w:t xml:space="preserve">Turpo, </w:t>
      </w:r>
      <w:r w:rsidR="006A5995" w:rsidRPr="006A5995">
        <w:rPr>
          <w:bCs/>
        </w:rPr>
        <w:t xml:space="preserve">“El ‘ungimiento del </w:t>
      </w:r>
      <w:r w:rsidR="00C57FEA">
        <w:rPr>
          <w:bCs/>
        </w:rPr>
        <w:t>santísimo’ en Daniel 9:24”; also</w:t>
      </w:r>
      <w:r w:rsidR="006A5995" w:rsidRPr="006A5995">
        <w:rPr>
          <w:bCs/>
        </w:rPr>
        <w:t xml:space="preserve"> </w:t>
      </w:r>
      <w:r w:rsidR="006A5995" w:rsidRPr="006A5995">
        <w:rPr>
          <w:i/>
        </w:rPr>
        <w:t>Estudio exegético de Daniel 9:24</w:t>
      </w:r>
      <w:r w:rsidR="006A5995">
        <w:t>)</w:t>
      </w:r>
      <w:r w:rsidRPr="0066103C">
        <w:t>, but it never does so elsewhere in the OT except for one possible unde</w:t>
      </w:r>
      <w:r w:rsidR="00775263" w:rsidRPr="0066103C">
        <w:t>rstanding of 1 Chr 23:13 (see RV</w:t>
      </w:r>
      <w:r w:rsidRPr="0066103C">
        <w:t>mg)</w:t>
      </w:r>
      <w:r w:rsidR="00EC5BEC">
        <w:t xml:space="preserve">, </w:t>
      </w:r>
      <w:r w:rsidR="00EC5BEC">
        <w:lastRenderedPageBreak/>
        <w:t>though</w:t>
      </w:r>
      <w:r w:rsidR="006A5995">
        <w:t xml:space="preserve"> it likely does at Qumran, which opens up the possibilit</w:t>
      </w:r>
      <w:r w:rsidR="00C57FEA">
        <w:t>y of that understanding here (s</w:t>
      </w:r>
      <w:r w:rsidR="006A5995">
        <w:t xml:space="preserve">o Meadowcroft, </w:t>
      </w:r>
      <w:r w:rsidR="006A5995" w:rsidRPr="006A5995">
        <w:t>“Exploring the Dismal Swamp</w:t>
      </w:r>
      <w:r w:rsidR="006A5995">
        <w:t>”).</w:t>
      </w:r>
      <w:r w:rsidRPr="0066103C">
        <w:t xml:space="preserve"> A fortiori </w:t>
      </w:r>
      <w:r w:rsidR="004A6DFB">
        <w:t>the reference cannot be to the anointed o</w:t>
      </w:r>
      <w:r w:rsidRPr="0066103C">
        <w:t xml:space="preserve">ne, </w:t>
      </w:r>
      <w:r w:rsidR="00775263" w:rsidRPr="0066103C">
        <w:t xml:space="preserve">the “Messiah” (cf. Syr </w:t>
      </w:r>
      <w:r w:rsidR="00775263" w:rsidRPr="004A6DFB">
        <w:rPr>
          <w:i/>
        </w:rPr>
        <w:t>mš</w:t>
      </w:r>
      <w:r w:rsidR="00775263" w:rsidRPr="0066103C">
        <w:rPr>
          <w:i/>
        </w:rPr>
        <w:t>yḥ’</w:t>
      </w:r>
      <w:r w:rsidRPr="0066103C">
        <w:t xml:space="preserve">). G’s literal ἄγιου </w:t>
      </w:r>
      <w:r w:rsidR="00EC5BEC">
        <w:t>ἁγίων could be read as denoting a person or a place</w:t>
      </w:r>
      <w:r w:rsidRPr="0066103C">
        <w:t xml:space="preserve">, but OG hardly presupposes a messianic interpretation, since it even lacks the verb “anoint” (its εὐφρᾶναι “rejoice” apparently misreads </w:t>
      </w:r>
      <w:r w:rsidRPr="0066103C">
        <w:rPr>
          <w:rFonts w:ascii="Arial" w:hAnsi="Arial" w:cs="Arial"/>
        </w:rPr>
        <w:t>למשח</w:t>
      </w:r>
      <w:r w:rsidRPr="0066103C">
        <w:t xml:space="preserve"> as </w:t>
      </w:r>
      <w:r w:rsidRPr="0066103C">
        <w:rPr>
          <w:rFonts w:ascii="Arial" w:hAnsi="Arial" w:cs="Arial"/>
        </w:rPr>
        <w:t>לשמח</w:t>
      </w:r>
      <w:r w:rsidRPr="0066103C">
        <w:t xml:space="preserve"> [Montgomery]).</w:t>
      </w:r>
    </w:p>
    <w:p w:rsidR="003909F2" w:rsidRPr="0066103C" w:rsidRDefault="003909F2" w:rsidP="003909F2">
      <w:r w:rsidRPr="0066103C">
        <w:t xml:space="preserve">25.a. </w:t>
      </w:r>
      <w:r w:rsidRPr="0066103C">
        <w:rPr>
          <w:rFonts w:ascii="Arial" w:hAnsi="Arial" w:cs="Arial"/>
        </w:rPr>
        <w:t>ולבנות</w:t>
      </w:r>
      <w:r w:rsidRPr="0066103C">
        <w:t xml:space="preserve"> </w:t>
      </w:r>
      <w:r w:rsidR="00775263" w:rsidRPr="0066103C">
        <w:rPr>
          <w:rFonts w:ascii="Arial" w:hAnsi="Arial" w:cs="Arial"/>
        </w:rPr>
        <w:t>להשיב</w:t>
      </w:r>
      <w:r w:rsidR="00775263" w:rsidRPr="0066103C">
        <w:t xml:space="preserve"> </w:t>
      </w:r>
      <w:r w:rsidRPr="0066103C">
        <w:t>“to restore and to b</w:t>
      </w:r>
      <w:r w:rsidR="00775263" w:rsidRPr="0066103C">
        <w:t>uild.” “To rebuild” (cf. Vg</w:t>
      </w:r>
      <w:r w:rsidRPr="0066103C">
        <w:t xml:space="preserve">) would require emending </w:t>
      </w:r>
      <w:r w:rsidRPr="0066103C">
        <w:rPr>
          <w:rFonts w:ascii="Arial" w:hAnsi="Arial" w:cs="Arial"/>
        </w:rPr>
        <w:t>להשיב</w:t>
      </w:r>
      <w:r w:rsidRPr="0066103C">
        <w:t xml:space="preserve"> to </w:t>
      </w:r>
      <w:r w:rsidRPr="0066103C">
        <w:rPr>
          <w:rFonts w:ascii="Arial" w:hAnsi="Arial" w:cs="Arial"/>
        </w:rPr>
        <w:t>לשוב</w:t>
      </w:r>
      <w:r w:rsidRPr="0066103C">
        <w:t xml:space="preserve"> (BHS), since </w:t>
      </w:r>
      <w:r w:rsidRPr="0066103C">
        <w:rPr>
          <w:rFonts w:ascii="Arial" w:hAnsi="Arial" w:cs="Arial"/>
        </w:rPr>
        <w:t>שוב</w:t>
      </w:r>
      <w:r w:rsidR="00775263" w:rsidRPr="0066103C">
        <w:t xml:space="preserve"> is always qal when </w:t>
      </w:r>
      <w:r w:rsidRPr="0066103C">
        <w:t xml:space="preserve">used in coordination with another </w:t>
      </w:r>
      <w:r w:rsidR="00E70748" w:rsidRPr="0066103C">
        <w:t>verb</w:t>
      </w:r>
      <w:r w:rsidRPr="0066103C">
        <w:t xml:space="preserve"> to indicate repeating an act (GKC 120d). Bevan repoints </w:t>
      </w:r>
      <w:r w:rsidR="00775263" w:rsidRPr="0066103C">
        <w:rPr>
          <w:rFonts w:ascii="Arial" w:hAnsi="Arial" w:cs="Arial"/>
        </w:rPr>
        <w:t xml:space="preserve">ב </w:t>
      </w:r>
      <w:r w:rsidRPr="0066103C">
        <w:rPr>
          <w:rFonts w:ascii="Arial" w:hAnsi="Arial" w:cs="Arial"/>
        </w:rPr>
        <w:t>שִׁי</w:t>
      </w:r>
      <w:r w:rsidR="00775263" w:rsidRPr="0066103C">
        <w:rPr>
          <w:rFonts w:ascii="Arial" w:hAnsi="Arial" w:cs="Arial"/>
        </w:rPr>
        <w:t xml:space="preserve"> הֹ</w:t>
      </w:r>
      <w:r w:rsidRPr="0066103C">
        <w:t xml:space="preserve"> </w:t>
      </w:r>
      <w:r w:rsidR="00775263" w:rsidRPr="0066103C">
        <w:rPr>
          <w:rFonts w:ascii="Arial" w:hAnsi="Arial" w:cs="Arial"/>
        </w:rPr>
        <w:t>לְ</w:t>
      </w:r>
      <w:r w:rsidR="00775263" w:rsidRPr="0066103C">
        <w:t xml:space="preserve"> </w:t>
      </w:r>
      <w:r w:rsidRPr="0066103C">
        <w:t xml:space="preserve">“to populate,” but this would be a unique sense of </w:t>
      </w:r>
      <w:r w:rsidRPr="0066103C">
        <w:rPr>
          <w:rFonts w:ascii="Arial" w:hAnsi="Arial" w:cs="Arial"/>
        </w:rPr>
        <w:t>ישב</w:t>
      </w:r>
      <w:r w:rsidRPr="0066103C">
        <w:t xml:space="preserve"> hi</w:t>
      </w:r>
      <w:r w:rsidR="00775263" w:rsidRPr="0066103C">
        <w:t>phil</w:t>
      </w:r>
      <w:r w:rsidRPr="0066103C">
        <w:t>.</w:t>
      </w:r>
    </w:p>
    <w:p w:rsidR="003909F2" w:rsidRPr="002C2955" w:rsidRDefault="003909F2" w:rsidP="003909F2">
      <w:pPr>
        <w:rPr>
          <w:i/>
        </w:rPr>
      </w:pPr>
      <w:r w:rsidRPr="0066103C">
        <w:t xml:space="preserve">25.b-b. </w:t>
      </w:r>
      <w:r w:rsidRPr="0066103C">
        <w:rPr>
          <w:rFonts w:ascii="Arial" w:hAnsi="Arial" w:cs="Arial"/>
        </w:rPr>
        <w:t>ששים</w:t>
      </w:r>
      <w:r w:rsidRPr="0066103C">
        <w:t xml:space="preserve"> </w:t>
      </w:r>
      <w:r w:rsidRPr="0066103C">
        <w:rPr>
          <w:rFonts w:ascii="Arial" w:hAnsi="Arial" w:cs="Arial"/>
        </w:rPr>
        <w:t>ושנים</w:t>
      </w:r>
      <w:r w:rsidR="00775263" w:rsidRPr="0066103C">
        <w:rPr>
          <w:rFonts w:ascii="Arial" w:hAnsi="Arial" w:cs="Arial"/>
        </w:rPr>
        <w:t xml:space="preserve"> ושבעים שבעה שבעים</w:t>
      </w:r>
      <w:r w:rsidR="007C65CD" w:rsidRPr="0066103C">
        <w:t>. NIV’s</w:t>
      </w:r>
      <w:r w:rsidRPr="0066103C">
        <w:t xml:space="preserve"> “seven ‘sevens,’ and </w:t>
      </w:r>
      <w:r w:rsidR="007C65CD" w:rsidRPr="0066103C">
        <w:t>sixty-two ‘sevens’” (cf. G, Syr</w:t>
      </w:r>
      <w:r w:rsidRPr="0066103C">
        <w:t xml:space="preserve">) suggests that the appearance of “an anointed, a </w:t>
      </w:r>
      <w:r w:rsidR="00B13647">
        <w:t>leader</w:t>
      </w:r>
      <w:r w:rsidRPr="0066103C">
        <w:t xml:space="preserve">” comes after sixty-nine “sevens,” but </w:t>
      </w:r>
      <w:r w:rsidR="006766E5">
        <w:t>this translation</w:t>
      </w:r>
      <w:r w:rsidR="007C65CD" w:rsidRPr="0066103C">
        <w:t xml:space="preserve"> involves ignoring </w:t>
      </w:r>
      <w:r w:rsidRPr="0066103C">
        <w:t xml:space="preserve">MT’s </w:t>
      </w:r>
      <w:r w:rsidR="007C65CD" w:rsidRPr="0066103C">
        <w:t xml:space="preserve">more natural </w:t>
      </w:r>
      <w:r w:rsidRPr="0066103C">
        <w:t>division of</w:t>
      </w:r>
      <w:r w:rsidR="007C65CD" w:rsidRPr="0066103C">
        <w:t xml:space="preserve"> the verse</w:t>
      </w:r>
      <w:r w:rsidR="00EE03DE">
        <w:t xml:space="preserve">. </w:t>
      </w:r>
      <w:r w:rsidRPr="0066103C">
        <w:t>Shea</w:t>
      </w:r>
      <w:r w:rsidR="007C65CD" w:rsidRPr="0066103C">
        <w:t xml:space="preserve">’s argument </w:t>
      </w:r>
      <w:r w:rsidRPr="0066103C">
        <w:t>for it on poetic grounds</w:t>
      </w:r>
      <w:r w:rsidR="007C65CD" w:rsidRPr="0066103C">
        <w:t xml:space="preserve"> (“Poetic Relations of the Time Periods in Dan 9:25”) is not compelling</w:t>
      </w:r>
      <w:r w:rsidR="00EE03DE">
        <w:t>; contrast the</w:t>
      </w:r>
      <w:r w:rsidR="00EE03DE" w:rsidRPr="00EE03DE">
        <w:t xml:space="preserve"> understanding of the proso</w:t>
      </w:r>
      <w:r w:rsidR="00EE03DE">
        <w:t>dy reflected</w:t>
      </w:r>
      <w:r w:rsidR="00EE03DE" w:rsidRPr="00EE03DE">
        <w:t xml:space="preserve"> in the translation</w:t>
      </w:r>
      <w:r w:rsidR="00EE03DE">
        <w:t xml:space="preserve"> above</w:t>
      </w:r>
      <w:r w:rsidRPr="0066103C">
        <w:t xml:space="preserve">. </w:t>
      </w:r>
      <w:r w:rsidR="006766E5" w:rsidRPr="006766E5">
        <w:t xml:space="preserve">Young questions whether Heb. syntax allows </w:t>
      </w:r>
      <w:r w:rsidR="006766E5" w:rsidRPr="006766E5">
        <w:rPr>
          <w:rFonts w:ascii="Arial" w:hAnsi="Arial" w:cs="Arial"/>
        </w:rPr>
        <w:t>ושנים</w:t>
      </w:r>
      <w:r w:rsidR="006766E5" w:rsidRPr="006766E5">
        <w:t xml:space="preserve"> </w:t>
      </w:r>
      <w:r w:rsidR="006766E5" w:rsidRPr="006766E5">
        <w:rPr>
          <w:rFonts w:ascii="Arial" w:hAnsi="Arial" w:cs="Arial"/>
        </w:rPr>
        <w:t>ששים</w:t>
      </w:r>
      <w:r w:rsidR="006766E5" w:rsidRPr="006766E5">
        <w:t xml:space="preserve"> </w:t>
      </w:r>
      <w:r w:rsidR="006766E5" w:rsidRPr="006766E5">
        <w:rPr>
          <w:rFonts w:ascii="Arial" w:hAnsi="Arial" w:cs="Arial"/>
        </w:rPr>
        <w:t>שבעים</w:t>
      </w:r>
      <w:r w:rsidR="006766E5" w:rsidRPr="006766E5">
        <w:t xml:space="preserve"> to be accusative of duration; but see GKC 118k. </w:t>
      </w:r>
      <w:r w:rsidR="00EC5BEC">
        <w:t>D</w:t>
      </w:r>
      <w:r w:rsidRPr="0066103C">
        <w:t xml:space="preserve">o the </w:t>
      </w:r>
      <w:r w:rsidR="00E70748" w:rsidRPr="0066103C">
        <w:t>verb</w:t>
      </w:r>
      <w:r w:rsidR="007C65CD" w:rsidRPr="0066103C">
        <w:t xml:space="preserve">s </w:t>
      </w:r>
      <w:r w:rsidR="006766E5">
        <w:t xml:space="preserve">then </w:t>
      </w:r>
      <w:r w:rsidR="007C65CD" w:rsidRPr="0066103C">
        <w:t xml:space="preserve">imply that </w:t>
      </w:r>
      <w:r w:rsidRPr="0066103C">
        <w:t>rest</w:t>
      </w:r>
      <w:r w:rsidR="006766E5">
        <w:t>oration and rebuilding continue</w:t>
      </w:r>
      <w:r w:rsidRPr="0066103C">
        <w:t xml:space="preserve"> over the sixty-two years (so Hengstenberg, </w:t>
      </w:r>
      <w:r w:rsidRPr="0066103C">
        <w:rPr>
          <w:i/>
        </w:rPr>
        <w:t>Christologie</w:t>
      </w:r>
      <w:r w:rsidR="007C65CD" w:rsidRPr="0066103C">
        <w:t xml:space="preserve">)? That would be odd, and </w:t>
      </w:r>
      <w:r w:rsidR="002D3B6F">
        <w:t xml:space="preserve">so that </w:t>
      </w:r>
      <w:r w:rsidR="007C65CD" w:rsidRPr="0066103C">
        <w:t>NIV</w:t>
      </w:r>
      <w:r w:rsidR="002D3B6F">
        <w:t xml:space="preserve"> could </w:t>
      </w:r>
      <w:r w:rsidR="00EC5BEC">
        <w:t>be right, and</w:t>
      </w:r>
      <w:r w:rsidRPr="0066103C">
        <w:t xml:space="preserve"> MT might </w:t>
      </w:r>
      <w:r w:rsidR="00EC5BEC">
        <w:t xml:space="preserve">then </w:t>
      </w:r>
      <w:r w:rsidRPr="0066103C">
        <w:t xml:space="preserve">be </w:t>
      </w:r>
      <w:r w:rsidR="00EC5BEC">
        <w:t xml:space="preserve">seen as </w:t>
      </w:r>
      <w:r w:rsidRPr="0066103C">
        <w:t>antimessianic (Beck</w:t>
      </w:r>
      <w:r w:rsidR="007C65CD" w:rsidRPr="0066103C">
        <w:t>with, “Daniel 9 and the Date of Messiah’s Coming,”</w:t>
      </w:r>
      <w:r w:rsidR="002D3B6F">
        <w:t xml:space="preserve"> 522), but it</w:t>
      </w:r>
      <w:r w:rsidR="002C2955">
        <w:t xml:space="preserve">s </w:t>
      </w:r>
      <w:r w:rsidR="002D3B6F">
        <w:t xml:space="preserve">construal is </w:t>
      </w:r>
      <w:r w:rsidR="002C2955">
        <w:t>well-instanced in early Christian writers (see McComiskey,</w:t>
      </w:r>
      <w:r w:rsidR="002C2955" w:rsidRPr="002C2955">
        <w:t xml:space="preserve"> “The Seventy ‘Weeks’ of Daniel</w:t>
      </w:r>
      <w:r w:rsidR="002C2955">
        <w:t>”).</w:t>
      </w:r>
    </w:p>
    <w:p w:rsidR="003909F2" w:rsidRPr="0066103C" w:rsidRDefault="003909F2" w:rsidP="003909F2">
      <w:r w:rsidRPr="0066103C">
        <w:t xml:space="preserve">25.c-c. Qal </w:t>
      </w:r>
      <w:r w:rsidRPr="0066103C">
        <w:rPr>
          <w:rFonts w:ascii="Arial" w:hAnsi="Arial" w:cs="Arial"/>
        </w:rPr>
        <w:t>תשוב</w:t>
      </w:r>
      <w:r w:rsidRPr="0066103C">
        <w:t xml:space="preserve"> “be restored” could here stand in coordination with </w:t>
      </w:r>
      <w:r w:rsidRPr="0066103C">
        <w:rPr>
          <w:rFonts w:ascii="Arial" w:hAnsi="Arial" w:cs="Arial"/>
        </w:rPr>
        <w:t>נבנתה</w:t>
      </w:r>
      <w:r w:rsidRPr="0066103C">
        <w:t xml:space="preserve"> “be built” and the phrase as a whole </w:t>
      </w:r>
      <w:r w:rsidR="00EC5BEC">
        <w:t xml:space="preserve">could </w:t>
      </w:r>
      <w:r w:rsidRPr="0066103C">
        <w:t xml:space="preserve">mean simply “be built again” (cf. </w:t>
      </w:r>
      <w:r w:rsidR="007C65CD" w:rsidRPr="0066103C">
        <w:t>GKC 120e on the construction). But t</w:t>
      </w:r>
      <w:r w:rsidRPr="0066103C">
        <w:t xml:space="preserve">he usage in v 25a suggests rather that </w:t>
      </w:r>
      <w:r w:rsidRPr="0066103C">
        <w:rPr>
          <w:rFonts w:ascii="Arial" w:hAnsi="Arial" w:cs="Arial"/>
        </w:rPr>
        <w:t>תשוב</w:t>
      </w:r>
      <w:r w:rsidRPr="0066103C">
        <w:t xml:space="preserve"> is quasi-pass</w:t>
      </w:r>
      <w:r w:rsidR="007C65CD" w:rsidRPr="0066103C">
        <w:t>ive</w:t>
      </w:r>
      <w:r w:rsidRPr="0066103C">
        <w:t xml:space="preserve"> of </w:t>
      </w:r>
      <w:r w:rsidRPr="0066103C">
        <w:rPr>
          <w:rFonts w:ascii="Arial" w:hAnsi="Arial" w:cs="Arial"/>
        </w:rPr>
        <w:t>השיב</w:t>
      </w:r>
      <w:r w:rsidRPr="0066103C">
        <w:t xml:space="preserve">, as </w:t>
      </w:r>
      <w:r w:rsidRPr="0066103C">
        <w:rPr>
          <w:rFonts w:ascii="Arial" w:hAnsi="Arial" w:cs="Arial"/>
        </w:rPr>
        <w:t>נבנתה</w:t>
      </w:r>
      <w:r w:rsidRPr="0066103C">
        <w:t xml:space="preserve"> is pass</w:t>
      </w:r>
      <w:r w:rsidR="007C65CD" w:rsidRPr="0066103C">
        <w:t>ive</w:t>
      </w:r>
      <w:r w:rsidRPr="0066103C">
        <w:t xml:space="preserve"> of </w:t>
      </w:r>
      <w:r w:rsidRPr="0066103C">
        <w:rPr>
          <w:rFonts w:ascii="Arial" w:hAnsi="Arial" w:cs="Arial"/>
        </w:rPr>
        <w:t>בנות</w:t>
      </w:r>
      <w:r w:rsidR="00EC5BEC">
        <w:rPr>
          <w:rFonts w:cs="Arial"/>
        </w:rPr>
        <w:t>;</w:t>
      </w:r>
      <w:r w:rsidR="007C65CD" w:rsidRPr="0066103C">
        <w:rPr>
          <w:rFonts w:cs="Arial"/>
        </w:rPr>
        <w:t xml:space="preserve"> letting t</w:t>
      </w:r>
      <w:r w:rsidR="002D3B6F">
        <w:rPr>
          <w:rFonts w:cs="Arial"/>
        </w:rPr>
        <w:t>he two words be independent fit</w:t>
      </w:r>
      <w:r w:rsidR="007C65CD" w:rsidRPr="0066103C">
        <w:rPr>
          <w:rFonts w:cs="Arial"/>
        </w:rPr>
        <w:t>s the prosody</w:t>
      </w:r>
      <w:r w:rsidR="007C65CD" w:rsidRPr="0066103C">
        <w:t>. For this us</w:t>
      </w:r>
      <w:r w:rsidRPr="0066103C">
        <w:t xml:space="preserve">e of </w:t>
      </w:r>
      <w:r w:rsidRPr="0066103C">
        <w:rPr>
          <w:rFonts w:ascii="Arial" w:hAnsi="Arial" w:cs="Arial"/>
        </w:rPr>
        <w:t>שוב</w:t>
      </w:r>
      <w:r w:rsidRPr="0066103C">
        <w:t xml:space="preserve"> in qal cf. 1 Kgs 13:6. Bevan (cf. n. 25.a-a) repoints </w:t>
      </w:r>
      <w:r w:rsidRPr="0066103C">
        <w:rPr>
          <w:rFonts w:ascii="Arial" w:hAnsi="Arial" w:cs="Arial"/>
        </w:rPr>
        <w:t>תֵּשֵׁב</w:t>
      </w:r>
      <w:r w:rsidRPr="0066103C">
        <w:t>.</w:t>
      </w:r>
    </w:p>
    <w:p w:rsidR="003909F2" w:rsidRPr="0066103C" w:rsidRDefault="003909F2" w:rsidP="003909F2">
      <w:r w:rsidRPr="0066103C">
        <w:t xml:space="preserve">25.d. </w:t>
      </w:r>
      <w:r w:rsidRPr="0066103C">
        <w:rPr>
          <w:rFonts w:ascii="Arial" w:hAnsi="Arial" w:cs="Arial"/>
        </w:rPr>
        <w:t>רחוב</w:t>
      </w:r>
      <w:r w:rsidRPr="0066103C">
        <w:t xml:space="preserve">; a “broad open place” (cf. root </w:t>
      </w:r>
      <w:r w:rsidRPr="0066103C">
        <w:rPr>
          <w:rFonts w:ascii="Arial" w:hAnsi="Arial" w:cs="Arial"/>
        </w:rPr>
        <w:t>רחב</w:t>
      </w:r>
      <w:r w:rsidR="007C65CD" w:rsidRPr="0066103C">
        <w:t>), not “street” (NEB</w:t>
      </w:r>
      <w:r w:rsidRPr="0066103C">
        <w:t>), though hardly the temple</w:t>
      </w:r>
      <w:r w:rsidR="006C38A1" w:rsidRPr="0066103C">
        <w:t xml:space="preserve"> court specifically (against </w:t>
      </w:r>
      <w:r w:rsidRPr="0066103C">
        <w:t>van Selms, “The Origin of the Name Tyropoeo</w:t>
      </w:r>
      <w:r w:rsidR="006C38A1" w:rsidRPr="0066103C">
        <w:t>n in Jerusalem,” 173), which would need to be made explicit</w:t>
      </w:r>
      <w:r w:rsidRPr="0066103C">
        <w:t xml:space="preserve"> as in Ezra 10:9.</w:t>
      </w:r>
    </w:p>
    <w:p w:rsidR="003909F2" w:rsidRPr="0066103C" w:rsidRDefault="003909F2" w:rsidP="003909F2">
      <w:r w:rsidRPr="0066103C">
        <w:t xml:space="preserve">25.e. </w:t>
      </w:r>
      <w:r w:rsidRPr="0066103C">
        <w:rPr>
          <w:rFonts w:ascii="Arial" w:hAnsi="Arial" w:cs="Arial"/>
        </w:rPr>
        <w:t>חרוץ</w:t>
      </w:r>
      <w:r w:rsidRPr="0066103C">
        <w:t>; the root means “cut,” the adj</w:t>
      </w:r>
      <w:r w:rsidR="006C38A1" w:rsidRPr="0066103C">
        <w:t>ective</w:t>
      </w:r>
      <w:r w:rsidRPr="0066103C">
        <w:t xml:space="preserve"> “sharp.” In Akk. ḥ</w:t>
      </w:r>
      <w:r w:rsidR="006C38A1" w:rsidRPr="0066103C">
        <w:t xml:space="preserve">arīṣu denotes a ditch (cf. NEB “conduit”) or </w:t>
      </w:r>
      <w:r w:rsidRPr="0066103C">
        <w:t>moat, associated wi</w:t>
      </w:r>
      <w:r w:rsidR="006C38A1" w:rsidRPr="0066103C">
        <w:t>th a rampart (cf. Th τεῖχος, JB</w:t>
      </w:r>
      <w:r w:rsidRPr="0066103C">
        <w:t xml:space="preserve">). Van Selms (see n. 25.d) plausibly takes </w:t>
      </w:r>
      <w:r w:rsidRPr="0066103C">
        <w:rPr>
          <w:rFonts w:ascii="Arial" w:hAnsi="Arial" w:cs="Arial"/>
        </w:rPr>
        <w:t>חרוץ</w:t>
      </w:r>
      <w:r w:rsidRPr="0066103C">
        <w:t xml:space="preserve"> to refer to the Tyropoeon Valley here and in Joel </w:t>
      </w:r>
      <w:r w:rsidR="00EC5BEC">
        <w:t>3 [</w:t>
      </w:r>
      <w:r w:rsidRPr="0066103C">
        <w:t>4</w:t>
      </w:r>
      <w:r w:rsidR="00EC5BEC">
        <w:t>]</w:t>
      </w:r>
      <w:r w:rsidRPr="0066103C">
        <w:t>:14 (</w:t>
      </w:r>
      <w:r w:rsidR="006C38A1" w:rsidRPr="0066103C">
        <w:t>at one time the Tyropoeon was more of a ravine, like the Q</w:t>
      </w:r>
      <w:r w:rsidRPr="0066103C">
        <w:t>idron).</w:t>
      </w:r>
    </w:p>
    <w:p w:rsidR="003909F2" w:rsidRDefault="003909F2" w:rsidP="003909F2">
      <w:r w:rsidRPr="0066103C">
        <w:t xml:space="preserve">25.f-f. Linking </w:t>
      </w:r>
      <w:r w:rsidRPr="0066103C">
        <w:rPr>
          <w:rFonts w:ascii="Arial" w:hAnsi="Arial" w:cs="Arial"/>
        </w:rPr>
        <w:t>העתים</w:t>
      </w:r>
      <w:r w:rsidRPr="0066103C">
        <w:t xml:space="preserve"> </w:t>
      </w:r>
      <w:r w:rsidR="006C38A1" w:rsidRPr="0066103C">
        <w:rPr>
          <w:rFonts w:ascii="Arial" w:hAnsi="Arial" w:cs="Arial"/>
        </w:rPr>
        <w:t>ובצוק</w:t>
      </w:r>
      <w:r w:rsidR="006C38A1" w:rsidRPr="0066103C">
        <w:t xml:space="preserve"> with v 26, with NEB (though </w:t>
      </w:r>
      <w:r w:rsidR="002D3B6F">
        <w:t>it speaks of</w:t>
      </w:r>
      <w:r w:rsidRPr="0066103C">
        <w:t xml:space="preserve"> “the trouble of the times” not “the times of the trouble”; contrast 12:1). The </w:t>
      </w:r>
      <w:r w:rsidRPr="0066103C">
        <w:rPr>
          <w:rFonts w:ascii="Arial" w:hAnsi="Arial" w:cs="Arial"/>
        </w:rPr>
        <w:t>ו</w:t>
      </w:r>
      <w:r w:rsidRPr="0066103C">
        <w:t xml:space="preserve"> “but” looks like the beginning of a new sentence or cl</w:t>
      </w:r>
      <w:r w:rsidR="006C38A1" w:rsidRPr="0066103C">
        <w:t>ause.</w:t>
      </w:r>
      <w:r w:rsidRPr="0066103C">
        <w:t xml:space="preserve"> </w:t>
      </w:r>
      <w:r w:rsidR="00F91222">
        <w:t>Syr</w:t>
      </w:r>
      <w:r w:rsidRPr="0066103C">
        <w:t xml:space="preserve"> </w:t>
      </w:r>
      <w:r w:rsidR="006C38A1" w:rsidRPr="0066103C">
        <w:rPr>
          <w:i/>
        </w:rPr>
        <w:t>lšwlm zbn’</w:t>
      </w:r>
      <w:r w:rsidRPr="0066103C">
        <w:t xml:space="preserve"> suggests </w:t>
      </w:r>
      <w:r w:rsidRPr="0066103C">
        <w:rPr>
          <w:rFonts w:ascii="Arial" w:hAnsi="Arial" w:cs="Arial"/>
        </w:rPr>
        <w:t>העתים</w:t>
      </w:r>
      <w:r w:rsidRPr="0066103C">
        <w:t xml:space="preserve"> </w:t>
      </w:r>
      <w:r w:rsidR="006C38A1" w:rsidRPr="0066103C">
        <w:rPr>
          <w:rFonts w:ascii="Arial" w:hAnsi="Arial" w:cs="Arial"/>
        </w:rPr>
        <w:t>ובקץ</w:t>
      </w:r>
      <w:r w:rsidR="006C38A1" w:rsidRPr="0066103C">
        <w:t xml:space="preserve"> </w:t>
      </w:r>
      <w:r w:rsidRPr="0066103C">
        <w:t>“but at the end of the times,” which would also naturally link with v 26 (Bevan); cf. OG καὶ κατὰ ουντέλειαν κ</w:t>
      </w:r>
      <w:r w:rsidR="002D3B6F">
        <w:t>αιρῶν (in v 27)—influenced by Syr?</w:t>
      </w:r>
      <w:r w:rsidR="006C38A1" w:rsidRPr="0066103C">
        <w:t xml:space="preserve"> Yet Syr</w:t>
      </w:r>
      <w:r w:rsidRPr="0066103C">
        <w:t xml:space="preserve"> looks like the substitution of a more familiar expression for a less familiar one. Van Selms (see n. 25.d) ingeniously suggests that the phrase means “mound [cf. BDB on </w:t>
      </w:r>
      <w:r w:rsidRPr="0066103C">
        <w:rPr>
          <w:rFonts w:ascii="Arial" w:hAnsi="Arial" w:cs="Arial"/>
        </w:rPr>
        <w:t>בצק</w:t>
      </w:r>
      <w:r w:rsidRPr="0066103C">
        <w:t xml:space="preserve">, </w:t>
      </w:r>
      <w:r w:rsidRPr="0066103C">
        <w:rPr>
          <w:rFonts w:ascii="Arial" w:hAnsi="Arial" w:cs="Arial"/>
        </w:rPr>
        <w:t>בצקת</w:t>
      </w:r>
      <w:r w:rsidRPr="0066103C">
        <w:t xml:space="preserve">] (and) bends [cf. BDB on </w:t>
      </w:r>
      <w:r w:rsidRPr="0066103C">
        <w:rPr>
          <w:rFonts w:ascii="Arial" w:hAnsi="Arial" w:cs="Arial"/>
        </w:rPr>
        <w:t>עות</w:t>
      </w:r>
      <w:r w:rsidRPr="0066103C">
        <w:t>],” the last four words of v 25 thus referring to Jerusalem’s east (temple court), west (Tyropoeon), north (the more elevated hill), and south (the valleys below the city). If MT is right, v 25b as a whole refers t</w:t>
      </w:r>
      <w:r w:rsidR="00403126">
        <w:t>o the two features of Second Temple</w:t>
      </w:r>
      <w:r w:rsidRPr="0066103C">
        <w:t xml:space="preserve"> history that could be known from the OT, the rebuilding of the city and the pressure of Israel’s hostile neighbors (</w:t>
      </w:r>
      <w:r w:rsidR="007956F5" w:rsidRPr="0066103C">
        <w:t>Hartman/Di Lella</w:t>
      </w:r>
      <w:r w:rsidRPr="0066103C">
        <w:t>).</w:t>
      </w:r>
    </w:p>
    <w:p w:rsidR="00381F21" w:rsidRPr="0066103C" w:rsidRDefault="00381F21" w:rsidP="003909F2">
      <w:r>
        <w:t>26.a.</w:t>
      </w:r>
      <w:r w:rsidR="00A9098F">
        <w:t xml:space="preserve"> OG “and after seven and seventy and sixty-two.” OG thus suggests Year 139 of the Seleucid era</w:t>
      </w:r>
      <w:r w:rsidR="002D70D0">
        <w:t>, the year 171 BC (see e.g., Bruce, “The Ea</w:t>
      </w:r>
      <w:r w:rsidR="00365CCB">
        <w:t>rliest OT Interpretation,” 43-44</w:t>
      </w:r>
      <w:r w:rsidR="002D70D0">
        <w:t>).</w:t>
      </w:r>
    </w:p>
    <w:p w:rsidR="003909F2" w:rsidRPr="0066103C" w:rsidRDefault="00381F21" w:rsidP="003909F2">
      <w:r>
        <w:t>26.b</w:t>
      </w:r>
      <w:r w:rsidR="003909F2" w:rsidRPr="0066103C">
        <w:t xml:space="preserve">. </w:t>
      </w:r>
      <w:r w:rsidR="003909F2" w:rsidRPr="0066103C">
        <w:rPr>
          <w:rFonts w:ascii="Arial" w:hAnsi="Arial" w:cs="Arial"/>
        </w:rPr>
        <w:t>כרת</w:t>
      </w:r>
      <w:r w:rsidR="003909F2" w:rsidRPr="0066103C">
        <w:t xml:space="preserve"> ni</w:t>
      </w:r>
      <w:r w:rsidR="006C38A1" w:rsidRPr="0066103C">
        <w:t>phal</w:t>
      </w:r>
      <w:r w:rsidR="003909F2" w:rsidRPr="0066103C">
        <w:t>: “disappear” (Plöger).</w:t>
      </w:r>
    </w:p>
    <w:p w:rsidR="006C38A1" w:rsidRPr="0066103C" w:rsidRDefault="00381F21" w:rsidP="003909F2">
      <w:r>
        <w:t>26.c-c</w:t>
      </w:r>
      <w:r w:rsidR="006C38A1" w:rsidRPr="0066103C">
        <w:t>. Ozanne, “Three Textual Problems in Daniel,”</w:t>
      </w:r>
      <w:r w:rsidR="003909F2" w:rsidRPr="0066103C">
        <w:t xml:space="preserve"> 446–47; MT</w:t>
      </w:r>
      <w:r w:rsidR="006C38A1" w:rsidRPr="0066103C">
        <w:t>’s</w:t>
      </w:r>
      <w:r w:rsidR="003909F2" w:rsidRPr="0066103C">
        <w:t xml:space="preserve"> punctuation of </w:t>
      </w:r>
    </w:p>
    <w:p w:rsidR="003909F2" w:rsidRPr="0066103C" w:rsidRDefault="003909F2" w:rsidP="006C38A1">
      <w:pPr>
        <w:ind w:firstLine="0"/>
      </w:pPr>
      <w:r w:rsidRPr="0066103C">
        <w:rPr>
          <w:rFonts w:ascii="Arial" w:hAnsi="Arial" w:cs="Arial"/>
        </w:rPr>
        <w:t>והקדש</w:t>
      </w:r>
      <w:r w:rsidR="006C38A1" w:rsidRPr="0066103C">
        <w:rPr>
          <w:rFonts w:ascii="Arial" w:hAnsi="Arial" w:cs="Arial"/>
        </w:rPr>
        <w:t xml:space="preserve"> והעיר</w:t>
      </w:r>
      <w:r w:rsidRPr="0066103C">
        <w:t xml:space="preserve"> </w:t>
      </w:r>
      <w:r w:rsidR="006C38A1" w:rsidRPr="0066103C">
        <w:rPr>
          <w:rFonts w:ascii="Arial" w:hAnsi="Arial" w:cs="Arial"/>
        </w:rPr>
        <w:t>לו</w:t>
      </w:r>
      <w:r w:rsidR="006C38A1" w:rsidRPr="0066103C">
        <w:t xml:space="preserve"> </w:t>
      </w:r>
      <w:r w:rsidR="006C38A1" w:rsidRPr="0066103C">
        <w:rPr>
          <w:rFonts w:ascii="Arial" w:hAnsi="Arial" w:cs="Arial"/>
        </w:rPr>
        <w:t>ואין</w:t>
      </w:r>
      <w:r w:rsidR="006C38A1" w:rsidRPr="0066103C">
        <w:t xml:space="preserve"> </w:t>
      </w:r>
      <w:r w:rsidR="00AD7889">
        <w:t xml:space="preserve">places the athnah after the first two words, which makes them </w:t>
      </w:r>
      <w:r w:rsidR="00F5047F">
        <w:t>cryptic (cf. G, Vg, Syr</w:t>
      </w:r>
      <w:r w:rsidRPr="0066103C">
        <w:t xml:space="preserve">, </w:t>
      </w:r>
      <w:r w:rsidR="005535FE" w:rsidRPr="0066103C">
        <w:t>EVV</w:t>
      </w:r>
      <w:r w:rsidRPr="0066103C">
        <w:t xml:space="preserve">). For </w:t>
      </w:r>
      <w:r w:rsidRPr="0066103C">
        <w:rPr>
          <w:rFonts w:ascii="Arial" w:hAnsi="Arial" w:cs="Arial"/>
        </w:rPr>
        <w:t>ו</w:t>
      </w:r>
      <w:r w:rsidR="006C38A1" w:rsidRPr="0066103C">
        <w:rPr>
          <w:rFonts w:ascii="Arial" w:hAnsi="Arial" w:cs="Arial"/>
        </w:rPr>
        <w:t xml:space="preserve"> </w:t>
      </w:r>
      <w:r w:rsidR="006C38A1" w:rsidRPr="0066103C">
        <w:t>…</w:t>
      </w:r>
      <w:r w:rsidRPr="0066103C">
        <w:rPr>
          <w:rFonts w:ascii="Arial" w:hAnsi="Arial" w:cs="Arial"/>
        </w:rPr>
        <w:t>ו</w:t>
      </w:r>
      <w:r w:rsidR="006C38A1" w:rsidRPr="0066103C">
        <w:t xml:space="preserve"> = “both… </w:t>
      </w:r>
      <w:r w:rsidRPr="0066103C">
        <w:t>and,” see GKC 154a; cf. 8:13.</w:t>
      </w:r>
    </w:p>
    <w:p w:rsidR="003909F2" w:rsidRPr="0066103C" w:rsidRDefault="00A9098F" w:rsidP="003909F2">
      <w:r>
        <w:lastRenderedPageBreak/>
        <w:t>26.d</w:t>
      </w:r>
      <w:r w:rsidR="003909F2" w:rsidRPr="0066103C">
        <w:t xml:space="preserve">. </w:t>
      </w:r>
      <w:r w:rsidR="003909F2" w:rsidRPr="0066103C">
        <w:rPr>
          <w:rFonts w:ascii="Arial" w:hAnsi="Arial" w:cs="Arial"/>
        </w:rPr>
        <w:t>הבא</w:t>
      </w:r>
      <w:r w:rsidR="003909F2" w:rsidRPr="0066103C">
        <w:t>; for indeterminate noun followed b</w:t>
      </w:r>
      <w:r w:rsidR="006C38A1" w:rsidRPr="0066103C">
        <w:t>y determinate participle</w:t>
      </w:r>
      <w:r w:rsidR="003909F2" w:rsidRPr="0066103C">
        <w:t xml:space="preserve">, see GKC 126w. </w:t>
      </w:r>
      <w:r w:rsidR="003909F2" w:rsidRPr="0066103C">
        <w:rPr>
          <w:rFonts w:ascii="Arial" w:hAnsi="Arial" w:cs="Arial"/>
        </w:rPr>
        <w:t>נגיד</w:t>
      </w:r>
      <w:r w:rsidR="002665D2">
        <w:t xml:space="preserve"> “leader</w:t>
      </w:r>
      <w:r w:rsidR="003909F2" w:rsidRPr="0066103C">
        <w:t xml:space="preserve">” is perhaps implicitly determinate (cf. </w:t>
      </w:r>
      <w:r w:rsidR="003909F2" w:rsidRPr="0066103C">
        <w:rPr>
          <w:i/>
        </w:rPr>
        <w:t>TTH</w:t>
      </w:r>
      <w:r w:rsidR="003909F2" w:rsidRPr="0066103C">
        <w:t xml:space="preserve"> 209)</w:t>
      </w:r>
      <w:r w:rsidR="00C22D81">
        <w:t>. On OG καὶ ἤξει, see n. 26.g</w:t>
      </w:r>
      <w:r w:rsidR="00AD7889">
        <w:t>.</w:t>
      </w:r>
    </w:p>
    <w:p w:rsidR="003909F2" w:rsidRPr="0066103C" w:rsidRDefault="00A9098F" w:rsidP="003909F2">
      <w:r>
        <w:t>26.e</w:t>
      </w:r>
      <w:r w:rsidR="003909F2" w:rsidRPr="0066103C">
        <w:t xml:space="preserve">. </w:t>
      </w:r>
      <w:r w:rsidR="003909F2" w:rsidRPr="0066103C">
        <w:rPr>
          <w:rFonts w:ascii="Arial" w:hAnsi="Arial" w:cs="Arial"/>
        </w:rPr>
        <w:t>ישחית</w:t>
      </w:r>
      <w:r w:rsidR="003909F2" w:rsidRPr="0066103C">
        <w:t>, cf. 8:24–25; also 11:17, though there it could refer t</w:t>
      </w:r>
      <w:r w:rsidR="00AD7889">
        <w:t>o moral/religious rather than</w:t>
      </w:r>
      <w:r w:rsidR="003909F2" w:rsidRPr="0066103C">
        <w:t xml:space="preserve"> physical damage. If we read </w:t>
      </w:r>
      <w:r w:rsidR="003909F2" w:rsidRPr="0066103C">
        <w:rPr>
          <w:rFonts w:ascii="Arial" w:hAnsi="Arial" w:cs="Arial"/>
        </w:rPr>
        <w:t>עִם</w:t>
      </w:r>
      <w:r w:rsidR="002665D2">
        <w:t xml:space="preserve"> (see n. 26.f</w:t>
      </w:r>
      <w:r w:rsidR="00AD7889">
        <w:t xml:space="preserve">), the verb will then be understood as </w:t>
      </w:r>
      <w:r w:rsidR="003909F2" w:rsidRPr="0066103C">
        <w:t>intensive hi</w:t>
      </w:r>
      <w:r w:rsidR="006C38A1" w:rsidRPr="0066103C">
        <w:t>phil</w:t>
      </w:r>
      <w:r w:rsidR="003909F2" w:rsidRPr="0066103C">
        <w:t xml:space="preserve">, “will act corruptly” (cf. GKC 53dg)—or </w:t>
      </w:r>
      <w:r w:rsidR="00AD7889">
        <w:t xml:space="preserve">we could </w:t>
      </w:r>
      <w:r w:rsidR="003909F2" w:rsidRPr="0066103C">
        <w:t xml:space="preserve">follow one </w:t>
      </w:r>
      <w:r w:rsidR="003F4DB6" w:rsidRPr="003F4DB6">
        <w:t xml:space="preserve">medieval </w:t>
      </w:r>
      <w:r w:rsidR="003909F2" w:rsidRPr="0066103C">
        <w:t xml:space="preserve">ms </w:t>
      </w:r>
      <w:r w:rsidR="003909F2" w:rsidRPr="0066103C">
        <w:rPr>
          <w:rFonts w:ascii="Arial" w:hAnsi="Arial" w:cs="Arial"/>
        </w:rPr>
        <w:t>יִשָּׁחֵת</w:t>
      </w:r>
      <w:r w:rsidR="003909F2" w:rsidRPr="0066103C">
        <w:t xml:space="preserve"> “will b</w:t>
      </w:r>
      <w:r w:rsidR="006C38A1" w:rsidRPr="0066103C">
        <w:t>e corrupted/destroyed” (cf. Syr</w:t>
      </w:r>
      <w:r w:rsidR="003909F2" w:rsidRPr="0066103C">
        <w:t xml:space="preserve"> </w:t>
      </w:r>
      <w:r w:rsidR="003909F2" w:rsidRPr="0066103C">
        <w:rPr>
          <w:i/>
        </w:rPr>
        <w:t>ttḥbl</w:t>
      </w:r>
      <w:r w:rsidR="003909F2" w:rsidRPr="0066103C">
        <w:t>).</w:t>
      </w:r>
    </w:p>
    <w:p w:rsidR="003909F2" w:rsidRPr="0066103C" w:rsidRDefault="00A9098F" w:rsidP="003909F2">
      <w:r>
        <w:t>26.f</w:t>
      </w:r>
      <w:r w:rsidR="003909F2" w:rsidRPr="0066103C">
        <w:t xml:space="preserve">. </w:t>
      </w:r>
      <w:r w:rsidR="003909F2" w:rsidRPr="0066103C">
        <w:rPr>
          <w:rFonts w:ascii="Arial" w:hAnsi="Arial" w:cs="Arial"/>
        </w:rPr>
        <w:t>עַם</w:t>
      </w:r>
      <w:r w:rsidR="006C38A1" w:rsidRPr="0066103C">
        <w:t>—o</w:t>
      </w:r>
      <w:r w:rsidR="003909F2" w:rsidRPr="0066103C">
        <w:t xml:space="preserve">ne </w:t>
      </w:r>
      <w:r w:rsidR="003F4DB6" w:rsidRPr="003F4DB6">
        <w:t xml:space="preserve">medieval </w:t>
      </w:r>
      <w:r w:rsidR="003909F2" w:rsidRPr="0066103C">
        <w:t xml:space="preserve">ms </w:t>
      </w:r>
      <w:r w:rsidR="006C38A1" w:rsidRPr="0066103C">
        <w:t xml:space="preserve">has </w:t>
      </w:r>
      <w:r w:rsidR="003909F2" w:rsidRPr="0066103C">
        <w:rPr>
          <w:rFonts w:ascii="Arial" w:hAnsi="Arial" w:cs="Arial"/>
        </w:rPr>
        <w:t>עִם</w:t>
      </w:r>
      <w:r w:rsidR="00AD7889">
        <w:t xml:space="preserve"> “with” (cf. Th, Syr; OG, Vg </w:t>
      </w:r>
      <w:r w:rsidR="003909F2" w:rsidRPr="0066103C">
        <w:t>conflate readings</w:t>
      </w:r>
      <w:r w:rsidR="006C38A1" w:rsidRPr="0066103C">
        <w:t>), which</w:t>
      </w:r>
      <w:r w:rsidR="003909F2" w:rsidRPr="0066103C">
        <w:t xml:space="preserve"> looks like an attempt to make easier sense </w:t>
      </w:r>
      <w:r w:rsidR="006C38A1" w:rsidRPr="0066103C">
        <w:t xml:space="preserve">of an apparently difficult MT, </w:t>
      </w:r>
      <w:r w:rsidR="003909F2" w:rsidRPr="0066103C">
        <w:t xml:space="preserve">and/or a reinterpretation of it based </w:t>
      </w:r>
      <w:r w:rsidR="002665D2">
        <w:t>on the conviction that “a leader</w:t>
      </w:r>
      <w:r w:rsidR="003909F2" w:rsidRPr="0066103C">
        <w:t xml:space="preserve"> to come” is the </w:t>
      </w:r>
      <w:r w:rsidR="002665D2">
        <w:t>same as the “leader</w:t>
      </w:r>
      <w:r w:rsidR="003909F2" w:rsidRPr="0066103C">
        <w:t>” of v 25.</w:t>
      </w:r>
    </w:p>
    <w:p w:rsidR="003909F2" w:rsidRPr="0066103C" w:rsidRDefault="00A9098F" w:rsidP="003909F2">
      <w:r>
        <w:t>26.g</w:t>
      </w:r>
      <w:r w:rsidR="003909F2" w:rsidRPr="0066103C">
        <w:t xml:space="preserve">. In 11:45 </w:t>
      </w:r>
      <w:r w:rsidR="003909F2" w:rsidRPr="0066103C">
        <w:rPr>
          <w:rFonts w:ascii="Arial" w:hAnsi="Arial" w:cs="Arial"/>
        </w:rPr>
        <w:t>קצו</w:t>
      </w:r>
      <w:r w:rsidR="002665D2">
        <w:t xml:space="preserve"> refers to the end the leader</w:t>
      </w:r>
      <w:r w:rsidR="003909F2" w:rsidRPr="0066103C">
        <w:t xml:space="preserve"> comes to, but </w:t>
      </w:r>
      <w:r w:rsidR="002665D2">
        <w:t xml:space="preserve">here </w:t>
      </w:r>
      <w:r w:rsidR="003909F2" w:rsidRPr="0066103C">
        <w:t>t</w:t>
      </w:r>
      <w:r w:rsidR="006C38A1" w:rsidRPr="0066103C">
        <w:t>his meaning would require a</w:t>
      </w:r>
      <w:r w:rsidR="003909F2" w:rsidRPr="0066103C">
        <w:t xml:space="preserve"> sudden change in the meaning of </w:t>
      </w:r>
      <w:r w:rsidR="003909F2" w:rsidRPr="0066103C">
        <w:rPr>
          <w:rFonts w:ascii="Arial" w:hAnsi="Arial" w:cs="Arial"/>
        </w:rPr>
        <w:t>קץ</w:t>
      </w:r>
      <w:r w:rsidR="003909F2" w:rsidRPr="0066103C">
        <w:t xml:space="preserve"> in the next cl</w:t>
      </w:r>
      <w:r w:rsidR="006C38A1" w:rsidRPr="0066103C">
        <w:t>ause</w:t>
      </w:r>
      <w:r w:rsidR="003909F2" w:rsidRPr="0066103C">
        <w:t xml:space="preserve">. More likely </w:t>
      </w:r>
      <w:r w:rsidR="003909F2" w:rsidRPr="0066103C">
        <w:rPr>
          <w:rFonts w:ascii="Arial" w:hAnsi="Arial" w:cs="Arial"/>
        </w:rPr>
        <w:t>קץ</w:t>
      </w:r>
      <w:r w:rsidR="003909F2" w:rsidRPr="0066103C">
        <w:t xml:space="preserve"> denotes the end he </w:t>
      </w:r>
      <w:r w:rsidR="006C38A1" w:rsidRPr="0066103C">
        <w:t>brings, or the people’s end (JPSV</w:t>
      </w:r>
      <w:r w:rsidR="003909F2" w:rsidRPr="0066103C">
        <w:t xml:space="preserve">). </w:t>
      </w:r>
      <w:r w:rsidR="003909F2" w:rsidRPr="0066103C">
        <w:rPr>
          <w:rFonts w:ascii="Arial" w:hAnsi="Arial" w:cs="Arial"/>
        </w:rPr>
        <w:t>שטף</w:t>
      </w:r>
      <w:r w:rsidR="003909F2" w:rsidRPr="0066103C">
        <w:t xml:space="preserve"> (</w:t>
      </w:r>
      <w:r w:rsidR="00E70748" w:rsidRPr="0066103C">
        <w:t>verb</w:t>
      </w:r>
      <w:r w:rsidR="003909F2" w:rsidRPr="0066103C">
        <w:t xml:space="preserve"> and noun) more often denotes the flood of calamity brought by an oppressor (11:10, 22, 22, 26, 40). OG [καὶ ἠ</w:t>
      </w:r>
      <w:r w:rsidR="00C22D81">
        <w:t>́ξει] ἡ ουντέλεια (cf. n. 26.d</w:t>
      </w:r>
      <w:r w:rsidR="003909F2" w:rsidRPr="0066103C">
        <w:t>), “[and] the end [will come],” substitutes a more familiar for a less usual expression.</w:t>
      </w:r>
    </w:p>
    <w:p w:rsidR="003909F2" w:rsidRPr="0066103C" w:rsidRDefault="00A9098F" w:rsidP="003909F2">
      <w:r>
        <w:t>26.h</w:t>
      </w:r>
      <w:r w:rsidR="006C38A1" w:rsidRPr="0066103C">
        <w:t>. So MT, Th, Syr; Aq., Sym “until the end there will be…</w:t>
      </w:r>
      <w:r w:rsidR="003909F2" w:rsidRPr="0066103C">
        <w:t xml:space="preserve">” (cf. </w:t>
      </w:r>
      <w:r w:rsidR="005535FE" w:rsidRPr="0066103C">
        <w:t>EVV</w:t>
      </w:r>
      <w:r w:rsidR="003909F2" w:rsidRPr="0066103C">
        <w:t xml:space="preserve">). </w:t>
      </w:r>
      <w:r w:rsidR="003909F2" w:rsidRPr="0066103C">
        <w:rPr>
          <w:rFonts w:ascii="Arial" w:hAnsi="Arial" w:cs="Arial"/>
        </w:rPr>
        <w:t>קץ</w:t>
      </w:r>
      <w:r w:rsidR="003909F2" w:rsidRPr="0066103C">
        <w:t xml:space="preserve"> is used in a nontechnical sense in 11:6, 13.</w:t>
      </w:r>
    </w:p>
    <w:p w:rsidR="003909F2" w:rsidRPr="0066103C" w:rsidRDefault="003909F2" w:rsidP="003909F2">
      <w:r w:rsidRPr="0066103C">
        <w:t>26.i</w:t>
      </w:r>
      <w:r w:rsidR="00A9098F">
        <w:t>-i</w:t>
      </w:r>
      <w:r w:rsidRPr="0066103C">
        <w:t xml:space="preserve">. </w:t>
      </w:r>
      <w:r w:rsidRPr="0066103C">
        <w:rPr>
          <w:rFonts w:ascii="Arial" w:hAnsi="Arial" w:cs="Arial"/>
        </w:rPr>
        <w:t>שממות</w:t>
      </w:r>
      <w:r w:rsidRPr="0066103C">
        <w:t xml:space="preserve"> </w:t>
      </w:r>
      <w:r w:rsidR="006C38A1" w:rsidRPr="0066103C">
        <w:rPr>
          <w:rFonts w:ascii="Arial" w:hAnsi="Arial" w:cs="Arial"/>
        </w:rPr>
        <w:t>נחרצת</w:t>
      </w:r>
      <w:r w:rsidR="006C38A1" w:rsidRPr="0066103C">
        <w:t xml:space="preserve"> </w:t>
      </w:r>
      <w:r w:rsidRPr="0066103C">
        <w:t xml:space="preserve">“a decree of desolation,” </w:t>
      </w:r>
      <w:r w:rsidRPr="0066103C">
        <w:rPr>
          <w:rFonts w:ascii="Arial" w:hAnsi="Arial" w:cs="Arial"/>
        </w:rPr>
        <w:t>נחרצת</w:t>
      </w:r>
      <w:r w:rsidRPr="0066103C">
        <w:t xml:space="preserve"> being ni</w:t>
      </w:r>
      <w:r w:rsidR="006C38A1" w:rsidRPr="0066103C">
        <w:t>phal participle</w:t>
      </w:r>
      <w:r w:rsidRPr="0066103C">
        <w:t xml:space="preserve"> f</w:t>
      </w:r>
      <w:r w:rsidR="006C38A1" w:rsidRPr="0066103C">
        <w:t>.</w:t>
      </w:r>
      <w:r w:rsidRPr="0066103C">
        <w:t xml:space="preserve"> s</w:t>
      </w:r>
      <w:r w:rsidR="006C38A1" w:rsidRPr="0066103C">
        <w:t>.</w:t>
      </w:r>
      <w:r w:rsidRPr="0066103C">
        <w:t xml:space="preserve"> constr</w:t>
      </w:r>
      <w:r w:rsidR="006C38A1" w:rsidRPr="0066103C">
        <w:t>uct</w:t>
      </w:r>
      <w:r w:rsidRPr="0066103C">
        <w:t xml:space="preserve">, </w:t>
      </w:r>
      <w:r w:rsidRPr="0066103C">
        <w:rPr>
          <w:rFonts w:ascii="Arial" w:hAnsi="Arial" w:cs="Arial"/>
        </w:rPr>
        <w:t>שממות</w:t>
      </w:r>
      <w:r w:rsidR="006C38A1" w:rsidRPr="0066103C">
        <w:t xml:space="preserve"> qal participle</w:t>
      </w:r>
      <w:r w:rsidRPr="0066103C">
        <w:t xml:space="preserve"> f</w:t>
      </w:r>
      <w:r w:rsidR="006C38A1" w:rsidRPr="0066103C">
        <w:t>.</w:t>
      </w:r>
      <w:r w:rsidRPr="0066103C">
        <w:t xml:space="preserve"> pl. abs</w:t>
      </w:r>
      <w:r w:rsidR="006C38A1" w:rsidRPr="0066103C">
        <w:t>olute</w:t>
      </w:r>
      <w:r w:rsidRPr="0066103C">
        <w:t>.</w:t>
      </w:r>
    </w:p>
    <w:p w:rsidR="003909F2" w:rsidRPr="0066103C" w:rsidRDefault="003909F2" w:rsidP="003909F2">
      <w:r w:rsidRPr="0066103C">
        <w:t xml:space="preserve">27.a. </w:t>
      </w:r>
      <w:r w:rsidR="00C22D81">
        <w:t>Th, Vg, EVV</w:t>
      </w:r>
      <w:r w:rsidRPr="0066103C">
        <w:t xml:space="preserve"> tr</w:t>
      </w:r>
      <w:r w:rsidR="006C38A1" w:rsidRPr="0066103C">
        <w:t>anslate</w:t>
      </w:r>
      <w:r w:rsidRPr="0066103C">
        <w:t xml:space="preserve"> </w:t>
      </w:r>
      <w:r w:rsidR="00C22D81" w:rsidRPr="00C22D81">
        <w:rPr>
          <w:rFonts w:ascii="Arial" w:hAnsi="Arial" w:cs="Arial"/>
        </w:rPr>
        <w:t>הגביר</w:t>
      </w:r>
      <w:r w:rsidR="00C22D81" w:rsidRPr="00C22D81">
        <w:t xml:space="preserve"> </w:t>
      </w:r>
      <w:r w:rsidRPr="0066103C">
        <w:t>“confirm</w:t>
      </w:r>
      <w:r w:rsidR="00C22D81">
        <w:t>” or the like (cf. 1QH 8.35), with</w:t>
      </w:r>
      <w:r w:rsidRPr="0066103C">
        <w:t xml:space="preserve"> </w:t>
      </w:r>
      <w:r w:rsidRPr="0066103C">
        <w:rPr>
          <w:rFonts w:ascii="Arial" w:hAnsi="Arial" w:cs="Arial"/>
        </w:rPr>
        <w:t>ברית</w:t>
      </w:r>
      <w:r w:rsidRPr="0066103C">
        <w:t xml:space="preserve"> “covenant” as obj</w:t>
      </w:r>
      <w:r w:rsidR="006C38A1" w:rsidRPr="0066103C">
        <w:t>ect</w:t>
      </w:r>
      <w:r w:rsidRPr="0066103C">
        <w:t>, but one might then have expected the subj</w:t>
      </w:r>
      <w:r w:rsidR="006C38A1" w:rsidRPr="0066103C">
        <w:t>ect</w:t>
      </w:r>
      <w:r w:rsidR="00AD7889">
        <w:t xml:space="preserve"> to be indicated</w:t>
      </w:r>
      <w:r w:rsidRPr="0066103C">
        <w:t xml:space="preserve">. “Prevail” (cf. OG) fits well with other occurrences of </w:t>
      </w:r>
      <w:r w:rsidRPr="0066103C">
        <w:rPr>
          <w:rFonts w:ascii="Arial" w:hAnsi="Arial" w:cs="Arial"/>
        </w:rPr>
        <w:t>הגביר</w:t>
      </w:r>
      <w:r w:rsidRPr="0066103C">
        <w:t>, Ps 12:5; 1QH 2.24; for m</w:t>
      </w:r>
      <w:r w:rsidR="000A378F" w:rsidRPr="0066103C">
        <w:t>.</w:t>
      </w:r>
      <w:r w:rsidRPr="0066103C">
        <w:t xml:space="preserve"> </w:t>
      </w:r>
      <w:r w:rsidR="00E70748" w:rsidRPr="0066103C">
        <w:t>verb</w:t>
      </w:r>
      <w:r w:rsidRPr="0066103C">
        <w:t xml:space="preserve"> with f</w:t>
      </w:r>
      <w:r w:rsidR="000A378F" w:rsidRPr="0066103C">
        <w:t>.</w:t>
      </w:r>
      <w:r w:rsidRPr="0066103C">
        <w:t xml:space="preserve"> subj</w:t>
      </w:r>
      <w:r w:rsidR="000A378F" w:rsidRPr="0066103C">
        <w:t>ect</w:t>
      </w:r>
      <w:r w:rsidRPr="0066103C">
        <w:t>, see GKC 145c (cf. Bentzen, Plöger).</w:t>
      </w:r>
    </w:p>
    <w:p w:rsidR="003909F2" w:rsidRPr="0066103C" w:rsidRDefault="003909F2" w:rsidP="003909F2">
      <w:r w:rsidRPr="0066103C">
        <w:t xml:space="preserve">27.b. </w:t>
      </w:r>
      <w:r w:rsidRPr="0066103C">
        <w:rPr>
          <w:rFonts w:ascii="Arial" w:hAnsi="Arial" w:cs="Arial"/>
        </w:rPr>
        <w:t>הרבים</w:t>
      </w:r>
      <w:r w:rsidRPr="0066103C">
        <w:t xml:space="preserve"> “the many” is becoming a commonplace term for the main body of the (faithful) community (11:33, 39; 12:3; Esth 4:3; 1QS 6.20–23</w:t>
      </w:r>
      <w:r w:rsidR="000A378F" w:rsidRPr="0066103C">
        <w:t>); thus hardly “the mighty” (NEB</w:t>
      </w:r>
      <w:r w:rsidRPr="0066103C">
        <w:t xml:space="preserve">), Cf. Isa 53:12. The </w:t>
      </w:r>
      <w:r w:rsidRPr="0066103C">
        <w:rPr>
          <w:rFonts w:ascii="Arial" w:hAnsi="Arial" w:cs="Arial"/>
        </w:rPr>
        <w:t>ל</w:t>
      </w:r>
      <w:r w:rsidRPr="0066103C">
        <w:t xml:space="preserve"> is equivalent to a dative of disadvantage, “against” (cf. Charles). Anarthrous </w:t>
      </w:r>
      <w:r w:rsidRPr="0066103C">
        <w:rPr>
          <w:rFonts w:ascii="Arial" w:hAnsi="Arial" w:cs="Arial"/>
        </w:rPr>
        <w:t>רבים</w:t>
      </w:r>
      <w:r w:rsidRPr="0066103C">
        <w:t xml:space="preserve"> retains the commonplace meanin</w:t>
      </w:r>
      <w:r w:rsidR="000A378F" w:rsidRPr="0066103C">
        <w:t>g “many” (against Wiklander, “Begreppet rabbim i Daniel 8–12”</w:t>
      </w:r>
      <w:r w:rsidRPr="0066103C">
        <w:t>).</w:t>
      </w:r>
    </w:p>
    <w:p w:rsidR="003909F2" w:rsidRPr="0066103C" w:rsidRDefault="003909F2" w:rsidP="003909F2">
      <w:r w:rsidRPr="0066103C">
        <w:t xml:space="preserve">27.c-c. </w:t>
      </w:r>
      <w:r w:rsidRPr="0066103C">
        <w:rPr>
          <w:rFonts w:ascii="Arial" w:hAnsi="Arial" w:cs="Arial"/>
        </w:rPr>
        <w:t>חצי</w:t>
      </w:r>
      <w:r w:rsidRPr="0066103C">
        <w:t xml:space="preserve"> could denote duration of time</w:t>
      </w:r>
      <w:r w:rsidR="000A378F" w:rsidRPr="0066103C">
        <w:t xml:space="preserve"> (“for half of”: see</w:t>
      </w:r>
      <w:r w:rsidRPr="0066103C">
        <w:t xml:space="preserve"> Keil; cf. GKC 118k), but point of time r</w:t>
      </w:r>
      <w:r w:rsidR="000A378F" w:rsidRPr="0066103C">
        <w:t>eads better (so G, Doukhan, “The Seventy Weeks of Daniel 9,”</w:t>
      </w:r>
      <w:r w:rsidRPr="0066103C">
        <w:t xml:space="preserve"> 13; cf. GKC 118i). While one would expect </w:t>
      </w:r>
      <w:r w:rsidRPr="0066103C">
        <w:rPr>
          <w:rFonts w:ascii="Arial" w:hAnsi="Arial" w:cs="Arial"/>
        </w:rPr>
        <w:t>ב</w:t>
      </w:r>
      <w:r w:rsidRPr="0066103C">
        <w:t xml:space="preserve"> “in” before </w:t>
      </w:r>
      <w:r w:rsidRPr="0066103C">
        <w:rPr>
          <w:rFonts w:ascii="Arial" w:hAnsi="Arial" w:cs="Arial"/>
        </w:rPr>
        <w:t>חצי</w:t>
      </w:r>
      <w:r w:rsidRPr="0066103C">
        <w:t xml:space="preserve">, cf. the absolute use of </w:t>
      </w:r>
      <w:r w:rsidRPr="0066103C">
        <w:rPr>
          <w:rFonts w:ascii="Arial" w:hAnsi="Arial" w:cs="Arial"/>
        </w:rPr>
        <w:t>חצות</w:t>
      </w:r>
      <w:r w:rsidRPr="0066103C">
        <w:t xml:space="preserve"> in Ps 119:62; Job 34:20.</w:t>
      </w:r>
    </w:p>
    <w:p w:rsidR="003909F2" w:rsidRPr="0066103C" w:rsidRDefault="003909F2" w:rsidP="003909F2">
      <w:r w:rsidRPr="0066103C">
        <w:t>27.d. Cf. G, Vg</w:t>
      </w:r>
      <w:r w:rsidR="000A378F" w:rsidRPr="0066103C">
        <w:t>.</w:t>
      </w:r>
      <w:r w:rsidRPr="0066103C">
        <w:t xml:space="preserve"> MT </w:t>
      </w:r>
      <w:r w:rsidRPr="0066103C">
        <w:rPr>
          <w:rFonts w:ascii="Arial" w:hAnsi="Arial" w:cs="Arial"/>
        </w:rPr>
        <w:t>ישבית</w:t>
      </w:r>
      <w:r w:rsidRPr="0066103C">
        <w:t xml:space="preserve"> (</w:t>
      </w:r>
      <w:r w:rsidR="005535FE" w:rsidRPr="0066103C">
        <w:t>EVV</w:t>
      </w:r>
      <w:r w:rsidR="00AD7889">
        <w:t xml:space="preserve"> “cause to cease”) can</w:t>
      </w:r>
      <w:r w:rsidRPr="0066103C">
        <w:t xml:space="preserve"> have this meaning (cf. GKC 53def); it hardly needs repointing.</w:t>
      </w:r>
    </w:p>
    <w:p w:rsidR="003909F2" w:rsidRPr="0066103C" w:rsidRDefault="003909F2" w:rsidP="003909F2">
      <w:r w:rsidRPr="0066103C">
        <w:t xml:space="preserve">27.e-e. </w:t>
      </w:r>
      <w:r w:rsidR="007B712F" w:rsidRPr="007B712F">
        <w:t xml:space="preserve">MT </w:t>
      </w:r>
      <w:r w:rsidR="007B712F" w:rsidRPr="007B712F">
        <w:rPr>
          <w:rFonts w:ascii="Arial" w:hAnsi="Arial" w:cs="Arial"/>
        </w:rPr>
        <w:t>שקוצים</w:t>
      </w:r>
      <w:r w:rsidR="007B712F" w:rsidRPr="007B712F">
        <w:t xml:space="preserve"> </w:t>
      </w:r>
      <w:r w:rsidRPr="0066103C">
        <w:rPr>
          <w:rFonts w:ascii="Arial" w:hAnsi="Arial" w:cs="Arial"/>
        </w:rPr>
        <w:t>כנף</w:t>
      </w:r>
      <w:r w:rsidR="000A378F" w:rsidRPr="0066103C">
        <w:rPr>
          <w:rFonts w:ascii="Arial" w:hAnsi="Arial" w:cs="Arial"/>
        </w:rPr>
        <w:t xml:space="preserve"> ועל</w:t>
      </w:r>
      <w:r w:rsidR="007B712F">
        <w:rPr>
          <w:rFonts w:ascii="Arial" w:hAnsi="Arial" w:cs="Arial"/>
        </w:rPr>
        <w:t xml:space="preserve"> </w:t>
      </w:r>
      <w:r w:rsidR="007B712F" w:rsidRPr="00B019FE">
        <w:rPr>
          <w:rFonts w:cs="Arial"/>
        </w:rPr>
        <w:t>implies “upon the wing of abominations” (RV)</w:t>
      </w:r>
      <w:r w:rsidR="00B019FE">
        <w:t xml:space="preserve">. But G, Vg “in the temple” rather implies the noun </w:t>
      </w:r>
      <w:r w:rsidRPr="0066103C">
        <w:t>pointed as abs</w:t>
      </w:r>
      <w:r w:rsidR="000A378F" w:rsidRPr="0066103C">
        <w:t>olute</w:t>
      </w:r>
      <w:r w:rsidRPr="0066103C">
        <w:t xml:space="preserve">, </w:t>
      </w:r>
      <w:r w:rsidR="007B712F" w:rsidRPr="007B712F">
        <w:rPr>
          <w:rtl/>
          <w:lang w:bidi="he-IL"/>
        </w:rPr>
        <w:t>כָּנָף</w:t>
      </w:r>
      <w:r w:rsidR="007B712F">
        <w:t xml:space="preserve">: </w:t>
      </w:r>
      <w:r w:rsidRPr="0066103C">
        <w:t xml:space="preserve">see n. 27.f. </w:t>
      </w:r>
    </w:p>
    <w:p w:rsidR="003909F2" w:rsidRPr="0066103C" w:rsidRDefault="00B019FE" w:rsidP="00B019FE">
      <w:r>
        <w:t xml:space="preserve">27.f. </w:t>
      </w:r>
      <w:r w:rsidR="003909F2" w:rsidRPr="0066103C">
        <w:rPr>
          <w:rFonts w:ascii="Arial" w:hAnsi="Arial" w:cs="Arial"/>
        </w:rPr>
        <w:t>משמם</w:t>
      </w:r>
      <w:r w:rsidR="003909F2" w:rsidRPr="0066103C">
        <w:t xml:space="preserve"> </w:t>
      </w:r>
      <w:r w:rsidR="000A378F" w:rsidRPr="0066103C">
        <w:rPr>
          <w:rFonts w:ascii="Arial" w:hAnsi="Arial" w:cs="Arial"/>
        </w:rPr>
        <w:t>שקוצים</w:t>
      </w:r>
      <w:r w:rsidR="000A378F" w:rsidRPr="0066103C">
        <w:t xml:space="preserve"> l</w:t>
      </w:r>
      <w:r w:rsidR="003909F2" w:rsidRPr="0066103C">
        <w:t>ooks like one of the phrases for the desolating rebellion/abomination (see 8:13; 11:31; 12:11). The pl. is odd, bu</w:t>
      </w:r>
      <w:r w:rsidR="000A378F" w:rsidRPr="0066103C">
        <w:t xml:space="preserve">t G also has a pl. expression, </w:t>
      </w:r>
      <w:r w:rsidR="000A378F" w:rsidRPr="0066103C">
        <w:rPr>
          <w:lang w:val="el-GR"/>
        </w:rPr>
        <w:t>β</w:t>
      </w:r>
      <w:r w:rsidR="003909F2" w:rsidRPr="0066103C">
        <w:t xml:space="preserve">δέλυγμα τῶν ἐρημώσεων: see </w:t>
      </w:r>
      <w:r w:rsidR="003909F2" w:rsidRPr="0066103C">
        <w:rPr>
          <w:i/>
        </w:rPr>
        <w:t>Comment</w:t>
      </w:r>
      <w:r w:rsidR="003909F2" w:rsidRPr="0066103C">
        <w:t>.</w:t>
      </w:r>
    </w:p>
    <w:p w:rsidR="003909F2" w:rsidRPr="0066103C" w:rsidRDefault="003909F2" w:rsidP="003909F2">
      <w:r w:rsidRPr="0066103C">
        <w:t xml:space="preserve">27.g-g. Hendiadys (Bentzen). </w:t>
      </w:r>
      <w:r w:rsidRPr="0066103C">
        <w:rPr>
          <w:rFonts w:ascii="Arial" w:hAnsi="Arial" w:cs="Arial"/>
        </w:rPr>
        <w:t>כלה</w:t>
      </w:r>
      <w:r w:rsidRPr="0066103C">
        <w:t xml:space="preserve"> “destruction” denotes putting an end to something; it can hard</w:t>
      </w:r>
      <w:r w:rsidR="000A378F" w:rsidRPr="0066103C">
        <w:t>ly mean merely “in the end” (NEB</w:t>
      </w:r>
      <w:r w:rsidRPr="0066103C">
        <w:t>). Cf. n. 24.d.</w:t>
      </w:r>
    </w:p>
    <w:p w:rsidR="003909F2" w:rsidRPr="0066103C" w:rsidRDefault="003909F2" w:rsidP="003909F2">
      <w:r w:rsidRPr="0066103C">
        <w:t xml:space="preserve">27.h. In 8:13, 12:11, </w:t>
      </w:r>
      <w:r w:rsidRPr="0066103C">
        <w:rPr>
          <w:rFonts w:ascii="Arial" w:hAnsi="Arial" w:cs="Arial"/>
        </w:rPr>
        <w:t>שמם</w:t>
      </w:r>
      <w:r w:rsidRPr="0066103C">
        <w:t xml:space="preserve"> has trans</w:t>
      </w:r>
      <w:r w:rsidR="000A378F" w:rsidRPr="0066103C">
        <w:t>itive</w:t>
      </w:r>
      <w:r w:rsidRPr="0066103C">
        <w:t xml:space="preserve"> meaning, but there it is preferred to </w:t>
      </w:r>
      <w:r w:rsidRPr="0066103C">
        <w:rPr>
          <w:rFonts w:ascii="Arial" w:hAnsi="Arial" w:cs="Arial"/>
        </w:rPr>
        <w:t>משמם</w:t>
      </w:r>
      <w:r w:rsidRPr="0066103C">
        <w:t xml:space="preserve"> for paronomasia. Here in 9:27 </w:t>
      </w:r>
      <w:r w:rsidRPr="0066103C">
        <w:rPr>
          <w:rFonts w:ascii="Arial" w:hAnsi="Arial" w:cs="Arial"/>
        </w:rPr>
        <w:t>משמם</w:t>
      </w:r>
      <w:r w:rsidRPr="0066103C">
        <w:t xml:space="preserve"> has been used for the trans</w:t>
      </w:r>
      <w:r w:rsidR="000A378F" w:rsidRPr="0066103C">
        <w:t>itive</w:t>
      </w:r>
      <w:r w:rsidR="00B019FE">
        <w:t>,</w:t>
      </w:r>
      <w:r w:rsidRPr="0066103C">
        <w:t xml:space="preserve"> and </w:t>
      </w:r>
      <w:r w:rsidRPr="0066103C">
        <w:rPr>
          <w:rFonts w:ascii="Arial" w:hAnsi="Arial" w:cs="Arial"/>
        </w:rPr>
        <w:t>שמם</w:t>
      </w:r>
      <w:r w:rsidRPr="0066103C">
        <w:t xml:space="preserve"> for “desolate” in vv 18, 26, following general OT usage. Intrans</w:t>
      </w:r>
      <w:r w:rsidR="000A378F" w:rsidRPr="0066103C">
        <w:t>itive</w:t>
      </w:r>
      <w:r w:rsidRPr="0066103C">
        <w:t xml:space="preserve"> is th</w:t>
      </w:r>
      <w:r w:rsidR="000A378F" w:rsidRPr="0066103C">
        <w:t>us also more likely here. Cf. KJV.</w:t>
      </w:r>
    </w:p>
    <w:p w:rsidR="003909F2" w:rsidRPr="00CC1756" w:rsidRDefault="003909F2" w:rsidP="00CC1756">
      <w:pPr>
        <w:pStyle w:val="Heading2"/>
      </w:pPr>
      <w:r w:rsidRPr="00CC1756">
        <w:t>Form /Structure/Setting</w:t>
      </w:r>
    </w:p>
    <w:p w:rsidR="003909F2" w:rsidRPr="0066103C" w:rsidRDefault="003909F2" w:rsidP="00AF6220">
      <w:pPr>
        <w:pStyle w:val="Heading3"/>
      </w:pPr>
      <w:r w:rsidRPr="0066103C">
        <w:t>Form</w:t>
      </w:r>
    </w:p>
    <w:p w:rsidR="003909F2" w:rsidRPr="0066103C" w:rsidRDefault="003909F2" w:rsidP="003909F2"/>
    <w:p w:rsidR="003909F2" w:rsidRPr="0066103C" w:rsidRDefault="003909F2" w:rsidP="003909F2">
      <w:r w:rsidRPr="0066103C">
        <w:lastRenderedPageBreak/>
        <w:t xml:space="preserve">The framework of chap. 9 is a </w:t>
      </w:r>
      <w:r w:rsidR="00366AC5" w:rsidRPr="0066103C">
        <w:t xml:space="preserve">seer’s </w:t>
      </w:r>
      <w:r w:rsidRPr="0066103C">
        <w:t xml:space="preserve">report of </w:t>
      </w:r>
      <w:r w:rsidR="00366AC5" w:rsidRPr="0066103C">
        <w:t>a revelation</w:t>
      </w:r>
      <w:r w:rsidR="005E52EC">
        <w:t>; it</w:t>
      </w:r>
      <w:r w:rsidR="00366AC5" w:rsidRPr="0066103C">
        <w:t xml:space="preserve"> has some parallels with Middle Eastern reports of a revelation coming in a dream</w:t>
      </w:r>
      <w:r w:rsidRPr="0066103C">
        <w:t>.</w:t>
      </w:r>
      <w:r w:rsidR="00366AC5" w:rsidRPr="0066103C">
        <w:rPr>
          <w:rStyle w:val="FootnoteReference"/>
        </w:rPr>
        <w:footnoteReference w:id="405"/>
      </w:r>
      <w:r w:rsidRPr="0066103C">
        <w:t xml:space="preserve"> It thus opens (vv 1–3) with a note of the historical and personal context, though it lacks any corresponding closure aft</w:t>
      </w:r>
      <w:r w:rsidR="005E52EC">
        <w:t>er v 27 (co</w:t>
      </w:r>
      <w:r w:rsidR="00B13647">
        <w:t>ntrast 7:28; 8:27); i</w:t>
      </w:r>
      <w:r w:rsidRPr="0066103C">
        <w:t xml:space="preserve">ndeed, the revelation itself </w:t>
      </w:r>
      <w:r w:rsidR="005E52EC" w:rsidRPr="005E52EC">
        <w:t xml:space="preserve">(vv 24–27) </w:t>
      </w:r>
      <w:r w:rsidRPr="0066103C">
        <w:t>comes to an abrupt end (contrast 8:26; 12:5–</w:t>
      </w:r>
      <w:r w:rsidR="00B13647">
        <w:t>1</w:t>
      </w:r>
      <w:r w:rsidRPr="0066103C">
        <w:t xml:space="preserve">3). The revelation </w:t>
      </w:r>
      <w:r w:rsidR="005E52EC">
        <w:t xml:space="preserve">has the form of a </w:t>
      </w:r>
      <w:r w:rsidR="00E13CE4" w:rsidRPr="0066103C">
        <w:t>quasi-prediction</w:t>
      </w:r>
      <w:r w:rsidRPr="0066103C">
        <w:t xml:space="preserve"> (see chap. 2 </w:t>
      </w:r>
      <w:r w:rsidRPr="0066103C">
        <w:rPr>
          <w:i/>
        </w:rPr>
        <w:t>Form</w:t>
      </w:r>
      <w:r w:rsidRPr="0066103C">
        <w:t xml:space="preserve"> and chaps. 10–12 </w:t>
      </w:r>
      <w:r w:rsidRPr="0066103C">
        <w:rPr>
          <w:i/>
        </w:rPr>
        <w:t>Form</w:t>
      </w:r>
      <w:r w:rsidR="005E52EC">
        <w:t>);</w:t>
      </w:r>
      <w:r w:rsidR="00E13CE4" w:rsidRPr="0066103C">
        <w:t xml:space="preserve"> </w:t>
      </w:r>
      <w:r w:rsidR="005E52EC">
        <w:t>vv 25-27a refer to events that are past in the visionar</w:t>
      </w:r>
      <w:r w:rsidR="00B13647">
        <w:t>y’s time, while</w:t>
      </w:r>
      <w:r w:rsidR="005E52EC">
        <w:t xml:space="preserve"> vv 24, 27b contain</w:t>
      </w:r>
      <w:r w:rsidR="00E13CE4" w:rsidRPr="0066103C">
        <w:t xml:space="preserve"> the actual prediction. </w:t>
      </w:r>
      <w:r w:rsidR="005E52EC">
        <w:t>The revelation</w:t>
      </w:r>
      <w:r w:rsidR="006234C4" w:rsidRPr="0066103C">
        <w:t xml:space="preserve"> </w:t>
      </w:r>
      <w:r w:rsidR="00E13CE4" w:rsidRPr="0066103C">
        <w:t>speak</w:t>
      </w:r>
      <w:r w:rsidR="006234C4" w:rsidRPr="0066103C">
        <w:t>s</w:t>
      </w:r>
      <w:r w:rsidR="00E13CE4" w:rsidRPr="0066103C">
        <w:t xml:space="preserve"> allusively in a manner </w:t>
      </w:r>
      <w:r w:rsidRPr="0066103C">
        <w:t>no</w:t>
      </w:r>
      <w:r w:rsidR="00E13CE4" w:rsidRPr="0066103C">
        <w:t>t unlike the interpret</w:t>
      </w:r>
      <w:r w:rsidRPr="0066103C">
        <w:t xml:space="preserve">ive </w:t>
      </w:r>
      <w:r w:rsidR="005E52EC">
        <w:t>viisons</w:t>
      </w:r>
      <w:r w:rsidR="006234C4" w:rsidRPr="0066103C">
        <w:t xml:space="preserve"> in </w:t>
      </w:r>
      <w:r w:rsidRPr="0066103C">
        <w:t>7:17–18, 23–27; 8:22–25</w:t>
      </w:r>
      <w:r w:rsidR="006234C4" w:rsidRPr="0066103C">
        <w:t>; compare also</w:t>
      </w:r>
      <w:r w:rsidR="00E13CE4" w:rsidRPr="0066103C">
        <w:t xml:space="preserve"> the closing vision in chaps. 10—12. </w:t>
      </w:r>
      <w:r w:rsidR="005E52EC">
        <w:t>It</w:t>
      </w:r>
      <w:r w:rsidRPr="0066103C">
        <w:t xml:space="preserve"> contains no equivalent to the symbolic vision</w:t>
      </w:r>
      <w:r w:rsidR="006234C4" w:rsidRPr="0066103C">
        <w:t>s in chaps</w:t>
      </w:r>
      <w:r w:rsidR="00916917">
        <w:t>.</w:t>
      </w:r>
      <w:r w:rsidR="006234C4" w:rsidRPr="0066103C">
        <w:t xml:space="preserve"> 7 and 8, the</w:t>
      </w:r>
      <w:r w:rsidRPr="0066103C">
        <w:t xml:space="preserve"> role </w:t>
      </w:r>
      <w:r w:rsidR="006234C4" w:rsidRPr="0066103C">
        <w:t xml:space="preserve">of the symbolic vision </w:t>
      </w:r>
      <w:r w:rsidRPr="0066103C">
        <w:t>bein</w:t>
      </w:r>
      <w:r w:rsidR="00A84751" w:rsidRPr="0066103C">
        <w:t>g played by a passage from the</w:t>
      </w:r>
      <w:r w:rsidRPr="0066103C">
        <w:t xml:space="preserve"> scripture</w:t>
      </w:r>
      <w:r w:rsidR="00A84751" w:rsidRPr="0066103C">
        <w:t>s</w:t>
      </w:r>
      <w:r w:rsidR="005E52EC">
        <w:t xml:space="preserve"> which Gabriel takes up.</w:t>
      </w:r>
    </w:p>
    <w:p w:rsidR="003909F2" w:rsidRDefault="003909F2" w:rsidP="003909F2">
      <w:r w:rsidRPr="0066103C">
        <w:t xml:space="preserve">Beginning as it </w:t>
      </w:r>
      <w:r w:rsidR="005E52EC">
        <w:t>does</w:t>
      </w:r>
      <w:r w:rsidRPr="0066103C">
        <w:t xml:space="preserve"> not wit</w:t>
      </w:r>
      <w:r w:rsidR="00A84751" w:rsidRPr="0066103C">
        <w:t>h a dream or vision but with a text from the</w:t>
      </w:r>
      <w:r w:rsidRPr="0066103C">
        <w:t xml:space="preserve"> scripture</w:t>
      </w:r>
      <w:r w:rsidR="00A84751" w:rsidRPr="0066103C">
        <w:t>s</w:t>
      </w:r>
      <w:r w:rsidRPr="0066103C">
        <w:t xml:space="preserve">, chap. 9 comes nearer than any other passage in Daniel to being expository midrash, midrash which explicitly concerns itself with issues raised by a specific biblical passage, while </w:t>
      </w:r>
      <w:r w:rsidR="00CE2EC9">
        <w:t>still concerned—like all interpretation</w:t>
      </w:r>
      <w:r w:rsidR="00B13647">
        <w:t>—with questions arising</w:t>
      </w:r>
      <w:r w:rsidRPr="0066103C">
        <w:t xml:space="preserve"> from the context in which </w:t>
      </w:r>
      <w:r w:rsidR="00A84751" w:rsidRPr="0066103C">
        <w:t>the scripture</w:t>
      </w:r>
      <w:r w:rsidRPr="0066103C">
        <w:t xml:space="preserve">s </w:t>
      </w:r>
      <w:r w:rsidR="00A84751" w:rsidRPr="0066103C">
        <w:t xml:space="preserve">are </w:t>
      </w:r>
      <w:r w:rsidRPr="0066103C">
        <w:t xml:space="preserve">being read. </w:t>
      </w:r>
      <w:r w:rsidR="00CE2EC9">
        <w:t>Indeed, “t</w:t>
      </w:r>
      <w:r w:rsidR="00CE2EC9" w:rsidRPr="00CE2EC9">
        <w:t xml:space="preserve">his is the only instance of explicit biblical interpetation in the Book of </w:t>
      </w:r>
      <w:r w:rsidR="00CE2EC9">
        <w:t>Daniel and one of very few inst</w:t>
      </w:r>
      <w:r w:rsidR="00CE2EC9" w:rsidRPr="00CE2EC9">
        <w:t>a</w:t>
      </w:r>
      <w:r w:rsidR="00CE2EC9">
        <w:t>n</w:t>
      </w:r>
      <w:r w:rsidR="00CE2EC9" w:rsidRPr="00CE2EC9">
        <w:t>ces in Jewishapocalyptic literature.”</w:t>
      </w:r>
      <w:r w:rsidR="00CE2EC9" w:rsidRPr="00CE2EC9">
        <w:rPr>
          <w:vertAlign w:val="superscript"/>
        </w:rPr>
        <w:footnoteReference w:id="406"/>
      </w:r>
      <w:r w:rsidR="00CE2EC9">
        <w:t xml:space="preserve"> </w:t>
      </w:r>
      <w:r w:rsidRPr="0066103C">
        <w:t>In taking t</w:t>
      </w:r>
      <w:r w:rsidR="006234C4" w:rsidRPr="0066103C">
        <w:t>he passage as a prediction</w:t>
      </w:r>
      <w:r w:rsidRPr="0066103C">
        <w:t xml:space="preserve"> of e</w:t>
      </w:r>
      <w:r w:rsidR="006234C4" w:rsidRPr="0066103C">
        <w:t xml:space="preserve">vents in the audience’s day, its hermeneutic </w:t>
      </w:r>
      <w:r w:rsidR="00CE2EC9">
        <w:t>corresponds to that of</w:t>
      </w:r>
      <w:r w:rsidR="006234C4" w:rsidRPr="0066103C">
        <w:t xml:space="preserve"> pesharim such as 1QpHab</w:t>
      </w:r>
      <w:r w:rsidRPr="0066103C">
        <w:t xml:space="preserve">, but the chapter does not use the term </w:t>
      </w:r>
      <w:r w:rsidRPr="0066103C">
        <w:rPr>
          <w:rFonts w:ascii="Arial" w:hAnsi="Arial" w:cs="Arial"/>
        </w:rPr>
        <w:t>פשר</w:t>
      </w:r>
      <w:r w:rsidR="00CE2EC9">
        <w:t>, nor does the revelation take</w:t>
      </w:r>
      <w:r w:rsidRPr="0066103C">
        <w:t xml:space="preserve"> the pesher form (see chap. 2 </w:t>
      </w:r>
      <w:r w:rsidRPr="0066103C">
        <w:rPr>
          <w:i/>
        </w:rPr>
        <w:t>Form</w:t>
      </w:r>
      <w:r w:rsidRPr="0066103C">
        <w:t xml:space="preserve">). </w:t>
      </w:r>
      <w:r w:rsidR="0066103C">
        <w:t>A</w:t>
      </w:r>
      <w:r w:rsidR="0066103C" w:rsidRPr="0066103C">
        <w:t>s is often the case with midrashic study</w:t>
      </w:r>
      <w:r w:rsidR="0066103C">
        <w:t>, t</w:t>
      </w:r>
      <w:r w:rsidR="00FF4F3A">
        <w:t>he celestial</w:t>
      </w:r>
      <w:r w:rsidRPr="0066103C">
        <w:t xml:space="preserve"> revelation offers illumination from the text which emerges from setting it in the conte</w:t>
      </w:r>
      <w:r w:rsidR="00A84751" w:rsidRPr="0066103C">
        <w:t>xt of other passages from the</w:t>
      </w:r>
      <w:r w:rsidRPr="0066103C">
        <w:t xml:space="preserve"> scripture</w:t>
      </w:r>
      <w:r w:rsidR="00A84751" w:rsidRPr="0066103C">
        <w:t>s</w:t>
      </w:r>
      <w:r w:rsidR="0066103C">
        <w:t>.</w:t>
      </w:r>
      <w:r w:rsidR="0066103C" w:rsidRPr="0066103C">
        <w:rPr>
          <w:rStyle w:val="FootnoteReference"/>
        </w:rPr>
        <w:footnoteReference w:id="407"/>
      </w:r>
    </w:p>
    <w:p w:rsidR="003909F2" w:rsidRPr="0066103C" w:rsidRDefault="003909F2" w:rsidP="003909F2">
      <w:r w:rsidRPr="0066103C">
        <w:t>The pass</w:t>
      </w:r>
      <w:r w:rsidR="00612055">
        <w:t>age’s “text” is Jer 25 and/or Jer 29</w:t>
      </w:r>
      <w:r w:rsidR="00CE2EC9">
        <w:t>), which refer</w:t>
      </w:r>
      <w:r w:rsidR="00B13647">
        <w:t>s</w:t>
      </w:r>
      <w:r w:rsidRPr="0066103C">
        <w:t xml:space="preserve"> to the completing of seventy yea</w:t>
      </w:r>
      <w:r w:rsidR="00B13647">
        <w:t>rs of punishment for Judah’s wrongdoing</w:t>
      </w:r>
      <w:r w:rsidRPr="0066103C">
        <w:t>. Jeremiah’s “seventy years” was earlier</w:t>
      </w:r>
      <w:r w:rsidR="006234C4" w:rsidRPr="0066103C">
        <w:t xml:space="preserve"> taken up in Zech 1:12 (cf. 7:5)</w:t>
      </w:r>
      <w:r w:rsidRPr="0066103C">
        <w:t>.</w:t>
      </w:r>
      <w:r w:rsidR="006234C4" w:rsidRPr="0066103C">
        <w:rPr>
          <w:rStyle w:val="FootnoteReference"/>
        </w:rPr>
        <w:footnoteReference w:id="408"/>
      </w:r>
      <w:r w:rsidRPr="0066103C">
        <w:t xml:space="preserve"> 2 Chr 36:20–23 </w:t>
      </w:r>
      <w:r w:rsidR="00E3420E">
        <w:t xml:space="preserve">then </w:t>
      </w:r>
      <w:r w:rsidRPr="0066103C">
        <w:t xml:space="preserve">nuances Zechariah’s prophecy by understanding the seventy years </w:t>
      </w:r>
      <w:r w:rsidR="006234C4" w:rsidRPr="0066103C">
        <w:t>in light</w:t>
      </w:r>
      <w:r w:rsidRPr="0066103C">
        <w:t xml:space="preserve"> of Lev 25:1–7; 26:31–35, 43. The period of ruin and desolation comprises seventy years during which the land is uncultivated, to make up for the approximately 490 sabbathless year</w:t>
      </w:r>
      <w:r w:rsidR="002252AD" w:rsidRPr="0066103C">
        <w:t>s of the monarchic period. The deuterocanonical Epistle of Jeremiah, possibly</w:t>
      </w:r>
      <w:r w:rsidRPr="0066103C">
        <w:t xml:space="preserve"> written soon after Alexander and </w:t>
      </w:r>
      <w:r w:rsidR="00CE2EC9">
        <w:t xml:space="preserve">also </w:t>
      </w:r>
      <w:r w:rsidRPr="0066103C">
        <w:t>taking Jer 29 as its jumping-off point, turns the seven</w:t>
      </w:r>
      <w:r w:rsidR="002252AD" w:rsidRPr="0066103C">
        <w:t>ty years into seven generations, which perhaps signifies 280 years according to an</w:t>
      </w:r>
      <w:r w:rsidRPr="0066103C">
        <w:t xml:space="preserve"> OT </w:t>
      </w:r>
      <w:r w:rsidR="002252AD" w:rsidRPr="0066103C">
        <w:t>way of reckoning.</w:t>
      </w:r>
      <w:r w:rsidR="002252AD" w:rsidRPr="0066103C">
        <w:rPr>
          <w:rStyle w:val="FootnoteReference"/>
        </w:rPr>
        <w:footnoteReference w:id="409"/>
      </w:r>
    </w:p>
    <w:p w:rsidR="008821F6" w:rsidRPr="0066103C" w:rsidRDefault="003909F2" w:rsidP="008821F6">
      <w:r w:rsidRPr="0066103C">
        <w:t xml:space="preserve">Dan 9 dates itself in the period </w:t>
      </w:r>
      <w:r w:rsidR="002252AD" w:rsidRPr="0066103C">
        <w:t>to which Zech 1 and 2 Chr 36 refer</w:t>
      </w:r>
      <w:r w:rsidRPr="0066103C">
        <w:t xml:space="preserve">, but it presupposes a time of </w:t>
      </w:r>
      <w:r w:rsidR="00CE2EC9">
        <w:t xml:space="preserve">continuing </w:t>
      </w:r>
      <w:r w:rsidRPr="0066103C">
        <w:t>“desolation</w:t>
      </w:r>
      <w:r w:rsidR="00CE2EC9">
        <w:t xml:space="preserve">,” </w:t>
      </w:r>
      <w:r w:rsidRPr="0066103C">
        <w:t xml:space="preserve">national subservience to foreign powers </w:t>
      </w:r>
      <w:r w:rsidR="00CE2EC9">
        <w:t>that came</w:t>
      </w:r>
      <w:r w:rsidRPr="0066103C">
        <w:t xml:space="preserve"> to a climax w</w:t>
      </w:r>
      <w:r w:rsidR="002252AD" w:rsidRPr="0066103C">
        <w:t>ith th</w:t>
      </w:r>
      <w:r w:rsidR="00CE2EC9">
        <w:t>e oppression of Antiochus. This desolation</w:t>
      </w:r>
      <w:r w:rsidRPr="0066103C">
        <w:t xml:space="preserve"> has lasted a comparable period to that of the monarchy. How could this be? Considering Jer 25:11/29:10 </w:t>
      </w:r>
      <w:r w:rsidR="006234C4" w:rsidRPr="0066103C">
        <w:t>in light</w:t>
      </w:r>
      <w:r w:rsidRPr="0066103C">
        <w:t xml:space="preserve"> of Lev 26:18, 21, 24, 28 as well as </w:t>
      </w:r>
      <w:r w:rsidR="00CE2EC9">
        <w:t xml:space="preserve">25:1–7; 26:31–35, 43 provides an </w:t>
      </w:r>
      <w:r w:rsidRPr="0066103C">
        <w:t>answer: the seventy sa</w:t>
      </w:r>
      <w:r w:rsidR="00B13647">
        <w:t xml:space="preserve">bbath years </w:t>
      </w:r>
      <w:r w:rsidR="008821F6" w:rsidRPr="0066103C">
        <w:t>needed to be</w:t>
      </w:r>
      <w:r w:rsidRPr="0066103C">
        <w:t xml:space="preserve"> exacted sevenfold.</w:t>
      </w:r>
      <w:r w:rsidR="008821F6" w:rsidRPr="0066103C">
        <w:t xml:space="preserve"> The last part of Lev 26 is also more encouragingly significant. Years of desolation and ruin do not mean that Yahweh has ratified Israel’s breaking of the covenant (vv 15, 44); if Israel acknowledges its waywardness and the appro</w:t>
      </w:r>
      <w:r w:rsidR="00B13647">
        <w:t>priateness of its punishment, Yahweh</w:t>
      </w:r>
      <w:r w:rsidR="008821F6" w:rsidRPr="0066103C">
        <w:t xml:space="preserve"> will remember the covenant (vv 40–42).</w:t>
      </w:r>
      <w:r w:rsidR="00CE2EC9">
        <w:t xml:space="preserve"> The two-sided implications of Lev 25—26 correspond to two sides to Jeremiah’s prophecy in chaps. 25 and 29. The former warns how long Yahweh’s chastisement will be, the lat</w:t>
      </w:r>
      <w:r w:rsidR="00B13647">
        <w:t xml:space="preserve">ter promises that it will not </w:t>
      </w:r>
      <w:r w:rsidR="00CE2EC9">
        <w:t>l</w:t>
      </w:r>
      <w:r w:rsidR="00B13647">
        <w:t>a</w:t>
      </w:r>
      <w:r w:rsidR="00CE2EC9">
        <w:t xml:space="preserve">st forever. </w:t>
      </w:r>
    </w:p>
    <w:p w:rsidR="008821F6" w:rsidRPr="0066103C" w:rsidRDefault="008821F6" w:rsidP="003909F2">
      <w:r w:rsidRPr="0066103C">
        <w:t>The use of</w:t>
      </w:r>
      <w:r w:rsidR="003909F2" w:rsidRPr="0066103C">
        <w:t xml:space="preserve"> 70 and 490 in structuring history appears elsewhere in writings of the Persian and Greek periods. From the flood to th</w:t>
      </w:r>
      <w:r w:rsidR="00CE2EC9">
        <w:t>e End is 70</w:t>
      </w:r>
      <w:r w:rsidR="003909F2" w:rsidRPr="0066103C">
        <w:t xml:space="preserve"> generations (1 </w:t>
      </w:r>
      <w:r w:rsidR="003909F2" w:rsidRPr="0066103C">
        <w:rPr>
          <w:i/>
        </w:rPr>
        <w:t>Enoch</w:t>
      </w:r>
      <w:r w:rsidR="00CE2EC9">
        <w:t xml:space="preserve"> 10.12) or 70</w:t>
      </w:r>
      <w:r w:rsidR="003909F2" w:rsidRPr="0066103C">
        <w:t xml:space="preserve"> weeks (4Q180 1.9); 1 </w:t>
      </w:r>
      <w:r w:rsidR="003909F2" w:rsidRPr="0066103C">
        <w:rPr>
          <w:i/>
        </w:rPr>
        <w:lastRenderedPageBreak/>
        <w:t>Enoch</w:t>
      </w:r>
      <w:r w:rsidR="003909F2" w:rsidRPr="0066103C">
        <w:t xml:space="preserve"> 91.1–17; 93.1–10 divides history into seven followed by three weeks. Seventy shepherds pasture Israel from the Assyrian captivity to the End (1 </w:t>
      </w:r>
      <w:r w:rsidR="003909F2" w:rsidRPr="0066103C">
        <w:rPr>
          <w:i/>
        </w:rPr>
        <w:t>Enoch</w:t>
      </w:r>
      <w:r w:rsidR="004C3305" w:rsidRPr="0066103C">
        <w:t xml:space="preserve"> 89–90); </w:t>
      </w:r>
      <w:r w:rsidR="003909F2" w:rsidRPr="0066103C">
        <w:rPr>
          <w:i/>
        </w:rPr>
        <w:t>T. Levi</w:t>
      </w:r>
      <w:r w:rsidR="003909F2" w:rsidRPr="0066103C">
        <w:t xml:space="preserve"> 16.1; 17.1</w:t>
      </w:r>
      <w:r w:rsidR="004C3305" w:rsidRPr="0066103C">
        <w:t xml:space="preserve"> seems to speak in </w:t>
      </w:r>
      <w:r w:rsidR="00CE2EC9">
        <w:t xml:space="preserve">a similar connection of 70 </w:t>
      </w:r>
      <w:r w:rsidR="004C3305" w:rsidRPr="0066103C">
        <w:t>weeks</w:t>
      </w:r>
      <w:r w:rsidR="00B47250">
        <w:t>. While the time from</w:t>
      </w:r>
      <w:r w:rsidR="003909F2" w:rsidRPr="0066103C">
        <w:t xml:space="preserve"> the exodus to the building of the temple was 480 years or</w:t>
      </w:r>
      <w:r w:rsidR="00B47250">
        <w:t xml:space="preserve"> twelve generations (1 Kgs 6:1)</w:t>
      </w:r>
      <w:r w:rsidR="003909F2" w:rsidRPr="0066103C">
        <w:t xml:space="preserve"> and there are hints that the </w:t>
      </w:r>
      <w:r w:rsidR="004C3305" w:rsidRPr="0066103C">
        <w:t>time of Israel’s ancestors, of the monarchy</w:t>
      </w:r>
      <w:r w:rsidR="003909F2" w:rsidRPr="0066103C">
        <w:t xml:space="preserve">, and </w:t>
      </w:r>
      <w:r w:rsidR="004C3305" w:rsidRPr="0066103C">
        <w:t>of the Second Temple period</w:t>
      </w:r>
      <w:r w:rsidR="003909F2" w:rsidRPr="0066103C">
        <w:t xml:space="preserve"> could also be</w:t>
      </w:r>
      <w:r w:rsidR="00B47250">
        <w:t xml:space="preserve"> reckoned at 480 years each, t</w:t>
      </w:r>
      <w:r w:rsidR="003909F2" w:rsidRPr="0066103C">
        <w:t>here are other hints of an understanding of biblical history as involving 490-year sequences,</w:t>
      </w:r>
      <w:r w:rsidR="004C3305" w:rsidRPr="0066103C">
        <w:rPr>
          <w:rStyle w:val="FootnoteReference"/>
        </w:rPr>
        <w:footnoteReference w:id="410"/>
      </w:r>
      <w:r w:rsidR="003909F2" w:rsidRPr="0066103C">
        <w:t xml:space="preserve"> and 11QMelch envisages a period of ten jubilees, thus 490 ye</w:t>
      </w:r>
      <w:r w:rsidR="004C3305" w:rsidRPr="0066103C">
        <w:t>ars, up to the final judgment. While s</w:t>
      </w:r>
      <w:r w:rsidR="00F0587C">
        <w:t xml:space="preserve">ome of these </w:t>
      </w:r>
      <w:r w:rsidR="003909F2" w:rsidRPr="0066103C">
        <w:t>documents may be later tha</w:t>
      </w:r>
      <w:r w:rsidR="004C3305" w:rsidRPr="0066103C">
        <w:t>n and dependent on Daniel,</w:t>
      </w:r>
      <w:r w:rsidR="003909F2" w:rsidRPr="0066103C">
        <w:t xml:space="preserve"> they represent a way of thinking that Da</w:t>
      </w:r>
      <w:r w:rsidR="004C3305" w:rsidRPr="0066103C">
        <w:t>niel takes up rather than initiates.</w:t>
      </w:r>
      <w:r w:rsidR="004C3305" w:rsidRPr="0066103C">
        <w:rPr>
          <w:rStyle w:val="FootnoteReference"/>
        </w:rPr>
        <w:footnoteReference w:id="411"/>
      </w:r>
      <w:r w:rsidR="00945C8C">
        <w:t xml:space="preserve"> </w:t>
      </w:r>
      <w:r w:rsidR="003909F2" w:rsidRPr="0066103C">
        <w:t xml:space="preserve">Lev 25:8–17 also describes the jubilee year, and </w:t>
      </w:r>
      <w:r w:rsidR="00B47250">
        <w:rPr>
          <w:i/>
        </w:rPr>
        <w:t xml:space="preserve">Jubilees </w:t>
      </w:r>
      <w:r w:rsidR="0025638D">
        <w:t xml:space="preserve">in due course </w:t>
      </w:r>
      <w:r w:rsidR="00B47250">
        <w:t>structures</w:t>
      </w:r>
      <w:r w:rsidR="00B47250" w:rsidRPr="00B47250">
        <w:t xml:space="preserve"> hist</w:t>
      </w:r>
      <w:r w:rsidR="00B47250">
        <w:t>ory by jubilees</w:t>
      </w:r>
      <w:r w:rsidR="009B133C">
        <w:t>,</w:t>
      </w:r>
      <w:r w:rsidR="0025638D" w:rsidRPr="0066103C">
        <w:rPr>
          <w:rStyle w:val="FootnoteReference"/>
        </w:rPr>
        <w:footnoteReference w:id="412"/>
      </w:r>
      <w:r w:rsidR="009B133C">
        <w:t xml:space="preserve"> though</w:t>
      </w:r>
      <w:r w:rsidR="00025368">
        <w:t xml:space="preserve"> Dan 9 </w:t>
      </w:r>
      <w:r w:rsidR="009B133C">
        <w:t xml:space="preserve">itself </w:t>
      </w:r>
      <w:r w:rsidR="0025638D" w:rsidRPr="0025638D">
        <w:t xml:space="preserve">does not describe the 490 years in these terms </w:t>
      </w:r>
      <w:r w:rsidR="0025638D">
        <w:t xml:space="preserve">and the seven sevens of Dan 9:25 are hardly </w:t>
      </w:r>
      <w:r w:rsidR="0025638D" w:rsidRPr="0025638D">
        <w:t xml:space="preserve">sufficient to indicate that </w:t>
      </w:r>
      <w:r w:rsidR="003909F2" w:rsidRPr="0066103C">
        <w:t>reflects</w:t>
      </w:r>
      <w:r w:rsidR="0025638D">
        <w:t xml:space="preserve"> jubilee thinking</w:t>
      </w:r>
      <w:r w:rsidR="003909F2" w:rsidRPr="0066103C">
        <w:t>.</w:t>
      </w:r>
      <w:r w:rsidR="001178CD" w:rsidRPr="0066103C">
        <w:rPr>
          <w:rStyle w:val="FootnoteReference"/>
        </w:rPr>
        <w:footnoteReference w:id="413"/>
      </w:r>
      <w:r w:rsidR="003909F2" w:rsidRPr="0066103C">
        <w:t xml:space="preserve"> </w:t>
      </w:r>
    </w:p>
    <w:p w:rsidR="003909F2" w:rsidRPr="0066103C" w:rsidRDefault="00FF4F3A" w:rsidP="003909F2">
      <w:r>
        <w:t>The supernatural</w:t>
      </w:r>
      <w:r w:rsidR="008821F6" w:rsidRPr="0066103C">
        <w:t xml:space="preserve"> </w:t>
      </w:r>
      <w:r w:rsidR="003909F2" w:rsidRPr="0066103C">
        <w:t xml:space="preserve">revelation in Dan 9 presupposes </w:t>
      </w:r>
      <w:r w:rsidR="008821F6" w:rsidRPr="0066103C">
        <w:t xml:space="preserve">a </w:t>
      </w:r>
      <w:r w:rsidR="003909F2" w:rsidRPr="0066103C">
        <w:t xml:space="preserve">reading </w:t>
      </w:r>
      <w:r w:rsidR="008821F6" w:rsidRPr="0066103C">
        <w:t xml:space="preserve">of </w:t>
      </w:r>
      <w:r w:rsidR="003909F2" w:rsidRPr="0066103C">
        <w:t xml:space="preserve">Jer 25:11/29:10 </w:t>
      </w:r>
      <w:r w:rsidR="006234C4" w:rsidRPr="0066103C">
        <w:t>in light</w:t>
      </w:r>
      <w:r w:rsidR="00B47250">
        <w:t xml:space="preserve"> of further passages beyond</w:t>
      </w:r>
      <w:r w:rsidR="003909F2" w:rsidRPr="0066103C">
        <w:t xml:space="preserve"> Lev 25–26. The </w:t>
      </w:r>
      <w:r w:rsidR="00B13647">
        <w:t>leader</w:t>
      </w:r>
      <w:r w:rsidR="003909F2" w:rsidRPr="0066103C">
        <w:t xml:space="preserve"> </w:t>
      </w:r>
      <w:r w:rsidR="008821F6" w:rsidRPr="0066103C">
        <w:t>(</w:t>
      </w:r>
      <w:r w:rsidR="008821F6" w:rsidRPr="0066103C">
        <w:rPr>
          <w:rFonts w:ascii="Arial" w:hAnsi="Arial" w:cs="Arial"/>
        </w:rPr>
        <w:t>נגיד)</w:t>
      </w:r>
      <w:r w:rsidR="008821F6" w:rsidRPr="0066103C">
        <w:t xml:space="preserve"> </w:t>
      </w:r>
      <w:r w:rsidR="003909F2" w:rsidRPr="0066103C">
        <w:t xml:space="preserve">who is </w:t>
      </w:r>
      <w:r w:rsidR="008821F6" w:rsidRPr="0066103C">
        <w:t>anointed (</w:t>
      </w:r>
      <w:r w:rsidR="008821F6" w:rsidRPr="0066103C">
        <w:rPr>
          <w:rFonts w:ascii="Arial" w:hAnsi="Arial" w:cs="Arial"/>
        </w:rPr>
        <w:t>משיח</w:t>
      </w:r>
      <w:r w:rsidR="008821F6" w:rsidRPr="0066103C">
        <w:t>) recalls the prophecy about</w:t>
      </w:r>
      <w:r w:rsidR="003909F2" w:rsidRPr="0066103C">
        <w:t xml:space="preserve"> the king of Tyre in Ezek 28 (see vv 2, 14), which share</w:t>
      </w:r>
      <w:r w:rsidR="008821F6" w:rsidRPr="0066103C">
        <w:t>s other motifs with Dan 9:24–27</w:t>
      </w:r>
      <w:r w:rsidR="003909F2" w:rsidRPr="0066103C">
        <w:t xml:space="preserve"> such as ruin and desolation (</w:t>
      </w:r>
      <w:r w:rsidR="003909F2" w:rsidRPr="0066103C">
        <w:rPr>
          <w:rFonts w:ascii="Arial" w:hAnsi="Arial" w:cs="Arial"/>
        </w:rPr>
        <w:t>שחת</w:t>
      </w:r>
      <w:r w:rsidR="003909F2" w:rsidRPr="0066103C">
        <w:t xml:space="preserve">, </w:t>
      </w:r>
      <w:r w:rsidR="003909F2" w:rsidRPr="0066103C">
        <w:rPr>
          <w:rFonts w:ascii="Arial" w:hAnsi="Arial" w:cs="Arial"/>
        </w:rPr>
        <w:t>שמם</w:t>
      </w:r>
      <w:r w:rsidR="003909F2" w:rsidRPr="0066103C">
        <w:t>, vv 8, 17, 19), God’s sacred mountain (vv 14, 16), and the profaning of sanctuaries by failure and waywardness (vv 16, 18).</w:t>
      </w:r>
      <w:r w:rsidR="008821F6" w:rsidRPr="0066103C">
        <w:rPr>
          <w:rStyle w:val="FootnoteReference"/>
        </w:rPr>
        <w:footnoteReference w:id="414"/>
      </w:r>
      <w:r w:rsidR="003909F2" w:rsidRPr="0066103C">
        <w:t xml:space="preserve"> Isa 10:22–23 declares that </w:t>
      </w:r>
      <w:r w:rsidR="003909F2" w:rsidRPr="0066103C">
        <w:rPr>
          <w:rFonts w:ascii="Arial" w:hAnsi="Arial" w:cs="Arial"/>
        </w:rPr>
        <w:t>ונחרצה</w:t>
      </w:r>
      <w:r w:rsidR="008821F6" w:rsidRPr="0066103C">
        <w:rPr>
          <w:rFonts w:ascii="Arial" w:hAnsi="Arial" w:cs="Arial"/>
        </w:rPr>
        <w:t xml:space="preserve"> כלה כי</w:t>
      </w:r>
      <w:r w:rsidR="003909F2" w:rsidRPr="0066103C">
        <w:t xml:space="preserve">. . .: </w:t>
      </w:r>
      <w:r w:rsidR="003909F2" w:rsidRPr="0066103C">
        <w:rPr>
          <w:rFonts w:ascii="Arial" w:hAnsi="Arial" w:cs="Arial"/>
        </w:rPr>
        <w:t>צדקה</w:t>
      </w:r>
      <w:r w:rsidR="008821F6" w:rsidRPr="0066103C">
        <w:rPr>
          <w:rFonts w:ascii="Arial" w:hAnsi="Arial" w:cs="Arial"/>
        </w:rPr>
        <w:t xml:space="preserve"> שוטף</w:t>
      </w:r>
      <w:r w:rsidR="003909F2" w:rsidRPr="0066103C">
        <w:t xml:space="preserve"> (“justice is in full flood</w:t>
      </w:r>
      <w:r w:rsidR="00477659" w:rsidRPr="0066103C">
        <w:t>…. because</w:t>
      </w:r>
      <w:r w:rsidR="008821F6" w:rsidRPr="0066103C">
        <w:t xml:space="preserve">, an end which has been decreed </w:t>
      </w:r>
      <w:r w:rsidR="00477659" w:rsidRPr="0066103C">
        <w:t>[is Yahweh . . . bringing about </w:t>
      </w:r>
      <w:r w:rsidR="003909F2" w:rsidRPr="0066103C">
        <w:t>]”). Each word recurs in Dan 9:24–27; the second phrase appears in the identical form in v 27, apparently indicating that the consummation which is now effected is that of which Isaiah spoke.</w:t>
      </w:r>
      <w:r w:rsidR="00D44B1C">
        <w:rPr>
          <w:rStyle w:val="FootnoteReference"/>
        </w:rPr>
        <w:footnoteReference w:id="415"/>
      </w:r>
      <w:r w:rsidR="003909F2" w:rsidRPr="0066103C">
        <w:t xml:space="preserve"> The allusive </w:t>
      </w:r>
      <w:r w:rsidR="003909F2" w:rsidRPr="0066103C">
        <w:rPr>
          <w:rFonts w:ascii="Arial" w:hAnsi="Arial" w:cs="Arial"/>
        </w:rPr>
        <w:t>הגביר</w:t>
      </w:r>
      <w:r w:rsidR="003909F2" w:rsidRPr="0066103C">
        <w:t xml:space="preserve"> (</w:t>
      </w:r>
      <w:r w:rsidR="00477659" w:rsidRPr="0066103C">
        <w:t>“</w:t>
      </w:r>
      <w:r w:rsidR="003909F2" w:rsidRPr="0066103C">
        <w:t>prevail”</w:t>
      </w:r>
      <w:r w:rsidR="00477659" w:rsidRPr="0066103C">
        <w:t>?</w:t>
      </w:r>
      <w:r w:rsidR="00B47250">
        <w:t>—</w:t>
      </w:r>
      <w:r w:rsidR="003909F2" w:rsidRPr="0066103C">
        <w:t>s</w:t>
      </w:r>
      <w:r w:rsidR="00477659" w:rsidRPr="0066103C">
        <w:t xml:space="preserve">ee n. 27.a) might </w:t>
      </w:r>
      <w:r w:rsidR="003909F2" w:rsidRPr="0066103C">
        <w:t xml:space="preserve">have its background in the </w:t>
      </w:r>
      <w:r w:rsidR="003909F2" w:rsidRPr="0066103C">
        <w:rPr>
          <w:rFonts w:ascii="Arial" w:hAnsi="Arial" w:cs="Arial"/>
        </w:rPr>
        <w:t>גבור</w:t>
      </w:r>
      <w:r w:rsidR="003909F2" w:rsidRPr="0066103C">
        <w:t xml:space="preserve"> </w:t>
      </w:r>
      <w:r w:rsidR="00477659" w:rsidRPr="0066103C">
        <w:rPr>
          <w:rFonts w:ascii="Arial" w:hAnsi="Arial" w:cs="Arial"/>
        </w:rPr>
        <w:t>אל</w:t>
      </w:r>
      <w:r w:rsidR="00477659" w:rsidRPr="0066103C">
        <w:t xml:space="preserve"> </w:t>
      </w:r>
      <w:r w:rsidR="003909F2" w:rsidRPr="0066103C">
        <w:t>“God the champion” of Isa 10:21</w:t>
      </w:r>
      <w:r w:rsidR="00477659" w:rsidRPr="0066103C">
        <w:t>.</w:t>
      </w:r>
      <w:r w:rsidR="00477659" w:rsidRPr="0066103C">
        <w:rPr>
          <w:rStyle w:val="FootnoteReference"/>
        </w:rPr>
        <w:footnoteReference w:id="416"/>
      </w:r>
      <w:r w:rsidR="003909F2" w:rsidRPr="0066103C">
        <w:t xml:space="preserve"> </w:t>
      </w:r>
      <w:r w:rsidR="00477659" w:rsidRPr="0066103C">
        <w:t xml:space="preserve">There are a number of possible </w:t>
      </w:r>
      <w:r w:rsidR="003909F2" w:rsidRPr="0066103C">
        <w:t>links betwee</w:t>
      </w:r>
      <w:r w:rsidR="00477659" w:rsidRPr="0066103C">
        <w:t>n Dan 9 and Isa 52:13–53:12, of which the</w:t>
      </w:r>
      <w:r w:rsidR="003909F2" w:rsidRPr="0066103C">
        <w:t xml:space="preserve"> most plausible are in 52:14: </w:t>
      </w:r>
      <w:r w:rsidR="003909F2" w:rsidRPr="0066103C">
        <w:rPr>
          <w:rFonts w:ascii="Arial" w:hAnsi="Arial" w:cs="Arial"/>
        </w:rPr>
        <w:t>שמם</w:t>
      </w:r>
      <w:r w:rsidR="003909F2" w:rsidRPr="0066103C">
        <w:t xml:space="preserve">, </w:t>
      </w:r>
      <w:r w:rsidR="003909F2" w:rsidRPr="0066103C">
        <w:rPr>
          <w:rFonts w:ascii="Arial" w:hAnsi="Arial" w:cs="Arial"/>
        </w:rPr>
        <w:t>רבים</w:t>
      </w:r>
      <w:r w:rsidR="003909F2" w:rsidRPr="0066103C">
        <w:t xml:space="preserve">, </w:t>
      </w:r>
      <w:r w:rsidR="003909F2" w:rsidRPr="0066103C">
        <w:rPr>
          <w:rFonts w:ascii="Arial" w:hAnsi="Arial" w:cs="Arial"/>
        </w:rPr>
        <w:t>שחת</w:t>
      </w:r>
      <w:r w:rsidR="003909F2" w:rsidRPr="0066103C">
        <w:t xml:space="preserve"> (1QIsa</w:t>
      </w:r>
      <w:r w:rsidR="003909F2" w:rsidRPr="0066103C">
        <w:rPr>
          <w:vertAlign w:val="superscript"/>
        </w:rPr>
        <w:t>a</w:t>
      </w:r>
      <w:r w:rsidR="003909F2" w:rsidRPr="0066103C">
        <w:t xml:space="preserve"> </w:t>
      </w:r>
      <w:r w:rsidR="003909F2" w:rsidRPr="0066103C">
        <w:rPr>
          <w:rFonts w:ascii="Arial" w:hAnsi="Arial" w:cs="Arial"/>
        </w:rPr>
        <w:t>משח</w:t>
      </w:r>
      <w:r w:rsidR="003909F2" w:rsidRPr="0066103C">
        <w:t>!).</w:t>
      </w:r>
      <w:r w:rsidR="00477659" w:rsidRPr="0066103C">
        <w:rPr>
          <w:rStyle w:val="FootnoteReference"/>
        </w:rPr>
        <w:footnoteReference w:id="417"/>
      </w:r>
    </w:p>
    <w:p w:rsidR="00E923A4" w:rsidRPr="0066103C" w:rsidRDefault="003909F2" w:rsidP="003909F2">
      <w:r w:rsidRPr="0066103C">
        <w:t>With</w:t>
      </w:r>
      <w:r w:rsidR="00FF4F3A">
        <w:t xml:space="preserve">in the framework of the supernatural </w:t>
      </w:r>
      <w:r w:rsidRPr="0066103C">
        <w:t>revelation</w:t>
      </w:r>
      <w:r w:rsidR="005F7B09">
        <w:t>,</w:t>
      </w:r>
      <w:r w:rsidRPr="0066103C">
        <w:t xml:space="preserve"> Dan 9 is dominated by a long communal </w:t>
      </w:r>
      <w:r w:rsidR="00737D61">
        <w:t xml:space="preserve">prayer of confession (vv 4–19). It is </w:t>
      </w:r>
      <w:r w:rsidR="00403126">
        <w:t>comparable to other Second Temple</w:t>
      </w:r>
      <w:r w:rsidRPr="0066103C">
        <w:t xml:space="preserve"> prayers in Ezra 9:6–15; Neh 1:5–11; 9:5–38; Bar 1:15–3:8; 1QS 1.22–2.1; 4Q Words of the Luminaries (and less so to Isa 59:12–15; 64:</w:t>
      </w:r>
      <w:r w:rsidR="00477659" w:rsidRPr="0066103C">
        <w:t>5-12 [4–11</w:t>
      </w:r>
      <w:r w:rsidRPr="0066103C">
        <w:t>]; Jer 14:7–9, 19–22; Pss 51; 106; Prayer of Manasseh)</w:t>
      </w:r>
      <w:r w:rsidR="00737D61">
        <w:t>,</w:t>
      </w:r>
      <w:r w:rsidR="00477659" w:rsidRPr="0066103C">
        <w:rPr>
          <w:rStyle w:val="FootnoteReference"/>
        </w:rPr>
        <w:footnoteReference w:id="418"/>
      </w:r>
      <w:r w:rsidR="005F7B09">
        <w:t xml:space="preserve"> though</w:t>
      </w:r>
      <w:r w:rsidR="00737D61">
        <w:t xml:space="preserve"> e</w:t>
      </w:r>
      <w:r w:rsidRPr="0066103C">
        <w:t xml:space="preserve">ach of these </w:t>
      </w:r>
      <w:r w:rsidR="00737D61">
        <w:t>prayers is distinctive</w:t>
      </w:r>
      <w:r w:rsidRPr="0066103C">
        <w:t xml:space="preserve"> in relation to its context</w:t>
      </w:r>
      <w:r w:rsidR="00E923A4" w:rsidRPr="0066103C">
        <w:t>.</w:t>
      </w:r>
      <w:r w:rsidRPr="0066103C">
        <w:t xml:space="preserve"> </w:t>
      </w:r>
      <w:r w:rsidR="00E923A4" w:rsidRPr="0066103C">
        <w:rPr>
          <w:rStyle w:val="FootnoteReference"/>
        </w:rPr>
        <w:footnoteReference w:id="419"/>
      </w:r>
    </w:p>
    <w:p w:rsidR="003909F2" w:rsidRDefault="00C17BBD" w:rsidP="003909F2">
      <w:r w:rsidRPr="0066103C">
        <w:lastRenderedPageBreak/>
        <w:t>T</w:t>
      </w:r>
      <w:r w:rsidR="005F7B09">
        <w:t>his</w:t>
      </w:r>
      <w:r w:rsidR="003909F2" w:rsidRPr="0066103C">
        <w:t xml:space="preserve"> prayer begins with an ascription of praise to God (v 4), a motif which recurs in the body of the prayer (e.g., vv 7a, 9a, 15). The recognition that right is on Yahweh’s s</w:t>
      </w:r>
      <w:r w:rsidR="00737D61">
        <w:t>ide is of key importance to</w:t>
      </w:r>
      <w:r w:rsidR="003909F2" w:rsidRPr="0066103C">
        <w:t xml:space="preserve"> the prayer, which </w:t>
      </w:r>
      <w:r w:rsidR="00737D61">
        <w:t xml:space="preserve">in this connection </w:t>
      </w:r>
      <w:r w:rsidR="003909F2" w:rsidRPr="0066103C">
        <w:t xml:space="preserve">can be described as </w:t>
      </w:r>
      <w:r w:rsidR="00E923A4" w:rsidRPr="0066103C">
        <w:t xml:space="preserve">a </w:t>
      </w:r>
      <w:r w:rsidR="00E923A4" w:rsidRPr="0066103C">
        <w:rPr>
          <w:i/>
        </w:rPr>
        <w:t>Gerichtsdoxologie</w:t>
      </w:r>
      <w:r w:rsidR="00E923A4" w:rsidRPr="0066103C">
        <w:t xml:space="preserve">, </w:t>
      </w:r>
      <w:r w:rsidR="003909F2" w:rsidRPr="0066103C">
        <w:t>an act</w:t>
      </w:r>
      <w:r w:rsidR="00737D61">
        <w:t xml:space="preserve"> of praise at the justice of God’s judgment</w:t>
      </w:r>
      <w:r w:rsidR="00E923A4" w:rsidRPr="0066103C">
        <w:t>.</w:t>
      </w:r>
      <w:r w:rsidR="00E923A4" w:rsidRPr="0066103C">
        <w:rPr>
          <w:rStyle w:val="FootnoteReference"/>
        </w:rPr>
        <w:footnoteReference w:id="420"/>
      </w:r>
      <w:r w:rsidR="005F7B09">
        <w:t xml:space="preserve"> The central feature</w:t>
      </w:r>
      <w:r w:rsidR="003909F2" w:rsidRPr="0066103C">
        <w:t xml:space="preserve"> of the prayer is thus an acknowledgment of wrongdoing</w:t>
      </w:r>
      <w:r w:rsidR="00D30879" w:rsidRPr="0066103C">
        <w:t xml:space="preserve"> (vv 5–14). It makes</w:t>
      </w:r>
      <w:r w:rsidR="003909F2" w:rsidRPr="0066103C">
        <w:t xml:space="preserve"> a statement in general</w:t>
      </w:r>
      <w:r w:rsidRPr="0066103C">
        <w:t xml:space="preserve"> terms of what Israel did</w:t>
      </w:r>
      <w:r w:rsidR="003909F2" w:rsidRPr="0066103C">
        <w:t xml:space="preserve"> and failed to do </w:t>
      </w:r>
      <w:r w:rsidR="005F7B09">
        <w:t>(vv 5–6, 9b–11a, 11b, 13b, 14b) and</w:t>
      </w:r>
      <w:r w:rsidR="003909F2" w:rsidRPr="0066103C">
        <w:t xml:space="preserve"> of Go</w:t>
      </w:r>
      <w:r w:rsidR="00D30879" w:rsidRPr="0066103C">
        <w:t>d’s acts in response (esp.</w:t>
      </w:r>
      <w:r w:rsidR="005F7B09">
        <w:t xml:space="preserve"> vv 11b, 12–13a, 14), and it contrasts</w:t>
      </w:r>
      <w:r w:rsidR="003909F2" w:rsidRPr="0066103C">
        <w:t xml:space="preserve"> the consequent moral positio</w:t>
      </w:r>
      <w:r w:rsidR="00D30879" w:rsidRPr="0066103C">
        <w:t>ns of God and people (esp.</w:t>
      </w:r>
      <w:r w:rsidR="003909F2" w:rsidRPr="0066103C">
        <w:t xml:space="preserve"> vv 7–8a). It incorporates some descriptio</w:t>
      </w:r>
      <w:r w:rsidR="00737D61">
        <w:t>n of the afflicted state of th</w:t>
      </w:r>
      <w:r w:rsidR="003909F2" w:rsidRPr="0066103C">
        <w:t>e</w:t>
      </w:r>
      <w:r w:rsidR="00737D61">
        <w:t xml:space="preserve"> people for whom Daniel prays; the description corresponds</w:t>
      </w:r>
      <w:r w:rsidRPr="0066103C">
        <w:t xml:space="preserve"> to the lamen</w:t>
      </w:r>
      <w:r w:rsidR="003909F2" w:rsidRPr="0066103C">
        <w:t xml:space="preserve">t in a </w:t>
      </w:r>
      <w:r w:rsidRPr="0066103C">
        <w:t>protest psalm</w:t>
      </w:r>
      <w:r w:rsidR="003909F2" w:rsidRPr="0066103C">
        <w:t>. This second section of the prayer is the longest, yet it does not express its main aim. The prayer is not just an acknowledgment of wrongdoing and acceptance of responsibility for it, like Josh 7:20–21; 2 Sam 12:13a, and the Deuteronomistic History as a whole. The acknowledgment of being in the wrong is designed to open the way to a plea for mercy, as in Judg 10:15; 1 Sam 15:24–25; Ps 106;</w:t>
      </w:r>
      <w:r w:rsidRPr="0066103C">
        <w:rPr>
          <w:rStyle w:val="FootnoteReference"/>
        </w:rPr>
        <w:footnoteReference w:id="421"/>
      </w:r>
      <w:r w:rsidR="003909F2" w:rsidRPr="0066103C">
        <w:t xml:space="preserve"> contrast—among the communal prayers of confession</w:t>
      </w:r>
      <w:r w:rsidRPr="0066103C">
        <w:t>—</w:t>
      </w:r>
      <w:r w:rsidR="003909F2" w:rsidRPr="0066103C">
        <w:t xml:space="preserve">Ezra 9. Thus the third element in the prayer’s form is a plea for God to turn back to his people in forgiveness and restoration (vv 15–19). The transition to the plea is marked by the emphatic particle </w:t>
      </w:r>
      <w:r w:rsidR="003909F2" w:rsidRPr="0066103C">
        <w:rPr>
          <w:rFonts w:ascii="Arial" w:hAnsi="Arial" w:cs="Arial"/>
        </w:rPr>
        <w:t>ועתה</w:t>
      </w:r>
      <w:r w:rsidRPr="0066103C">
        <w:t xml:space="preserve"> “but now,” which recurs</w:t>
      </w:r>
      <w:r w:rsidR="003909F2" w:rsidRPr="0066103C">
        <w:t xml:space="preserve"> </w:t>
      </w:r>
      <w:r w:rsidRPr="0066103C">
        <w:t>in v 17: for the repetition, compare 2 Sam 7; 1 Kgs 8. I</w:t>
      </w:r>
      <w:r w:rsidR="003909F2" w:rsidRPr="0066103C">
        <w:t xml:space="preserve">t expresses an outburst of emotion </w:t>
      </w:r>
      <w:r w:rsidR="00737D61">
        <w:t xml:space="preserve">that is </w:t>
      </w:r>
      <w:r w:rsidR="003909F2" w:rsidRPr="0066103C">
        <w:t>contained throughout the confession; it is both a c</w:t>
      </w:r>
      <w:r w:rsidRPr="0066103C">
        <w:t>onjunction and an interjection</w:t>
      </w:r>
      <w:r w:rsidR="003909F2" w:rsidRPr="0066103C">
        <w:t>.</w:t>
      </w:r>
      <w:r w:rsidRPr="0066103C">
        <w:rPr>
          <w:rStyle w:val="FootnoteReference"/>
        </w:rPr>
        <w:footnoteReference w:id="422"/>
      </w:r>
      <w:r w:rsidR="003909F2" w:rsidRPr="0066103C">
        <w:t xml:space="preserve"> The plea is dominated by motive clauses and phrases that indicate the reasons why God should forgive and restore (vv 15a, 16a [two phrases], 16b, 17b, 18a, 18b, 19b).</w:t>
      </w:r>
    </w:p>
    <w:p w:rsidR="003909F2" w:rsidRPr="0066103C" w:rsidRDefault="003909F2" w:rsidP="003909F2">
      <w:r w:rsidRPr="0066103C">
        <w:t>The prayer’s alternating between “we/our” and “I/my,” and between “you” and “he” in sp</w:t>
      </w:r>
      <w:r w:rsidR="00BC5B17" w:rsidRPr="0066103C">
        <w:t xml:space="preserve">eaking of God, reflects </w:t>
      </w:r>
      <w:r w:rsidRPr="0066103C">
        <w:t>features of the corporate prayer of the Psalter. While the “we” is appropriate to a p</w:t>
      </w:r>
      <w:r w:rsidR="005F7B09">
        <w:t>rayer that concerns Israel’s wrongdoing</w:t>
      </w:r>
      <w:r w:rsidRPr="0066103C">
        <w:t>, the “I” puts Daniel in the position of intercess</w:t>
      </w:r>
      <w:r w:rsidR="00BC5B17" w:rsidRPr="0066103C">
        <w:t>ors such as Moses and Jeremiah</w:t>
      </w:r>
      <w:r w:rsidRPr="0066103C">
        <w:t>.</w:t>
      </w:r>
      <w:r w:rsidR="00BC5B17" w:rsidRPr="0066103C">
        <w:rPr>
          <w:rStyle w:val="FootnoteReference"/>
        </w:rPr>
        <w:footnoteReference w:id="423"/>
      </w:r>
      <w:r w:rsidRPr="0066103C">
        <w:t xml:space="preserve"> It may take up the picture of Dan[i]el as a just ma</w:t>
      </w:r>
      <w:r w:rsidR="005F7B09">
        <w:t xml:space="preserve">n who might be the means of </w:t>
      </w:r>
      <w:r w:rsidRPr="0066103C">
        <w:t>de</w:t>
      </w:r>
      <w:r w:rsidR="005F7B09">
        <w:t>livering</w:t>
      </w:r>
      <w:r w:rsidRPr="0066103C">
        <w:t xml:space="preserve"> others (Ezek 14:12–20; cf. Jer 15:1). The prayer’s language has the characteristic repetition of liturgical style. It assembles series of near-synonyms (vv 4b, 5a, 15b, 18a; also instances treated as hendiadys, vv 4b, 5b, 9a, 11b), similar phrases (v 4b), parallel clauses (vv 5b–6, 9b–10, 11, 13b), and whole sentences of similar meaning (vv 7 and 8–9a; vv 9b–1</w:t>
      </w:r>
      <w:r w:rsidR="00737D61">
        <w:t>1, 11b–13a, and 13b–14). Comparable impac</w:t>
      </w:r>
      <w:r w:rsidRPr="0066103C">
        <w:t xml:space="preserve">ct is achieved by chains of related expressions (e.g., vv 6b, 7b, 8a). The pathos and effectiveness of the </w:t>
      </w:r>
      <w:r w:rsidR="005F7B09">
        <w:t>plea’s climax in v 19a depends</w:t>
      </w:r>
      <w:r w:rsidRPr="0066103C">
        <w:t xml:space="preserve"> on the repetition of imperative phrases calling on God, as well as on their novel brevity.</w:t>
      </w:r>
    </w:p>
    <w:p w:rsidR="003909F2" w:rsidRPr="0066103C" w:rsidRDefault="003909F2" w:rsidP="003909F2">
      <w:r w:rsidRPr="0066103C">
        <w:t>The prayer’s repetitiveness also reflects that of the Deuteronomistic covenant tradition to which the pros</w:t>
      </w:r>
      <w:r w:rsidR="00BC5B17" w:rsidRPr="0066103C">
        <w:t>e prayers of confession belong</w:t>
      </w:r>
      <w:r w:rsidRPr="0066103C">
        <w:t>.</w:t>
      </w:r>
      <w:r w:rsidR="00BC5B17" w:rsidRPr="0066103C">
        <w:rPr>
          <w:rStyle w:val="FootnoteReference"/>
        </w:rPr>
        <w:footnoteReference w:id="424"/>
      </w:r>
      <w:r w:rsidRPr="0066103C">
        <w:t xml:space="preserve"> In terms of that tradition, the prayer is an acknowledgment of the covenant God (vv 4, 7a, 14b, 15a), of the breaking of the covenant through Israel’s failure to keep covenantal commitment (vv 5–6, 7b, 8, 9b–11, 15b), and of the appropriateness of God’s treatment of Israel in the framework of the covenant (vv 11b–14). It appeals to the graciousness that lay behind God’s covenantal commitment (vv 9a, 16a, 18b) and implicitly to the possibility of forgiveness and restoration announced in the covenant for people who repent of their covenantal failure. Among Deuteronomistic motifs in the prayer are terms such as </w:t>
      </w:r>
      <w:r w:rsidRPr="0066103C">
        <w:rPr>
          <w:rFonts w:ascii="Arial" w:hAnsi="Arial" w:cs="Arial"/>
        </w:rPr>
        <w:t>חסד</w:t>
      </w:r>
      <w:r w:rsidRPr="0066103C">
        <w:t xml:space="preserve">, </w:t>
      </w:r>
      <w:r w:rsidRPr="0066103C">
        <w:rPr>
          <w:rFonts w:ascii="Arial" w:hAnsi="Arial" w:cs="Arial"/>
        </w:rPr>
        <w:t>תורה</w:t>
      </w:r>
      <w:r w:rsidRPr="0066103C">
        <w:t xml:space="preserve">, </w:t>
      </w:r>
      <w:r w:rsidRPr="0066103C">
        <w:rPr>
          <w:rFonts w:ascii="Arial" w:hAnsi="Arial" w:cs="Arial"/>
        </w:rPr>
        <w:t>אהב</w:t>
      </w:r>
      <w:r w:rsidRPr="0066103C">
        <w:t xml:space="preserve">, </w:t>
      </w:r>
      <w:r w:rsidRPr="0066103C">
        <w:rPr>
          <w:rFonts w:ascii="Arial" w:hAnsi="Arial" w:cs="Arial"/>
        </w:rPr>
        <w:t>שוב</w:t>
      </w:r>
      <w:r w:rsidRPr="0066103C">
        <w:t xml:space="preserve">, and </w:t>
      </w:r>
      <w:r w:rsidRPr="0066103C">
        <w:rPr>
          <w:rFonts w:ascii="Arial" w:hAnsi="Arial" w:cs="Arial"/>
        </w:rPr>
        <w:t>היום</w:t>
      </w:r>
      <w:r w:rsidR="00BC5B17" w:rsidRPr="0066103C">
        <w:t xml:space="preserve"> (commitment, teaching, love, [re]turn, and today</w:t>
      </w:r>
      <w:r w:rsidRPr="0066103C">
        <w:t xml:space="preserve">), the significance attached to Moses, kings, and prophets as scribes, hearers, and preachers of Yahweh’s instruction (i.e., Deuteronomy itself) (vv 6, 8, 10, 11, 13), the phrase “as it is written,” the idea of the curse, the references to Yahweh’s name (vv 18, 19), the actual use of the name, </w:t>
      </w:r>
      <w:r w:rsidRPr="0066103C">
        <w:lastRenderedPageBreak/>
        <w:t xml:space="preserve">and the stress on shame and scorn (vv 7, 8, 16: </w:t>
      </w:r>
      <w:r w:rsidRPr="0066103C">
        <w:rPr>
          <w:rFonts w:ascii="Arial" w:hAnsi="Arial" w:cs="Arial"/>
        </w:rPr>
        <w:t>בשת</w:t>
      </w:r>
      <w:r w:rsidRPr="0066103C">
        <w:t xml:space="preserve"> and </w:t>
      </w:r>
      <w:r w:rsidRPr="0066103C">
        <w:rPr>
          <w:rFonts w:ascii="Arial" w:hAnsi="Arial" w:cs="Arial"/>
        </w:rPr>
        <w:t>חרפה</w:t>
      </w:r>
      <w:r w:rsidRPr="0066103C">
        <w:t xml:space="preserve"> do not come in Deuteronomy itself, but for the idea, see, e.g., 22:13–21; 24:10–11; 25:3, 9; 27:16). Both Leviticus and Deuteronomy envisage the relationship between Yahweh and Israel being fundamentally disturbed by Israel’s faithlessness and disobedience, yet see Yahweh’s response in punishing Israel as stopping short of finally t</w:t>
      </w:r>
      <w:r w:rsidR="00737D61">
        <w:t>erminating the covenant. If th</w:t>
      </w:r>
      <w:r w:rsidRPr="0066103C">
        <w:t xml:space="preserve">e </w:t>
      </w:r>
      <w:r w:rsidR="00737D61">
        <w:t xml:space="preserve">people </w:t>
      </w:r>
      <w:r w:rsidRPr="0066103C">
        <w:t>in exile acknowledge their wrongdoing and the justic</w:t>
      </w:r>
      <w:r w:rsidR="005F7B09">
        <w:t>e of Yahweh’s punishment</w:t>
      </w:r>
      <w:r w:rsidRPr="0066103C">
        <w:t>, he will remember his covenant with them (Lev 26:39–45); if they return to Yahweh, he will restore them (Deut 30:1–10; cf. 1 Kgs 8:46–53; Je</w:t>
      </w:r>
      <w:r w:rsidR="00BC5B17" w:rsidRPr="0066103C">
        <w:t xml:space="preserve">r 29:10–14). Dan 9:4–19 </w:t>
      </w:r>
      <w:r w:rsidRPr="0066103C">
        <w:t>expresses the repentant confession that these passages look for.</w:t>
      </w:r>
      <w:r w:rsidR="00BC5B17" w:rsidRPr="0066103C">
        <w:rPr>
          <w:rStyle w:val="FootnoteReference"/>
        </w:rPr>
        <w:footnoteReference w:id="425"/>
      </w:r>
    </w:p>
    <w:p w:rsidR="003909F2" w:rsidRPr="0066103C" w:rsidRDefault="000356EE" w:rsidP="003909F2">
      <w:r w:rsidRPr="0066103C">
        <w:t>This response also features</w:t>
      </w:r>
      <w:r w:rsidR="003909F2" w:rsidRPr="0066103C">
        <w:t xml:space="preserve"> in the other communal prayers of confession. Practically every phrase in vv 4–20 can be parall</w:t>
      </w:r>
      <w:r w:rsidR="00AF6220">
        <w:t xml:space="preserve">eled in Ezra 9; Neh 1; 9, or </w:t>
      </w:r>
      <w:r w:rsidR="003909F2" w:rsidRPr="0066103C">
        <w:t xml:space="preserve">the traditions that underlie these four prayers: the Deuteronomistic prose of Deuteronomy, 1 Kgs 8, and </w:t>
      </w:r>
      <w:r w:rsidRPr="0066103C">
        <w:t>Jeremiah, or the more worship-</w:t>
      </w:r>
      <w:r w:rsidR="003909F2" w:rsidRPr="0066103C">
        <w:t xml:space="preserve"> oriented traditions of Leviticu</w:t>
      </w:r>
      <w:r w:rsidRPr="0066103C">
        <w:t>s, Chronicles, and the Psalter</w:t>
      </w:r>
      <w:r w:rsidR="003909F2" w:rsidRPr="0066103C">
        <w:t>.</w:t>
      </w:r>
      <w:r w:rsidRPr="0066103C">
        <w:rPr>
          <w:rStyle w:val="FootnoteReference"/>
        </w:rPr>
        <w:footnoteReference w:id="426"/>
      </w:r>
      <w:r w:rsidR="003909F2" w:rsidRPr="0066103C">
        <w:t xml:space="preserve"> The prayer was hardly composed with any of these texts </w:t>
      </w:r>
      <w:r w:rsidR="00AF6220">
        <w:t xml:space="preserve">sitting </w:t>
      </w:r>
      <w:r w:rsidR="003909F2" w:rsidRPr="0066103C">
        <w:t>before the writer, but it was composed by someone who knew th</w:t>
      </w:r>
      <w:r w:rsidR="005F7B09">
        <w:t>is tradition well,</w:t>
      </w:r>
      <w:r w:rsidR="003909F2" w:rsidRPr="0066103C">
        <w:t xml:space="preserve"> from study and</w:t>
      </w:r>
      <w:r w:rsidR="005F7B09">
        <w:t>/or</w:t>
      </w:r>
      <w:r w:rsidR="003909F2" w:rsidRPr="0066103C">
        <w:t xml:space="preserve"> from worship, and who instinctively but also consciously prayed in ways stimulated and hallowed by it. The prayer has a </w:t>
      </w:r>
      <w:r w:rsidR="00AF6220">
        <w:t>particularly close</w:t>
      </w:r>
      <w:r w:rsidR="003909F2" w:rsidRPr="0066103C">
        <w:t xml:space="preserve"> relationship with that in Baruch. As with parallels with 1 </w:t>
      </w:r>
      <w:r w:rsidR="003909F2" w:rsidRPr="0066103C">
        <w:rPr>
          <w:i/>
        </w:rPr>
        <w:t>Enoch</w:t>
      </w:r>
      <w:r w:rsidR="003909F2" w:rsidRPr="0066103C">
        <w:t xml:space="preserve"> in chap. 7, a case can be argued for dependence either way or for mutual dependence on a third source, in this case some already existent liturgical prayer.</w:t>
      </w:r>
      <w:r w:rsidRPr="0066103C">
        <w:rPr>
          <w:rStyle w:val="FootnoteReference"/>
        </w:rPr>
        <w:footnoteReference w:id="427"/>
      </w:r>
    </w:p>
    <w:p w:rsidR="003909F2" w:rsidRPr="0066103C" w:rsidRDefault="003909F2" w:rsidP="003909F2">
      <w:r w:rsidRPr="0066103C">
        <w:t>The communal pray</w:t>
      </w:r>
      <w:r w:rsidR="00403126">
        <w:t>er of confession is a Second Temple</w:t>
      </w:r>
      <w:r w:rsidR="00F8061B">
        <w:t xml:space="preserve"> phenomenon. I</w:t>
      </w:r>
      <w:r w:rsidRPr="0066103C">
        <w:t xml:space="preserve">t </w:t>
      </w:r>
      <w:r w:rsidR="00F8061B">
        <w:t>may have developed</w:t>
      </w:r>
      <w:r w:rsidRPr="0066103C">
        <w:t xml:space="preserve"> from the preexilic community lament, but </w:t>
      </w:r>
      <w:r w:rsidR="00F8061B">
        <w:t xml:space="preserve">if so, </w:t>
      </w:r>
      <w:r w:rsidRPr="0066103C">
        <w:t xml:space="preserve">lament and protest with their characteristic </w:t>
      </w:r>
      <w:r w:rsidR="00F8061B">
        <w:t>“Why?” have disappeared, perhaps</w:t>
      </w:r>
      <w:r w:rsidRPr="0066103C">
        <w:t xml:space="preserve"> </w:t>
      </w:r>
      <w:r w:rsidR="00F8061B">
        <w:t xml:space="preserve">because </w:t>
      </w:r>
      <w:r w:rsidR="005F7B09">
        <w:t>the Deuteronom</w:t>
      </w:r>
      <w:r w:rsidRPr="0066103C">
        <w:t xml:space="preserve">ic covenant theology offers an intelligible understanding of contemporary experience of adversity to which the appropriate response is rather </w:t>
      </w:r>
      <w:r w:rsidR="005F7B09">
        <w:t xml:space="preserve">a </w:t>
      </w:r>
      <w:r w:rsidRPr="0066103C">
        <w:t>confession of God’s justice</w:t>
      </w:r>
      <w:r w:rsidR="000356EE" w:rsidRPr="0066103C">
        <w:t xml:space="preserve"> and of human failure.</w:t>
      </w:r>
      <w:r w:rsidR="000356EE" w:rsidRPr="0066103C">
        <w:rPr>
          <w:rStyle w:val="FootnoteReference"/>
        </w:rPr>
        <w:footnoteReference w:id="428"/>
      </w:r>
      <w:r w:rsidR="00F8061B">
        <w:t xml:space="preserve"> Yet elsewhere the book of Daniel does not suggest such a theology, and the opening of the book pointedly omitted any explanation of the fa</w:t>
      </w:r>
      <w:r w:rsidR="005F7B09">
        <w:t>ll of Jerusalem from within this</w:t>
      </w:r>
      <w:r w:rsidR="00F8061B">
        <w:t xml:space="preserve"> framework. And in this prayer much of the logic of protest may be present, particularly if we translate the past tense verbs as aorist (referring to past history) rather than perfect (as if applying to the present community. The prayer says, “Okay, but enough already!”</w:t>
      </w:r>
      <w:r w:rsidR="00F8061B">
        <w:rPr>
          <w:rStyle w:val="FootnoteReference"/>
        </w:rPr>
        <w:footnoteReference w:id="429"/>
      </w:r>
    </w:p>
    <w:p w:rsidR="003909F2" w:rsidRPr="00AF6220" w:rsidRDefault="003909F2" w:rsidP="00AF6220">
      <w:pPr>
        <w:pStyle w:val="Heading3"/>
      </w:pPr>
      <w:r w:rsidRPr="00AF6220">
        <w:t>Structure</w:t>
      </w:r>
    </w:p>
    <w:p w:rsidR="000141D3" w:rsidRPr="0066103C" w:rsidRDefault="000141D3" w:rsidP="000141D3"/>
    <w:p w:rsidR="003909F2" w:rsidRPr="0066103C" w:rsidRDefault="003909F2" w:rsidP="003909F2">
      <w:r w:rsidRPr="0066103C">
        <w:t>1–2 narrative introduction to the revelation</w:t>
      </w:r>
    </w:p>
    <w:p w:rsidR="003909F2" w:rsidRPr="0066103C" w:rsidRDefault="000141D3" w:rsidP="003909F2">
      <w:r w:rsidRPr="0066103C">
        <w:tab/>
      </w:r>
      <w:r w:rsidR="003909F2" w:rsidRPr="0066103C">
        <w:t>1 date</w:t>
      </w:r>
    </w:p>
    <w:p w:rsidR="003909F2" w:rsidRPr="0066103C" w:rsidRDefault="000141D3" w:rsidP="003909F2">
      <w:r w:rsidRPr="0066103C">
        <w:tab/>
      </w:r>
      <w:r w:rsidR="003909F2" w:rsidRPr="0066103C">
        <w:t>2 occasion</w:t>
      </w:r>
    </w:p>
    <w:p w:rsidR="003909F2" w:rsidRPr="0066103C" w:rsidRDefault="003909F2" w:rsidP="003909F2">
      <w:r w:rsidRPr="0066103C">
        <w:t>3–4a narrative introduction to the prayer of confession</w:t>
      </w:r>
    </w:p>
    <w:p w:rsidR="003909F2" w:rsidRPr="0066103C" w:rsidRDefault="003909F2" w:rsidP="003909F2">
      <w:r w:rsidRPr="0066103C">
        <w:t>4b–19 prayer of confession</w:t>
      </w:r>
    </w:p>
    <w:p w:rsidR="003909F2" w:rsidRPr="0066103C" w:rsidRDefault="000141D3" w:rsidP="003909F2">
      <w:r w:rsidRPr="0066103C">
        <w:tab/>
      </w:r>
      <w:r w:rsidR="003909F2" w:rsidRPr="0066103C">
        <w:t>4b ascription of praise</w:t>
      </w:r>
    </w:p>
    <w:p w:rsidR="003909F2" w:rsidRPr="0066103C" w:rsidRDefault="000141D3" w:rsidP="003909F2">
      <w:r w:rsidRPr="0066103C">
        <w:tab/>
      </w:r>
      <w:r w:rsidR="003909F2" w:rsidRPr="0066103C">
        <w:t>5–14 acknowledgment of wrongdoing</w:t>
      </w:r>
    </w:p>
    <w:p w:rsidR="003909F2" w:rsidRPr="0066103C" w:rsidRDefault="000141D3" w:rsidP="003909F2">
      <w:r w:rsidRPr="0066103C">
        <w:lastRenderedPageBreak/>
        <w:tab/>
      </w:r>
      <w:r w:rsidRPr="0066103C">
        <w:tab/>
      </w:r>
      <w:r w:rsidR="003909F2" w:rsidRPr="0066103C">
        <w:t>5–6 Israel’s disobedience</w:t>
      </w:r>
    </w:p>
    <w:p w:rsidR="003909F2" w:rsidRPr="0066103C" w:rsidRDefault="000141D3" w:rsidP="003909F2">
      <w:r w:rsidRPr="0066103C">
        <w:tab/>
      </w:r>
      <w:r w:rsidRPr="0066103C">
        <w:tab/>
      </w:r>
      <w:r w:rsidR="003909F2" w:rsidRPr="0066103C">
        <w:t>7–9a God in the right, Israel’s shame</w:t>
      </w:r>
    </w:p>
    <w:p w:rsidR="003909F2" w:rsidRPr="0066103C" w:rsidRDefault="000141D3" w:rsidP="003909F2">
      <w:r w:rsidRPr="0066103C">
        <w:tab/>
      </w:r>
      <w:r w:rsidRPr="0066103C">
        <w:tab/>
      </w:r>
      <w:r w:rsidRPr="0066103C">
        <w:tab/>
      </w:r>
      <w:r w:rsidR="003909F2" w:rsidRPr="0066103C">
        <w:t>7a God in the right</w:t>
      </w:r>
    </w:p>
    <w:p w:rsidR="003909F2" w:rsidRPr="0066103C" w:rsidRDefault="000141D3" w:rsidP="003909F2">
      <w:r w:rsidRPr="0066103C">
        <w:tab/>
      </w:r>
      <w:r w:rsidRPr="0066103C">
        <w:tab/>
      </w:r>
      <w:r w:rsidRPr="0066103C">
        <w:tab/>
      </w:r>
      <w:r w:rsidR="003909F2" w:rsidRPr="0066103C">
        <w:t>7b Israel’s shame because of wrongdoing</w:t>
      </w:r>
    </w:p>
    <w:p w:rsidR="003909F2" w:rsidRPr="0066103C" w:rsidRDefault="000141D3" w:rsidP="003909F2">
      <w:r w:rsidRPr="0066103C">
        <w:tab/>
      </w:r>
      <w:r w:rsidRPr="0066103C">
        <w:tab/>
      </w:r>
      <w:r w:rsidRPr="0066103C">
        <w:tab/>
      </w:r>
      <w:r w:rsidR="003909F2" w:rsidRPr="0066103C">
        <w:t>8 Israel’s shame because of wrongdoing</w:t>
      </w:r>
    </w:p>
    <w:p w:rsidR="003909F2" w:rsidRPr="0066103C" w:rsidRDefault="000141D3" w:rsidP="003909F2">
      <w:r w:rsidRPr="0066103C">
        <w:tab/>
      </w:r>
      <w:r w:rsidRPr="0066103C">
        <w:tab/>
      </w:r>
      <w:r w:rsidRPr="0066103C">
        <w:tab/>
      </w:r>
      <w:r w:rsidR="003909F2" w:rsidRPr="0066103C">
        <w:t>9a God’s mercy</w:t>
      </w:r>
    </w:p>
    <w:p w:rsidR="003909F2" w:rsidRPr="0066103C" w:rsidRDefault="000141D3" w:rsidP="003909F2">
      <w:r w:rsidRPr="0066103C">
        <w:tab/>
      </w:r>
      <w:r w:rsidRPr="0066103C">
        <w:tab/>
      </w:r>
      <w:r w:rsidR="003909F2" w:rsidRPr="0066103C">
        <w:t>9b–11 Israel’s rebellion and Yahweh’s punishment</w:t>
      </w:r>
    </w:p>
    <w:p w:rsidR="003909F2" w:rsidRPr="0066103C" w:rsidRDefault="000141D3" w:rsidP="003909F2">
      <w:r w:rsidRPr="0066103C">
        <w:tab/>
      </w:r>
      <w:r w:rsidRPr="0066103C">
        <w:tab/>
      </w:r>
      <w:r w:rsidR="003909F2" w:rsidRPr="0066103C">
        <w:t>11b–13a Israel’s failure and Yahweh’s bringing trouble</w:t>
      </w:r>
    </w:p>
    <w:p w:rsidR="003909F2" w:rsidRPr="0066103C" w:rsidRDefault="000141D3" w:rsidP="003909F2">
      <w:r w:rsidRPr="0066103C">
        <w:tab/>
      </w:r>
      <w:r w:rsidRPr="0066103C">
        <w:tab/>
      </w:r>
      <w:r w:rsidR="003909F2" w:rsidRPr="0066103C">
        <w:t>13b–14a Israel’s recalcitrance and Yahweh’s deliberate response</w:t>
      </w:r>
    </w:p>
    <w:p w:rsidR="003909F2" w:rsidRPr="0066103C" w:rsidRDefault="000141D3" w:rsidP="003909F2">
      <w:r w:rsidRPr="0066103C">
        <w:tab/>
      </w:r>
      <w:r w:rsidRPr="0066103C">
        <w:tab/>
      </w:r>
      <w:r w:rsidR="003909F2" w:rsidRPr="0066103C">
        <w:t>14b God in the right, Israel’s disobedience</w:t>
      </w:r>
    </w:p>
    <w:p w:rsidR="003909F2" w:rsidRPr="0066103C" w:rsidRDefault="000141D3" w:rsidP="003909F2">
      <w:r w:rsidRPr="0066103C">
        <w:tab/>
      </w:r>
      <w:r w:rsidR="003909F2" w:rsidRPr="0066103C">
        <w:t>15–19 plea for mercy</w:t>
      </w:r>
    </w:p>
    <w:p w:rsidR="003909F2" w:rsidRPr="0066103C" w:rsidRDefault="000141D3" w:rsidP="003909F2">
      <w:r w:rsidRPr="0066103C">
        <w:tab/>
      </w:r>
      <w:r w:rsidRPr="0066103C">
        <w:tab/>
      </w:r>
      <w:r w:rsidR="003909F2" w:rsidRPr="0066103C">
        <w:t>15 resumptive acknowledgment of wrongdoing</w:t>
      </w:r>
    </w:p>
    <w:p w:rsidR="003909F2" w:rsidRPr="0066103C" w:rsidRDefault="000141D3" w:rsidP="003909F2">
      <w:r w:rsidRPr="0066103C">
        <w:tab/>
      </w:r>
      <w:r w:rsidRPr="0066103C">
        <w:tab/>
      </w:r>
      <w:r w:rsidR="003909F2" w:rsidRPr="0066103C">
        <w:t>16–19 fourfold plea for God’s mercy, each with motivation</w:t>
      </w:r>
    </w:p>
    <w:p w:rsidR="003909F2" w:rsidRPr="0066103C" w:rsidRDefault="003909F2" w:rsidP="003909F2">
      <w:r w:rsidRPr="0066103C">
        <w:t>20–27 revelation</w:t>
      </w:r>
    </w:p>
    <w:p w:rsidR="003909F2" w:rsidRPr="0066103C" w:rsidRDefault="000141D3" w:rsidP="003909F2">
      <w:r w:rsidRPr="0066103C">
        <w:tab/>
      </w:r>
      <w:r w:rsidR="003909F2" w:rsidRPr="0066103C">
        <w:t>20–22a narrative introduction resumed</w:t>
      </w:r>
    </w:p>
    <w:p w:rsidR="003909F2" w:rsidRPr="0066103C" w:rsidRDefault="000141D3" w:rsidP="003909F2">
      <w:r w:rsidRPr="0066103C">
        <w:tab/>
      </w:r>
      <w:r w:rsidRPr="0066103C">
        <w:tab/>
      </w:r>
      <w:r w:rsidR="003909F2" w:rsidRPr="0066103C">
        <w:t>20–21a occasion</w:t>
      </w:r>
    </w:p>
    <w:p w:rsidR="003909F2" w:rsidRPr="0066103C" w:rsidRDefault="000141D3" w:rsidP="003909F2">
      <w:r w:rsidRPr="0066103C">
        <w:tab/>
      </w:r>
      <w:r w:rsidRPr="0066103C">
        <w:tab/>
      </w:r>
      <w:r w:rsidR="00FF4F3A">
        <w:t xml:space="preserve">21b celestial being’s </w:t>
      </w:r>
      <w:r w:rsidR="003909F2" w:rsidRPr="0066103C">
        <w:t>epiphany</w:t>
      </w:r>
    </w:p>
    <w:p w:rsidR="003909F2" w:rsidRPr="0066103C" w:rsidRDefault="000141D3" w:rsidP="003909F2">
      <w:r w:rsidRPr="0066103C">
        <w:tab/>
      </w:r>
      <w:r w:rsidRPr="0066103C">
        <w:tab/>
      </w:r>
      <w:r w:rsidR="003909F2" w:rsidRPr="0066103C">
        <w:t xml:space="preserve">22a introduction </w:t>
      </w:r>
      <w:r w:rsidR="00FF4F3A">
        <w:t>to celestial being’s</w:t>
      </w:r>
      <w:r w:rsidR="003909F2" w:rsidRPr="0066103C">
        <w:t xml:space="preserve"> speech</w:t>
      </w:r>
    </w:p>
    <w:p w:rsidR="003909F2" w:rsidRPr="0066103C" w:rsidRDefault="000141D3" w:rsidP="003909F2">
      <w:r w:rsidRPr="0066103C">
        <w:tab/>
      </w:r>
      <w:r w:rsidR="00FF4F3A">
        <w:t>22b–27 celestial being’s</w:t>
      </w:r>
      <w:r w:rsidR="003909F2" w:rsidRPr="0066103C">
        <w:t xml:space="preserve"> speech</w:t>
      </w:r>
    </w:p>
    <w:p w:rsidR="003909F2" w:rsidRPr="0066103C" w:rsidRDefault="000141D3" w:rsidP="003909F2">
      <w:r w:rsidRPr="0066103C">
        <w:tab/>
      </w:r>
      <w:r w:rsidRPr="0066103C">
        <w:tab/>
      </w:r>
      <w:r w:rsidR="003909F2" w:rsidRPr="0066103C">
        <w:t>22b–23 introduction</w:t>
      </w:r>
    </w:p>
    <w:p w:rsidR="003909F2" w:rsidRPr="0066103C" w:rsidRDefault="000141D3" w:rsidP="003909F2">
      <w:r w:rsidRPr="0066103C">
        <w:tab/>
      </w:r>
      <w:r w:rsidRPr="0066103C">
        <w:tab/>
      </w:r>
      <w:r w:rsidR="003909F2" w:rsidRPr="0066103C">
        <w:t>24–27 revelation</w:t>
      </w:r>
    </w:p>
    <w:p w:rsidR="003909F2" w:rsidRPr="0066103C" w:rsidRDefault="000141D3" w:rsidP="003909F2">
      <w:r w:rsidRPr="0066103C">
        <w:tab/>
      </w:r>
      <w:r w:rsidRPr="0066103C">
        <w:tab/>
      </w:r>
      <w:r w:rsidRPr="0066103C">
        <w:tab/>
      </w:r>
      <w:r w:rsidR="003909F2" w:rsidRPr="0066103C">
        <w:t>24 summary: what will be achieved by the end of 70 sevens</w:t>
      </w:r>
    </w:p>
    <w:p w:rsidR="003909F2" w:rsidRPr="0066103C" w:rsidRDefault="000141D3" w:rsidP="003909F2">
      <w:r w:rsidRPr="0066103C">
        <w:tab/>
      </w:r>
      <w:r w:rsidRPr="0066103C">
        <w:tab/>
      </w:r>
      <w:r w:rsidRPr="0066103C">
        <w:tab/>
      </w:r>
      <w:r w:rsidR="003909F2" w:rsidRPr="0066103C">
        <w:t>25–27 detailed outline of the 70 sevens</w:t>
      </w:r>
    </w:p>
    <w:p w:rsidR="003909F2" w:rsidRPr="0066103C" w:rsidRDefault="000141D3" w:rsidP="003909F2">
      <w:r w:rsidRPr="0066103C">
        <w:tab/>
      </w:r>
      <w:r w:rsidRPr="0066103C">
        <w:tab/>
      </w:r>
      <w:r w:rsidRPr="0066103C">
        <w:tab/>
      </w:r>
      <w:r w:rsidRPr="0066103C">
        <w:tab/>
      </w:r>
      <w:r w:rsidR="003909F2" w:rsidRPr="0066103C">
        <w:t>25a the first 7 sevens</w:t>
      </w:r>
    </w:p>
    <w:p w:rsidR="003909F2" w:rsidRDefault="000141D3" w:rsidP="003909F2">
      <w:r w:rsidRPr="0066103C">
        <w:tab/>
      </w:r>
      <w:r w:rsidRPr="0066103C">
        <w:tab/>
      </w:r>
      <w:r w:rsidRPr="0066103C">
        <w:tab/>
      </w:r>
      <w:r w:rsidRPr="0066103C">
        <w:tab/>
      </w:r>
      <w:r w:rsidR="003909F2" w:rsidRPr="0066103C">
        <w:t>25b</w:t>
      </w:r>
      <w:r w:rsidR="00180B16">
        <w:t>αβ</w:t>
      </w:r>
      <w:r w:rsidR="003909F2" w:rsidRPr="0066103C">
        <w:t xml:space="preserve"> the next 62 sevens</w:t>
      </w:r>
      <w:r w:rsidR="00180B16">
        <w:t xml:space="preserve"> and their end</w:t>
      </w:r>
    </w:p>
    <w:p w:rsidR="003909F2" w:rsidRPr="0066103C" w:rsidRDefault="00180B16" w:rsidP="003909F2">
      <w:r>
        <w:tab/>
      </w:r>
      <w:r>
        <w:tab/>
      </w:r>
      <w:r>
        <w:tab/>
      </w:r>
      <w:r>
        <w:tab/>
      </w:r>
      <w:r w:rsidR="003909F2" w:rsidRPr="0066103C">
        <w:t>26</w:t>
      </w:r>
      <w:r>
        <w:t>b</w:t>
      </w:r>
      <w:r w:rsidR="003909F2" w:rsidRPr="0066103C">
        <w:t>–27</w:t>
      </w:r>
      <w:r>
        <w:t>a</w:t>
      </w:r>
      <w:r w:rsidR="003909F2" w:rsidRPr="0066103C">
        <w:t xml:space="preserve"> the </w:t>
      </w:r>
      <w:r>
        <w:t xml:space="preserve">first half of the </w:t>
      </w:r>
      <w:r w:rsidR="003909F2" w:rsidRPr="0066103C">
        <w:t>70th seven</w:t>
      </w:r>
    </w:p>
    <w:p w:rsidR="003909F2" w:rsidRPr="0066103C" w:rsidRDefault="000141D3" w:rsidP="003909F2">
      <w:r w:rsidRPr="0066103C">
        <w:tab/>
      </w:r>
      <w:r w:rsidRPr="0066103C">
        <w:tab/>
      </w:r>
      <w:r w:rsidRPr="0066103C">
        <w:tab/>
      </w:r>
      <w:r w:rsidRPr="0066103C">
        <w:tab/>
      </w:r>
      <w:r w:rsidR="00180B16">
        <w:t>27b</w:t>
      </w:r>
      <w:r w:rsidR="003909F2" w:rsidRPr="0066103C">
        <w:t xml:space="preserve"> </w:t>
      </w:r>
      <w:r w:rsidR="00180B16">
        <w:t>the middle of the final seven and the</w:t>
      </w:r>
      <w:r w:rsidR="003909F2" w:rsidRPr="0066103C">
        <w:t xml:space="preserve"> final events</w:t>
      </w:r>
    </w:p>
    <w:p w:rsidR="000141D3" w:rsidRPr="0066103C" w:rsidRDefault="000141D3" w:rsidP="003909F2">
      <w:r w:rsidRPr="0066103C">
        <w:tab/>
      </w:r>
      <w:r w:rsidRPr="0066103C">
        <w:tab/>
      </w:r>
      <w:r w:rsidRPr="0066103C">
        <w:tab/>
      </w:r>
      <w:r w:rsidRPr="0066103C">
        <w:tab/>
      </w:r>
      <w:r w:rsidRPr="0066103C">
        <w:tab/>
      </w:r>
    </w:p>
    <w:p w:rsidR="00652BB5" w:rsidRPr="00652BB5" w:rsidRDefault="003909F2" w:rsidP="00652BB5">
      <w:r w:rsidRPr="0066103C">
        <w:t>The narrative opening (vv 1–2</w:t>
      </w:r>
      <w:r w:rsidR="00FB6F58">
        <w:t>) provides the date expected in</w:t>
      </w:r>
      <w:r w:rsidRPr="0066103C">
        <w:t xml:space="preserve"> a vision or revelation (see chap. 2 </w:t>
      </w:r>
      <w:r w:rsidRPr="0066103C">
        <w:rPr>
          <w:i/>
        </w:rPr>
        <w:t>Form</w:t>
      </w:r>
      <w:r w:rsidRPr="0066103C">
        <w:t>) and indicates the circumstances that led to the prayer of confession. The introduction to the prayer (vv 3–4a) discloses that it will be a prayer</w:t>
      </w:r>
      <w:r w:rsidR="00180B16">
        <w:t xml:space="preserve"> of supplication and confession; it discloses it </w:t>
      </w:r>
      <w:r w:rsidRPr="0066103C">
        <w:t>both by the acts that accompany it and by the titles it is given</w:t>
      </w:r>
      <w:r w:rsidR="00180B16">
        <w:t>. In the prayer, then, Daniel will be</w:t>
      </w:r>
      <w:r w:rsidRPr="0066103C">
        <w:t xml:space="preserve"> seek</w:t>
      </w:r>
      <w:r w:rsidR="00180B16">
        <w:t>ing a</w:t>
      </w:r>
      <w:r w:rsidRPr="0066103C">
        <w:t xml:space="preserve"> fulfillment of the prophecy referred to in the narrative opening, by offering the response tha</w:t>
      </w:r>
      <w:r w:rsidR="00FB6F58">
        <w:t>t opens up the possibility of that</w:t>
      </w:r>
      <w:r w:rsidR="00A84751" w:rsidRPr="0066103C">
        <w:t xml:space="preserve"> fulfillment. As the passage from the</w:t>
      </w:r>
      <w:r w:rsidRPr="0066103C">
        <w:t xml:space="preserve"> scripture</w:t>
      </w:r>
      <w:r w:rsidR="00A84751" w:rsidRPr="0066103C">
        <w:t>s</w:t>
      </w:r>
      <w:r w:rsidRPr="0066103C">
        <w:t xml:space="preserve"> fulfills the </w:t>
      </w:r>
      <w:r w:rsidRPr="00FB6F58">
        <w:t>role</w:t>
      </w:r>
      <w:r w:rsidRPr="0066103C">
        <w:t xml:space="preserve"> of the symbolic vision in chaps. 7 and 8, the prayer takes the structural </w:t>
      </w:r>
      <w:r w:rsidRPr="00FB6F58">
        <w:t>place</w:t>
      </w:r>
      <w:r w:rsidRPr="0066103C">
        <w:t xml:space="preserve"> occupied by the symbolic vision there.</w:t>
      </w:r>
      <w:r w:rsidR="00652BB5">
        <w:t xml:space="preserve"> </w:t>
      </w:r>
      <w:r w:rsidR="00652BB5" w:rsidRPr="00652BB5">
        <w:t>The framework of the chapter</w:t>
      </w:r>
      <w:r w:rsidR="00180B16">
        <w:t xml:space="preserve"> emphasizes God’s sovereignty; t</w:t>
      </w:r>
      <w:r w:rsidR="00652BB5" w:rsidRPr="00652BB5">
        <w:t>he prayer emphasizes the importance of his people’s penitence.</w:t>
      </w:r>
      <w:r w:rsidR="00652BB5" w:rsidRPr="00652BB5">
        <w:rPr>
          <w:vertAlign w:val="superscript"/>
        </w:rPr>
        <w:footnoteReference w:id="430"/>
      </w:r>
    </w:p>
    <w:p w:rsidR="003909F2" w:rsidRPr="0066103C" w:rsidRDefault="003909F2" w:rsidP="003909F2">
      <w:r w:rsidRPr="0066103C">
        <w:t>There are links between the</w:t>
      </w:r>
      <w:r w:rsidR="00FB6F58">
        <w:t xml:space="preserve"> revelation and the </w:t>
      </w:r>
      <w:r w:rsidRPr="0066103C">
        <w:t xml:space="preserve">prayer. The revelation concerns “your people and your sacred city” (cf. v 20). It promises that rebellion, failure, and waywardness will be dealt with: the prayer also began here (v 5, cf. vv 7, 8, 9, 11, 13, 15, 16, 20—though in the prayer the idea of rebellion is expressed by terms other than </w:t>
      </w:r>
      <w:r w:rsidRPr="0066103C">
        <w:rPr>
          <w:rFonts w:ascii="Arial" w:hAnsi="Arial" w:cs="Arial"/>
        </w:rPr>
        <w:t>פשע</w:t>
      </w:r>
      <w:r w:rsidRPr="0066103C">
        <w:t>. Its concern with justice corresponds to a feature of the prayer (vv 5 [</w:t>
      </w:r>
      <w:r w:rsidRPr="0066103C">
        <w:rPr>
          <w:rFonts w:ascii="Arial" w:hAnsi="Arial" w:cs="Arial"/>
        </w:rPr>
        <w:t>רשע</w:t>
      </w:r>
      <w:r w:rsidRPr="0066103C">
        <w:t>, the antony</w:t>
      </w:r>
      <w:r w:rsidR="000141D3" w:rsidRPr="0066103C">
        <w:t xml:space="preserve">m], 7, 14, 16, 18—though never </w:t>
      </w:r>
      <w:r w:rsidRPr="0066103C">
        <w:rPr>
          <w:rFonts w:ascii="Arial" w:hAnsi="Arial" w:cs="Arial"/>
        </w:rPr>
        <w:t>צדק</w:t>
      </w:r>
      <w:r w:rsidRPr="0066103C">
        <w:t xml:space="preserve"> itself). The rebuilding and restoring of the desolate city and sanctuary correspond to motifs in the prayer (vv 17, 18); both speak of God’s judgment overwhelming (vv 11, 27). The covenant’s prevailing (see n. 27.a) recalls the covenant-keeping God of the prayer (v 4). The introduction to the revelation promises insight, lack of which the prayer</w:t>
      </w:r>
      <w:r w:rsidR="000141D3" w:rsidRPr="0066103C">
        <w:t xml:space="preserve"> had </w:t>
      </w:r>
      <w:r w:rsidR="000141D3" w:rsidRPr="0066103C">
        <w:lastRenderedPageBreak/>
        <w:t>confessed (see n. 13.d-d).</w:t>
      </w:r>
      <w:r w:rsidR="00AC6719" w:rsidRPr="0066103C">
        <w:rPr>
          <w:rStyle w:val="FootnoteReference"/>
        </w:rPr>
        <w:footnoteReference w:id="431"/>
      </w:r>
      <w:r w:rsidR="000141D3" w:rsidRPr="0066103C">
        <w:t xml:space="preserve"> </w:t>
      </w:r>
      <w:r w:rsidRPr="0066103C">
        <w:t xml:space="preserve">The revelation does not take up other motifs: God’s angry fury, his solemn curse, his compassionate forgiveness, and his name borne by those who belong to him; the trouble, shame, abuse, and dispersion inflicted on city and people. Conversely, the prayer makes no reference to the anointed </w:t>
      </w:r>
      <w:r w:rsidR="00B13647">
        <w:t>leader</w:t>
      </w:r>
      <w:r w:rsidRPr="0066103C">
        <w:t xml:space="preserve"> or the prophetic vision; the prayer’s concern with prophecy has a different focus, and this motif in the revelation goes back to v 2. The comparisons and contrasts between prayer and revelation op</w:t>
      </w:r>
      <w:r w:rsidR="00FB6F58">
        <w:t>en up two readings of the revelation</w:t>
      </w:r>
      <w:r w:rsidRPr="0066103C">
        <w:t xml:space="preserve">. It can be understood </w:t>
      </w:r>
      <w:r w:rsidR="006234C4" w:rsidRPr="0066103C">
        <w:t>in light</w:t>
      </w:r>
      <w:r w:rsidRPr="0066103C">
        <w:t xml:space="preserve"> of the prayer at each point, so that it is Israel’s wrongdoing which necessitates the prolonging of the years of devastation, but which can now be dealt with in resp</w:t>
      </w:r>
      <w:r w:rsidR="00AC6719" w:rsidRPr="0066103C">
        <w:t>onse to the (second-century BC</w:t>
      </w:r>
      <w:r w:rsidRPr="0066103C">
        <w:t>) prayer, or it can be understood semi-independently, the wrongdoing then being that of Israel’s oppressors.</w:t>
      </w:r>
    </w:p>
    <w:p w:rsidR="003909F2" w:rsidRPr="0066103C" w:rsidRDefault="003909F2" w:rsidP="003909F2">
      <w:r w:rsidRPr="0066103C">
        <w:t>As happens with words of revelation in othe</w:t>
      </w:r>
      <w:r w:rsidR="00FB6F58">
        <w:t>r chapters, vv 24–27 are expressed</w:t>
      </w:r>
      <w:r w:rsidRPr="0066103C">
        <w:t xml:space="preserve"> in rhythmic language, with some of the symmetry and bala</w:t>
      </w:r>
      <w:r w:rsidR="00D30879" w:rsidRPr="0066103C">
        <w:t>ncing of parallelism (esp.</w:t>
      </w:r>
      <w:r w:rsidRPr="0066103C">
        <w:t xml:space="preserve"> in v 24) and with the terseness and all</w:t>
      </w:r>
      <w:r w:rsidR="00AC6719" w:rsidRPr="0066103C">
        <w:t>usiveness of poetry, though one could argue over whether they</w:t>
      </w:r>
      <w:r w:rsidRPr="0066103C">
        <w:t xml:space="preserve"> are better seen as elevated p</w:t>
      </w:r>
      <w:r w:rsidR="00AC6719" w:rsidRPr="0066103C">
        <w:t xml:space="preserve">rose </w:t>
      </w:r>
      <w:r w:rsidR="00180B16">
        <w:t xml:space="preserve">rather </w:t>
      </w:r>
      <w:r w:rsidR="00AC6719" w:rsidRPr="0066103C">
        <w:t>than strictly as verse</w:t>
      </w:r>
      <w:r w:rsidRPr="0066103C">
        <w:t>.</w:t>
      </w:r>
      <w:r w:rsidR="00183A93" w:rsidRPr="0066103C">
        <w:rPr>
          <w:rStyle w:val="FootnoteReference"/>
        </w:rPr>
        <w:footnoteReference w:id="432"/>
      </w:r>
      <w:r w:rsidRPr="0066103C">
        <w:t xml:space="preserve"> The </w:t>
      </w:r>
      <w:r w:rsidR="00077104" w:rsidRPr="00077104">
        <w:t>revelation</w:t>
      </w:r>
      <w:r w:rsidR="00077104">
        <w:t>’s allusiveness</w:t>
      </w:r>
      <w:r w:rsidRPr="0066103C">
        <w:t>,</w:t>
      </w:r>
      <w:r w:rsidR="00077104">
        <w:t xml:space="preserve"> with its lack of articles, is also the allusiveness</w:t>
      </w:r>
      <w:r w:rsidRPr="0066103C">
        <w:t xml:space="preserve"> characteristi</w:t>
      </w:r>
      <w:r w:rsidR="00077104">
        <w:t>c of “sibylline” quasi-prediction</w:t>
      </w:r>
      <w:r w:rsidRPr="0066103C">
        <w:t>s</w:t>
      </w:r>
      <w:r w:rsidR="00AC6719" w:rsidRPr="0066103C">
        <w:t>.</w:t>
      </w:r>
      <w:r w:rsidR="00AC6719" w:rsidRPr="0066103C">
        <w:rPr>
          <w:rStyle w:val="FootnoteReference"/>
        </w:rPr>
        <w:footnoteReference w:id="433"/>
      </w:r>
      <w:r w:rsidR="00945C8C">
        <w:t xml:space="preserve"> </w:t>
      </w:r>
      <w:r w:rsidRPr="0066103C">
        <w:t xml:space="preserve">After its opening in v 24, the bidding in v 25 suggests another new beginning there (see </w:t>
      </w:r>
      <w:r w:rsidRPr="0066103C">
        <w:rPr>
          <w:i/>
        </w:rPr>
        <w:t>Comment</w:t>
      </w:r>
      <w:r w:rsidRPr="0066103C">
        <w:t>).</w:t>
      </w:r>
    </w:p>
    <w:p w:rsidR="003909F2" w:rsidRPr="0066103C" w:rsidRDefault="003909F2" w:rsidP="003909F2">
      <w:r w:rsidRPr="0066103C">
        <w:t>The introduction and the revelation are in comparable Hebrew to that of chaps. 8 and 10–12, characterized by jerkiness, Aramaisms, and complex resumptive sentence</w:t>
      </w:r>
      <w:r w:rsidR="00370544">
        <w:t>s (vv 1–2, 20–21). T</w:t>
      </w:r>
      <w:r w:rsidR="00077104">
        <w:t>he prayer is composed in l</w:t>
      </w:r>
      <w:r w:rsidRPr="0066103C">
        <w:t>iterary Hebrew, without Aramaisms. Further, the prayer can be removed from its context without disturbing the latter’s coherence; indeed, the omission of the prayer along with vv 4a, 20 improves the flow of the chapter as a whole.</w:t>
      </w:r>
      <w:r w:rsidR="00E81C6D">
        <w:rPr>
          <w:rStyle w:val="FootnoteReference"/>
        </w:rPr>
        <w:footnoteReference w:id="434"/>
      </w:r>
      <w:r w:rsidRPr="0066103C">
        <w:t xml:space="preserve"> Because the prayer stands out from its context in its language, its use of the name Yahweh, its overtly Palestinian perspective, and its emphasis on the sin of Israel as a cause of their troubles, </w:t>
      </w:r>
      <w:r w:rsidR="00773E86" w:rsidRPr="0066103C">
        <w:t>one might ask whether it i</w:t>
      </w:r>
      <w:r w:rsidRPr="0066103C">
        <w:t xml:space="preserve">s a later addition </w:t>
      </w:r>
      <w:r w:rsidR="00773E86" w:rsidRPr="0066103C">
        <w:t>to the</w:t>
      </w:r>
      <w:r w:rsidR="00945C8C">
        <w:t xml:space="preserve"> </w:t>
      </w:r>
      <w:r w:rsidR="00773E86" w:rsidRPr="0066103C">
        <w:t>chapter, like the additions</w:t>
      </w:r>
      <w:r w:rsidRPr="0066103C">
        <w:t xml:space="preserve"> in chap. 3 (3:24–90 G).</w:t>
      </w:r>
      <w:r w:rsidR="00773E86" w:rsidRPr="0066103C">
        <w:rPr>
          <w:rStyle w:val="FootnoteReference"/>
        </w:rPr>
        <w:footnoteReference w:id="435"/>
      </w:r>
    </w:p>
    <w:p w:rsidR="003909F2" w:rsidRPr="0066103C" w:rsidRDefault="00077104" w:rsidP="003909F2">
      <w:r>
        <w:t>S</w:t>
      </w:r>
      <w:r w:rsidR="00773E86" w:rsidRPr="0066103C">
        <w:t xml:space="preserve">ome </w:t>
      </w:r>
      <w:r w:rsidR="003909F2" w:rsidRPr="0066103C">
        <w:t xml:space="preserve">considerations </w:t>
      </w:r>
      <w:r w:rsidR="00773E86" w:rsidRPr="0066103C">
        <w:t>that have raised this question</w:t>
      </w:r>
      <w:r>
        <w:t xml:space="preserve"> are not substantial</w:t>
      </w:r>
      <w:r w:rsidR="003909F2" w:rsidRPr="0066103C">
        <w:t>. It is not the case that vv 1–3 make one expect a prayer for illumination rather than a prayer of confession; D</w:t>
      </w:r>
      <w:r w:rsidR="00773E86" w:rsidRPr="0066103C">
        <w:t xml:space="preserve">aniel in the sixth century </w:t>
      </w:r>
      <w:r w:rsidR="003909F2" w:rsidRPr="0066103C">
        <w:t xml:space="preserve">had no reason to be puzzled by the prophecy, and the observances of v 3 are appropriate to penitence. It is not the case that there are no links between prayer and revelation (see above). Variations in expression between vv 20 and 21a do not imply a change of author, nor is the repetitiveness of vv 3, 4a and 20, 21a uncharacteristic </w:t>
      </w:r>
      <w:r w:rsidR="00773E86" w:rsidRPr="0066103C">
        <w:t xml:space="preserve">of Danielic prose. The appearing of a prayer of this kind </w:t>
      </w:r>
      <w:r w:rsidR="003909F2" w:rsidRPr="0066103C">
        <w:t>in the place occupied in chaps. 7 and 8 by a symbolic vision does not argue against its originality. Nor do the features noted in the previous paragraph point strongly to its being a later addition. The possibility of removing it is not eviden</w:t>
      </w:r>
      <w:r>
        <w:t>ce of its being secondary. It</w:t>
      </w:r>
      <w:r w:rsidR="003909F2" w:rsidRPr="0066103C">
        <w:t>s distinctive language reflects its nature and background as a quasi-liturgical prayer; the same is true of its distinctive use of the name Yahweh, which is paralleled in Neh 1:4–11 in relation to i</w:t>
      </w:r>
      <w:r w:rsidR="00370544">
        <w:t xml:space="preserve">ts context, and by the way </w:t>
      </w:r>
      <w:r w:rsidR="003909F2" w:rsidRPr="0066103C">
        <w:t xml:space="preserve">other names for God concentrate </w:t>
      </w:r>
      <w:r w:rsidR="00773E86" w:rsidRPr="0066103C">
        <w:t>in specific chapters in Daniel</w:t>
      </w:r>
      <w:r>
        <w:t>.</w:t>
      </w:r>
      <w:r w:rsidR="00773E86" w:rsidRPr="0066103C">
        <w:rPr>
          <w:rStyle w:val="FootnoteReference"/>
        </w:rPr>
        <w:footnoteReference w:id="436"/>
      </w:r>
      <w:r>
        <w:t xml:space="preserve"> I</w:t>
      </w:r>
      <w:r w:rsidR="003909F2" w:rsidRPr="0066103C">
        <w:t xml:space="preserve">ts Palestinian perspective is the author’s perspective, and here he simply omits to conceal it; the revelation’s not needing the prayer to lead into </w:t>
      </w:r>
      <w:r w:rsidR="003909F2" w:rsidRPr="0066103C">
        <w:lastRenderedPageBreak/>
        <w:t>it reflects the conviction that God’s sending Gabriel was independent of the prayer—it issued from his prior plan.</w:t>
      </w:r>
    </w:p>
    <w:p w:rsidR="00077104" w:rsidRDefault="00077104" w:rsidP="003909F2">
      <w:r>
        <w:t xml:space="preserve">Some </w:t>
      </w:r>
      <w:r w:rsidR="003909F2" w:rsidRPr="0066103C">
        <w:t xml:space="preserve">arguments for the prayer’s originality are also weak. While the chapter would be short without it, it would not be a torso: its structure would more closely correspond </w:t>
      </w:r>
      <w:r>
        <w:t>to that which appears on a large</w:t>
      </w:r>
      <w:r w:rsidR="003909F2" w:rsidRPr="0066103C">
        <w:t xml:space="preserve"> scale in chaps. 10–12 (see chaps. 10–12 </w:t>
      </w:r>
      <w:r w:rsidR="003909F2" w:rsidRPr="0066103C">
        <w:rPr>
          <w:i/>
        </w:rPr>
        <w:t>Structure</w:t>
      </w:r>
      <w:r w:rsidR="003909F2" w:rsidRPr="0066103C">
        <w:t>). Nor is it the case that a prayer of confession must meet with an orac</w:t>
      </w:r>
      <w:r w:rsidR="0067743A" w:rsidRPr="0066103C">
        <w:t>le of response, such as a protest psalm</w:t>
      </w:r>
      <w:r w:rsidR="003909F2" w:rsidRPr="0066103C">
        <w:t xml:space="preserve"> looks for</w:t>
      </w:r>
      <w:r w:rsidR="0067743A" w:rsidRPr="0066103C">
        <w:t>.</w:t>
      </w:r>
      <w:r w:rsidR="0067743A" w:rsidRPr="0066103C">
        <w:rPr>
          <w:rStyle w:val="FootnoteReference"/>
        </w:rPr>
        <w:footnoteReference w:id="437"/>
      </w:r>
      <w:r>
        <w:t xml:space="preserve"> </w:t>
      </w:r>
    </w:p>
    <w:p w:rsidR="003909F2" w:rsidRDefault="003909F2" w:rsidP="003909F2">
      <w:r w:rsidRPr="0066103C">
        <w:t>The difficulty of the hypothesis that the prayer is a later addition to the chapter lies in the close links between prayer and context, noted above.</w:t>
      </w:r>
      <w:r w:rsidR="001F1457">
        <w:rPr>
          <w:rStyle w:val="FootnoteReference"/>
        </w:rPr>
        <w:footnoteReference w:id="438"/>
      </w:r>
      <w:r w:rsidR="0067743A" w:rsidRPr="0066103C">
        <w:t xml:space="preserve"> </w:t>
      </w:r>
      <w:r w:rsidRPr="0066103C">
        <w:t>These links are not as marked as those in</w:t>
      </w:r>
      <w:r w:rsidR="0067743A" w:rsidRPr="0066103C">
        <w:t xml:space="preserve"> Ezra 9; Neh 1; 9, which could </w:t>
      </w:r>
      <w:r w:rsidRPr="0066103C">
        <w:t xml:space="preserve">not have existed independently of their context, though their </w:t>
      </w:r>
      <w:r w:rsidR="00370544">
        <w:t xml:space="preserve">degree of </w:t>
      </w:r>
      <w:r w:rsidRPr="0066103C">
        <w:t>specificit</w:t>
      </w:r>
      <w:r w:rsidR="00370544">
        <w:t>y to their setting varies</w:t>
      </w:r>
      <w:r w:rsidR="0067743A" w:rsidRPr="0066103C">
        <w:t>. Possibly the</w:t>
      </w:r>
      <w:r w:rsidRPr="0066103C">
        <w:t xml:space="preserve"> prayer </w:t>
      </w:r>
      <w:r w:rsidR="0067743A" w:rsidRPr="0066103C">
        <w:t xml:space="preserve">in Dan 9 </w:t>
      </w:r>
      <w:r w:rsidRPr="0066103C">
        <w:t xml:space="preserve">already existed and was taken over by the author of </w:t>
      </w:r>
      <w:r w:rsidR="0067743A" w:rsidRPr="0066103C">
        <w:t>the chapt</w:t>
      </w:r>
      <w:r w:rsidR="00370544">
        <w:t>er, but the hypothesis is not compelling</w:t>
      </w:r>
      <w:r w:rsidRPr="0066103C">
        <w:t>. It is as easy to believe that the author wrote the whole chapter.</w:t>
      </w:r>
    </w:p>
    <w:p w:rsidR="003909F2" w:rsidRPr="0066103C" w:rsidRDefault="003909F2" w:rsidP="00AF6220">
      <w:pPr>
        <w:pStyle w:val="Heading3"/>
      </w:pPr>
      <w:r w:rsidRPr="0066103C">
        <w:t>Setting</w:t>
      </w:r>
    </w:p>
    <w:p w:rsidR="003909F2" w:rsidRPr="0066103C" w:rsidRDefault="003909F2" w:rsidP="003909F2"/>
    <w:p w:rsidR="00C74954" w:rsidRPr="00C74954" w:rsidRDefault="00482596" w:rsidP="00C74954">
      <w:r>
        <w:t xml:space="preserve">The chapter offers </w:t>
      </w:r>
      <w:r w:rsidR="003909F2" w:rsidRPr="0066103C">
        <w:t xml:space="preserve">divergent pointers regarding its historical setting. </w:t>
      </w:r>
      <w:r w:rsidR="0067743A" w:rsidRPr="0066103C">
        <w:t xml:space="preserve">The prayer </w:t>
      </w:r>
      <w:r w:rsidR="003909F2" w:rsidRPr="0066103C">
        <w:t>suggests a Jerusalem setting (vv 7, 16</w:t>
      </w:r>
      <w:r w:rsidR="009D2EE3">
        <w:t>). I</w:t>
      </w:r>
      <w:r>
        <w:t xml:space="preserve">ts </w:t>
      </w:r>
      <w:r w:rsidR="0067743A" w:rsidRPr="0066103C">
        <w:t>perspective might point to</w:t>
      </w:r>
      <w:r w:rsidR="003909F2" w:rsidRPr="0066103C">
        <w:t xml:space="preserve"> th</w:t>
      </w:r>
      <w:r>
        <w:t xml:space="preserve">e </w:t>
      </w:r>
      <w:r w:rsidR="00403126">
        <w:t>Babylonian period</w:t>
      </w:r>
      <w:r>
        <w:t xml:space="preserve">; interpreters </w:t>
      </w:r>
      <w:r w:rsidR="003909F2" w:rsidRPr="0066103C">
        <w:t>who have reckoned it independent of its context ha</w:t>
      </w:r>
      <w:r w:rsidR="0067743A" w:rsidRPr="0066103C">
        <w:t>ve dated it as early as 600 BC</w:t>
      </w:r>
      <w:r w:rsidR="003909F2" w:rsidRPr="0066103C">
        <w:t>, p</w:t>
      </w:r>
      <w:r w:rsidR="0067743A" w:rsidRPr="0066103C">
        <w:t>erhaps with second-century glosses</w:t>
      </w:r>
      <w:r w:rsidR="003909F2" w:rsidRPr="0066103C">
        <w:t>.</w:t>
      </w:r>
      <w:r w:rsidR="0067743A" w:rsidRPr="0066103C">
        <w:rPr>
          <w:rStyle w:val="FootnoteReference"/>
        </w:rPr>
        <w:footnoteReference w:id="439"/>
      </w:r>
      <w:r>
        <w:t xml:space="preserve"> B</w:t>
      </w:r>
      <w:r w:rsidR="009D2EE3">
        <w:t>ut the prayer’s</w:t>
      </w:r>
      <w:r w:rsidR="00403126">
        <w:t xml:space="preserve"> </w:t>
      </w:r>
      <w:r w:rsidR="003909F2" w:rsidRPr="0066103C">
        <w:t>perspective is not very different from that of Ezra 9; Neh 1; 9, and—like them—i</w:t>
      </w:r>
      <w:r w:rsidR="009D2EE3">
        <w:t>t</w:t>
      </w:r>
      <w:r>
        <w:t xml:space="preserve"> alludes</w:t>
      </w:r>
      <w:r w:rsidR="003909F2" w:rsidRPr="0066103C">
        <w:t xml:space="preserve"> to the community’s experience in a later </w:t>
      </w:r>
      <w:r>
        <w:t>day, in</w:t>
      </w:r>
      <w:r w:rsidR="003909F2" w:rsidRPr="0066103C">
        <w:t xml:space="preserve"> </w:t>
      </w:r>
      <w:r w:rsidR="009D2EE3">
        <w:t xml:space="preserve">its </w:t>
      </w:r>
      <w:r w:rsidR="003909F2" w:rsidRPr="0066103C">
        <w:t>refere</w:t>
      </w:r>
      <w:r w:rsidR="0067743A" w:rsidRPr="0066103C">
        <w:t>nces to Jerusalem’s “desolation</w:t>
      </w:r>
      <w:r w:rsidR="009D2EE3">
        <w:t>,</w:t>
      </w:r>
      <w:r w:rsidR="003909F2" w:rsidRPr="0066103C">
        <w:t xml:space="preserve">” </w:t>
      </w:r>
      <w:r w:rsidR="0067743A" w:rsidRPr="0066103C">
        <w:t>which parallel</w:t>
      </w:r>
      <w:r w:rsidR="003909F2" w:rsidRPr="0066103C">
        <w:t xml:space="preserve"> those in vv 24–27. Writings from the Persian, Greek, and Roman epochs commonly see these periods </w:t>
      </w:r>
      <w:r w:rsidR="00403126">
        <w:t>as a continuation of the time of desolation</w:t>
      </w:r>
      <w:r w:rsidR="0067743A" w:rsidRPr="0066103C">
        <w:t>.</w:t>
      </w:r>
      <w:r w:rsidR="0067743A" w:rsidRPr="0066103C">
        <w:rPr>
          <w:rStyle w:val="FootnoteReference"/>
        </w:rPr>
        <w:footnoteReference w:id="440"/>
      </w:r>
      <w:r w:rsidR="0067743A" w:rsidRPr="0066103C">
        <w:t xml:space="preserve"> </w:t>
      </w:r>
      <w:r w:rsidR="00C74954" w:rsidRPr="00C74954">
        <w:t>The form of the revelation suggests it is a quasi-prediction whose setting would be Jerusalem between the introduction of new forms of worship in 167 and their aboli</w:t>
      </w:r>
      <w:r w:rsidR="009D2EE3">
        <w:t>tion in 164 (cf. chap. 8). The e</w:t>
      </w:r>
      <w:r w:rsidR="00C74954" w:rsidRPr="00C74954">
        <w:t xml:space="preserve">nd </w:t>
      </w:r>
      <w:r w:rsidR="009D2EE3">
        <w:t xml:space="preserve">of desolation </w:t>
      </w:r>
      <w:r w:rsidR="00C74954" w:rsidRPr="00C74954">
        <w:t>is described by taking up earlier prophetic texts (v 27), as in 11:40–45, which suggests that it is still future for the seer.</w:t>
      </w:r>
      <w:r w:rsidR="00C74954" w:rsidRPr="00C74954">
        <w:rPr>
          <w:vertAlign w:val="superscript"/>
        </w:rPr>
        <w:footnoteReference w:id="441"/>
      </w:r>
      <w:r w:rsidR="00C74954" w:rsidRPr="00C74954">
        <w:t xml:space="preserve"> </w:t>
      </w:r>
      <w:r w:rsidR="009D2EE3">
        <w:t xml:space="preserve">While </w:t>
      </w:r>
      <w:r w:rsidR="00C74954">
        <w:t>t</w:t>
      </w:r>
      <w:r w:rsidR="00C74954" w:rsidRPr="00C74954">
        <w:t>he narrative introduction refers expli</w:t>
      </w:r>
      <w:r w:rsidR="00403126">
        <w:t>citly to a setting in the Babylonian</w:t>
      </w:r>
      <w:r w:rsidR="00C74954" w:rsidRPr="00C74954">
        <w:t xml:space="preserve"> period and presumably </w:t>
      </w:r>
      <w:r w:rsidR="00C74954">
        <w:t xml:space="preserve">in Babylon, </w:t>
      </w:r>
      <w:r w:rsidR="00C74954" w:rsidRPr="00C74954">
        <w:t xml:space="preserve">that </w:t>
      </w:r>
      <w:r w:rsidR="00C74954">
        <w:t xml:space="preserve">feature </w:t>
      </w:r>
      <w:r w:rsidR="00C74954" w:rsidRPr="00C74954">
        <w:t>seem</w:t>
      </w:r>
      <w:r w:rsidR="009D2EE3">
        <w:t>s</w:t>
      </w:r>
      <w:r w:rsidR="00C74954" w:rsidRPr="00C74954">
        <w:t xml:space="preserve"> to be part of the fictional scene-setting for the revelation which aligns the chapter as a whole with the rest of the book.</w:t>
      </w:r>
    </w:p>
    <w:p w:rsidR="003909F2" w:rsidRPr="0066103C" w:rsidRDefault="00D6280A" w:rsidP="003909F2">
      <w:r w:rsidRPr="0066103C">
        <w:t>Dan 9 is concerned about the temple and its offerings, which might suggest a link with priestly circles, though it i</w:t>
      </w:r>
      <w:r w:rsidR="003909F2" w:rsidRPr="0066103C">
        <w:t>includes neither positive nor negativ</w:t>
      </w:r>
      <w:r w:rsidRPr="0066103C">
        <w:t>e references to the priesthood</w:t>
      </w:r>
      <w:r w:rsidR="003909F2" w:rsidRPr="0066103C">
        <w:t>,</w:t>
      </w:r>
      <w:r w:rsidRPr="0066103C">
        <w:t xml:space="preserve"> and </w:t>
      </w:r>
      <w:r w:rsidR="00C74954" w:rsidRPr="00C74954">
        <w:t xml:space="preserve">many people outside such circles </w:t>
      </w:r>
      <w:r w:rsidR="00C74954">
        <w:t xml:space="preserve">would share a </w:t>
      </w:r>
      <w:r w:rsidR="003909F2" w:rsidRPr="0066103C">
        <w:t>concern with the templ</w:t>
      </w:r>
      <w:r w:rsidR="00C74954">
        <w:t>e and its offerings</w:t>
      </w:r>
      <w:r w:rsidRPr="0066103C">
        <w:t>.</w:t>
      </w:r>
      <w:r w:rsidRPr="0066103C">
        <w:rPr>
          <w:rStyle w:val="FootnoteReference"/>
        </w:rPr>
        <w:footnoteReference w:id="442"/>
      </w:r>
      <w:r w:rsidRPr="0066103C">
        <w:t xml:space="preserve"> It does</w:t>
      </w:r>
      <w:r w:rsidR="003909F2" w:rsidRPr="0066103C">
        <w:t xml:space="preserve"> reflect the views of conservative rather than reformis</w:t>
      </w:r>
      <w:r w:rsidR="00B5462F" w:rsidRPr="0066103C">
        <w:t xml:space="preserve">t groups in second-century </w:t>
      </w:r>
      <w:r w:rsidR="003909F2" w:rsidRPr="0066103C">
        <w:t>Jerusalem.</w:t>
      </w:r>
      <w:r w:rsidRPr="0066103C">
        <w:t xml:space="preserve"> </w:t>
      </w:r>
      <w:r w:rsidR="003909F2" w:rsidRPr="0066103C">
        <w:t xml:space="preserve">Reference to praying “before Yahweh” at the time of the evening offering (vv 20, 21) might suggest that the prayer </w:t>
      </w:r>
      <w:r w:rsidR="009D2EE3">
        <w:t xml:space="preserve">itself </w:t>
      </w:r>
      <w:r w:rsidR="003909F2" w:rsidRPr="0066103C">
        <w:t>presupposes a temple setting</w:t>
      </w:r>
      <w:r w:rsidRPr="0066103C">
        <w:t>,</w:t>
      </w:r>
      <w:r w:rsidRPr="0066103C">
        <w:rPr>
          <w:rStyle w:val="FootnoteReference"/>
        </w:rPr>
        <w:footnoteReference w:id="443"/>
      </w:r>
      <w:r w:rsidRPr="0066103C">
        <w:t xml:space="preserve"> as do Ezra 9 and</w:t>
      </w:r>
      <w:r w:rsidR="003909F2" w:rsidRPr="0066103C">
        <w:t xml:space="preserve"> Neh 9, but such features appear in </w:t>
      </w:r>
      <w:r w:rsidR="009D2EE3">
        <w:t>a dispersion context</w:t>
      </w:r>
      <w:r w:rsidRPr="0066103C">
        <w:t xml:space="preserve"> in Dan 6:10 [11</w:t>
      </w:r>
      <w:r w:rsidR="003909F2" w:rsidRPr="0066103C">
        <w:t>]; Neh 1:4, 6. The</w:t>
      </w:r>
      <w:r w:rsidR="00A84751" w:rsidRPr="0066103C">
        <w:t xml:space="preserve"> study of the s</w:t>
      </w:r>
      <w:r w:rsidR="003909F2" w:rsidRPr="0066103C">
        <w:t>criptures and the litu</w:t>
      </w:r>
      <w:r w:rsidR="009D2EE3">
        <w:t>rgical style of prayer could as easi</w:t>
      </w:r>
      <w:r w:rsidR="003909F2" w:rsidRPr="0066103C">
        <w:t xml:space="preserve">ly suggest a </w:t>
      </w:r>
      <w:r w:rsidR="009D2EE3">
        <w:t>background</w:t>
      </w:r>
      <w:r w:rsidR="009D2EE3" w:rsidRPr="0066103C">
        <w:t xml:space="preserve"> </w:t>
      </w:r>
      <w:r w:rsidR="003909F2" w:rsidRPr="0066103C">
        <w:t>in the synagogue,</w:t>
      </w:r>
      <w:r w:rsidR="00A84751" w:rsidRPr="0066103C">
        <w:t xml:space="preserve"> which encouraged </w:t>
      </w:r>
      <w:r w:rsidR="00E3420E">
        <w:t xml:space="preserve">communal </w:t>
      </w:r>
      <w:r w:rsidR="00A84751" w:rsidRPr="0066103C">
        <w:t>study of the s</w:t>
      </w:r>
      <w:r w:rsidR="003909F2" w:rsidRPr="0066103C">
        <w:t xml:space="preserve">criptures and a way of praying </w:t>
      </w:r>
      <w:r w:rsidR="00A84751" w:rsidRPr="0066103C">
        <w:t>that reflects the study of the s</w:t>
      </w:r>
      <w:r w:rsidR="003909F2" w:rsidRPr="0066103C">
        <w:t>criptures.</w:t>
      </w:r>
    </w:p>
    <w:p w:rsidR="00E66789" w:rsidRPr="00E66789" w:rsidRDefault="00D6280A" w:rsidP="00E66789">
      <w:pPr>
        <w:rPr>
          <w:rFonts w:eastAsia="Times New Roman" w:cs="Times New Roman"/>
        </w:rPr>
      </w:pPr>
      <w:r w:rsidRPr="0066103C">
        <w:lastRenderedPageBreak/>
        <w:t>In</w:t>
      </w:r>
      <w:r w:rsidR="003909F2" w:rsidRPr="0066103C">
        <w:t xml:space="preserve"> the chapter’s setting in the book, its concern with insight ([</w:t>
      </w:r>
      <w:r w:rsidR="003909F2" w:rsidRPr="0066103C">
        <w:rPr>
          <w:rFonts w:ascii="Arial" w:hAnsi="Arial" w:cs="Arial"/>
        </w:rPr>
        <w:t>ה</w:t>
      </w:r>
      <w:r w:rsidR="003909F2" w:rsidRPr="0066103C">
        <w:t>]</w:t>
      </w:r>
      <w:r w:rsidR="003909F2" w:rsidRPr="0066103C">
        <w:rPr>
          <w:rFonts w:ascii="Arial" w:hAnsi="Arial" w:cs="Arial"/>
        </w:rPr>
        <w:t>בינ</w:t>
      </w:r>
      <w:r w:rsidR="003909F2" w:rsidRPr="0066103C">
        <w:t>‍) links it with chap. 8.</w:t>
      </w:r>
      <w:r w:rsidRPr="0066103C">
        <w:rPr>
          <w:rStyle w:val="FootnoteReference"/>
        </w:rPr>
        <w:footnoteReference w:id="444"/>
      </w:r>
      <w:r w:rsidR="00864074" w:rsidRPr="0066103C">
        <w:t xml:space="preserve"> </w:t>
      </w:r>
      <w:r w:rsidR="009D2EE3">
        <w:t>Chap. 9 begins with that focus</w:t>
      </w:r>
      <w:r w:rsidR="003909F2" w:rsidRPr="0066103C">
        <w:t xml:space="preserve"> (v 2; cf. 8:5), as chap. 8 had ended </w:t>
      </w:r>
      <w:r w:rsidR="00864074" w:rsidRPr="0066103C">
        <w:t>t</w:t>
      </w:r>
      <w:r w:rsidR="003909F2" w:rsidRPr="0066103C">
        <w:t>here, the positive contrasting with the preceding negative. This</w:t>
      </w:r>
      <w:r w:rsidR="00FF4F3A">
        <w:t xml:space="preserve"> motif is prominent as the </w:t>
      </w:r>
      <w:r w:rsidR="00FF4F3A" w:rsidRPr="00FF4F3A">
        <w:t>supernatural</w:t>
      </w:r>
      <w:r w:rsidR="00FF4F3A">
        <w:t xml:space="preserve"> being</w:t>
      </w:r>
      <w:r w:rsidR="00864074" w:rsidRPr="0066103C">
        <w:t xml:space="preserve"> appears with his revelation (vv </w:t>
      </w:r>
      <w:r w:rsidR="003909F2" w:rsidRPr="0066103C">
        <w:t xml:space="preserve">22–23), as it had been </w:t>
      </w:r>
      <w:r w:rsidR="00864074" w:rsidRPr="0066103C">
        <w:t xml:space="preserve">prominent </w:t>
      </w:r>
      <w:r w:rsidR="003909F2" w:rsidRPr="0066103C">
        <w:t>at the equivalent point earlier (8:15–17, also 23). The implication might be that Dan 9 was intended to clarify issues raised in chap. 8; it takes up the question of the fate of t</w:t>
      </w:r>
      <w:r w:rsidR="00A84751" w:rsidRPr="0066103C">
        <w:t>he temple and seeks light from the s</w:t>
      </w:r>
      <w:r w:rsidR="003909F2" w:rsidRPr="0066103C">
        <w:t>cripture</w:t>
      </w:r>
      <w:r w:rsidR="00A84751" w:rsidRPr="0066103C">
        <w:t>s</w:t>
      </w:r>
      <w:r w:rsidR="003909F2" w:rsidRPr="0066103C">
        <w:t xml:space="preserve"> on what </w:t>
      </w:r>
      <w:r w:rsidR="00864074" w:rsidRPr="0066103C">
        <w:t xml:space="preserve">the </w:t>
      </w:r>
      <w:r w:rsidR="003909F2" w:rsidRPr="0066103C">
        <w:t xml:space="preserve">dream and vision left opaque. In </w:t>
      </w:r>
      <w:r w:rsidR="00864074" w:rsidRPr="0066103C">
        <w:t xml:space="preserve">other respects, </w:t>
      </w:r>
      <w:r w:rsidR="003909F2" w:rsidRPr="0066103C">
        <w:t xml:space="preserve">however, chap. 9 is not </w:t>
      </w:r>
      <w:r w:rsidR="00864074" w:rsidRPr="0066103C">
        <w:t>as closely linked to chap. 8</w:t>
      </w:r>
      <w:r w:rsidR="003909F2" w:rsidRPr="0066103C">
        <w:t xml:space="preserve"> as chap. 8 was to chap. 7. Although it takes further the theme of the restoration of desolate Jerusalem and its temple, it does so by means of different forms, structure, and motifs. It</w:t>
      </w:r>
      <w:r w:rsidR="00864074" w:rsidRPr="0066103C">
        <w:t xml:space="preserve"> also</w:t>
      </w:r>
      <w:r w:rsidR="003909F2" w:rsidRPr="0066103C">
        <w:t xml:space="preserve"> shares its emphasis on insight with ch</w:t>
      </w:r>
      <w:r w:rsidR="00864074" w:rsidRPr="0066103C">
        <w:t xml:space="preserve">ap. 1 (vv 4, 17, 20), which concerned </w:t>
      </w:r>
      <w:r w:rsidR="003909F2" w:rsidRPr="0066103C">
        <w:t>itself with the que</w:t>
      </w:r>
      <w:r w:rsidR="00403126">
        <w:t>stion of the length of the time of desolation</w:t>
      </w:r>
      <w:r w:rsidR="00864074" w:rsidRPr="0066103C">
        <w:t>, too</w:t>
      </w:r>
      <w:r w:rsidR="003909F2" w:rsidRPr="0066103C">
        <w:t xml:space="preserve">. </w:t>
      </w:r>
      <w:r w:rsidR="00864074" w:rsidRPr="0066103C">
        <w:t>One might perceive</w:t>
      </w:r>
      <w:r w:rsidR="003909F2" w:rsidRPr="0066103C">
        <w:t xml:space="preserve"> a link between the 70/490 years and the date in 1:1,</w:t>
      </w:r>
      <w:r w:rsidR="00864074" w:rsidRPr="0066103C">
        <w:t xml:space="preserve"> though</w:t>
      </w:r>
      <w:r w:rsidR="00C74954">
        <w:t xml:space="preserve"> the attention given to</w:t>
      </w:r>
      <w:r w:rsidR="00403126">
        <w:t xml:space="preserve"> Israel’s history over Second Temple times</w:t>
      </w:r>
      <w:r w:rsidR="003909F2" w:rsidRPr="0066103C">
        <w:t xml:space="preserve"> is more explicit in chap. 9, and </w:t>
      </w:r>
      <w:r w:rsidR="009D2EE3">
        <w:t xml:space="preserve">is </w:t>
      </w:r>
      <w:r w:rsidR="00864074" w:rsidRPr="0066103C">
        <w:t xml:space="preserve">explicit </w:t>
      </w:r>
      <w:r w:rsidR="003909F2" w:rsidRPr="0066103C">
        <w:t>only there</w:t>
      </w:r>
      <w:r w:rsidR="00C74954">
        <w:t xml:space="preserve"> in the book</w:t>
      </w:r>
      <w:r w:rsidR="003909F2" w:rsidRPr="0066103C">
        <w:t>—elsewhere chaps. 7–12 focus</w:t>
      </w:r>
      <w:r w:rsidR="009D2EE3">
        <w:t>es</w:t>
      </w:r>
      <w:r w:rsidR="003909F2" w:rsidRPr="0066103C">
        <w:t xml:space="preserve"> more on world history</w:t>
      </w:r>
      <w:r w:rsidR="00864074" w:rsidRPr="0066103C">
        <w:t>,</w:t>
      </w:r>
      <w:r w:rsidR="003909F2" w:rsidRPr="0066103C">
        <w:t xml:space="preserve"> and structure</w:t>
      </w:r>
      <w:r w:rsidR="009D2EE3">
        <w:t>s</w:t>
      </w:r>
      <w:r w:rsidR="003909F2" w:rsidRPr="0066103C">
        <w:t xml:space="preserve"> events by the history of world empires.</w:t>
      </w:r>
      <w:r w:rsidR="00864074" w:rsidRPr="0066103C">
        <w:rPr>
          <w:vertAlign w:val="superscript"/>
        </w:rPr>
        <w:footnoteReference w:id="445"/>
      </w:r>
      <w:r w:rsidR="003909F2" w:rsidRPr="0066103C">
        <w:t xml:space="preserve"> </w:t>
      </w:r>
      <w:r w:rsidR="00E66789" w:rsidRPr="00E66789">
        <w:t>Chap. 9 relates sacred history, other chapters profane history.</w:t>
      </w:r>
      <w:r w:rsidR="00E66789" w:rsidRPr="00E66789">
        <w:rPr>
          <w:vertAlign w:val="superscript"/>
        </w:rPr>
        <w:footnoteReference w:id="446"/>
      </w:r>
      <w:r w:rsidR="00E66789" w:rsidRPr="00E66789">
        <w:t xml:space="preserve"> </w:t>
      </w:r>
      <w:r w:rsidR="009D2EE3">
        <w:t>Chap. 9 alone, too, refers to preexilic history</w:t>
      </w:r>
      <w:r w:rsidR="001748B1" w:rsidRPr="0066103C">
        <w:t>; elsewhere the temple’s des</w:t>
      </w:r>
      <w:r w:rsidR="00E66789">
        <w:t>truction is such a caesura that it seems</w:t>
      </w:r>
      <w:r w:rsidR="001748B1" w:rsidRPr="0066103C">
        <w:t xml:space="preserve"> as if history began then</w:t>
      </w:r>
      <w:r w:rsidR="003909F2" w:rsidRPr="0066103C">
        <w:t>.</w:t>
      </w:r>
      <w:r w:rsidR="00864074" w:rsidRPr="0066103C">
        <w:rPr>
          <w:rStyle w:val="FootnoteReference"/>
        </w:rPr>
        <w:footnoteReference w:id="447"/>
      </w:r>
      <w:r w:rsidR="003909F2" w:rsidRPr="0066103C">
        <w:t xml:space="preserve"> The model prayer in chap. 9 is that of the model Israelite in exile who has been </w:t>
      </w:r>
      <w:r w:rsidR="00FE7C0B" w:rsidRPr="0066103C">
        <w:t>portrayed in chaps. 1–6. Is it</w:t>
      </w:r>
      <w:r w:rsidR="003909F2" w:rsidRPr="0066103C">
        <w:t xml:space="preserve"> the kind of prayer the Daniel of chap. 6 is assumed to have prayed, soon after Darius was made king (compare the terms of vv 3–4a with those of 6:</w:t>
      </w:r>
      <w:r w:rsidR="00FE7C0B" w:rsidRPr="0066103C">
        <w:t>10-11 [11–12</w:t>
      </w:r>
      <w:r w:rsidR="003909F2" w:rsidRPr="0066103C">
        <w:t>])?</w:t>
      </w:r>
      <w:r w:rsidR="00A87632">
        <w:t xml:space="preserve"> It is hardly appropriate to declare that</w:t>
      </w:r>
      <w:r w:rsidR="002664D3">
        <w:t xml:space="preserve"> the </w:t>
      </w:r>
      <w:r w:rsidR="002664D3" w:rsidRPr="002664D3">
        <w:t>prayer</w:t>
      </w:r>
      <w:r w:rsidR="002664D3" w:rsidRPr="002664D3">
        <w:rPr>
          <w:rFonts w:eastAsia="Times New Roman" w:cs="Times New Roman"/>
        </w:rPr>
        <w:t xml:space="preserve"> “is not an actually practiced prayer</w:t>
      </w:r>
      <w:r w:rsidR="00A87632" w:rsidRPr="002664D3">
        <w:t>,</w:t>
      </w:r>
      <w:r w:rsidR="002664D3" w:rsidRPr="002664D3">
        <w:t>”</w:t>
      </w:r>
      <w:r w:rsidR="00A87632" w:rsidRPr="002664D3">
        <w:t xml:space="preserve"> but it would be the case that</w:t>
      </w:r>
      <w:r w:rsidR="00A87632" w:rsidRPr="002664D3">
        <w:rPr>
          <w:rFonts w:eastAsia="Times New Roman" w:cs="Times New Roman"/>
        </w:rPr>
        <w:t xml:space="preserve"> “the practice of the prayer in Dan 9 </w:t>
      </w:r>
      <w:r w:rsidR="002664D3" w:rsidRPr="002664D3">
        <w:rPr>
          <w:rFonts w:eastAsia="Times New Roman" w:cs="Times New Roman"/>
        </w:rPr>
        <w:t>[is] a social action.”</w:t>
      </w:r>
      <w:r w:rsidR="002664D3">
        <w:rPr>
          <w:rStyle w:val="FootnoteReference"/>
          <w:rFonts w:eastAsia="Times New Roman" w:cs="Times New Roman"/>
        </w:rPr>
        <w:footnoteReference w:id="448"/>
      </w:r>
      <w:r w:rsidR="00E66789">
        <w:rPr>
          <w:rFonts w:eastAsia="Times New Roman" w:cs="Times New Roman"/>
        </w:rPr>
        <w:t xml:space="preserve"> </w:t>
      </w:r>
      <w:r w:rsidR="00E66789" w:rsidRPr="00E66789">
        <w:rPr>
          <w:rFonts w:eastAsia="Times New Roman" w:cs="Times New Roman"/>
        </w:rPr>
        <w:t>The suggestion that chap. 9 is the center of the book</w:t>
      </w:r>
      <w:r w:rsidR="00E66789" w:rsidRPr="00E66789">
        <w:rPr>
          <w:rFonts w:eastAsia="Times New Roman" w:cs="Times New Roman"/>
          <w:vertAlign w:val="superscript"/>
        </w:rPr>
        <w:footnoteReference w:id="449"/>
      </w:r>
      <w:r w:rsidR="00E66789" w:rsidRPr="00E66789">
        <w:rPr>
          <w:rFonts w:eastAsia="Times New Roman" w:cs="Times New Roman"/>
        </w:rPr>
        <w:t xml:space="preserve"> overestimates the importance of its stress on sin, which </w:t>
      </w:r>
      <w:r w:rsidR="000820D7">
        <w:rPr>
          <w:rFonts w:eastAsia="Times New Roman" w:cs="Times New Roman"/>
        </w:rPr>
        <w:t xml:space="preserve">is actually </w:t>
      </w:r>
      <w:r w:rsidR="00E66789" w:rsidRPr="00E66789">
        <w:rPr>
          <w:rFonts w:eastAsia="Times New Roman" w:cs="Times New Roman"/>
        </w:rPr>
        <w:t>another feature that makes it stand out from its context.</w:t>
      </w:r>
    </w:p>
    <w:p w:rsidR="003909F2" w:rsidRPr="00CC1756" w:rsidRDefault="003909F2" w:rsidP="00CC1756">
      <w:pPr>
        <w:pStyle w:val="Heading2"/>
      </w:pPr>
      <w:r w:rsidRPr="00CC1756">
        <w:t>Comment</w:t>
      </w:r>
    </w:p>
    <w:p w:rsidR="003909F2" w:rsidRPr="0066103C" w:rsidRDefault="003909F2" w:rsidP="003909F2">
      <w:r w:rsidRPr="002C2955">
        <w:rPr>
          <w:b/>
        </w:rPr>
        <w:t xml:space="preserve">1 </w:t>
      </w:r>
      <w:r w:rsidRPr="0066103C">
        <w:t>Zech 1 links Jeremiah’s seventy-years prophecy with the events of 519</w:t>
      </w:r>
      <w:r w:rsidR="00CB3221">
        <w:t>, in the time of Darius I</w:t>
      </w:r>
      <w:r w:rsidRPr="0066103C">
        <w:t>, which are close to seventy years after t</w:t>
      </w:r>
      <w:r w:rsidR="009D1E4F" w:rsidRPr="0066103C">
        <w:t>he fall of Jerusalem in 587</w:t>
      </w:r>
      <w:r w:rsidR="00CB3221">
        <w:t xml:space="preserve">, and Porpyry thus assumes that the king </w:t>
      </w:r>
      <w:r w:rsidR="00CB3221" w:rsidRPr="00CB3221">
        <w:t>by whose reign chap. 9 is dated</w:t>
      </w:r>
      <w:r w:rsidR="00CB3221">
        <w:t xml:space="preserve"> </w:t>
      </w:r>
      <w:r w:rsidR="00CB3221" w:rsidRPr="00CB3221">
        <w:t>must be Dari</w:t>
      </w:r>
      <w:r w:rsidR="00CB3221">
        <w:t>us I.</w:t>
      </w:r>
      <w:r w:rsidR="00CB3221" w:rsidRPr="00CB3221">
        <w:rPr>
          <w:vertAlign w:val="superscript"/>
        </w:rPr>
        <w:footnoteReference w:id="450"/>
      </w:r>
      <w:r w:rsidR="00CB3221">
        <w:t xml:space="preserve"> But</w:t>
      </w:r>
      <w:r w:rsidRPr="0066103C">
        <w:t xml:space="preserve"> </w:t>
      </w:r>
      <w:r w:rsidR="00966179">
        <w:t xml:space="preserve">in the context of Daniel, </w:t>
      </w:r>
      <w:r w:rsidRPr="0066103C">
        <w:t xml:space="preserve">the Darius </w:t>
      </w:r>
      <w:r w:rsidR="00CB3221">
        <w:t xml:space="preserve">who is </w:t>
      </w:r>
      <w:r w:rsidR="00966179">
        <w:t xml:space="preserve">“of Median birth” must </w:t>
      </w:r>
      <w:r w:rsidR="00CB3221">
        <w:t>be</w:t>
      </w:r>
      <w:r w:rsidR="00CB3221" w:rsidRPr="0066103C">
        <w:t xml:space="preserve"> </w:t>
      </w:r>
      <w:r w:rsidR="00CB3221">
        <w:t>the Darius of Mede who was</w:t>
      </w:r>
      <w:r w:rsidRPr="0066103C">
        <w:t xml:space="preserve"> introduced in </w:t>
      </w:r>
      <w:r w:rsidR="009D1E4F" w:rsidRPr="0066103C">
        <w:t>5:31 [6:1</w:t>
      </w:r>
      <w:r w:rsidRPr="0066103C">
        <w:t>]. His “being</w:t>
      </w:r>
      <w:r w:rsidR="00966179">
        <w:t xml:space="preserve"> made king” of Babylon may </w:t>
      </w:r>
      <w:r w:rsidRPr="0066103C">
        <w:t xml:space="preserve">reflect his “acquiring/receiving” the kingship of Babylon there (and see </w:t>
      </w:r>
      <w:r w:rsidRPr="0066103C">
        <w:rPr>
          <w:i/>
        </w:rPr>
        <w:t>Setting</w:t>
      </w:r>
      <w:r w:rsidRPr="0066103C">
        <w:t xml:space="preserve"> above). </w:t>
      </w:r>
      <w:r w:rsidRPr="0066103C">
        <w:rPr>
          <w:rFonts w:ascii="Arial" w:hAnsi="Arial" w:cs="Arial"/>
        </w:rPr>
        <w:t>אחשורוש</w:t>
      </w:r>
      <w:r w:rsidR="009D1E4F" w:rsidRPr="0066103C">
        <w:t xml:space="preserve"> (Aḥašweroš</w:t>
      </w:r>
      <w:r w:rsidRPr="0066103C">
        <w:t xml:space="preserve">) is the </w:t>
      </w:r>
      <w:r w:rsidR="00CB3221">
        <w:t xml:space="preserve">regular BH equivalent of OP </w:t>
      </w:r>
      <w:r w:rsidR="00CB3221" w:rsidRPr="00CB3221">
        <w:t>Ḳ</w:t>
      </w:r>
      <w:r w:rsidR="009D1E4F" w:rsidRPr="0066103C">
        <w:t>šayarš</w:t>
      </w:r>
      <w:r w:rsidRPr="0066103C">
        <w:t>a</w:t>
      </w:r>
      <w:r w:rsidR="00CB3221">
        <w:t xml:space="preserve"> (</w:t>
      </w:r>
      <w:r w:rsidR="00CB3221" w:rsidRPr="00CB3221">
        <w:t xml:space="preserve">Aram. </w:t>
      </w:r>
      <w:r w:rsidR="00CB3221" w:rsidRPr="00CB3221">
        <w:rPr>
          <w:rFonts w:ascii="Arial" w:hAnsi="Arial" w:cs="Arial"/>
        </w:rPr>
        <w:t>חשיארש</w:t>
      </w:r>
      <w:r w:rsidR="00CB3221" w:rsidRPr="00CB3221">
        <w:t xml:space="preserve"> corresponds better</w:t>
      </w:r>
      <w:r w:rsidR="00CB3221">
        <w:t>)</w:t>
      </w:r>
      <w:r w:rsidRPr="0066103C">
        <w:t xml:space="preserve">, </w:t>
      </w:r>
      <w:r w:rsidR="00966179">
        <w:t xml:space="preserve">in </w:t>
      </w:r>
      <w:r w:rsidRPr="0066103C">
        <w:t>Greek Ξερξης (Xerxes: so O</w:t>
      </w:r>
      <w:r w:rsidR="009D1E4F" w:rsidRPr="0066103C">
        <w:t>G here; Th transliterates</w:t>
      </w:r>
      <w:r w:rsidRPr="0066103C">
        <w:t>); see Esther; Ezra 4:6. Historically, Darius I was the father of Xerxes I; the order of events in Ezra 4 might have suggested that Xerxes (v</w:t>
      </w:r>
      <w:r w:rsidR="00966179">
        <w:t xml:space="preserve"> 6) preceded Darius (v 24). </w:t>
      </w:r>
      <w:r w:rsidR="00966179" w:rsidRPr="00966179">
        <w:t>Ḳ</w:t>
      </w:r>
      <w:r w:rsidR="009D1E4F" w:rsidRPr="0066103C">
        <w:t xml:space="preserve">šayarša, like </w:t>
      </w:r>
      <w:r w:rsidR="009D1E4F" w:rsidRPr="00CC579E">
        <w:t>Dārayavahuš</w:t>
      </w:r>
      <w:r w:rsidR="009D1E4F" w:rsidRPr="0066103C">
        <w:rPr>
          <w:i/>
        </w:rPr>
        <w:t>/</w:t>
      </w:r>
      <w:r w:rsidR="009D1E4F" w:rsidRPr="0066103C">
        <w:t>Dārayavauš</w:t>
      </w:r>
      <w:r w:rsidR="00D018DF" w:rsidRPr="0066103C">
        <w:t xml:space="preserve"> itself, may be</w:t>
      </w:r>
      <w:r w:rsidRPr="0066103C">
        <w:t xml:space="preserve"> a throne name, meaning “hero among rulers</w:t>
      </w:r>
      <w:r w:rsidR="00D018DF" w:rsidRPr="0066103C">
        <w:t>,</w:t>
      </w:r>
      <w:r w:rsidRPr="0066103C">
        <w:t>”</w:t>
      </w:r>
      <w:r w:rsidR="00D018DF" w:rsidRPr="0066103C">
        <w:rPr>
          <w:rStyle w:val="FootnoteReference"/>
        </w:rPr>
        <w:footnoteReference w:id="451"/>
      </w:r>
      <w:r w:rsidRPr="0066103C">
        <w:t xml:space="preserve"> and </w:t>
      </w:r>
      <w:r w:rsidR="00D018DF" w:rsidRPr="0066103C">
        <w:t xml:space="preserve">it has been suggested </w:t>
      </w:r>
      <w:r w:rsidRPr="0066103C">
        <w:t xml:space="preserve">that it could thus have been borne by an earlier figure such as </w:t>
      </w:r>
      <w:r w:rsidRPr="0066103C">
        <w:lastRenderedPageBreak/>
        <w:t>Darius the Mede’s father,</w:t>
      </w:r>
      <w:r w:rsidR="00D018DF" w:rsidRPr="0066103C">
        <w:rPr>
          <w:rStyle w:val="FootnoteReference"/>
        </w:rPr>
        <w:footnoteReference w:id="452"/>
      </w:r>
      <w:r w:rsidRPr="0066103C">
        <w:t xml:space="preserve"> though it seems a proble</w:t>
      </w:r>
      <w:r w:rsidR="00966179">
        <w:t xml:space="preserve">m with this suggestion that </w:t>
      </w:r>
      <w:r w:rsidR="00966179" w:rsidRPr="00966179">
        <w:t>Ḳ</w:t>
      </w:r>
      <w:r w:rsidR="00D018DF" w:rsidRPr="0066103C">
        <w:t>šayarš</w:t>
      </w:r>
      <w:r w:rsidRPr="0066103C">
        <w:t xml:space="preserve">a is a Persian name. In Esther, G takes </w:t>
      </w:r>
      <w:r w:rsidRPr="0066103C">
        <w:rPr>
          <w:rFonts w:ascii="Arial" w:hAnsi="Arial" w:cs="Arial"/>
        </w:rPr>
        <w:t>אחשורוש</w:t>
      </w:r>
      <w:r w:rsidRPr="0066103C">
        <w:t xml:space="preserve"> to refer to Artaxerxes, while in Tob 14:15,</w:t>
      </w:r>
      <w:r w:rsidR="00D018DF" w:rsidRPr="0066103C">
        <w:t xml:space="preserve"> Ασυηρος (Asueros) denotes Uvakš</w:t>
      </w:r>
      <w:r w:rsidR="00DE541D">
        <w:t>tra (</w:t>
      </w:r>
      <w:r w:rsidRPr="0066103C">
        <w:t>Cyaxares</w:t>
      </w:r>
      <w:r w:rsidR="00DE541D">
        <w:t>)</w:t>
      </w:r>
      <w:r w:rsidRPr="0066103C">
        <w:t xml:space="preserve"> the Median </w:t>
      </w:r>
      <w:r w:rsidR="00D018DF" w:rsidRPr="0066103C">
        <w:t>conqueror of Nineveh in 612</w:t>
      </w:r>
      <w:r w:rsidRPr="0066103C">
        <w:t>.</w:t>
      </w:r>
      <w:r w:rsidR="00D018DF" w:rsidRPr="0066103C">
        <w:rPr>
          <w:rStyle w:val="FootnoteReference"/>
        </w:rPr>
        <w:footnoteReference w:id="453"/>
      </w:r>
      <w:r w:rsidRPr="0066103C">
        <w:t xml:space="preserve"> He might be seen as Darius the Mede’s predecessor/ancestor/father, and </w:t>
      </w:r>
      <w:r w:rsidRPr="0066103C">
        <w:rPr>
          <w:rFonts w:ascii="Arial" w:hAnsi="Arial" w:cs="Arial"/>
        </w:rPr>
        <w:t>אחשורוש</w:t>
      </w:r>
      <w:r w:rsidRPr="0066103C">
        <w:t xml:space="preserve"> is actually as c</w:t>
      </w:r>
      <w:r w:rsidR="00D018DF" w:rsidRPr="0066103C">
        <w:t>lose a transliteration of Uvakš</w:t>
      </w:r>
      <w:r w:rsidRPr="0066103C">
        <w:t>tra (Akk. U-</w:t>
      </w:r>
      <w:r w:rsidR="00966179">
        <w:t xml:space="preserve">aksa-tar) as it is of </w:t>
      </w:r>
      <w:r w:rsidR="00966179" w:rsidRPr="00966179">
        <w:t>Ḳ</w:t>
      </w:r>
      <w:r w:rsidR="00D018DF" w:rsidRPr="0066103C">
        <w:t>šayarša</w:t>
      </w:r>
      <w:r w:rsidRPr="0066103C">
        <w:t>.</w:t>
      </w:r>
      <w:r w:rsidR="00D018DF" w:rsidRPr="0066103C">
        <w:rPr>
          <w:rStyle w:val="FootnoteReference"/>
        </w:rPr>
        <w:footnoteReference w:id="454"/>
      </w:r>
    </w:p>
    <w:p w:rsidR="00E3420E" w:rsidRDefault="003909F2" w:rsidP="003909F2">
      <w:r w:rsidRPr="002C2955">
        <w:rPr>
          <w:b/>
        </w:rPr>
        <w:t xml:space="preserve">2 </w:t>
      </w:r>
      <w:r w:rsidRPr="0066103C">
        <w:t xml:space="preserve">The resumptive opening phrase may simply arise from grammatical need (Th omits it); yet v 1 is not so very long, and perhaps the phrase suggests that this </w:t>
      </w:r>
      <w:r w:rsidR="00DE75F5" w:rsidRPr="0066103C">
        <w:t xml:space="preserve">year </w:t>
      </w:r>
      <w:r w:rsidRPr="0066103C">
        <w:t>is the very year in which fulfillment of Jeremiah’s promise was due. Jeremiah’s seventy-year period of Babylonian rule might be reckoned to begin with Judah’s s</w:t>
      </w:r>
      <w:r w:rsidR="00DE75F5" w:rsidRPr="0066103C">
        <w:t>ubmission to Babylon in 605</w:t>
      </w:r>
      <w:r w:rsidRPr="0066103C">
        <w:t xml:space="preserve"> or with the fall </w:t>
      </w:r>
      <w:r w:rsidR="00DE75F5" w:rsidRPr="0066103C">
        <w:t>of Jerusalem in 597 or 587</w:t>
      </w:r>
      <w:r w:rsidRPr="0066103C">
        <w:t>; it might be reckoned to end with the fall of Babylon in</w:t>
      </w:r>
      <w:r w:rsidR="00B92664">
        <w:t xml:space="preserve"> 539, the initiation of a Judahite</w:t>
      </w:r>
      <w:r w:rsidRPr="0066103C">
        <w:t xml:space="preserve"> return in 538, or the completion of the reb</w:t>
      </w:r>
      <w:r w:rsidR="00DE75F5" w:rsidRPr="0066103C">
        <w:t>uilding of the temple in 517</w:t>
      </w:r>
      <w:r w:rsidRPr="0066103C">
        <w:t>. It is thus possible to argue that Jeremiah was chronologic</w:t>
      </w:r>
      <w:r w:rsidR="00966179">
        <w:t>ally accurate</w:t>
      </w:r>
      <w:r w:rsidR="00DE75F5" w:rsidRPr="0066103C">
        <w:t xml:space="preserve">. But </w:t>
      </w:r>
      <w:r w:rsidRPr="0066103C">
        <w:t xml:space="preserve">he </w:t>
      </w:r>
      <w:r w:rsidR="00DE75F5" w:rsidRPr="0066103C">
        <w:t xml:space="preserve">himself hardly </w:t>
      </w:r>
      <w:r w:rsidRPr="0066103C">
        <w:t>intended the “seventy years” to have a precise chronological reference; nor is there reason t</w:t>
      </w:r>
      <w:r w:rsidR="00DE75F5" w:rsidRPr="0066103C">
        <w:t xml:space="preserve">o infer that Daniel </w:t>
      </w:r>
      <w:r w:rsidRPr="0066103C">
        <w:t>understood it this way. “Seventy years” suggests a human lifetime (cf. Isa 23:15; Ps 91:10; also Esarhaddon’s inscription, “Seventy years as the period of its desolation he [Marduk] wrote down [in the book of fate]”.</w:t>
      </w:r>
      <w:r w:rsidR="00DE75F5" w:rsidRPr="0066103C">
        <w:rPr>
          <w:rStyle w:val="FootnoteReference"/>
        </w:rPr>
        <w:footnoteReference w:id="455"/>
      </w:r>
    </w:p>
    <w:p w:rsidR="00B93E33" w:rsidRDefault="003909F2" w:rsidP="003909F2">
      <w:r w:rsidRPr="0066103C">
        <w:t>Although the revelations g</w:t>
      </w:r>
      <w:r w:rsidR="00966179">
        <w:t>iven in dream and vision in Daniel show the influence of</w:t>
      </w:r>
      <w:r w:rsidR="00A84751" w:rsidRPr="0066103C">
        <w:t xml:space="preserve"> the s</w:t>
      </w:r>
      <w:r w:rsidRPr="0066103C">
        <w:t>cripture</w:t>
      </w:r>
      <w:r w:rsidR="00A84751" w:rsidRPr="0066103C">
        <w:t>s, he</w:t>
      </w:r>
      <w:r w:rsidR="00966179">
        <w:t>re alone is there explicit reference to a passage</w:t>
      </w:r>
      <w:r w:rsidR="008D41F7">
        <w:t>. If “the documents</w:t>
      </w:r>
      <w:r w:rsidRPr="0066103C">
        <w:t>” (</w:t>
      </w:r>
      <w:r w:rsidRPr="0066103C">
        <w:rPr>
          <w:rFonts w:ascii="Arial" w:hAnsi="Arial" w:cs="Arial"/>
        </w:rPr>
        <w:t>הספרים</w:t>
      </w:r>
      <w:r w:rsidRPr="0066103C">
        <w:t xml:space="preserve">) </w:t>
      </w:r>
      <w:r w:rsidR="00966179">
        <w:t>is</w:t>
      </w:r>
      <w:r w:rsidR="00945C8C">
        <w:t xml:space="preserve"> </w:t>
      </w:r>
      <w:r w:rsidR="00966179">
        <w:t xml:space="preserve">a term for </w:t>
      </w:r>
      <w:r w:rsidR="008D41F7">
        <w:t xml:space="preserve">the scriptures, it </w:t>
      </w:r>
      <w:r w:rsidRPr="0066103C">
        <w:t xml:space="preserve">suggests the existence of an identifiable collection of authoritative religious writings, though </w:t>
      </w:r>
      <w:r w:rsidR="00E3420E">
        <w:t xml:space="preserve">the </w:t>
      </w:r>
      <w:r w:rsidR="00966179">
        <w:t xml:space="preserve">fact that the book of Daniel is not yet among them shows that </w:t>
      </w:r>
      <w:r w:rsidR="00E3420E">
        <w:t>their existence does</w:t>
      </w:r>
      <w:r w:rsidRPr="0066103C">
        <w:t xml:space="preserve"> not imply</w:t>
      </w:r>
      <w:r w:rsidR="00966179">
        <w:t xml:space="preserve"> a “canon</w:t>
      </w:r>
      <w:r w:rsidRPr="0066103C">
        <w:t>”</w:t>
      </w:r>
      <w:r w:rsidR="00966179">
        <w:t xml:space="preserve"> to which nothing could be added.</w:t>
      </w:r>
      <w:r w:rsidRPr="0066103C">
        <w:t xml:space="preserve"> The </w:t>
      </w:r>
      <w:r w:rsidR="00B93E33">
        <w:t>incl</w:t>
      </w:r>
      <w:r w:rsidR="00E3420E">
        <w:t>usion of Jeremiah among the</w:t>
      </w:r>
      <w:r w:rsidR="00B93E33">
        <w:t xml:space="preserve"> books</w:t>
      </w:r>
      <w:r w:rsidRPr="0066103C">
        <w:t xml:space="preserve"> </w:t>
      </w:r>
      <w:r w:rsidR="00B93E33">
        <w:t xml:space="preserve">would </w:t>
      </w:r>
      <w:r w:rsidRPr="0066103C">
        <w:t>sugges</w:t>
      </w:r>
      <w:r w:rsidR="00B93E33">
        <w:t>t</w:t>
      </w:r>
      <w:r w:rsidR="00A84751" w:rsidRPr="0066103C">
        <w:t xml:space="preserve"> that “the s</w:t>
      </w:r>
      <w:r w:rsidRPr="0066103C">
        <w:t xml:space="preserve">criptures” denotes at least “the </w:t>
      </w:r>
      <w:r w:rsidR="00B93E33">
        <w:t>Torah and the Prophets,” which might be</w:t>
      </w:r>
      <w:r w:rsidRPr="0066103C">
        <w:t xml:space="preserve"> a collection not very different </w:t>
      </w:r>
      <w:r w:rsidR="00E3420E">
        <w:t xml:space="preserve">(Daniel apart) </w:t>
      </w:r>
      <w:r w:rsidRPr="0066103C">
        <w:t>from what became the Hebrew Bible</w:t>
      </w:r>
      <w:r w:rsidR="00DE75F5" w:rsidRPr="0066103C">
        <w:t>.</w:t>
      </w:r>
      <w:r w:rsidR="00DE75F5" w:rsidRPr="0066103C">
        <w:rPr>
          <w:rStyle w:val="FootnoteReference"/>
        </w:rPr>
        <w:footnoteReference w:id="456"/>
      </w:r>
      <w:r w:rsidR="00DE75F5" w:rsidRPr="0066103C">
        <w:t xml:space="preserve"> </w:t>
      </w:r>
      <w:r w:rsidR="00B265BC" w:rsidRPr="0066103C">
        <w:t xml:space="preserve">Perhaps </w:t>
      </w:r>
      <w:r w:rsidRPr="0066103C">
        <w:t>the exis</w:t>
      </w:r>
      <w:r w:rsidR="00A84751" w:rsidRPr="0066103C">
        <w:t>tence of such a collection of “s</w:t>
      </w:r>
      <w:r w:rsidR="00B265BC" w:rsidRPr="0066103C">
        <w:t xml:space="preserve">criptures” </w:t>
      </w:r>
      <w:r w:rsidRPr="0066103C">
        <w:t xml:space="preserve">necessitated </w:t>
      </w:r>
      <w:r w:rsidR="00000901">
        <w:t xml:space="preserve">or at least opened up the possibility of </w:t>
      </w:r>
      <w:r w:rsidRPr="0066103C">
        <w:t>recourse to the “pesher” method of interpretation and to the device of pseudony</w:t>
      </w:r>
      <w:r w:rsidR="00A84751" w:rsidRPr="0066103C">
        <w:t>mity.</w:t>
      </w:r>
      <w:r w:rsidR="00000901">
        <w:rPr>
          <w:rStyle w:val="FootnoteReference"/>
        </w:rPr>
        <w:footnoteReference w:id="457"/>
      </w:r>
      <w:r w:rsidR="00A84751" w:rsidRPr="0066103C">
        <w:t xml:space="preserve"> Both dream or vision and the s</w:t>
      </w:r>
      <w:r w:rsidRPr="0066103C">
        <w:t>cripture</w:t>
      </w:r>
      <w:r w:rsidR="00A84751" w:rsidRPr="0066103C">
        <w:t>s</w:t>
      </w:r>
      <w:r w:rsidRPr="0066103C">
        <w:t xml:space="preserve"> would be seen as the true loci of revelation concerning present and future that contrasted with the Babylonians’ heavenly tablets.</w:t>
      </w:r>
      <w:r w:rsidR="00B265BC" w:rsidRPr="0066103C">
        <w:rPr>
          <w:rStyle w:val="FootnoteReference"/>
        </w:rPr>
        <w:footnoteReference w:id="458"/>
      </w:r>
      <w:r w:rsidRPr="0066103C">
        <w:t xml:space="preserve"> It was the God of Israel who really gave such revelations, sometimes hidden in the symbols of dream, vision, and p</w:t>
      </w:r>
      <w:r w:rsidR="00A84751" w:rsidRPr="0066103C">
        <w:t xml:space="preserve">ortent, sometimes hidden in </w:t>
      </w:r>
      <w:r w:rsidRPr="0066103C">
        <w:t>app</w:t>
      </w:r>
      <w:r w:rsidR="00A84751" w:rsidRPr="0066103C">
        <w:t>arently straightforward words from the</w:t>
      </w:r>
      <w:r w:rsidR="00B93E33">
        <w:t xml:space="preserve"> s</w:t>
      </w:r>
      <w:r w:rsidRPr="0066103C">
        <w:t>cripture</w:t>
      </w:r>
      <w:r w:rsidR="00A84751" w:rsidRPr="0066103C">
        <w:t>s</w:t>
      </w:r>
      <w:r w:rsidRPr="0066103C">
        <w:t>.</w:t>
      </w:r>
      <w:r w:rsidR="008D41F7" w:rsidRPr="008D41F7">
        <w:t xml:space="preserve"> </w:t>
      </w:r>
      <w:r w:rsidR="00E3420E">
        <w:t xml:space="preserve">And one way in which God continued to speak to his people was by inspiring their reflection on those scriptures so that they spoke out what the original speaker might say now. </w:t>
      </w:r>
      <w:r w:rsidR="008D41F7" w:rsidRPr="008D41F7">
        <w:t xml:space="preserve">But </w:t>
      </w:r>
      <w:r w:rsidR="00B93E33">
        <w:t>“</w:t>
      </w:r>
      <w:r w:rsidR="008D41F7" w:rsidRPr="008D41F7">
        <w:t xml:space="preserve">the </w:t>
      </w:r>
      <w:r w:rsidR="00B93E33">
        <w:t xml:space="preserve">documents” </w:t>
      </w:r>
      <w:r w:rsidR="008D41F7" w:rsidRPr="008D41F7">
        <w:t xml:space="preserve">may </w:t>
      </w:r>
      <w:r w:rsidR="00B93E33">
        <w:t>more specifically denote the letters</w:t>
      </w:r>
      <w:r w:rsidR="008D41F7" w:rsidRPr="008D41F7">
        <w:t xml:space="preserve"> </w:t>
      </w:r>
      <w:r w:rsidR="00B93E33">
        <w:t xml:space="preserve">included or mentioned </w:t>
      </w:r>
      <w:r w:rsidR="008D41F7" w:rsidRPr="008D41F7">
        <w:t xml:space="preserve">within Jeremiah </w:t>
      </w:r>
      <w:r w:rsidR="009C034E">
        <w:t>that relate to</w:t>
      </w:r>
      <w:r w:rsidR="008D41F7" w:rsidRPr="008D41F7">
        <w:t xml:space="preserve"> the exchanges between Jeremiah and th</w:t>
      </w:r>
      <w:r w:rsidR="008D41F7">
        <w:t>e exile</w:t>
      </w:r>
      <w:r w:rsidR="009C034E">
        <w:t>s</w:t>
      </w:r>
      <w:r w:rsidR="00B93E33">
        <w:t>,</w:t>
      </w:r>
      <w:r w:rsidR="009C034E">
        <w:t xml:space="preserve"> to which Jer 2</w:t>
      </w:r>
      <w:r w:rsidR="00B93E33">
        <w:t xml:space="preserve">9 refers </w:t>
      </w:r>
      <w:r w:rsidR="009C034E">
        <w:t>as “documents.”</w:t>
      </w:r>
      <w:r w:rsidR="008D41F7">
        <w:t xml:space="preserve"> </w:t>
      </w:r>
      <w:r w:rsidR="009C034E">
        <w:t xml:space="preserve">As the book of Daniel </w:t>
      </w:r>
      <w:r w:rsidR="00E3420E">
        <w:t xml:space="preserve">tells the story, Daniel was </w:t>
      </w:r>
      <w:r w:rsidR="00B93E33">
        <w:t>in Babylon when the</w:t>
      </w:r>
      <w:r w:rsidR="009C034E">
        <w:t>se exchanges took place.</w:t>
      </w:r>
      <w:r w:rsidR="009C034E" w:rsidRPr="009C034E">
        <w:rPr>
          <w:vertAlign w:val="superscript"/>
        </w:rPr>
        <w:footnoteReference w:id="459"/>
      </w:r>
      <w:r w:rsidR="009C034E">
        <w:t xml:space="preserve"> Perhaps we are to imagine him consulting those documents again. </w:t>
      </w:r>
    </w:p>
    <w:p w:rsidR="002F015A" w:rsidRPr="0066103C" w:rsidRDefault="00B93E33" w:rsidP="003909F2">
      <w:r>
        <w:t xml:space="preserve">Either way, Daniel </w:t>
      </w:r>
      <w:r w:rsidR="00BD58AD">
        <w:t xml:space="preserve">is </w:t>
      </w:r>
      <w:r w:rsidR="00401303">
        <w:t>not seeking an</w:t>
      </w:r>
      <w:r>
        <w:t xml:space="preserve"> explanation of a puzzling text.</w:t>
      </w:r>
      <w:r w:rsidR="00401303">
        <w:t xml:space="preserve"> </w:t>
      </w:r>
      <w:r>
        <w:t xml:space="preserve">He knows that the two passages in Jeremiah document </w:t>
      </w:r>
      <w:r w:rsidRPr="00B93E33">
        <w:t>a threat</w:t>
      </w:r>
      <w:r>
        <w:t xml:space="preserve"> or warning (Jer 25) and </w:t>
      </w:r>
      <w:r w:rsidRPr="00B93E33">
        <w:t>a promise</w:t>
      </w:r>
      <w:r>
        <w:t xml:space="preserve"> or reassurance (Jer 29)</w:t>
      </w:r>
      <w:r w:rsidRPr="00B93E33">
        <w:t>.</w:t>
      </w:r>
      <w:r w:rsidRPr="00B93E33">
        <w:rPr>
          <w:vertAlign w:val="superscript"/>
        </w:rPr>
        <w:footnoteReference w:id="460"/>
      </w:r>
      <w:r>
        <w:t xml:space="preserve"> In his prayer he will go on to</w:t>
      </w:r>
      <w:r w:rsidR="00401303">
        <w:t xml:space="preserve"> </w:t>
      </w:r>
      <w:r>
        <w:t>seek</w:t>
      </w:r>
      <w:r w:rsidR="00BD58AD">
        <w:t xml:space="preserve"> to fulfill the condition laid down in Jer 29:12-13.</w:t>
      </w:r>
      <w:r w:rsidR="00BD58AD">
        <w:rPr>
          <w:rStyle w:val="FootnoteReference"/>
        </w:rPr>
        <w:footnoteReference w:id="461"/>
      </w:r>
      <w:r>
        <w:t xml:space="preserve"> </w:t>
      </w:r>
      <w:r w:rsidR="002F015A">
        <w:t xml:space="preserve">“Daniel never asks for </w:t>
      </w:r>
      <w:r w:rsidR="002F015A">
        <w:lastRenderedPageBreak/>
        <w:t>enlightenment</w:t>
      </w:r>
      <w:r w:rsidR="00673D27">
        <w:t xml:space="preserve"> about the seventy years of Jeremiah or even expresses bewilderment. His reaction to the prophecy is one of distress” and therefore confession of sin and request for mercy.</w:t>
      </w:r>
      <w:r w:rsidR="00673D27">
        <w:rPr>
          <w:rStyle w:val="FootnoteReference"/>
        </w:rPr>
        <w:footnoteReference w:id="462"/>
      </w:r>
      <w:r w:rsidR="00436D1A">
        <w:t xml:space="preserve"> Dan 9 is “profoundly concerned with divine absence” yet it “does not necessarily attest to a profound dissonance concerning that absence as Dan 8 does.”</w:t>
      </w:r>
      <w:r w:rsidR="00436D1A">
        <w:rPr>
          <w:rStyle w:val="FootnoteReference"/>
        </w:rPr>
        <w:footnoteReference w:id="463"/>
      </w:r>
      <w:r w:rsidR="00436D1A">
        <w:t xml:space="preserve"> Instead it </w:t>
      </w:r>
      <w:r w:rsidR="00EF3F64">
        <w:t>expresses penitence and thus accepts responsibility for the absence, and it prays.</w:t>
      </w:r>
    </w:p>
    <w:p w:rsidR="003909F2" w:rsidRPr="0066103C" w:rsidRDefault="003909F2" w:rsidP="003909F2">
      <w:r w:rsidRPr="002C2955">
        <w:rPr>
          <w:b/>
        </w:rPr>
        <w:t>3–23</w:t>
      </w:r>
      <w:r w:rsidRPr="0066103C">
        <w:t xml:space="preserve"> On the prayer, see </w:t>
      </w:r>
      <w:r w:rsidRPr="0066103C">
        <w:rPr>
          <w:i/>
        </w:rPr>
        <w:t>Form</w:t>
      </w:r>
      <w:r w:rsidRPr="0066103C">
        <w:t xml:space="preserve"> and </w:t>
      </w:r>
      <w:r w:rsidRPr="0066103C">
        <w:rPr>
          <w:i/>
        </w:rPr>
        <w:t>Structure</w:t>
      </w:r>
      <w:r w:rsidR="00B265BC" w:rsidRPr="0066103C">
        <w:t xml:space="preserve"> above. Motifs </w:t>
      </w:r>
      <w:r w:rsidRPr="0066103C">
        <w:t>recur</w:t>
      </w:r>
      <w:r w:rsidR="00B265BC" w:rsidRPr="0066103C">
        <w:t>ring</w:t>
      </w:r>
      <w:r w:rsidRPr="0066103C">
        <w:t xml:space="preserve"> in the prayer are (a) God as its object, (b) his characteristics, (c) his ways of speaking and his means of speaking; (d) Israel as the ones who are addressed and who are prayed for, (e) the response he looks for in them, (f) their actual characteristics, and (g) their needs; also significant are (h) the nature of the prayer, (i) its content, and (j) the response it meets.</w:t>
      </w:r>
    </w:p>
    <w:p w:rsidR="003909F2" w:rsidRPr="0066103C" w:rsidRDefault="00FB7C60" w:rsidP="003909F2">
      <w:r w:rsidRPr="002C2955">
        <w:rPr>
          <w:b/>
        </w:rPr>
        <w:t xml:space="preserve">3–23 </w:t>
      </w:r>
      <w:r w:rsidR="003909F2" w:rsidRPr="002C2955">
        <w:rPr>
          <w:b/>
        </w:rPr>
        <w:t>(a)</w:t>
      </w:r>
      <w:r w:rsidR="003909F2" w:rsidRPr="0066103C">
        <w:t xml:space="preserve"> The object of prayer is God (</w:t>
      </w:r>
      <w:r w:rsidR="003909F2" w:rsidRPr="0066103C">
        <w:rPr>
          <w:rFonts w:ascii="Arial" w:hAnsi="Arial" w:cs="Arial"/>
        </w:rPr>
        <w:t>אלהים</w:t>
      </w:r>
      <w:r w:rsidR="003909F2" w:rsidRPr="0066103C">
        <w:t>). But this most general word appears only once, in the introduction to the prayer (v 3). Even here it is combined with the title “Lord” (</w:t>
      </w:r>
      <w:r w:rsidR="003909F2" w:rsidRPr="0066103C">
        <w:rPr>
          <w:rFonts w:ascii="Arial" w:hAnsi="Arial" w:cs="Arial"/>
        </w:rPr>
        <w:t>אדני</w:t>
      </w:r>
      <w:r w:rsidR="003909F2" w:rsidRPr="0066103C">
        <w:t>, also vv 4, 7, 9, 15, 19, 19). While Ezekiel frequ</w:t>
      </w:r>
      <w:r w:rsidR="00003936">
        <w:t>ently uses the title “Lord” in accordance with</w:t>
      </w:r>
      <w:r w:rsidR="003909F2" w:rsidRPr="0066103C">
        <w:t xml:space="preserve"> its philological meaning, suggesting God’s authority and awesomeness, Daniel’s usage does not stress this connotation. Rather it reflects Judaism’s developing inclination to use the title “Lord” to avoid uttering God’s actual name Yahweh (cf. Q </w:t>
      </w:r>
      <w:r w:rsidR="003909F2" w:rsidRPr="0066103C">
        <w:rPr>
          <w:rFonts w:ascii="Arial" w:hAnsi="Arial" w:cs="Arial"/>
        </w:rPr>
        <w:t>אדני</w:t>
      </w:r>
      <w:r w:rsidR="003909F2" w:rsidRPr="0066103C">
        <w:t xml:space="preserve">, G κύριος, </w:t>
      </w:r>
      <w:r w:rsidR="005535FE" w:rsidRPr="0066103C">
        <w:t>EVV</w:t>
      </w:r>
      <w:r w:rsidR="003909F2" w:rsidRPr="0066103C">
        <w:t xml:space="preserve"> Lord). Each occurrence of “Lord” in chap. 9 comes at a point wh</w:t>
      </w:r>
      <w:r w:rsidR="00003936">
        <w:t xml:space="preserve">ere Israelite prayer would </w:t>
      </w:r>
      <w:r w:rsidR="003909F2" w:rsidRPr="0066103C">
        <w:t xml:space="preserve">traditionally have used “Yahweh”: compare the general preference for </w:t>
      </w:r>
      <w:r w:rsidR="003909F2" w:rsidRPr="0066103C">
        <w:rPr>
          <w:rFonts w:ascii="Arial" w:hAnsi="Arial" w:cs="Arial"/>
        </w:rPr>
        <w:t>אלהים</w:t>
      </w:r>
      <w:r w:rsidR="003909F2" w:rsidRPr="0066103C">
        <w:t xml:space="preserve"> “God” rather than </w:t>
      </w:r>
      <w:r w:rsidR="003909F2" w:rsidRPr="0066103C">
        <w:rPr>
          <w:rFonts w:ascii="Arial" w:hAnsi="Arial" w:cs="Arial"/>
        </w:rPr>
        <w:t>יהוה</w:t>
      </w:r>
      <w:r w:rsidR="003909F2" w:rsidRPr="0066103C">
        <w:t xml:space="preserve"> in Pss 42–79. “Lord,” then, is suggestive of reverence before th</w:t>
      </w:r>
      <w:r w:rsidR="00B93E33">
        <w:t>e pe</w:t>
      </w:r>
      <w:r w:rsidR="00003936">
        <w:t>rson of the God of Israel. T</w:t>
      </w:r>
      <w:r w:rsidR="003909F2" w:rsidRPr="0066103C">
        <w:t xml:space="preserve">he name Yahweh itself comes in vv 4, 8, 10, 13, 14, 14, 20; also </w:t>
      </w:r>
      <w:r w:rsidR="002B376E">
        <w:t xml:space="preserve">v </w:t>
      </w:r>
      <w:r w:rsidR="003909F2" w:rsidRPr="0066103C">
        <w:t xml:space="preserve">2 (and see n. 3.a). Whereas “Lord” generally appears as a vocative, and thus </w:t>
      </w:r>
      <w:r w:rsidR="002B376E">
        <w:t xml:space="preserve">appears </w:t>
      </w:r>
      <w:r w:rsidR="00003936">
        <w:t>especially in the plea</w:t>
      </w:r>
      <w:r w:rsidR="003909F2" w:rsidRPr="0066103C">
        <w:t>, “Yahweh” characteristically appears in third person references, an</w:t>
      </w:r>
      <w:r w:rsidR="002B376E">
        <w:t>d not at all in the plea. O</w:t>
      </w:r>
      <w:r w:rsidR="003909F2" w:rsidRPr="0066103C">
        <w:t xml:space="preserve">nly </w:t>
      </w:r>
      <w:r w:rsidR="002B376E">
        <w:t>here in Daniel does the</w:t>
      </w:r>
      <w:r w:rsidR="003909F2" w:rsidRPr="0066103C">
        <w:t xml:space="preserve"> distinctively Jewish name for God feature; Dan 9 follows earlier prophetic and liturgical usage. The very use of the name constitutes an appeal to the special relationship between Yahweh and the Israel who alone knew the name.</w:t>
      </w:r>
    </w:p>
    <w:p w:rsidR="003909F2" w:rsidRPr="0066103C" w:rsidRDefault="003909F2" w:rsidP="003909F2">
      <w:r w:rsidRPr="0066103C">
        <w:t xml:space="preserve">That </w:t>
      </w:r>
      <w:r w:rsidR="00B265BC" w:rsidRPr="0066103C">
        <w:t xml:space="preserve">consideration </w:t>
      </w:r>
      <w:r w:rsidRPr="0066103C">
        <w:t>also lies behind the references and appeals to “our God” (</w:t>
      </w:r>
      <w:r w:rsidRPr="0066103C">
        <w:rPr>
          <w:rFonts w:ascii="Arial" w:hAnsi="Arial" w:cs="Arial"/>
        </w:rPr>
        <w:t>אלהינו</w:t>
      </w:r>
      <w:r w:rsidRPr="0066103C">
        <w:t>, vv 9, 10, 13, 14, 15, 17) and “my God” (</w:t>
      </w:r>
      <w:r w:rsidRPr="0066103C">
        <w:rPr>
          <w:rFonts w:ascii="Arial" w:hAnsi="Arial" w:cs="Arial"/>
        </w:rPr>
        <w:t>אלהי</w:t>
      </w:r>
      <w:r w:rsidRPr="0066103C">
        <w:t>, vv 4, 18, 19, 20, 20). Daniel uses “my God” when referring to his own prayer, at its opening and closing; he uses “our God” in the midst of the prayer when referring to those on whose behalf he prays. M</w:t>
      </w:r>
      <w:r w:rsidR="002B376E">
        <w:t>uch of hi</w:t>
      </w:r>
      <w:r w:rsidRPr="0066103C">
        <w:t>s usage is comparable to the Psalms, where the phrases “Yahweh my God</w:t>
      </w:r>
      <w:r w:rsidR="002B376E">
        <w:t>”/“Yahweh our God” are common and</w:t>
      </w:r>
      <w:r w:rsidRPr="0066103C">
        <w:t xml:space="preserve"> “my God”/“our God” appears in parallel with “Yahweh.” Sometimes the context suggests that “my God”/“our God” appeals directly to the special personal relationship indicated</w:t>
      </w:r>
      <w:r w:rsidR="00B265BC" w:rsidRPr="0066103C">
        <w:t xml:space="preserve"> by the pronouns (e.g., Pss 22:2, cf. 1 [3, cf. 2]; 38:21 [22]; 48:14 [15</w:t>
      </w:r>
      <w:r w:rsidRPr="0066103C">
        <w:t xml:space="preserve">]; 71:4; 86:2; 91:2; 94:22; 95:7; 106:47; 118:28). The combination of “my” and “our” in one psalm is rare. Interesting is 94:22–23, where the psalmist appeals to the fact that Yahweh is “our God” as the basis for expecting him to act as “my God.” The argument in Dan 9 takes the </w:t>
      </w:r>
      <w:r w:rsidR="000172D7">
        <w:t>opposite form: Daniel urges</w:t>
      </w:r>
      <w:r w:rsidRPr="0066103C">
        <w:t xml:space="preserve"> “my God” to act as “our God.” This way of praying appears in one other prose confession, Ezra 9. A person such as Ezra or Daniel prays as </w:t>
      </w:r>
      <w:r w:rsidR="002B376E">
        <w:t>some</w:t>
      </w:r>
      <w:r w:rsidRPr="0066103C">
        <w:t xml:space="preserve">one who has a close relationship with God, </w:t>
      </w:r>
      <w:r w:rsidR="002B376E">
        <w:t>some</w:t>
      </w:r>
      <w:r w:rsidRPr="0066103C">
        <w:t xml:space="preserve">one to whom God </w:t>
      </w:r>
      <w:r w:rsidR="00B265BC" w:rsidRPr="0066103C">
        <w:t>may be expected to listen. The</w:t>
      </w:r>
      <w:r w:rsidR="000172D7">
        <w:t xml:space="preserve"> prayer that “my God” may</w:t>
      </w:r>
      <w:r w:rsidRPr="0066103C">
        <w:t xml:space="preserve"> </w:t>
      </w:r>
      <w:r w:rsidR="002B376E">
        <w:t>act as “our God” is therefore powerful</w:t>
      </w:r>
      <w:r w:rsidRPr="0066103C">
        <w:t xml:space="preserve">. The personal nature of Daniel’s appeal on behalf of the </w:t>
      </w:r>
      <w:r w:rsidR="00B265BC" w:rsidRPr="0066103C">
        <w:t>entire people</w:t>
      </w:r>
      <w:r w:rsidRPr="0066103C">
        <w:t xml:space="preserve"> is clearest in vv 18–20.</w:t>
      </w:r>
    </w:p>
    <w:p w:rsidR="00B265BC" w:rsidRPr="0066103C" w:rsidRDefault="003909F2" w:rsidP="003909F2">
      <w:r w:rsidRPr="0066103C">
        <w:t xml:space="preserve">At the opening of the prayer, the Lord is reverenced as the great and awesome God </w:t>
      </w:r>
    </w:p>
    <w:p w:rsidR="003909F2" w:rsidRPr="0066103C" w:rsidRDefault="003909F2" w:rsidP="00B265BC">
      <w:pPr>
        <w:ind w:firstLine="0"/>
      </w:pPr>
      <w:r w:rsidRPr="0066103C">
        <w:t>(</w:t>
      </w:r>
      <w:r w:rsidRPr="0066103C">
        <w:rPr>
          <w:rFonts w:ascii="Arial" w:hAnsi="Arial" w:cs="Arial"/>
        </w:rPr>
        <w:t>והנורא</w:t>
      </w:r>
      <w:r w:rsidR="00B265BC" w:rsidRPr="0066103C">
        <w:rPr>
          <w:rFonts w:ascii="Arial" w:hAnsi="Arial" w:cs="Arial"/>
        </w:rPr>
        <w:t xml:space="preserve"> הגדול האל</w:t>
      </w:r>
      <w:r w:rsidRPr="0066103C">
        <w:t>, v 4). The phrase corresp</w:t>
      </w:r>
      <w:r w:rsidR="00B265BC" w:rsidRPr="0066103C">
        <w:t xml:space="preserve">onds to Neh 1:5. “God” is here </w:t>
      </w:r>
      <w:r w:rsidR="00B265BC" w:rsidRPr="0066103C">
        <w:rPr>
          <w:i/>
        </w:rPr>
        <w:t>’</w:t>
      </w:r>
      <w:r w:rsidRPr="0066103C">
        <w:rPr>
          <w:i/>
        </w:rPr>
        <w:t>el</w:t>
      </w:r>
      <w:r w:rsidRPr="0066103C">
        <w:t>, the name of the Canaanite high god (e.g., Gen 14:18–24), but often in the OT a common noun for</w:t>
      </w:r>
      <w:r w:rsidR="00B265BC" w:rsidRPr="0066103C">
        <w:t xml:space="preserve"> God (cf. Dan 11:36). There is some</w:t>
      </w:r>
      <w:r w:rsidR="002B376E">
        <w:t xml:space="preserve"> courage about beginning with </w:t>
      </w:r>
      <w:r w:rsidRPr="0066103C">
        <w:t>recognition o</w:t>
      </w:r>
      <w:r w:rsidR="002B376E">
        <w:t>f the majestic aspect to God, which is a threat to people</w:t>
      </w:r>
      <w:r w:rsidRPr="0066103C">
        <w:t xml:space="preserve"> who fail to yield to him, whether foreigners or Israelites (cf. the closely comparable phra</w:t>
      </w:r>
      <w:r w:rsidR="00B265BC" w:rsidRPr="0066103C">
        <w:t>ses in Deut 7:21; 10:17; Neh 4:14 [8</w:t>
      </w:r>
      <w:r w:rsidRPr="0066103C">
        <w:t>]; 9:32). It is precisely such failure that Daniel will have to go on to acknowledge.</w:t>
      </w:r>
    </w:p>
    <w:p w:rsidR="003909F2" w:rsidRPr="0066103C" w:rsidRDefault="00FB7C60" w:rsidP="003909F2">
      <w:r w:rsidRPr="002C2955">
        <w:rPr>
          <w:b/>
        </w:rPr>
        <w:lastRenderedPageBreak/>
        <w:t xml:space="preserve">3–23 </w:t>
      </w:r>
      <w:r w:rsidR="003909F2" w:rsidRPr="002C2955">
        <w:rPr>
          <w:b/>
        </w:rPr>
        <w:t>(b)</w:t>
      </w:r>
      <w:r w:rsidR="003909F2" w:rsidRPr="0066103C">
        <w:t xml:space="preserve"> “Great and awesome”</w:t>
      </w:r>
      <w:r w:rsidR="000172D7">
        <w:t>(v. 4)</w:t>
      </w:r>
      <w:r w:rsidR="00945C8C">
        <w:t xml:space="preserve"> </w:t>
      </w:r>
      <w:r w:rsidR="003909F2" w:rsidRPr="0066103C">
        <w:t>is the first of a series of terms to denote God’s characteristics; v 4 adds that he is one who keeps his covenantal commitment (</w:t>
      </w:r>
      <w:r w:rsidR="003909F2" w:rsidRPr="0066103C">
        <w:rPr>
          <w:rFonts w:ascii="Arial" w:hAnsi="Arial" w:cs="Arial"/>
        </w:rPr>
        <w:t>והחסד</w:t>
      </w:r>
      <w:r w:rsidR="00B265BC" w:rsidRPr="0066103C">
        <w:rPr>
          <w:rFonts w:ascii="Arial" w:hAnsi="Arial" w:cs="Arial"/>
        </w:rPr>
        <w:t xml:space="preserve"> הברית</w:t>
      </w:r>
      <w:r w:rsidR="003909F2" w:rsidRPr="0066103C">
        <w:t>) with his people. As in English, a “covenant” (</w:t>
      </w:r>
      <w:r w:rsidR="003909F2" w:rsidRPr="0066103C">
        <w:rPr>
          <w:rFonts w:ascii="Arial" w:hAnsi="Arial" w:cs="Arial"/>
        </w:rPr>
        <w:t>ברית</w:t>
      </w:r>
      <w:r w:rsidR="00B265BC" w:rsidRPr="0066103C">
        <w:t xml:space="preserve">) is a formal agreement </w:t>
      </w:r>
      <w:r w:rsidR="003909F2" w:rsidRPr="0066103C">
        <w:t>involving two parties, which has been entered into in a solemn and binding fashion. It may be primarily an undertaking by one</w:t>
      </w:r>
      <w:r w:rsidR="00B265BC" w:rsidRPr="0066103C">
        <w:t xml:space="preserve"> party to the other, who is</w:t>
      </w:r>
      <w:r w:rsidR="003909F2" w:rsidRPr="0066103C">
        <w:t xml:space="preserve"> required </w:t>
      </w:r>
      <w:r w:rsidR="00B265BC" w:rsidRPr="0066103C">
        <w:t xml:space="preserve">only </w:t>
      </w:r>
      <w:r w:rsidR="003909F2" w:rsidRPr="0066103C">
        <w:t>to receive what the first offers; or it may presuppose that a more powerful party requires certain reciprocal undertakings from a less powerful one in response to benefits promised or given by the former; or it may be a mutual bond between equal parties. For secular instances, see, e.g., Gen 21:22–32; Josh 9:3–20; 1 Sam 11:1; 18:3; 2 Chr 2:3; 15:12. “Covenant” t</w:t>
      </w:r>
      <w:r w:rsidR="00A41A52" w:rsidRPr="0066103C">
        <w:t>hen provides a natural image to describe</w:t>
      </w:r>
      <w:r w:rsidR="003909F2" w:rsidRPr="0066103C">
        <w:t xml:space="preserve"> relationships between God and humanity. The emphasis in such relationships may be on God’s commitment (Gen 9:8–17; Lev 26:40–45; Num 25:10–13; Jer 31:31–34; 2 Chr 13:5), or on human beings’ commitment to God (Job 31:1; Ezra 10:3; 2 Chr 29:10), or on a reciprocity in the relationship—though hardly, for theological reasons, an equality between the two parties (Exod 19:3–6; Deut 29:1–29</w:t>
      </w:r>
      <w:r w:rsidR="00A41A52" w:rsidRPr="0066103C">
        <w:t xml:space="preserve"> [28:69–29:20</w:t>
      </w:r>
      <w:r w:rsidR="003909F2" w:rsidRPr="0066103C">
        <w:t>]; 2 Kgs 23:1–3; 2 Chr 34:30–32). This last application of the covenant image is characteristic of D</w:t>
      </w:r>
      <w:r w:rsidR="00961A96">
        <w:t>euteronomy</w:t>
      </w:r>
      <w:r w:rsidR="003909F2" w:rsidRPr="0066103C">
        <w:t xml:space="preserve">, which seems to utilize Israel’s knowledge of the equivalent political covenants (i.e., treaties); it is this kind of covenant relationship that is presupposed by Dan 9 (see </w:t>
      </w:r>
      <w:r w:rsidR="003909F2" w:rsidRPr="0066103C">
        <w:rPr>
          <w:i/>
        </w:rPr>
        <w:t>Form</w:t>
      </w:r>
      <w:r w:rsidR="003909F2" w:rsidRPr="0066103C">
        <w:t>).</w:t>
      </w:r>
    </w:p>
    <w:p w:rsidR="003909F2" w:rsidRPr="0066103C" w:rsidRDefault="003909F2" w:rsidP="003909F2">
      <w:r w:rsidRPr="0066103C">
        <w:t>“Commitment” (</w:t>
      </w:r>
      <w:r w:rsidRPr="0066103C">
        <w:rPr>
          <w:rFonts w:ascii="Arial" w:hAnsi="Arial" w:cs="Arial"/>
        </w:rPr>
        <w:t>חסד</w:t>
      </w:r>
      <w:r w:rsidRPr="0066103C">
        <w:t xml:space="preserve">) has its background in human relationships more broadly, where it denotes an attitude of kindness or generosity or mercy that </w:t>
      </w:r>
      <w:r w:rsidR="00961A96">
        <w:t>expresses itself in acts of the same</w:t>
      </w:r>
      <w:r w:rsidRPr="0066103C">
        <w:t xml:space="preserve"> kind and thus initiates or presupposes a relationship of mutual loyalty and faithfulness (Josh 2:12; Judg 1:24; 8:35; 1 Sam 15:6). Appeal to someone’s </w:t>
      </w:r>
      <w:r w:rsidRPr="0066103C">
        <w:rPr>
          <w:rFonts w:ascii="Arial" w:hAnsi="Arial" w:cs="Arial"/>
        </w:rPr>
        <w:t>חסד</w:t>
      </w:r>
      <w:r w:rsidRPr="0066103C">
        <w:t xml:space="preserve"> presupposes that he or she has taken on a responsibility and can be expected to fulfill it. Applied to God, it suggests his turning t</w:t>
      </w:r>
      <w:r w:rsidR="00A41A52" w:rsidRPr="0066103C">
        <w:t xml:space="preserve">o humanity in his unconditioned and steadfast </w:t>
      </w:r>
      <w:r w:rsidRPr="0066103C">
        <w:t xml:space="preserve">friendship and magnanimity, thus working </w:t>
      </w:r>
      <w:r w:rsidR="000C6CB7">
        <w:t xml:space="preserve">towards </w:t>
      </w:r>
      <w:r w:rsidRPr="0066103C">
        <w:t>his divine claim to have fellowship with human beings.</w:t>
      </w:r>
      <w:r w:rsidR="00A41A52" w:rsidRPr="0066103C">
        <w:rPr>
          <w:rStyle w:val="FootnoteReference"/>
        </w:rPr>
        <w:footnoteReference w:id="464"/>
      </w:r>
      <w:r w:rsidRPr="0066103C">
        <w:t xml:space="preserve"> In the OT, the most common application of the idea to the attitude </w:t>
      </w:r>
      <w:r w:rsidR="00095517" w:rsidRPr="0066103C">
        <w:t xml:space="preserve">shown by God </w:t>
      </w:r>
      <w:r w:rsidRPr="0066103C">
        <w:t>to human beings appears</w:t>
      </w:r>
      <w:r w:rsidR="00095517" w:rsidRPr="0066103C">
        <w:t xml:space="preserve">, not surprisingly, in </w:t>
      </w:r>
      <w:r w:rsidR="00961A96">
        <w:t xml:space="preserve">contexts such as the present one, </w:t>
      </w:r>
      <w:r w:rsidR="00095517" w:rsidRPr="0066103C">
        <w:t xml:space="preserve">the </w:t>
      </w:r>
      <w:r w:rsidRPr="0066103C">
        <w:t>context</w:t>
      </w:r>
      <w:r w:rsidR="00961A96">
        <w:t xml:space="preserve"> of prayer</w:t>
      </w:r>
      <w:r w:rsidRPr="0066103C">
        <w:t>, in the Psalms (e.g., 25:6–10; 36:</w:t>
      </w:r>
      <w:r w:rsidR="00095517" w:rsidRPr="0066103C">
        <w:t>5-10 [6–11</w:t>
      </w:r>
      <w:r w:rsidRPr="0066103C">
        <w:t xml:space="preserve">]). </w:t>
      </w:r>
      <w:r w:rsidRPr="0066103C">
        <w:rPr>
          <w:rFonts w:ascii="Arial" w:hAnsi="Arial" w:cs="Arial"/>
        </w:rPr>
        <w:t>חסד</w:t>
      </w:r>
      <w:r w:rsidRPr="0066103C">
        <w:t xml:space="preserve"> is not</w:t>
      </w:r>
      <w:r w:rsidR="00095517" w:rsidRPr="0066103C">
        <w:t xml:space="preserve"> essentially a “covenant” word</w:t>
      </w:r>
      <w:r w:rsidRPr="0066103C">
        <w:t>,</w:t>
      </w:r>
      <w:r w:rsidR="00095517" w:rsidRPr="0066103C">
        <w:rPr>
          <w:rStyle w:val="FootnoteReference"/>
        </w:rPr>
        <w:footnoteReference w:id="465"/>
      </w:r>
      <w:r w:rsidRPr="0066103C">
        <w:t xml:space="preserve"> but the human relationships in which </w:t>
      </w:r>
      <w:r w:rsidRPr="0066103C">
        <w:rPr>
          <w:rFonts w:ascii="Arial" w:hAnsi="Arial" w:cs="Arial"/>
        </w:rPr>
        <w:t>חסד</w:t>
      </w:r>
      <w:r w:rsidRPr="0066103C">
        <w:t xml:space="preserve"> is expressed may be described in “covenantal” terms (1 Sam 2</w:t>
      </w:r>
      <w:r w:rsidR="00961A96">
        <w:t>0:8, 14–16; 1 Kgs 20:31–34).</w:t>
      </w:r>
      <w:r w:rsidRPr="0066103C">
        <w:t xml:space="preserve"> God’s </w:t>
      </w:r>
      <w:r w:rsidRPr="0066103C">
        <w:rPr>
          <w:rFonts w:ascii="Arial" w:hAnsi="Arial" w:cs="Arial"/>
        </w:rPr>
        <w:t>חסד</w:t>
      </w:r>
      <w:r w:rsidRPr="0066103C">
        <w:t xml:space="preserve"> may also be a</w:t>
      </w:r>
      <w:r w:rsidR="00961A96">
        <w:t xml:space="preserve">ssociated with his covenant, as </w:t>
      </w:r>
      <w:r w:rsidR="00095517" w:rsidRPr="0066103C">
        <w:t>is so in Dan 9:4; the usage</w:t>
      </w:r>
      <w:r w:rsidRPr="0066103C">
        <w:t xml:space="preserve"> stems from Deuteronomy (see 7:9, 12; cf. 1 Kgs 8:23; Isa 54:10; 55:3; Pss 89:</w:t>
      </w:r>
      <w:r w:rsidR="00095517" w:rsidRPr="0066103C">
        <w:t>28 [29</w:t>
      </w:r>
      <w:r w:rsidRPr="0066103C">
        <w:t>]; 106:45; Neh 1:5; 9:32).</w:t>
      </w:r>
    </w:p>
    <w:p w:rsidR="003909F2" w:rsidRDefault="003909F2" w:rsidP="003909F2">
      <w:r w:rsidRPr="0066103C">
        <w:t>The prayer’s opening allusion to God’s keeping his covenant commitment is not an implicit appeal for mercy, but an acknowledgment that Yahweh has kept his side of the covenant and bears no responsibility for its collapse. It offers no direct basis for Daniel’s prayer; the latter will have to acknowledge that Israel has not kept its covenantal commitment, and thus has no claim on him. Yet it is necessary that the prayer begins from an acknowledgment of these facts as they are. Further, if Israel’s relationship with God began from an unearned commitment on God’s part, perhaps it could be reestablished on the same basis? There is a close connection between commitment (</w:t>
      </w:r>
      <w:r w:rsidRPr="0066103C">
        <w:rPr>
          <w:rFonts w:ascii="Arial" w:hAnsi="Arial" w:cs="Arial"/>
        </w:rPr>
        <w:t>חסד</w:t>
      </w:r>
      <w:r w:rsidRPr="0066103C">
        <w:t>) and grace (</w:t>
      </w:r>
      <w:r w:rsidRPr="0066103C">
        <w:rPr>
          <w:rFonts w:ascii="Arial" w:hAnsi="Arial" w:cs="Arial"/>
        </w:rPr>
        <w:t>חן</w:t>
      </w:r>
      <w:r w:rsidRPr="0066103C">
        <w:t>), in human relationships (Gen 19:19; 47:29; Ps 109:12; Esth 2:17), and in God</w:t>
      </w:r>
      <w:r w:rsidR="00095517" w:rsidRPr="0066103C">
        <w:t xml:space="preserve"> (Exod 34:6 and related texts)</w:t>
      </w:r>
      <w:r w:rsidRPr="0066103C">
        <w:t>.</w:t>
      </w:r>
      <w:r w:rsidR="00095517" w:rsidRPr="0066103C">
        <w:rPr>
          <w:rStyle w:val="FootnoteReference"/>
        </w:rPr>
        <w:footnoteReference w:id="466"/>
      </w:r>
    </w:p>
    <w:p w:rsidR="00C071B1" w:rsidRDefault="00C071B1" w:rsidP="003909F2"/>
    <w:p w:rsidR="00C071B1" w:rsidRDefault="00C071B1" w:rsidP="00C071B1">
      <w:pPr>
        <w:pStyle w:val="Quote"/>
        <w:rPr>
          <w:rFonts w:eastAsia="Times New Roman"/>
        </w:rPr>
      </w:pPr>
      <w:r w:rsidRPr="00654A1C">
        <w:rPr>
          <w:rFonts w:eastAsia="Times New Roman"/>
        </w:rPr>
        <w:t xml:space="preserve">It is only as they invoke the grace of God which </w:t>
      </w:r>
      <w:r>
        <w:rPr>
          <w:rFonts w:eastAsia="Times New Roman"/>
        </w:rPr>
        <w:t>forgives sins that Moses (</w:t>
      </w:r>
      <w:r w:rsidRPr="00654A1C">
        <w:rPr>
          <w:rFonts w:eastAsia="Times New Roman"/>
        </w:rPr>
        <w:t>Ex. 32</w:t>
      </w:r>
      <w:r w:rsidRPr="00654A1C">
        <w:rPr>
          <w:rFonts w:eastAsia="Times New Roman"/>
          <w:vertAlign w:val="superscript"/>
        </w:rPr>
        <w:t>11f.</w:t>
      </w:r>
      <w:r w:rsidRPr="00654A1C">
        <w:rPr>
          <w:rFonts w:eastAsia="Times New Roman"/>
        </w:rPr>
        <w:t>, Deut. 9</w:t>
      </w:r>
      <w:r w:rsidRPr="00654A1C">
        <w:rPr>
          <w:rFonts w:eastAsia="Times New Roman"/>
          <w:vertAlign w:val="superscript"/>
        </w:rPr>
        <w:t>23</w:t>
      </w:r>
      <w:r w:rsidRPr="00654A1C">
        <w:rPr>
          <w:rFonts w:eastAsia="Times New Roman"/>
        </w:rPr>
        <w:t>), Solomon ( 1 Kg. 8) and Daniel (9</w:t>
      </w:r>
      <w:r w:rsidRPr="00654A1C">
        <w:rPr>
          <w:rFonts w:eastAsia="Times New Roman"/>
          <w:vertAlign w:val="superscript"/>
        </w:rPr>
        <w:t>4f.</w:t>
      </w:r>
      <w:r w:rsidRPr="00654A1C">
        <w:rPr>
          <w:rFonts w:eastAsia="Times New Roman"/>
        </w:rPr>
        <w:t>) can intercede with God that He will still graciously accept this people. It is never their own being and doing which constitutes the justice of their cause, and for the sake of which the divine advocacy and action takes place. It takes place only for the reason that Israel's infidelity cannot suspend God's fidelity ( Rom. 3</w:t>
      </w:r>
      <w:r w:rsidRPr="00654A1C">
        <w:rPr>
          <w:rFonts w:eastAsia="Times New Roman"/>
          <w:vertAlign w:val="superscript"/>
        </w:rPr>
        <w:t>3</w:t>
      </w:r>
      <w:r w:rsidRPr="00654A1C">
        <w:rPr>
          <w:rFonts w:eastAsia="Times New Roman"/>
        </w:rPr>
        <w:t>), that God cannot repent of His gracious promises and calling ( Rom. 11</w:t>
      </w:r>
      <w:r w:rsidRPr="00654A1C">
        <w:rPr>
          <w:rFonts w:eastAsia="Times New Roman"/>
          <w:vertAlign w:val="superscript"/>
        </w:rPr>
        <w:t>29</w:t>
      </w:r>
      <w:r w:rsidRPr="00654A1C">
        <w:rPr>
          <w:rFonts w:eastAsia="Times New Roman"/>
        </w:rPr>
        <w:t xml:space="preserve">), and therefore only for the sake of God's own righteousness. Looking upon Israel's own ways and conduct, God can only judge, reject and </w:t>
      </w:r>
      <w:r w:rsidRPr="00654A1C">
        <w:rPr>
          <w:rFonts w:eastAsia="Times New Roman"/>
        </w:rPr>
        <w:lastRenderedPageBreak/>
        <w:t>punish. In the process of judging, rejecting and punishing, God does not break but keeps His covenant, and therefore comforts, hel</w:t>
      </w:r>
      <w:r>
        <w:rPr>
          <w:rFonts w:eastAsia="Times New Roman"/>
        </w:rPr>
        <w:t xml:space="preserve">ps and saves…. </w:t>
      </w:r>
      <w:r w:rsidRPr="00654A1C">
        <w:rPr>
          <w:rFonts w:eastAsia="Times New Roman"/>
        </w:rPr>
        <w:t>Only in faith in Him, only in that intercession of Moses, Solomon and Daniel for the forgiveness of sins, can Israel be subjectively in the right. But in faith, in that prayer, it is in point of fact subjectively righteous. If it seizes this promise of the divine advocacy and action, in this apprehension it already lives in its fulfilment, and it can and may and will stand before its enemies and in every misfortune</w:t>
      </w:r>
      <w:r>
        <w:rPr>
          <w:rFonts w:eastAsia="Times New Roman"/>
        </w:rPr>
        <w:t>.</w:t>
      </w:r>
      <w:r>
        <w:rPr>
          <w:rStyle w:val="FootnoteReference"/>
          <w:rFonts w:ascii="Times New Roman" w:eastAsia="Times New Roman" w:hAnsi="Times New Roman" w:cs="Times New Roman"/>
          <w:sz w:val="24"/>
          <w:szCs w:val="24"/>
        </w:rPr>
        <w:footnoteReference w:id="467"/>
      </w:r>
    </w:p>
    <w:p w:rsidR="00C071B1" w:rsidRPr="00C071B1" w:rsidRDefault="00C071B1" w:rsidP="00C071B1">
      <w:pPr>
        <w:rPr>
          <w:lang w:bidi="he-IL"/>
        </w:rPr>
      </w:pPr>
    </w:p>
    <w:p w:rsidR="003909F2" w:rsidRPr="0066103C" w:rsidRDefault="00961A96" w:rsidP="003909F2">
      <w:r>
        <w:t>Reliability, truth</w:t>
      </w:r>
      <w:r w:rsidR="003909F2" w:rsidRPr="0066103C">
        <w:t>fulness, or constancy (</w:t>
      </w:r>
      <w:r w:rsidR="003909F2" w:rsidRPr="0066103C">
        <w:rPr>
          <w:rFonts w:ascii="Arial" w:hAnsi="Arial" w:cs="Arial"/>
        </w:rPr>
        <w:t>אמת</w:t>
      </w:r>
      <w:r w:rsidR="003909F2" w:rsidRPr="0066103C">
        <w:t>, v 13) c</w:t>
      </w:r>
      <w:r w:rsidR="00095517" w:rsidRPr="0066103C">
        <w:t>ommonly accompanies commitment</w:t>
      </w:r>
      <w:r w:rsidR="003909F2" w:rsidRPr="0066103C">
        <w:t xml:space="preserve"> both in references to God and in references to human conduct (Gen 47:29; Exod 34:6; Josh 2:14; Pss 25:10; 40:</w:t>
      </w:r>
      <w:r w:rsidR="00095517" w:rsidRPr="0066103C">
        <w:t>10-11 [11–12</w:t>
      </w:r>
      <w:r w:rsidR="003909F2" w:rsidRPr="0066103C">
        <w:t>]; 57:</w:t>
      </w:r>
      <w:r w:rsidR="00095517" w:rsidRPr="0066103C">
        <w:t>3, 10 [4, 1</w:t>
      </w:r>
      <w:r w:rsidR="001A7F7E" w:rsidRPr="0066103C">
        <w:t>1</w:t>
      </w:r>
      <w:r w:rsidR="003909F2" w:rsidRPr="0066103C">
        <w:t>]; 61:</w:t>
      </w:r>
      <w:r w:rsidR="001A7F7E" w:rsidRPr="0066103C">
        <w:t>7 [8]; 85:10 [11]; 89:14 [15]; 108:4 [5</w:t>
      </w:r>
      <w:r w:rsidR="003909F2" w:rsidRPr="0066103C">
        <w:t>]; Prov 3:3; 16:6; 20:28; Isa 16:5; Hos 4:1; Zech 7:9). Sometimes the two terms are a hendiadys suggesting a commitment that can be relied on; where they can be distinguished, the former may suggest protective faithfulne</w:t>
      </w:r>
      <w:r w:rsidR="001A7F7E" w:rsidRPr="0066103C">
        <w:t>ss, the latter active kindness</w:t>
      </w:r>
      <w:r w:rsidR="003909F2" w:rsidRPr="0066103C">
        <w:t>.</w:t>
      </w:r>
      <w:r w:rsidR="001A7F7E" w:rsidRPr="0066103C">
        <w:rPr>
          <w:rStyle w:val="FootnoteReference"/>
        </w:rPr>
        <w:footnoteReference w:id="468"/>
      </w:r>
      <w:r>
        <w:t xml:space="preserve"> For God’s truth</w:t>
      </w:r>
      <w:r w:rsidR="003909F2" w:rsidRPr="0066103C">
        <w:t>fulness as our protection, see Pss 25:5; 40:1</w:t>
      </w:r>
      <w:r w:rsidR="001A7F7E" w:rsidRPr="0066103C">
        <w:t>1 [12]; 43:3; 57:3 [4]; 61:7 [8]; 91:4; 96:13 [14</w:t>
      </w:r>
      <w:r w:rsidR="003909F2" w:rsidRPr="0066103C">
        <w:t xml:space="preserve">]. Yahweh is </w:t>
      </w:r>
      <w:r w:rsidR="003909F2" w:rsidRPr="0066103C">
        <w:rPr>
          <w:rFonts w:ascii="Arial" w:hAnsi="Arial" w:cs="Arial"/>
        </w:rPr>
        <w:t>אמת</w:t>
      </w:r>
      <w:r w:rsidR="001A7F7E" w:rsidRPr="0066103C">
        <w:rPr>
          <w:rFonts w:ascii="Arial" w:hAnsi="Arial" w:cs="Arial"/>
        </w:rPr>
        <w:t xml:space="preserve"> אל</w:t>
      </w:r>
      <w:r w:rsidR="003909F2" w:rsidRPr="0066103C">
        <w:t>, the God who is by natur</w:t>
      </w:r>
      <w:r w:rsidR="001A7F7E" w:rsidRPr="0066103C">
        <w:t>e reliable and constant (Ps 31:5 [6</w:t>
      </w:r>
      <w:r w:rsidR="003909F2" w:rsidRPr="0066103C">
        <w:t xml:space="preserve">]). That </w:t>
      </w:r>
      <w:r w:rsidR="001A7F7E" w:rsidRPr="0066103C">
        <w:t xml:space="preserve">aspect of his nature </w:t>
      </w:r>
      <w:r w:rsidR="003909F2" w:rsidRPr="0066103C">
        <w:t>is revealed in his deeds; they always correspond to his words (Ps 111:7). Thus another of the prose confessions declares tha</w:t>
      </w:r>
      <w:r>
        <w:t>t Yahweh has been entirely truth</w:t>
      </w:r>
      <w:r w:rsidR="003909F2" w:rsidRPr="0066103C">
        <w:t>ful in his relationship with Israel over the years (Neh 9:33). It is precisely this point that Dan 9:13 echoes: the history of Israel is the story of God</w:t>
      </w:r>
      <w:r>
        <w:t>’s truth</w:t>
      </w:r>
      <w:r w:rsidR="001A7F7E" w:rsidRPr="0066103C">
        <w:t>fulness</w:t>
      </w:r>
      <w:r w:rsidR="003909F2" w:rsidRPr="0066103C">
        <w:t>; his promises have been reliable, his protection has been constant.</w:t>
      </w:r>
    </w:p>
    <w:p w:rsidR="00925B00" w:rsidRPr="0066103C" w:rsidRDefault="001A7F7E" w:rsidP="003909F2">
      <w:r w:rsidRPr="0066103C">
        <w:t>Daniel makes a similar point when declaring</w:t>
      </w:r>
      <w:r w:rsidR="003909F2" w:rsidRPr="0066103C">
        <w:t xml:space="preserve"> that Yahweh is in the right over against </w:t>
      </w:r>
      <w:r w:rsidRPr="0066103C">
        <w:t>Israel. A prominent motif in his</w:t>
      </w:r>
      <w:r w:rsidR="003909F2" w:rsidRPr="0066103C">
        <w:t xml:space="preserve"> prayer is that any breakdown in relationship between Yahweh and Israel is the responsibility of the latter, not the former. Yahweh is in the right, Israel is in the wrong. Near the beginning and end of his confession Daniel declares that “right” belongs to God and that he is “in the right,” in his relationship with Israel (</w:t>
      </w:r>
      <w:r w:rsidR="003909F2" w:rsidRPr="0066103C">
        <w:rPr>
          <w:rFonts w:ascii="Arial" w:hAnsi="Arial" w:cs="Arial"/>
        </w:rPr>
        <w:t>הצדקה</w:t>
      </w:r>
      <w:r w:rsidR="003909F2" w:rsidRPr="0066103C">
        <w:t xml:space="preserve">, </w:t>
      </w:r>
      <w:r w:rsidR="003909F2" w:rsidRPr="0066103C">
        <w:rPr>
          <w:rFonts w:ascii="Arial" w:hAnsi="Arial" w:cs="Arial"/>
        </w:rPr>
        <w:t>צדיק</w:t>
      </w:r>
      <w:r w:rsidR="003909F2" w:rsidRPr="0066103C">
        <w:t xml:space="preserve">; vv 7, 14). The second </w:t>
      </w:r>
      <w:r w:rsidR="00A81A43">
        <w:t xml:space="preserve">of these two </w:t>
      </w:r>
      <w:r w:rsidR="003909F2" w:rsidRPr="0066103C">
        <w:t>affirmation</w:t>
      </w:r>
      <w:r w:rsidR="00A81A43">
        <w:t>s corresponds to ones that appear</w:t>
      </w:r>
      <w:r w:rsidR="003909F2" w:rsidRPr="0066103C">
        <w:t xml:space="preserve"> in prose confessions in Ezra 9:15; Neh 9:33 (cf. also Exod 9:27; 2 Kgs 10:9; Ezek 18:9; Lam 1:18; 2 Chr 12:6). The first corresponds to forms of expression in Gen 15:6; Deut 6:25; 24:13. “Right” is a</w:t>
      </w:r>
      <w:r w:rsidR="00961A96">
        <w:t>nother term from human relation</w:t>
      </w:r>
      <w:r w:rsidR="003909F2" w:rsidRPr="0066103C">
        <w:t>ships, but here relationships looked at within a framework of law. In a court contest between God and Israel, Daniel affirms, God would win the case. Right is on his side.</w:t>
      </w:r>
    </w:p>
    <w:p w:rsidR="003909F2" w:rsidRPr="0066103C" w:rsidRDefault="003909F2" w:rsidP="003909F2">
      <w:r w:rsidRPr="0066103C">
        <w:t xml:space="preserve">This narrow, forensic connotation of </w:t>
      </w:r>
      <w:r w:rsidRPr="0066103C">
        <w:rPr>
          <w:rFonts w:ascii="Arial" w:hAnsi="Arial" w:cs="Arial"/>
        </w:rPr>
        <w:t>צדיק</w:t>
      </w:r>
      <w:r w:rsidRPr="0066103C">
        <w:t>/</w:t>
      </w:r>
      <w:r w:rsidRPr="0066103C">
        <w:rPr>
          <w:rFonts w:ascii="Arial" w:hAnsi="Arial" w:cs="Arial"/>
        </w:rPr>
        <w:t>צדקה</w:t>
      </w:r>
      <w:r w:rsidR="00925B00" w:rsidRPr="0066103C">
        <w:t xml:space="preserve"> is </w:t>
      </w:r>
      <w:r w:rsidRPr="0066103C">
        <w:t>appropriate to vv 7 and 14. In other OT contexts [</w:t>
      </w:r>
      <w:r w:rsidRPr="0066103C">
        <w:rPr>
          <w:rFonts w:ascii="Arial" w:hAnsi="Arial" w:cs="Arial"/>
        </w:rPr>
        <w:t>ה</w:t>
      </w:r>
      <w:r w:rsidRPr="0066103C">
        <w:t>]</w:t>
      </w:r>
      <w:r w:rsidRPr="0066103C">
        <w:rPr>
          <w:rFonts w:ascii="Arial" w:hAnsi="Arial" w:cs="Arial"/>
        </w:rPr>
        <w:t>צדק</w:t>
      </w:r>
      <w:r w:rsidRPr="0066103C">
        <w:t xml:space="preserve"> has a wide range of sign</w:t>
      </w:r>
      <w:r w:rsidR="00925B00" w:rsidRPr="0066103C">
        <w:t>ificance, suggesting God’s doing the right thing in his relationship with his people by acting faithfully. In v 16, this broader meaning is</w:t>
      </w:r>
      <w:r w:rsidRPr="0066103C">
        <w:t xml:space="preserve"> closer to hand: part of the evidence of God’s being in the right is the concern for what is right that has characterized his b</w:t>
      </w:r>
      <w:r w:rsidR="00925B00" w:rsidRPr="0066103C">
        <w:t>ehavior in relation to Israel. While t</w:t>
      </w:r>
      <w:r w:rsidRPr="0066103C">
        <w:t>he declaration</w:t>
      </w:r>
      <w:r w:rsidR="00925B00" w:rsidRPr="0066103C">
        <w:t>s</w:t>
      </w:r>
      <w:r w:rsidRPr="0066103C">
        <w:t xml:space="preserve"> at the opening of the confession that </w:t>
      </w:r>
      <w:r w:rsidRPr="0066103C">
        <w:rPr>
          <w:rFonts w:ascii="Arial" w:hAnsi="Arial" w:cs="Arial"/>
        </w:rPr>
        <w:t>צדקה</w:t>
      </w:r>
      <w:r w:rsidRPr="0066103C">
        <w:t xml:space="preserve"> attaches to Yahweh, and at the end that he is </w:t>
      </w:r>
      <w:r w:rsidRPr="0066103C">
        <w:rPr>
          <w:rFonts w:ascii="Arial" w:hAnsi="Arial" w:cs="Arial"/>
        </w:rPr>
        <w:t>צדיק</w:t>
      </w:r>
      <w:r w:rsidRPr="0066103C">
        <w:t>, could signify</w:t>
      </w:r>
      <w:r w:rsidR="00925B00" w:rsidRPr="0066103C">
        <w:t xml:space="preserve"> that Yahweh is justified in his punitive action</w:t>
      </w:r>
      <w:r w:rsidRPr="0066103C">
        <w:t xml:space="preserve"> (compar</w:t>
      </w:r>
      <w:r w:rsidR="00925B00" w:rsidRPr="0066103C">
        <w:t xml:space="preserve">e </w:t>
      </w:r>
      <w:r w:rsidRPr="0066103C">
        <w:rPr>
          <w:rFonts w:ascii="Arial" w:hAnsi="Arial" w:cs="Arial"/>
        </w:rPr>
        <w:t>צדק</w:t>
      </w:r>
      <w:r w:rsidR="00925B00" w:rsidRPr="0066103C">
        <w:t xml:space="preserve"> in Isa 5:16; 10:22),</w:t>
      </w:r>
      <w:r w:rsidRPr="0066103C">
        <w:t xml:space="preserve"> the prayer goes on to refer to his </w:t>
      </w:r>
      <w:r w:rsidRPr="0066103C">
        <w:rPr>
          <w:rFonts w:ascii="Arial" w:hAnsi="Arial" w:cs="Arial"/>
        </w:rPr>
        <w:t>צדקת</w:t>
      </w:r>
      <w:r w:rsidRPr="0066103C">
        <w:t xml:space="preserve"> (“right deeds,” v 16), </w:t>
      </w:r>
      <w:r w:rsidR="00925B00" w:rsidRPr="0066103C">
        <w:t xml:space="preserve">which are </w:t>
      </w:r>
      <w:r w:rsidRPr="0066103C">
        <w:t xml:space="preserve">concrete expressions of </w:t>
      </w:r>
      <w:r w:rsidRPr="0066103C">
        <w:rPr>
          <w:rFonts w:ascii="Arial" w:hAnsi="Arial" w:cs="Arial"/>
        </w:rPr>
        <w:t>צדקה</w:t>
      </w:r>
      <w:r w:rsidR="00925B00" w:rsidRPr="0066103C">
        <w:t xml:space="preserve"> in </w:t>
      </w:r>
      <w:r w:rsidRPr="0066103C">
        <w:t>ac</w:t>
      </w:r>
      <w:r w:rsidR="00DB7EA3">
        <w:t xml:space="preserve">ts of faithfulness, </w:t>
      </w:r>
      <w:r w:rsidRPr="0066103C">
        <w:t xml:space="preserve">mercy, and deliverance: see the context in which </w:t>
      </w:r>
      <w:r w:rsidRPr="0066103C">
        <w:rPr>
          <w:rFonts w:ascii="Arial" w:hAnsi="Arial" w:cs="Arial"/>
        </w:rPr>
        <w:t>צדקה</w:t>
      </w:r>
      <w:r w:rsidRPr="0066103C">
        <w:t xml:space="preserve"> comes in Isa 51:6, 8; 59:16–17; 6</w:t>
      </w:r>
      <w:r w:rsidR="00925B00" w:rsidRPr="0066103C">
        <w:t>0:17; Hos 2:19 [21</w:t>
      </w:r>
      <w:r w:rsidRPr="0066103C">
        <w:t>]; Pss 33:5; 36:</w:t>
      </w:r>
      <w:r w:rsidR="00925B00" w:rsidRPr="0066103C">
        <w:t>5-10 [6–11]; 40:10 [11</w:t>
      </w:r>
      <w:r w:rsidRPr="0066103C">
        <w:t>]; 71:2, 15–16, 19, 24; 98:1–13; Prov 21:21. We should hardly confine the reference in vv 7, 14, then, to God’s being justified in his punishment of Israel: it denotes more broadly his being in the right in the way he has dealt with Israel. He has been a faithful rock and deliverer in accordance with his word.</w:t>
      </w:r>
    </w:p>
    <w:p w:rsidR="003909F2" w:rsidRPr="0066103C" w:rsidRDefault="003909F2" w:rsidP="003909F2">
      <w:r w:rsidRPr="0066103C">
        <w:t xml:space="preserve">The allusion to his right acts recalls Judg 5:11b; 1 Sam 12:7; Isa 45:24; Mic 6:5; Ps 103:6. These right acts are his acts on behalf of Israel </w:t>
      </w:r>
      <w:r w:rsidR="00925B00" w:rsidRPr="0066103C">
        <w:t xml:space="preserve">when it is </w:t>
      </w:r>
      <w:r w:rsidRPr="0066103C">
        <w:t xml:space="preserve">attacked or afflicted by oppressors in Egypt, in the wilderness, in the “judges” period, and in the exile. The dynamic aspect to </w:t>
      </w:r>
      <w:r w:rsidRPr="0066103C">
        <w:rPr>
          <w:rFonts w:ascii="Arial" w:hAnsi="Arial" w:cs="Arial"/>
        </w:rPr>
        <w:t>צדקה</w:t>
      </w:r>
      <w:r w:rsidRPr="0066103C">
        <w:t xml:space="preserve"> is brought out by its common association with </w:t>
      </w:r>
      <w:r w:rsidRPr="0066103C">
        <w:rPr>
          <w:rFonts w:ascii="Arial" w:hAnsi="Arial" w:cs="Arial"/>
        </w:rPr>
        <w:t>משפט</w:t>
      </w:r>
      <w:r w:rsidRPr="0066103C">
        <w:t>, which denote</w:t>
      </w:r>
      <w:r w:rsidR="00925B00" w:rsidRPr="0066103C">
        <w:t>s authority and decisiveness (RV</w:t>
      </w:r>
      <w:r w:rsidRPr="0066103C">
        <w:t xml:space="preserve"> “judgements”: cf. </w:t>
      </w:r>
      <w:r w:rsidRPr="0066103C">
        <w:rPr>
          <w:rFonts w:ascii="Arial" w:hAnsi="Arial" w:cs="Arial"/>
        </w:rPr>
        <w:t>שפט</w:t>
      </w:r>
      <w:r w:rsidRPr="0066103C">
        <w:t xml:space="preserve"> “judge”). A king’s calling is to exercise </w:t>
      </w:r>
      <w:r w:rsidRPr="0066103C">
        <w:rPr>
          <w:rFonts w:ascii="Arial" w:hAnsi="Arial" w:cs="Arial"/>
        </w:rPr>
        <w:t>וצדקה</w:t>
      </w:r>
      <w:r w:rsidRPr="0066103C">
        <w:t xml:space="preserve"> </w:t>
      </w:r>
      <w:r w:rsidR="00925B00" w:rsidRPr="0066103C">
        <w:rPr>
          <w:rFonts w:ascii="Arial" w:hAnsi="Arial" w:cs="Arial"/>
        </w:rPr>
        <w:t>משפט</w:t>
      </w:r>
      <w:r w:rsidR="00925B00" w:rsidRPr="0066103C">
        <w:t xml:space="preserve"> </w:t>
      </w:r>
      <w:r w:rsidRPr="0066103C">
        <w:t xml:space="preserve">(2 Sam 8:15; 1 Kgs 10:9): to act with authority on </w:t>
      </w:r>
      <w:r w:rsidRPr="0066103C">
        <w:lastRenderedPageBreak/>
        <w:t>behalf of wh</w:t>
      </w:r>
      <w:r w:rsidR="00925B00" w:rsidRPr="0066103C">
        <w:t xml:space="preserve">at is right. Such action </w:t>
      </w:r>
      <w:r w:rsidRPr="0066103C">
        <w:t xml:space="preserve">is also characteristic </w:t>
      </w:r>
      <w:r w:rsidR="00925B00" w:rsidRPr="0066103C">
        <w:t>of God (Isa 5:16; Pss 33:5; 36:6 [7</w:t>
      </w:r>
      <w:r w:rsidRPr="0066103C">
        <w:t xml:space="preserve">]). At the beginning of the plea (v 15), Daniel specifically refers to the exodus, Yahweh’s paradigm </w:t>
      </w:r>
      <w:r w:rsidR="00925B00" w:rsidRPr="0066103C">
        <w:t xml:space="preserve">act of </w:t>
      </w:r>
      <w:r w:rsidRPr="0066103C">
        <w:rPr>
          <w:rFonts w:ascii="Arial" w:hAnsi="Arial" w:cs="Arial"/>
        </w:rPr>
        <w:t>צדקה</w:t>
      </w:r>
      <w:r w:rsidRPr="0066103C">
        <w:t>. God brought Israel out of Egypt by strength of hand and thus established his reputation for</w:t>
      </w:r>
      <w:r w:rsidR="00925B00" w:rsidRPr="0066103C">
        <w:t xml:space="preserve"> doing what is right. It is the</w:t>
      </w:r>
      <w:r w:rsidRPr="0066103C">
        <w:t xml:space="preserve"> reference to the exodus which leads into the generalization about Yahweh’s </w:t>
      </w:r>
      <w:r w:rsidR="00DB7EA3" w:rsidRPr="00DB7EA3">
        <w:rPr>
          <w:rFonts w:ascii="Arial" w:hAnsi="Arial" w:cs="Arial"/>
        </w:rPr>
        <w:t>צדקת</w:t>
      </w:r>
      <w:r w:rsidR="00DB7EA3">
        <w:t xml:space="preserve"> </w:t>
      </w:r>
      <w:r w:rsidRPr="0066103C">
        <w:t>in the next verse.</w:t>
      </w:r>
    </w:p>
    <w:p w:rsidR="003909F2" w:rsidRDefault="003909F2" w:rsidP="003909F2">
      <w:r w:rsidRPr="0066103C">
        <w:t>The opening allusion to Yahweh’s being in the right begins a chiasm</w:t>
      </w:r>
      <w:r w:rsidR="00A81A43">
        <w:t xml:space="preserve"> in vv 7–9a (see Structure) which</w:t>
      </w:r>
      <w:r w:rsidRPr="0066103C">
        <w:t xml:space="preserve"> closes with a balancing allusion to Yahweh’s being compassionate and pardoning. There is no tension between these two. In the same way, Yahweh’s abandoning anger </w:t>
      </w:r>
      <w:r w:rsidR="00A81A43">
        <w:t>at Israel’s wrongdoing is assum</w:t>
      </w:r>
      <w:r w:rsidRPr="0066103C">
        <w:t>ed to be in keeping with his right de</w:t>
      </w:r>
      <w:r w:rsidR="00DB7EA3">
        <w:t xml:space="preserve">eds, not in conflict with them. </w:t>
      </w:r>
      <w:r w:rsidR="00DB7EA3" w:rsidRPr="00DB7EA3">
        <w:rPr>
          <w:rFonts w:ascii="Arial" w:hAnsi="Arial" w:cs="Arial"/>
        </w:rPr>
        <w:t>צדקה</w:t>
      </w:r>
      <w:r w:rsidRPr="0066103C">
        <w:t xml:space="preserve"> (</w:t>
      </w:r>
      <w:r w:rsidR="005535FE" w:rsidRPr="0066103C">
        <w:t>EVV</w:t>
      </w:r>
      <w:r w:rsidR="00A81A43">
        <w:t xml:space="preserve"> justice/righteousness</w:t>
      </w:r>
      <w:r w:rsidRPr="0066103C">
        <w:t xml:space="preserve">) is not a justice </w:t>
      </w:r>
      <w:r w:rsidR="00DB7EA3">
        <w:t xml:space="preserve">that is </w:t>
      </w:r>
      <w:r w:rsidR="00A81A43">
        <w:t xml:space="preserve">centrally concerned </w:t>
      </w:r>
      <w:r w:rsidR="00DB7EA3">
        <w:t>to s</w:t>
      </w:r>
      <w:r w:rsidRPr="0066103C">
        <w:t>ee wrongdoing punished</w:t>
      </w:r>
      <w:r w:rsidR="00A81A43">
        <w:t>,</w:t>
      </w:r>
      <w:r w:rsidR="00925B00" w:rsidRPr="0066103C">
        <w:t xml:space="preserve"> or a personal quality </w:t>
      </w:r>
      <w:r w:rsidR="00A81A43">
        <w:t>of</w:t>
      </w:r>
      <w:r w:rsidR="00DB7EA3">
        <w:t xml:space="preserve"> </w:t>
      </w:r>
      <w:r w:rsidR="00925B00" w:rsidRPr="0066103C">
        <w:t>moral righteousness</w:t>
      </w:r>
      <w:r w:rsidRPr="0066103C">
        <w:t xml:space="preserve">. It is a concern for what is right that rejoices in being merciful to the weak; and </w:t>
      </w:r>
      <w:r w:rsidR="00382700" w:rsidRPr="0066103C">
        <w:t xml:space="preserve">it </w:t>
      </w:r>
      <w:r w:rsidR="00925B00" w:rsidRPr="0066103C">
        <w:t xml:space="preserve">still </w:t>
      </w:r>
      <w:r w:rsidR="00382700" w:rsidRPr="0066103C">
        <w:t xml:space="preserve">sees his people </w:t>
      </w:r>
      <w:r w:rsidR="00A81A43">
        <w:t>who suffer because</w:t>
      </w:r>
      <w:r w:rsidRPr="0066103C">
        <w:t xml:space="preserve"> of </w:t>
      </w:r>
      <w:r w:rsidR="00382700" w:rsidRPr="0066103C">
        <w:t>their sin as people who</w:t>
      </w:r>
      <w:r w:rsidRPr="0066103C">
        <w:t xml:space="preserve"> need to be restored.</w:t>
      </w:r>
    </w:p>
    <w:p w:rsidR="007A50F5" w:rsidRDefault="007A50F5" w:rsidP="003909F2"/>
    <w:p w:rsidR="007A50F5" w:rsidRDefault="007A50F5" w:rsidP="00DD5E95">
      <w:pPr>
        <w:pStyle w:val="Quote"/>
      </w:pPr>
      <w:r>
        <w:t xml:space="preserve">Those who take this word “righteousness” to mean “judgment,” are in error and inexperienced in interpreting the Scriptures; for they suppose God’s justice to be opposed to his pity. But we are familiar with God’s righteousness as made manifest, especially in the benefits he confers on us. It is just as if Daniel had said, that the single hope of the people consisted in God’s having regard to himself alone, and by no means to their conduct. Hence he takes the righteousness of God for his liberality, gratuitous favor, consistent fidelity, and protection, which he promised his servants: </w:t>
      </w:r>
      <w:r>
        <w:rPr>
          <w:i/>
        </w:rPr>
        <w:t xml:space="preserve">O God, </w:t>
      </w:r>
      <w:r>
        <w:t xml:space="preserve">therefore, he says, </w:t>
      </w:r>
      <w:r w:rsidR="00DB7EA3">
        <w:rPr>
          <w:i/>
        </w:rPr>
        <w:t>according to all thy pro</w:t>
      </w:r>
      <w:r>
        <w:rPr>
          <w:i/>
        </w:rPr>
        <w:t>m</w:t>
      </w:r>
      <w:r w:rsidR="00DB7EA3">
        <w:rPr>
          <w:i/>
        </w:rPr>
        <w:t>i</w:t>
      </w:r>
      <w:r>
        <w:rPr>
          <w:i/>
        </w:rPr>
        <w:t xml:space="preserve">sed mercies; </w:t>
      </w:r>
      <w:r>
        <w:t xml:space="preserve">that is, thou dost not fail those who trust in thee, thou dost promise nothing rashly, and thou art not accustomed to desert those who flee to thee; oh! by thy very justice, succor us in our distress. We must also notice the universal particle “all,” because when Daniel unites so many sins which might drown the people in an abyss a thousand times over, he opposes to this </w:t>
      </w:r>
      <w:r>
        <w:rPr>
          <w:i/>
        </w:rPr>
        <w:t xml:space="preserve">all </w:t>
      </w:r>
      <w:r>
        <w:t>God’s promised mercies. As if he had said, although the number of our iniquities is so great that we must perish a hundred times over, yet thy promised mercies are far more numerous, meaning, thy justice surpasses whatever thou mayest find in us of the deepest dye of guilt.</w:t>
      </w:r>
      <w:r>
        <w:rPr>
          <w:rStyle w:val="FootnoteReference"/>
        </w:rPr>
        <w:footnoteReference w:id="469"/>
      </w:r>
    </w:p>
    <w:p w:rsidR="007A50F5" w:rsidRPr="0066103C" w:rsidRDefault="007A50F5" w:rsidP="003909F2"/>
    <w:p w:rsidR="003909F2" w:rsidRPr="0066103C" w:rsidRDefault="003909F2" w:rsidP="003909F2">
      <w:r w:rsidRPr="0066103C">
        <w:t xml:space="preserve">Like </w:t>
      </w:r>
      <w:r w:rsidRPr="0066103C">
        <w:rPr>
          <w:rFonts w:ascii="Arial" w:hAnsi="Arial" w:cs="Arial"/>
        </w:rPr>
        <w:t>צדקת</w:t>
      </w:r>
      <w:r w:rsidR="00DB7EA3">
        <w:t xml:space="preserve"> (“right deeds”</w:t>
      </w:r>
      <w:r w:rsidRPr="0066103C">
        <w:t xml:space="preserve">), “compassion” and “pardon” (v 9) are both plural, suggesting deep or repeated compassion and pardon—though </w:t>
      </w:r>
      <w:r w:rsidRPr="0066103C">
        <w:rPr>
          <w:rFonts w:ascii="Arial" w:hAnsi="Arial" w:cs="Arial"/>
        </w:rPr>
        <w:t>רחמים</w:t>
      </w:r>
      <w:r w:rsidRPr="0066103C">
        <w:t xml:space="preserve"> is always plural and </w:t>
      </w:r>
      <w:r w:rsidRPr="0066103C">
        <w:rPr>
          <w:rFonts w:ascii="Arial" w:hAnsi="Arial" w:cs="Arial"/>
        </w:rPr>
        <w:t>חות</w:t>
      </w:r>
      <w:r w:rsidRPr="0066103C">
        <w:t>[</w:t>
      </w:r>
      <w:r w:rsidRPr="0066103C">
        <w:rPr>
          <w:rFonts w:ascii="Arial" w:hAnsi="Arial" w:cs="Arial"/>
        </w:rPr>
        <w:t>י</w:t>
      </w:r>
      <w:r w:rsidRPr="0066103C">
        <w:t>]</w:t>
      </w:r>
      <w:r w:rsidRPr="0066103C">
        <w:rPr>
          <w:rFonts w:ascii="Arial" w:hAnsi="Arial" w:cs="Arial"/>
        </w:rPr>
        <w:t>סל</w:t>
      </w:r>
      <w:r w:rsidRPr="0066103C">
        <w:t xml:space="preserve"> is </w:t>
      </w:r>
      <w:r w:rsidR="00182F04">
        <w:t xml:space="preserve">plural </w:t>
      </w:r>
      <w:r w:rsidRPr="0066103C">
        <w:t>in two of its three occurrences (here and Neh 9:17; the third is Ps 130:4). Compassion and pardon are two outworkings of commitment (</w:t>
      </w:r>
      <w:r w:rsidRPr="0066103C">
        <w:rPr>
          <w:rFonts w:ascii="Arial" w:hAnsi="Arial" w:cs="Arial"/>
        </w:rPr>
        <w:t>חסד</w:t>
      </w:r>
      <w:r w:rsidRPr="0066103C">
        <w:t>, v 4): see Exod 34:6–7; Num 14:18–19; Isa 54:7–10; Hos 2:</w:t>
      </w:r>
      <w:r w:rsidR="00382700" w:rsidRPr="0066103C">
        <w:t>18-23 [20–25</w:t>
      </w:r>
      <w:r w:rsidRPr="0066103C">
        <w:t>]; Pss 25:6–7; 51:</w:t>
      </w:r>
      <w:r w:rsidR="00382700" w:rsidRPr="0066103C">
        <w:t>1 [3]; 69:16 [17</w:t>
      </w:r>
      <w:r w:rsidRPr="0066103C">
        <w:t>]; 86:5, 15; Neh 9:17.</w:t>
      </w:r>
    </w:p>
    <w:p w:rsidR="003909F2" w:rsidRPr="0066103C" w:rsidRDefault="003909F2" w:rsidP="003909F2">
      <w:r w:rsidRPr="0066103C">
        <w:rPr>
          <w:rFonts w:ascii="Arial" w:hAnsi="Arial" w:cs="Arial"/>
        </w:rPr>
        <w:t>רחמים</w:t>
      </w:r>
      <w:r w:rsidRPr="0066103C">
        <w:t xml:space="preserve"> (also v 18) is a feelings word: it denotes a strong emotion. </w:t>
      </w:r>
      <w:r w:rsidRPr="0066103C">
        <w:rPr>
          <w:rFonts w:ascii="Arial" w:hAnsi="Arial" w:cs="Arial"/>
        </w:rPr>
        <w:t>רחם</w:t>
      </w:r>
      <w:r w:rsidR="00182F04">
        <w:t xml:space="preserve"> denotes</w:t>
      </w:r>
      <w:r w:rsidR="00DB7EA3">
        <w:t xml:space="preserve"> the womb, so</w:t>
      </w:r>
      <w:r w:rsidRPr="0066103C">
        <w:t xml:space="preserve"> that </w:t>
      </w:r>
      <w:r w:rsidRPr="0066103C">
        <w:rPr>
          <w:rFonts w:ascii="Arial" w:hAnsi="Arial" w:cs="Arial"/>
        </w:rPr>
        <w:t>רחמים</w:t>
      </w:r>
      <w:r w:rsidRPr="0066103C">
        <w:t xml:space="preserve"> </w:t>
      </w:r>
      <w:r w:rsidR="00DB7EA3">
        <w:t xml:space="preserve">could point to </w:t>
      </w:r>
      <w:r w:rsidRPr="0066103C">
        <w:t>the strong feelings of love and concern that might be expected within the family</w:t>
      </w:r>
      <w:r w:rsidR="00DB7EA3">
        <w:t>,</w:t>
      </w:r>
      <w:r w:rsidRPr="0066103C">
        <w:t xml:space="preserve"> on the part of a mother, a father, a husband, or a brother</w:t>
      </w:r>
      <w:r w:rsidR="00DB7EA3">
        <w:t>. This implication</w:t>
      </w:r>
      <w:r w:rsidRPr="0066103C">
        <w:t xml:space="preserve"> underlies</w:t>
      </w:r>
      <w:r w:rsidR="00DB7EA3">
        <w:t xml:space="preserve"> a number of occurrences of the noun </w:t>
      </w:r>
      <w:r w:rsidRPr="0066103C">
        <w:t>and the related verb (see Gen 43:30; 1 Kgs 3:26; Isa 13:18; 49:13–15; 54:6–8; 63:15–16; Jer 31:20; Hos 1–2; 14:3;</w:t>
      </w:r>
      <w:r w:rsidR="00382700" w:rsidRPr="0066103C">
        <w:t xml:space="preserve"> Amos 1:11; Ps 103:13; Lam 4:10</w:t>
      </w:r>
      <w:r w:rsidRPr="0066103C">
        <w:t>).</w:t>
      </w:r>
      <w:r w:rsidR="00382700" w:rsidRPr="0066103C">
        <w:rPr>
          <w:rStyle w:val="FootnoteReference"/>
        </w:rPr>
        <w:footnoteReference w:id="470"/>
      </w:r>
      <w:r w:rsidRPr="0066103C">
        <w:t xml:space="preserve"> </w:t>
      </w:r>
      <w:r w:rsidRPr="0066103C">
        <w:rPr>
          <w:rFonts w:ascii="Arial" w:hAnsi="Arial" w:cs="Arial"/>
        </w:rPr>
        <w:t>רחמים</w:t>
      </w:r>
      <w:r w:rsidRPr="0066103C">
        <w:t xml:space="preserve"> also features in </w:t>
      </w:r>
      <w:r w:rsidR="00382700" w:rsidRPr="0066103C">
        <w:t>combination with terms such as commitment, faithfulness, and grace</w:t>
      </w:r>
      <w:r w:rsidRPr="0066103C">
        <w:t xml:space="preserve"> (see Exod 34:6 and related </w:t>
      </w:r>
      <w:r w:rsidR="00382700" w:rsidRPr="0066103C">
        <w:t>texts; Isa 63:7; Pss 25:6; 40:11 [12</w:t>
      </w:r>
      <w:r w:rsidRPr="0066103C">
        <w:t xml:space="preserve">]; </w:t>
      </w:r>
      <w:r w:rsidR="00382700" w:rsidRPr="0066103C">
        <w:t>51:1 [3]; 77:9 [10</w:t>
      </w:r>
      <w:r w:rsidR="00D30879" w:rsidRPr="0066103C">
        <w:t>]; 145:9; Lam 3:22; and esp.</w:t>
      </w:r>
      <w:r w:rsidRPr="0066103C">
        <w:t xml:space="preserve"> the prose confession Neh 9:16–33). In such contexts, with which Dan 9 may be compared, the significance of </w:t>
      </w:r>
      <w:r w:rsidRPr="0066103C">
        <w:rPr>
          <w:rFonts w:ascii="Arial" w:hAnsi="Arial" w:cs="Arial"/>
        </w:rPr>
        <w:t>רחמים</w:t>
      </w:r>
      <w:r w:rsidR="00382700" w:rsidRPr="0066103C">
        <w:t xml:space="preserve"> as a word </w:t>
      </w:r>
      <w:r w:rsidR="0098508A">
        <w:t>that points</w:t>
      </w:r>
      <w:r w:rsidR="00382700" w:rsidRPr="0066103C">
        <w:t xml:space="preserve"> to the feelings</w:t>
      </w:r>
      <w:r w:rsidRPr="0066103C">
        <w:t xml:space="preserve"> of a mother or a father is not in the foreground; but the frequency of that usage elsewhere in the OT suggests it would be present in the background.</w:t>
      </w:r>
    </w:p>
    <w:p w:rsidR="003909F2" w:rsidRPr="0066103C" w:rsidRDefault="003909F2" w:rsidP="003909F2">
      <w:r w:rsidRPr="0066103C">
        <w:lastRenderedPageBreak/>
        <w:t xml:space="preserve">Although </w:t>
      </w:r>
      <w:r w:rsidRPr="0066103C">
        <w:rPr>
          <w:rFonts w:ascii="Arial" w:hAnsi="Arial" w:cs="Arial"/>
        </w:rPr>
        <w:t>רחמים</w:t>
      </w:r>
      <w:r w:rsidRPr="0066103C">
        <w:t xml:space="preserve"> is thus a feelings word, it does not denote mere feelings. It suggests a compassion that instinctively issues in action.</w:t>
      </w:r>
      <w:r w:rsidR="00945C8C">
        <w:t xml:space="preserve"> </w:t>
      </w:r>
      <w:r w:rsidR="0098508A" w:rsidRPr="0098508A">
        <w:rPr>
          <w:rFonts w:ascii="Arial" w:hAnsi="Arial" w:cs="Arial"/>
        </w:rPr>
        <w:t>רחמים</w:t>
      </w:r>
      <w:r w:rsidR="0098508A">
        <w:t xml:space="preserve"> </w:t>
      </w:r>
      <w:r w:rsidR="00382700" w:rsidRPr="0066103C">
        <w:t>is lifegiving.</w:t>
      </w:r>
      <w:r w:rsidR="00382700" w:rsidRPr="0066103C">
        <w:rPr>
          <w:rStyle w:val="FootnoteReference"/>
        </w:rPr>
        <w:footnoteReference w:id="471"/>
      </w:r>
      <w:r w:rsidR="00382700" w:rsidRPr="0066103C">
        <w:t xml:space="preserve"> Here, t</w:t>
      </w:r>
      <w:r w:rsidRPr="0066103C">
        <w:t>he particula</w:t>
      </w:r>
      <w:r w:rsidR="00382700" w:rsidRPr="0066103C">
        <w:t xml:space="preserve">r outworking of compassion </w:t>
      </w:r>
      <w:r w:rsidRPr="0066103C">
        <w:t>is pardon</w:t>
      </w:r>
      <w:r w:rsidR="0098508A">
        <w:t xml:space="preserve"> (</w:t>
      </w:r>
      <w:r w:rsidR="0098508A" w:rsidRPr="0098508A">
        <w:rPr>
          <w:rFonts w:ascii="Arial" w:hAnsi="Arial" w:cs="Arial"/>
        </w:rPr>
        <w:t>סלחות</w:t>
      </w:r>
      <w:r w:rsidR="0098508A">
        <w:t xml:space="preserve">; </w:t>
      </w:r>
      <w:r w:rsidR="0098508A" w:rsidRPr="0098508A">
        <w:t>vv 18–19</w:t>
      </w:r>
      <w:r w:rsidR="0098508A">
        <w:t>)</w:t>
      </w:r>
      <w:r w:rsidRPr="0066103C">
        <w:t xml:space="preserve">, as </w:t>
      </w:r>
      <w:r w:rsidR="00382700" w:rsidRPr="0066103C">
        <w:t xml:space="preserve">is the case in some </w:t>
      </w:r>
      <w:r w:rsidRPr="0066103C">
        <w:t>passages where the reference to family feelings is overt (Jer 31:</w:t>
      </w:r>
      <w:r w:rsidR="00382700" w:rsidRPr="0066103C">
        <w:t>20; Hos 1–2; Ps 103:12–13); it</w:t>
      </w:r>
      <w:r w:rsidRPr="0066103C">
        <w:t xml:space="preserve"> is also so in Exod 34:6 and related passages, and </w:t>
      </w:r>
      <w:r w:rsidR="00382700" w:rsidRPr="0066103C">
        <w:t xml:space="preserve">in </w:t>
      </w:r>
      <w:r w:rsidRPr="0066103C">
        <w:t xml:space="preserve">others where </w:t>
      </w:r>
      <w:r w:rsidRPr="0066103C">
        <w:rPr>
          <w:rFonts w:ascii="Arial" w:hAnsi="Arial" w:cs="Arial"/>
        </w:rPr>
        <w:t>רחמים</w:t>
      </w:r>
      <w:r w:rsidRPr="0066103C">
        <w:t xml:space="preserve"> appears in </w:t>
      </w:r>
      <w:r w:rsidR="00382700" w:rsidRPr="0066103C">
        <w:t>combination with terms such as grace and faithfulness (Pss 25:6; 51:1 [3</w:t>
      </w:r>
      <w:r w:rsidRPr="0066103C">
        <w:t xml:space="preserve">]), including a number which speak in </w:t>
      </w:r>
      <w:r w:rsidR="00382700" w:rsidRPr="0066103C">
        <w:t>covenant terms (Deut 4:31; 13:17 [18</w:t>
      </w:r>
      <w:r w:rsidR="0098508A">
        <w:t>]; 1 Kgs 8:50; Neh 9)</w:t>
      </w:r>
      <w:r w:rsidRPr="0066103C">
        <w:t>. We have noted that</w:t>
      </w:r>
      <w:r w:rsidR="0098508A">
        <w:t xml:space="preserve"> the</w:t>
      </w:r>
      <w:r w:rsidRPr="0066103C">
        <w:t xml:space="preserve"> term for pardon reappears only in the prose confession in Neh 9:17 and in Ps 130:4. The </w:t>
      </w:r>
      <w:r w:rsidR="0098508A">
        <w:t xml:space="preserve">related </w:t>
      </w:r>
      <w:r w:rsidRPr="0066103C">
        <w:t xml:space="preserve">verb </w:t>
      </w:r>
      <w:r w:rsidRPr="0066103C">
        <w:rPr>
          <w:rFonts w:ascii="Arial" w:hAnsi="Arial" w:cs="Arial"/>
        </w:rPr>
        <w:t>סלח</w:t>
      </w:r>
      <w:r w:rsidRPr="0066103C">
        <w:t xml:space="preserve"> (v 19) comes in passages we have had cause to </w:t>
      </w:r>
      <w:r w:rsidR="0098508A">
        <w:t xml:space="preserve">note already as containing </w:t>
      </w:r>
      <w:r w:rsidRPr="0066103C">
        <w:t>motifs common to Dan 9 (Exod 34:9; 1 Kgs 8:30–50; Pss 25:11; 103:3). The verb and noun are used only of God. They thus contrast with the use of the verb</w:t>
      </w:r>
      <w:r w:rsidR="00EE02FA" w:rsidRPr="0066103C">
        <w:t xml:space="preserve"> most commonly translated “forgive,”</w:t>
      </w:r>
      <w:r w:rsidRPr="0066103C">
        <w:t xml:space="preserve"> </w:t>
      </w:r>
      <w:r w:rsidRPr="0066103C">
        <w:rPr>
          <w:rFonts w:ascii="Arial" w:hAnsi="Arial" w:cs="Arial"/>
        </w:rPr>
        <w:t>נשא</w:t>
      </w:r>
      <w:r w:rsidRPr="0066103C">
        <w:t xml:space="preserve"> (e.g., Exod 10:17)</w:t>
      </w:r>
      <w:r w:rsidR="00EE02FA" w:rsidRPr="0066103C">
        <w:t>, which more generally denotes “carry.”</w:t>
      </w:r>
      <w:r w:rsidRPr="0066103C">
        <w:t xml:space="preserve"> While </w:t>
      </w:r>
      <w:r w:rsidRPr="0066103C">
        <w:rPr>
          <w:rFonts w:ascii="Arial" w:hAnsi="Arial" w:cs="Arial"/>
        </w:rPr>
        <w:t>סלח</w:t>
      </w:r>
      <w:r w:rsidRPr="0066103C">
        <w:t xml:space="preserve"> may have been used of huma</w:t>
      </w:r>
      <w:r w:rsidR="00182F04">
        <w:t xml:space="preserve">n beings (e.g., a king), </w:t>
      </w:r>
      <w:r w:rsidRPr="0066103C">
        <w:t xml:space="preserve">it suggests “pardon” (by a superior), whereas </w:t>
      </w:r>
      <w:r w:rsidRPr="0066103C">
        <w:rPr>
          <w:rFonts w:ascii="Arial" w:hAnsi="Arial" w:cs="Arial"/>
        </w:rPr>
        <w:t>נשא</w:t>
      </w:r>
      <w:r w:rsidRPr="0066103C">
        <w:t xml:space="preserve"> suggests “forgiveness” (which may be by an equal).</w:t>
      </w:r>
    </w:p>
    <w:p w:rsidR="003909F2" w:rsidRDefault="00EE02FA" w:rsidP="003909F2">
      <w:r w:rsidRPr="0066103C">
        <w:t>It</w:t>
      </w:r>
      <w:r w:rsidR="008230BB">
        <w:t xml:space="preserve"> </w:t>
      </w:r>
      <w:r w:rsidR="003909F2" w:rsidRPr="0066103C">
        <w:t xml:space="preserve">has </w:t>
      </w:r>
      <w:r w:rsidRPr="0066103C">
        <w:t xml:space="preserve">been </w:t>
      </w:r>
      <w:r w:rsidR="003909F2" w:rsidRPr="0066103C">
        <w:t>suggested that in th</w:t>
      </w:r>
      <w:r w:rsidRPr="0066103C">
        <w:t>e Second Temple</w:t>
      </w:r>
      <w:r w:rsidR="003909F2" w:rsidRPr="0066103C">
        <w:t xml:space="preserve"> period law gained a significance of its own independent of covenant—necessarily, because the covenant had been broken.</w:t>
      </w:r>
      <w:r w:rsidRPr="0066103C">
        <w:rPr>
          <w:rStyle w:val="FootnoteReference"/>
        </w:rPr>
        <w:footnoteReference w:id="472"/>
      </w:r>
      <w:r w:rsidR="00052219" w:rsidRPr="0066103C">
        <w:t xml:space="preserve"> If so, this framework of thinking</w:t>
      </w:r>
      <w:r w:rsidR="003909F2" w:rsidRPr="0066103C">
        <w:t xml:space="preserve"> </w:t>
      </w:r>
      <w:r w:rsidR="00052219" w:rsidRPr="0066103C">
        <w:t xml:space="preserve">is not </w:t>
      </w:r>
      <w:r w:rsidR="0098508A">
        <w:t>reflected in Dan 9</w:t>
      </w:r>
      <w:r w:rsidR="003909F2" w:rsidRPr="0066103C">
        <w:t>; covenant provides the context for all that follows by way of an understanding of the relationship between God an</w:t>
      </w:r>
      <w:r w:rsidR="00052219" w:rsidRPr="0066103C">
        <w:t xml:space="preserve">d Israel. There is no hint </w:t>
      </w:r>
      <w:r w:rsidR="003909F2" w:rsidRPr="0066103C">
        <w:t xml:space="preserve">that the Judaism represented by Daniel has a legalistic understanding of </w:t>
      </w:r>
      <w:r w:rsidR="0098508A">
        <w:t>that relationship. The</w:t>
      </w:r>
      <w:r w:rsidR="00052219" w:rsidRPr="0066103C">
        <w:t xml:space="preserve"> bond</w:t>
      </w:r>
      <w:r w:rsidR="003909F2" w:rsidRPr="0066103C">
        <w:t xml:space="preserve"> is </w:t>
      </w:r>
      <w:r w:rsidR="00052219" w:rsidRPr="0066103C">
        <w:t xml:space="preserve">more what has been called </w:t>
      </w:r>
      <w:r w:rsidR="003909F2" w:rsidRPr="0066103C">
        <w:t>“covenantal nomism”</w:t>
      </w:r>
      <w:r w:rsidR="00052219" w:rsidRPr="0066103C">
        <w:t>:</w:t>
      </w:r>
      <w:r w:rsidR="00052219" w:rsidRPr="0066103C">
        <w:rPr>
          <w:rStyle w:val="FootnoteReference"/>
        </w:rPr>
        <w:footnoteReference w:id="473"/>
      </w:r>
      <w:r w:rsidR="003909F2" w:rsidRPr="0066103C">
        <w:t xml:space="preserve"> </w:t>
      </w:r>
      <w:r w:rsidR="0098508A">
        <w:t>the relationship</w:t>
      </w:r>
      <w:r w:rsidR="003909F2" w:rsidRPr="0066103C">
        <w:t xml:space="preserve"> stems from th</w:t>
      </w:r>
      <w:r w:rsidR="00052219" w:rsidRPr="0066103C">
        <w:t>e gracious initiative of God but</w:t>
      </w:r>
      <w:r w:rsidR="0098508A">
        <w:t xml:space="preserve"> </w:t>
      </w:r>
      <w:r w:rsidR="003909F2" w:rsidRPr="0066103C">
        <w:t>then requires the responsive o</w:t>
      </w:r>
      <w:r w:rsidR="00182F04">
        <w:t>bedience of Israel. Israel’s wrongdoing</w:t>
      </w:r>
      <w:r w:rsidR="003909F2" w:rsidRPr="0066103C">
        <w:t xml:space="preserve"> breaks the covenant, but not in such a way as inevitably to terminate</w:t>
      </w:r>
      <w:r w:rsidR="00182F04">
        <w:t xml:space="preserve"> the relationship. One’s wrongdoing</w:t>
      </w:r>
      <w:r w:rsidR="00052219" w:rsidRPr="0066103C">
        <w:t xml:space="preserve"> </w:t>
      </w:r>
      <w:r w:rsidR="003909F2" w:rsidRPr="0066103C">
        <w:t>leads to a casting of oneself on mercy.</w:t>
      </w:r>
      <w:r w:rsidR="000C6CB7">
        <w:t xml:space="preserve"> </w:t>
      </w:r>
    </w:p>
    <w:p w:rsidR="000C6CB7" w:rsidRPr="000C6CB7" w:rsidRDefault="000C6CB7" w:rsidP="000C6CB7">
      <w:r w:rsidRPr="000C6CB7">
        <w:t>Proper prayer has two aspects. It requires an abject acknowledgment that we are in the wrong and have no deserve. And it requires a confidence in God’s mercy that makes it possible to emerge from “the abyss of despair.”</w:t>
      </w:r>
      <w:r w:rsidRPr="000C6CB7">
        <w:rPr>
          <w:vertAlign w:val="superscript"/>
        </w:rPr>
        <w:footnoteReference w:id="474"/>
      </w:r>
    </w:p>
    <w:p w:rsidR="003909F2" w:rsidRPr="0066103C" w:rsidRDefault="00FB7C60" w:rsidP="003909F2">
      <w:r w:rsidRPr="002C2955">
        <w:rPr>
          <w:b/>
        </w:rPr>
        <w:t xml:space="preserve">3–23 </w:t>
      </w:r>
      <w:r w:rsidR="003909F2" w:rsidRPr="002C2955">
        <w:rPr>
          <w:b/>
        </w:rPr>
        <w:t>(c)</w:t>
      </w:r>
      <w:r w:rsidR="003909F2" w:rsidRPr="0066103C">
        <w:t xml:space="preserve"> Yahweh’s relationship with Israel involves words as well as deeds. These </w:t>
      </w:r>
      <w:r w:rsidR="00052219" w:rsidRPr="0066103C">
        <w:t xml:space="preserve">words </w:t>
      </w:r>
      <w:r w:rsidR="0098508A">
        <w:t>are first termed</w:t>
      </w:r>
      <w:r w:rsidR="003909F2" w:rsidRPr="0066103C">
        <w:t xml:space="preserve"> </w:t>
      </w:r>
      <w:r w:rsidR="003909F2" w:rsidRPr="0066103C">
        <w:rPr>
          <w:rFonts w:ascii="Arial" w:hAnsi="Arial" w:cs="Arial"/>
        </w:rPr>
        <w:t>מצות</w:t>
      </w:r>
      <w:r w:rsidR="003909F2" w:rsidRPr="0066103C">
        <w:t xml:space="preserve"> (“commands,” vv 4, 5). They declare the will he expects to be obeyed. They embody his authority—they are </w:t>
      </w:r>
      <w:r w:rsidR="003909F2" w:rsidRPr="0066103C">
        <w:rPr>
          <w:rFonts w:ascii="Arial" w:hAnsi="Arial" w:cs="Arial"/>
        </w:rPr>
        <w:t>משפטים</w:t>
      </w:r>
      <w:r w:rsidR="00052219" w:rsidRPr="0066103C">
        <w:t xml:space="preserve"> (v 5). This</w:t>
      </w:r>
      <w:r w:rsidR="0054043B">
        <w:t xml:space="preserve"> expression is another term</w:t>
      </w:r>
      <w:r w:rsidR="003909F2" w:rsidRPr="0066103C">
        <w:t xml:space="preserve"> for commands, but we have noted in (b) that the underlying idea of </w:t>
      </w:r>
      <w:r w:rsidR="003909F2" w:rsidRPr="0066103C">
        <w:rPr>
          <w:rFonts w:ascii="Arial" w:hAnsi="Arial" w:cs="Arial"/>
        </w:rPr>
        <w:t>משפט</w:t>
      </w:r>
      <w:r w:rsidR="003909F2" w:rsidRPr="0066103C">
        <w:t xml:space="preserve"> is the exe</w:t>
      </w:r>
      <w:r w:rsidR="00052219" w:rsidRPr="0066103C">
        <w:t>rcise of authority</w:t>
      </w:r>
      <w:r w:rsidR="003909F2" w:rsidRPr="0066103C">
        <w:t xml:space="preserve"> on behalf of what is right and against what is wrong. </w:t>
      </w:r>
      <w:r w:rsidR="003909F2" w:rsidRPr="0066103C">
        <w:rPr>
          <w:rFonts w:ascii="Arial" w:hAnsi="Arial" w:cs="Arial"/>
        </w:rPr>
        <w:t>משפטים</w:t>
      </w:r>
      <w:r w:rsidR="0054043B">
        <w:t xml:space="preserve"> are </w:t>
      </w:r>
      <w:r w:rsidR="003909F2" w:rsidRPr="0066103C">
        <w:t>authoritative decl</w:t>
      </w:r>
      <w:r w:rsidR="0054043B">
        <w:t xml:space="preserve">arations concerning </w:t>
      </w:r>
      <w:r w:rsidR="003909F2" w:rsidRPr="0066103C">
        <w:t>beh</w:t>
      </w:r>
      <w:r w:rsidR="0054043B">
        <w:t xml:space="preserve">avior that is acceptable and behavior </w:t>
      </w:r>
      <w:r w:rsidR="0098508A">
        <w:t>that is not. In the Torah</w:t>
      </w:r>
      <w:r w:rsidR="003909F2" w:rsidRPr="0066103C">
        <w:t xml:space="preserve"> t</w:t>
      </w:r>
      <w:r w:rsidR="00052219" w:rsidRPr="0066103C">
        <w:t>he term refers</w:t>
      </w:r>
      <w:r w:rsidR="003909F2" w:rsidRPr="0066103C">
        <w:t xml:space="preserve"> to particular enactments, but it also has a more general reference to the authoritative commands that belong to the covenant (Lev 26:15, 43, 46; Deut 26:16–17; 30:16; Ps 147:19–20; 2 Chr 33:8; and, in prose confessions like this one, Neh 1:7; 9:13, 27).</w:t>
      </w:r>
    </w:p>
    <w:p w:rsidR="003909F2" w:rsidRPr="0066103C" w:rsidRDefault="003909F2" w:rsidP="003909F2">
      <w:r w:rsidRPr="0066103C">
        <w:t>Daniel’s favorite general term for God’s words is instruction(s) (</w:t>
      </w:r>
      <w:r w:rsidRPr="0066103C">
        <w:rPr>
          <w:rFonts w:ascii="Arial" w:hAnsi="Arial" w:cs="Arial"/>
        </w:rPr>
        <w:t>ת</w:t>
      </w:r>
      <w:r w:rsidR="00052219" w:rsidRPr="0066103C">
        <w:rPr>
          <w:rFonts w:ascii="Arial" w:hAnsi="Arial" w:cs="Arial"/>
        </w:rPr>
        <w:t>/תורה</w:t>
      </w:r>
      <w:r w:rsidRPr="0066103C">
        <w:t>, vv 10, 11, 11, 13). “Law(s)” (</w:t>
      </w:r>
      <w:r w:rsidR="005535FE" w:rsidRPr="0066103C">
        <w:t>EVV</w:t>
      </w:r>
      <w:r w:rsidR="0098508A">
        <w:t xml:space="preserve">) </w:t>
      </w:r>
      <w:r w:rsidRPr="0066103C">
        <w:t>give</w:t>
      </w:r>
      <w:r w:rsidR="0098508A">
        <w:t>s</w:t>
      </w:r>
      <w:r w:rsidRPr="0066103C">
        <w:t xml:space="preserve"> a misleading impression, since </w:t>
      </w:r>
      <w:r w:rsidRPr="0066103C">
        <w:rPr>
          <w:rFonts w:ascii="Arial" w:hAnsi="Arial" w:cs="Arial"/>
        </w:rPr>
        <w:t>תורה</w:t>
      </w:r>
      <w:r w:rsidRPr="0066103C">
        <w:t xml:space="preserve"> ca</w:t>
      </w:r>
      <w:r w:rsidR="00052219" w:rsidRPr="0066103C">
        <w:t>n refer to the teaching of</w:t>
      </w:r>
      <w:r w:rsidRPr="0066103C">
        <w:t xml:space="preserve"> a prophet or a parent. Alongside </w:t>
      </w:r>
      <w:r w:rsidRPr="0066103C">
        <w:rPr>
          <w:rFonts w:ascii="Arial" w:hAnsi="Arial" w:cs="Arial"/>
        </w:rPr>
        <w:t>מצוה</w:t>
      </w:r>
      <w:r w:rsidRPr="0066103C">
        <w:t xml:space="preserve"> and </w:t>
      </w:r>
      <w:r w:rsidRPr="0066103C">
        <w:rPr>
          <w:rFonts w:ascii="Arial" w:hAnsi="Arial" w:cs="Arial"/>
        </w:rPr>
        <w:t>משפט</w:t>
      </w:r>
      <w:r w:rsidRPr="0066103C">
        <w:t xml:space="preserve">, </w:t>
      </w:r>
      <w:r w:rsidRPr="0066103C">
        <w:rPr>
          <w:rFonts w:ascii="Arial" w:hAnsi="Arial" w:cs="Arial"/>
        </w:rPr>
        <w:t>תורה</w:t>
      </w:r>
      <w:r w:rsidRPr="0066103C">
        <w:t xml:space="preserve"> does denote a set of directives regarding how Israel is to live its life, along with associated warnings regarding the consequence of disobedience. The repository of Go</w:t>
      </w:r>
      <w:r w:rsidR="00052219" w:rsidRPr="0066103C">
        <w:t>d’s instructions is the teaching</w:t>
      </w:r>
      <w:r w:rsidRPr="0066103C">
        <w:t xml:space="preserve"> </w:t>
      </w:r>
      <w:r w:rsidR="0098508A">
        <w:t>of Moses, the pentateuchal “law,</w:t>
      </w:r>
      <w:r w:rsidRPr="0066103C">
        <w:t>”</w:t>
      </w:r>
      <w:r w:rsidR="0098508A">
        <w:t xml:space="preserve"> </w:t>
      </w:r>
      <w:r w:rsidR="0098508A">
        <w:rPr>
          <w:i/>
        </w:rPr>
        <w:t xml:space="preserve">the </w:t>
      </w:r>
      <w:r w:rsidR="0098508A">
        <w:t>Torah.</w:t>
      </w:r>
      <w:r w:rsidRPr="0066103C">
        <w:t xml:space="preserve"> When “word(s)” </w:t>
      </w:r>
      <w:r w:rsidR="0098508A" w:rsidRPr="0098508A">
        <w:t>(</w:t>
      </w:r>
      <w:r w:rsidR="0098508A" w:rsidRPr="0098508A">
        <w:rPr>
          <w:rFonts w:ascii="Arial" w:hAnsi="Arial" w:cs="Arial"/>
        </w:rPr>
        <w:t>ו</w:t>
      </w:r>
      <w:r w:rsidR="0098508A" w:rsidRPr="0098508A">
        <w:t>[</w:t>
      </w:r>
      <w:r w:rsidR="0098508A" w:rsidRPr="0098508A">
        <w:rPr>
          <w:rFonts w:ascii="Arial" w:hAnsi="Arial" w:cs="Arial"/>
        </w:rPr>
        <w:t>י</w:t>
      </w:r>
      <w:r w:rsidR="0098508A" w:rsidRPr="0098508A">
        <w:t>]</w:t>
      </w:r>
      <w:r w:rsidR="0098508A" w:rsidRPr="0098508A">
        <w:rPr>
          <w:rFonts w:ascii="Arial" w:hAnsi="Arial" w:cs="Arial"/>
        </w:rPr>
        <w:t>דבר</w:t>
      </w:r>
      <w:r w:rsidR="0098508A">
        <w:t xml:space="preserve">) </w:t>
      </w:r>
      <w:r w:rsidRPr="0066103C">
        <w:t xml:space="preserve">are specifically mentioned </w:t>
      </w:r>
      <w:r w:rsidR="0098508A">
        <w:t>here (</w:t>
      </w:r>
      <w:r w:rsidRPr="0066103C">
        <w:t>v 12), they are not words of instruction nor words of information, but words of warning.</w:t>
      </w:r>
    </w:p>
    <w:p w:rsidR="003909F2" w:rsidRPr="0066103C" w:rsidRDefault="003909F2" w:rsidP="003909F2">
      <w:r w:rsidRPr="0066103C">
        <w:t>Yahweh’s words have two ways of reachi</w:t>
      </w:r>
      <w:r w:rsidR="0054043B">
        <w:t>ng people. His instructions</w:t>
      </w:r>
      <w:r w:rsidR="00052219" w:rsidRPr="0066103C">
        <w:t xml:space="preserve"> come </w:t>
      </w:r>
      <w:r w:rsidRPr="0066103C">
        <w:t>orally through his servants the prophets (vv 6, 10). They speak in his name, as his representatives (v 6); they make his voice audible (v 11). As in Neh 9, prophets appear only in a good light in Dan 9. Heeding their wor</w:t>
      </w:r>
      <w:r w:rsidR="00403126">
        <w:t xml:space="preserve">d could </w:t>
      </w:r>
      <w:r w:rsidR="00403126">
        <w:lastRenderedPageBreak/>
        <w:t>have prevented the fall of Jerusalem</w:t>
      </w:r>
      <w:r w:rsidR="0054043B">
        <w:t>. Their oral teaching is</w:t>
      </w:r>
      <w:r w:rsidRPr="0066103C">
        <w:t xml:space="preserve"> backed up by the word “written in the instruction of Moses” (vv 11, 13), who is also “the servant of G</w:t>
      </w:r>
      <w:r w:rsidR="0054043B">
        <w:t>od” (v 11). T</w:t>
      </w:r>
      <w:r w:rsidRPr="0066103C">
        <w:t>he prophets teach orally what</w:t>
      </w:r>
      <w:r w:rsidR="0054043B">
        <w:t xml:space="preserve"> Moses teaches in writing. T</w:t>
      </w:r>
      <w:r w:rsidRPr="0066103C">
        <w:t>he specific reference to Moses’ teaching</w:t>
      </w:r>
      <w:r w:rsidR="00501F2D">
        <w:t xml:space="preserve">, too, is </w:t>
      </w:r>
      <w:r w:rsidRPr="0066103C">
        <w:t>not to informati</w:t>
      </w:r>
      <w:r w:rsidR="00CF7528">
        <w:t xml:space="preserve">on or instruction, but to </w:t>
      </w:r>
      <w:r w:rsidRPr="0066103C">
        <w:t>words of warning. The word</w:t>
      </w:r>
      <w:r w:rsidR="00CF7528">
        <w:t xml:space="preserve">s that back up the </w:t>
      </w:r>
      <w:r w:rsidRPr="0066103C">
        <w:t>teaching emanating from the prophets constitute the solemn oath that Yahweh has now kept (see Deut 29:</w:t>
      </w:r>
      <w:r w:rsidR="00961ACC" w:rsidRPr="0066103C">
        <w:t>20-27 [19–26</w:t>
      </w:r>
      <w:r w:rsidRPr="0066103C">
        <w:t>]).</w:t>
      </w:r>
    </w:p>
    <w:p w:rsidR="003909F2" w:rsidRPr="0066103C" w:rsidRDefault="00FB7C60" w:rsidP="003909F2">
      <w:r w:rsidRPr="002C2955">
        <w:rPr>
          <w:b/>
        </w:rPr>
        <w:t xml:space="preserve">3–23 </w:t>
      </w:r>
      <w:r w:rsidR="003909F2" w:rsidRPr="002C2955">
        <w:rPr>
          <w:b/>
        </w:rPr>
        <w:t>(d)</w:t>
      </w:r>
      <w:r w:rsidR="003909F2" w:rsidRPr="0066103C">
        <w:t xml:space="preserve"> The people to whom prophets spoke were in particular “our kings, our leaders, and our fathers” (vv 6, 8). Whereas in 1 Kgs 8 “the king himself serves the people by interceding for them and teaching them how to do penance,” here the kings appear only in </w:t>
      </w:r>
      <w:r w:rsidR="00961ACC" w:rsidRPr="0066103C">
        <w:t>a bad light (so also Neh 9:34).</w:t>
      </w:r>
      <w:r w:rsidR="00961ACC" w:rsidRPr="0066103C">
        <w:rPr>
          <w:rStyle w:val="FootnoteReference"/>
        </w:rPr>
        <w:footnoteReference w:id="475"/>
      </w:r>
    </w:p>
    <w:p w:rsidR="003909F2" w:rsidRPr="0066103C" w:rsidRDefault="003909F2" w:rsidP="003909F2">
      <w:r w:rsidRPr="0066103C">
        <w:t>“Leader” (</w:t>
      </w:r>
      <w:r w:rsidRPr="0066103C">
        <w:rPr>
          <w:rFonts w:ascii="Arial" w:hAnsi="Arial" w:cs="Arial"/>
        </w:rPr>
        <w:t>שר</w:t>
      </w:r>
      <w:r w:rsidRPr="0066103C">
        <w:t xml:space="preserve">) is a broad term that gains its specific connotation from its context. It often denotes people in authority under the king (2 Kgs 24:12, 14; Jer 34:21; 1 Chr 22:17; Neh 9:32, 34): they may be ministers of state, royal advisers, army commanders, magistrates, or the king’s representatives in a particular city or area. Such a meaning fits the word’s appearance </w:t>
      </w:r>
      <w:r w:rsidR="00961ACC" w:rsidRPr="0066103C">
        <w:t xml:space="preserve">here </w:t>
      </w:r>
      <w:r w:rsidRPr="0066103C">
        <w:t xml:space="preserve">after the reference to kings. On the other hand, it precedes the term “fathers,” and </w:t>
      </w:r>
      <w:r w:rsidR="006234C4" w:rsidRPr="0066103C">
        <w:t>in light</w:t>
      </w:r>
      <w:r w:rsidR="00B414EF">
        <w:t xml:space="preserve"> of that collocation</w:t>
      </w:r>
      <w:r w:rsidRPr="0066103C">
        <w:t xml:space="preserve"> might denote the leaders of </w:t>
      </w:r>
      <w:r w:rsidR="00961ACC" w:rsidRPr="0066103C">
        <w:t xml:space="preserve">the </w:t>
      </w:r>
      <w:r w:rsidRPr="0066103C">
        <w:t>clans that were composed of the fathers’ houses.</w:t>
      </w:r>
      <w:r w:rsidR="00961ACC" w:rsidRPr="0066103C">
        <w:rPr>
          <w:rStyle w:val="FootnoteReference"/>
        </w:rPr>
        <w:footnoteReference w:id="476"/>
      </w:r>
      <w:r w:rsidRPr="0066103C">
        <w:t xml:space="preserve"> </w:t>
      </w:r>
    </w:p>
    <w:p w:rsidR="003909F2" w:rsidRPr="0066103C" w:rsidRDefault="003909F2" w:rsidP="00967385">
      <w:r w:rsidRPr="0066103C">
        <w:t>“Our fathers</w:t>
      </w:r>
      <w:r w:rsidR="00967385" w:rsidRPr="0066103C">
        <w:t>,</w:t>
      </w:r>
      <w:r w:rsidRPr="0066103C">
        <w:t xml:space="preserve">” </w:t>
      </w:r>
      <w:r w:rsidR="00967385" w:rsidRPr="0066103C">
        <w:t>then, are th</w:t>
      </w:r>
      <w:r w:rsidRPr="0066103C">
        <w:t xml:space="preserve">e </w:t>
      </w:r>
      <w:r w:rsidR="00967385" w:rsidRPr="0066103C">
        <w:t xml:space="preserve">men </w:t>
      </w:r>
      <w:r w:rsidRPr="0066103C">
        <w:t>who rule in the local community by virtue of an authority asso</w:t>
      </w:r>
      <w:r w:rsidR="00967385" w:rsidRPr="0066103C">
        <w:t xml:space="preserve">ciated with their seniority, </w:t>
      </w:r>
      <w:r w:rsidRPr="0066103C">
        <w:t>age</w:t>
      </w:r>
      <w:r w:rsidR="00967385" w:rsidRPr="0066103C">
        <w:t>, and sex. Their</w:t>
      </w:r>
      <w:r w:rsidRPr="0066103C">
        <w:t xml:space="preserve"> authority is reinforced by describing the</w:t>
      </w:r>
      <w:r w:rsidR="00875649" w:rsidRPr="0066103C">
        <w:t>ir position</w:t>
      </w:r>
      <w:r w:rsidRPr="0066103C">
        <w:t xml:space="preserve"> in kinship terms: they have the kind of authority in the community that a father has in the family. Strictly, then, </w:t>
      </w:r>
      <w:r w:rsidR="00967385" w:rsidRPr="0066103C">
        <w:t>the fathers are th</w:t>
      </w:r>
      <w:r w:rsidRPr="0066103C">
        <w:t xml:space="preserve">e </w:t>
      </w:r>
      <w:r w:rsidR="00967385" w:rsidRPr="0066103C">
        <w:t xml:space="preserve">people </w:t>
      </w:r>
      <w:r w:rsidRPr="0066103C">
        <w:t>who stand at the head of a</w:t>
      </w:r>
      <w:r w:rsidR="00967385" w:rsidRPr="0066103C">
        <w:t xml:space="preserve"> household or an </w:t>
      </w:r>
      <w:r w:rsidR="00875649" w:rsidRPr="0066103C">
        <w:t>extended</w:t>
      </w:r>
      <w:r w:rsidRPr="0066103C">
        <w:t xml:space="preserve"> family, a </w:t>
      </w:r>
      <w:r w:rsidRPr="0066103C">
        <w:rPr>
          <w:rFonts w:ascii="Arial" w:hAnsi="Arial" w:cs="Arial"/>
        </w:rPr>
        <w:t>אב</w:t>
      </w:r>
      <w:r w:rsidRPr="0066103C">
        <w:t xml:space="preserve"> </w:t>
      </w:r>
      <w:r w:rsidR="00967385" w:rsidRPr="0066103C">
        <w:rPr>
          <w:rFonts w:ascii="Arial" w:hAnsi="Arial" w:cs="Arial"/>
        </w:rPr>
        <w:t>בית</w:t>
      </w:r>
      <w:r w:rsidR="00875649" w:rsidRPr="0066103C">
        <w:rPr>
          <w:rFonts w:ascii="Arial" w:hAnsi="Arial" w:cs="Arial"/>
        </w:rPr>
        <w:t xml:space="preserve"> </w:t>
      </w:r>
      <w:r w:rsidR="00875649" w:rsidRPr="0066103C">
        <w:t>or “father’s house</w:t>
      </w:r>
      <w:r w:rsidR="00152217">
        <w:t>,</w:t>
      </w:r>
      <w:r w:rsidR="00875649" w:rsidRPr="0066103C">
        <w:t>”</w:t>
      </w:r>
      <w:r w:rsidRPr="0066103C">
        <w:t xml:space="preserve"> </w:t>
      </w:r>
      <w:r w:rsidR="00152217">
        <w:t>though</w:t>
      </w:r>
      <w:r w:rsidR="00875649" w:rsidRPr="0066103C">
        <w:t xml:space="preserve"> “h</w:t>
      </w:r>
      <w:r w:rsidRPr="0066103C">
        <w:t>eads of f</w:t>
      </w:r>
      <w:r w:rsidR="00875649" w:rsidRPr="0066103C">
        <w:t>amilies” or “fathers” can suggests clan</w:t>
      </w:r>
      <w:r w:rsidRPr="0066103C">
        <w:t xml:space="preserve"> leaders in a broad sense</w:t>
      </w:r>
      <w:r w:rsidR="00875649" w:rsidRPr="0066103C">
        <w:t>.</w:t>
      </w:r>
      <w:r w:rsidR="00875649" w:rsidRPr="0066103C">
        <w:rPr>
          <w:rStyle w:val="FootnoteReference"/>
        </w:rPr>
        <w:footnoteReference w:id="477"/>
      </w:r>
    </w:p>
    <w:p w:rsidR="003909F2" w:rsidRPr="00B414EF" w:rsidRDefault="00875649" w:rsidP="003909F2">
      <w:pPr>
        <w:rPr>
          <w:rFonts w:ascii="Arial" w:hAnsi="Arial" w:cs="Arial"/>
        </w:rPr>
      </w:pPr>
      <w:r w:rsidRPr="0066103C">
        <w:t xml:space="preserve">In </w:t>
      </w:r>
      <w:r w:rsidR="000D1837">
        <w:t>v</w:t>
      </w:r>
      <w:r w:rsidRPr="0066103C">
        <w:t xml:space="preserve"> 16 the term for fathers, </w:t>
      </w:r>
      <w:r w:rsidRPr="0066103C">
        <w:rPr>
          <w:rFonts w:ascii="Arial" w:hAnsi="Arial" w:cs="Arial"/>
        </w:rPr>
        <w:t>ת</w:t>
      </w:r>
      <w:r w:rsidR="00B414EF">
        <w:rPr>
          <w:rFonts w:ascii="Arial" w:hAnsi="Arial" w:cs="Arial"/>
        </w:rPr>
        <w:t xml:space="preserve"> </w:t>
      </w:r>
      <w:r w:rsidRPr="0066103C">
        <w:rPr>
          <w:rFonts w:ascii="Arial" w:hAnsi="Arial" w:cs="Arial"/>
        </w:rPr>
        <w:t>ב</w:t>
      </w:r>
      <w:r w:rsidRPr="0066103C">
        <w:t xml:space="preserve"> </w:t>
      </w:r>
      <w:r w:rsidR="00B414EF" w:rsidRPr="00B414EF">
        <w:rPr>
          <w:rFonts w:ascii="Arial" w:hAnsi="Arial" w:cs="Arial"/>
        </w:rPr>
        <w:t>א</w:t>
      </w:r>
      <w:r w:rsidRPr="0066103C">
        <w:t>, appears in a different sense;</w:t>
      </w:r>
      <w:r w:rsidR="003909F2" w:rsidRPr="0066103C">
        <w:t xml:space="preserve"> “kings” and “leaders” ar</w:t>
      </w:r>
      <w:r w:rsidRPr="0066103C">
        <w:t>e not mentioned, and the word is apparently</w:t>
      </w:r>
      <w:r w:rsidR="003909F2" w:rsidRPr="0066103C">
        <w:t xml:space="preserve"> a more gene</w:t>
      </w:r>
      <w:r w:rsidR="00152217">
        <w:t>ral term, for ancestors. While t</w:t>
      </w:r>
      <w:r w:rsidR="003909F2" w:rsidRPr="0066103C">
        <w:t xml:space="preserve">he OT </w:t>
      </w:r>
      <w:r w:rsidRPr="0066103C">
        <w:t>does refer elsewhere</w:t>
      </w:r>
      <w:r w:rsidR="00B414EF">
        <w:t xml:space="preserve"> to the sin of Israel’s early</w:t>
      </w:r>
      <w:r w:rsidRPr="0066103C">
        <w:t xml:space="preserve"> ancestors</w:t>
      </w:r>
      <w:r w:rsidR="00152217">
        <w:t xml:space="preserve">, </w:t>
      </w:r>
      <w:r w:rsidR="003909F2" w:rsidRPr="0066103C">
        <w:t>in this context more</w:t>
      </w:r>
      <w:r w:rsidR="00EC09F4" w:rsidRPr="0066103C">
        <w:t xml:space="preserve"> likely the expression denotes the</w:t>
      </w:r>
      <w:r w:rsidR="00B414EF">
        <w:t xml:space="preserve"> generations previous to that of the speaker, </w:t>
      </w:r>
      <w:r w:rsidR="003909F2" w:rsidRPr="0066103C">
        <w:t xml:space="preserve">the </w:t>
      </w:r>
      <w:r w:rsidR="00403126">
        <w:t xml:space="preserve">preexilic </w:t>
      </w:r>
      <w:r w:rsidR="003909F2" w:rsidRPr="0066103C">
        <w:t>gene</w:t>
      </w:r>
      <w:r w:rsidR="00403126">
        <w:t>rations</w:t>
      </w:r>
      <w:r w:rsidR="00EC09F4" w:rsidRPr="0066103C">
        <w:t>. One generation commonly</w:t>
      </w:r>
      <w:r w:rsidR="003909F2" w:rsidRPr="0066103C">
        <w:t xml:space="preserve"> pay</w:t>
      </w:r>
      <w:r w:rsidR="00EC09F4" w:rsidRPr="0066103C">
        <w:t>s</w:t>
      </w:r>
      <w:r w:rsidR="003909F2" w:rsidRPr="0066103C">
        <w:t xml:space="preserve"> for the </w:t>
      </w:r>
      <w:r w:rsidR="00EC09F4" w:rsidRPr="0066103C">
        <w:t>previous genera</w:t>
      </w:r>
      <w:r w:rsidR="00403126">
        <w:t>tion’s wrongdoing, and the fall of Jerusalem</w:t>
      </w:r>
      <w:r w:rsidR="00B414EF">
        <w:t xml:space="preserve"> </w:t>
      </w:r>
      <w:r w:rsidR="00EC09F4" w:rsidRPr="0066103C">
        <w:t>result</w:t>
      </w:r>
      <w:r w:rsidR="00B414EF">
        <w:t>ed</w:t>
      </w:r>
      <w:r w:rsidR="00EC09F4" w:rsidRPr="0066103C">
        <w:t xml:space="preserve"> </w:t>
      </w:r>
      <w:r w:rsidR="003909F2" w:rsidRPr="0066103C">
        <w:t>from the</w:t>
      </w:r>
      <w:r w:rsidR="00EC09F4" w:rsidRPr="0066103C">
        <w:t xml:space="preserve"> actions of earlier generations</w:t>
      </w:r>
      <w:r w:rsidR="003909F2" w:rsidRPr="0066103C">
        <w:t xml:space="preserve"> as w</w:t>
      </w:r>
      <w:r w:rsidR="00EC09F4" w:rsidRPr="0066103C">
        <w:t>ell as those of p</w:t>
      </w:r>
      <w:r w:rsidR="00B414EF">
        <w:t>eople alive at the time</w:t>
      </w:r>
      <w:r w:rsidR="00152217">
        <w:t xml:space="preserve"> (Lev 26:39–40; Lam 5:7). The</w:t>
      </w:r>
      <w:r w:rsidR="003909F2" w:rsidRPr="0066103C">
        <w:t xml:space="preserve"> </w:t>
      </w:r>
      <w:r w:rsidR="00EC09F4" w:rsidRPr="0066103C">
        <w:t xml:space="preserve">implication is not </w:t>
      </w:r>
      <w:r w:rsidR="003909F2" w:rsidRPr="0066103C">
        <w:t>that a generation may be punished despite being relatively innocent itself: if a generation repents, it finds mercy (see the discussion in Ezek 18; also J</w:t>
      </w:r>
      <w:r w:rsidR="00EC09F4" w:rsidRPr="0066103C">
        <w:t xml:space="preserve">er 31:29–30). Rather the implication is that </w:t>
      </w:r>
      <w:r w:rsidR="003909F2" w:rsidRPr="0066103C">
        <w:t>the effects of wrongdoing</w:t>
      </w:r>
      <w:r w:rsidR="00EC09F4" w:rsidRPr="0066103C">
        <w:t xml:space="preserve"> accumulate over time, and </w:t>
      </w:r>
      <w:r w:rsidR="003909F2" w:rsidRPr="0066103C">
        <w:t>the next generation will likely walk the same way as the previous one. Thus OT confessions often acknowledge the wrongdoing of previous generations, as Lev 26:40 requires (2 Kgs 22:13; Jer 3:25; 14:20; also the prose confessions Ezra 9:7; Neh 1:6; 9:2, 16).</w:t>
      </w:r>
      <w:r w:rsidR="00EC09F4" w:rsidRPr="0066103C">
        <w:rPr>
          <w:rStyle w:val="FootnoteReference"/>
        </w:rPr>
        <w:footnoteReference w:id="478"/>
      </w:r>
      <w:r w:rsidR="003909F2" w:rsidRPr="0066103C">
        <w:t xml:space="preserve"> </w:t>
      </w:r>
    </w:p>
    <w:p w:rsidR="003909F2" w:rsidRPr="0066103C" w:rsidRDefault="008A3D85" w:rsidP="003909F2">
      <w:r w:rsidRPr="0066103C">
        <w:t xml:space="preserve">While </w:t>
      </w:r>
      <w:r w:rsidR="003909F2" w:rsidRPr="0066103C">
        <w:t>God’s</w:t>
      </w:r>
      <w:r w:rsidR="00EC09F4" w:rsidRPr="0066103C">
        <w:t xml:space="preserve"> message comes directly to the community’s </w:t>
      </w:r>
      <w:r w:rsidRPr="0066103C">
        <w:t xml:space="preserve">leaders, </w:t>
      </w:r>
      <w:r w:rsidR="003909F2" w:rsidRPr="0066103C">
        <w:t>it concerns the whole people, the “we/us” with whom Daniel often associates himself: “all the people of the country” (v 6), “all Israel” (v 11), Judah, Jerusalem, and the dispersed Israel far and near (v 7), “your people,” “your city,” “your sanctuary” (vv 15, 16, 17, 18, 19, 20). The first of these expressions (</w:t>
      </w:r>
      <w:r w:rsidR="003909F2" w:rsidRPr="0066103C">
        <w:rPr>
          <w:rFonts w:ascii="Arial" w:hAnsi="Arial" w:cs="Arial"/>
        </w:rPr>
        <w:t>הארץ</w:t>
      </w:r>
      <w:r w:rsidR="00EC09F4" w:rsidRPr="0066103C">
        <w:rPr>
          <w:rFonts w:ascii="Arial" w:hAnsi="Arial" w:cs="Arial"/>
        </w:rPr>
        <w:t xml:space="preserve"> עם כל</w:t>
      </w:r>
      <w:r w:rsidR="00152217">
        <w:t>, v 6)</w:t>
      </w:r>
      <w:r w:rsidR="003909F2" w:rsidRPr="0066103C">
        <w:t xml:space="preserve"> follows up the reference to kings,</w:t>
      </w:r>
      <w:r w:rsidR="00EC09F4" w:rsidRPr="0066103C">
        <w:t xml:space="preserve"> leaders, and fathers, and thus </w:t>
      </w:r>
      <w:r w:rsidR="003909F2" w:rsidRPr="0066103C">
        <w:t>denotes the mass of ordinary members of the people (cf. 2 Kgs 16:15; Jer 1:18; 34:19; 44:21; Ezek 22:25–29; Hag 2:4, for the use of the term with this meaning in similar contexts). Elsewhere i</w:t>
      </w:r>
      <w:r w:rsidR="00EC09F4" w:rsidRPr="0066103C">
        <w:t>n the Second Temple period</w:t>
      </w:r>
      <w:r w:rsidR="00B414EF">
        <w:t xml:space="preserve"> “the people of the country”</w:t>
      </w:r>
      <w:r w:rsidR="003909F2" w:rsidRPr="0066103C">
        <w:t xml:space="preserve"> became a pejorative term, for non-Jewish people in Palestine (e.g., Ezra 9) or for Jews who were un</w:t>
      </w:r>
      <w:r w:rsidR="00152217">
        <w:t>observant or ignorant of the Torah</w:t>
      </w:r>
      <w:r w:rsidR="003909F2" w:rsidRPr="0066103C">
        <w:t>, but there is no suggestion</w:t>
      </w:r>
      <w:r w:rsidR="00EC09F4" w:rsidRPr="0066103C">
        <w:t xml:space="preserve"> of pejorative connotation here.</w:t>
      </w:r>
      <w:r w:rsidR="00EC09F4" w:rsidRPr="0066103C">
        <w:rPr>
          <w:rStyle w:val="FootnoteReference"/>
        </w:rPr>
        <w:footnoteReference w:id="479"/>
      </w:r>
    </w:p>
    <w:p w:rsidR="003909F2" w:rsidRPr="0066103C" w:rsidRDefault="003909F2" w:rsidP="003909F2">
      <w:r w:rsidRPr="0066103C">
        <w:lastRenderedPageBreak/>
        <w:t>The chapter three times</w:t>
      </w:r>
      <w:r w:rsidR="008A3D85" w:rsidRPr="0066103C">
        <w:t xml:space="preserve"> uses the name Israel to refer</w:t>
      </w:r>
      <w:r w:rsidRPr="0066103C">
        <w:t xml:space="preserve"> to the people to whom God’s word came and fo</w:t>
      </w:r>
      <w:r w:rsidR="008A3D85" w:rsidRPr="0066103C">
        <w:t xml:space="preserve">r whom Daniel prays </w:t>
      </w:r>
      <w:r w:rsidRPr="0066103C">
        <w:t>(vv 7, 11, 20). As the whole people saw Jacob/Israel as their ancestor, the whole people bore his name. Wh</w:t>
      </w:r>
      <w:r w:rsidR="008A3D85" w:rsidRPr="0066103C">
        <w:t>en it</w:t>
      </w:r>
      <w:r w:rsidRPr="0066103C">
        <w:t xml:space="preserve"> split into</w:t>
      </w:r>
      <w:r w:rsidR="008A3D85" w:rsidRPr="0066103C">
        <w:t xml:space="preserve"> two, the much larger of the two resultant kingdoms</w:t>
      </w:r>
      <w:r w:rsidRPr="0066103C">
        <w:t xml:space="preserve"> </w:t>
      </w:r>
      <w:r w:rsidR="008A3D85" w:rsidRPr="0066103C">
        <w:t xml:space="preserve">had </w:t>
      </w:r>
      <w:r w:rsidRPr="0066103C">
        <w:t>assumed contin</w:t>
      </w:r>
      <w:r w:rsidR="008A3D85" w:rsidRPr="0066103C">
        <w:t>uing use of the name. The Judahite</w:t>
      </w:r>
      <w:r w:rsidRPr="0066103C">
        <w:t>s, however, saw themselves as the preserved remnant of th</w:t>
      </w:r>
      <w:r w:rsidR="008A3D85" w:rsidRPr="0066103C">
        <w:t>at whole people of God, and in due course</w:t>
      </w:r>
      <w:r w:rsidRPr="0066103C">
        <w:t xml:space="preserve"> came to apply the name “Israel” to themselves (cf. 1:6). To speak of Israel, then, is to make a significant theological claim fo</w:t>
      </w:r>
      <w:r w:rsidR="008A3D85" w:rsidRPr="0066103C">
        <w:t xml:space="preserve">r the little community of </w:t>
      </w:r>
      <w:r w:rsidR="00272B24">
        <w:t xml:space="preserve">surviving </w:t>
      </w:r>
      <w:r w:rsidR="008A3D85" w:rsidRPr="0066103C">
        <w:t>Judahite</w:t>
      </w:r>
      <w:r w:rsidR="00272B24">
        <w:t>s</w:t>
      </w:r>
      <w:r w:rsidR="00B414EF">
        <w:t>, in</w:t>
      </w:r>
      <w:r w:rsidRPr="0066103C">
        <w:t xml:space="preserve"> seeing them as the successors of that whole people with whom Yahweh entered into covenant (vv 11, 20). Chronicles emphasizes how “all Israel” took part in events such as making David and S</w:t>
      </w:r>
      <w:r w:rsidR="008A3D85" w:rsidRPr="0066103C">
        <w:t>olomon king, bringing up the covenant chest, and dedicating the temple. Admittedly the</w:t>
      </w:r>
      <w:r w:rsidRPr="0066103C">
        <w:t xml:space="preserve"> u</w:t>
      </w:r>
      <w:r w:rsidR="008A3D85" w:rsidRPr="0066103C">
        <w:t xml:space="preserve">nity of “all Israel” in </w:t>
      </w:r>
      <w:r w:rsidR="000D1837">
        <w:t>v</w:t>
      </w:r>
      <w:r w:rsidR="008A3D85" w:rsidRPr="0066103C">
        <w:t xml:space="preserve"> 11</w:t>
      </w:r>
      <w:r w:rsidRPr="0066103C">
        <w:t xml:space="preserve"> is a uni</w:t>
      </w:r>
      <w:r w:rsidR="008A3D85" w:rsidRPr="0066103C">
        <w:t>ty in wrongdoing. Yet, like Chronicles</w:t>
      </w:r>
      <w:r w:rsidRPr="0066103C">
        <w:t>, Daniel has n</w:t>
      </w:r>
      <w:r w:rsidR="008A3D85" w:rsidRPr="0066103C">
        <w:t>ot abandoned an awareness that “</w:t>
      </w:r>
      <w:r w:rsidRPr="0066103C">
        <w:t>Israel</w:t>
      </w:r>
      <w:r w:rsidR="008A3D85" w:rsidRPr="0066103C">
        <w:t>”</w:t>
      </w:r>
      <w:r w:rsidRPr="0066103C">
        <w:t xml:space="preserve"> was designed t</w:t>
      </w:r>
      <w:r w:rsidR="008A3D85" w:rsidRPr="0066103C">
        <w:t>o be a much bigger entity than “</w:t>
      </w:r>
      <w:r w:rsidRPr="0066103C">
        <w:t>Judah and Jerusalem” (v 7). The latter is the nucleus of Israel, but as such it does not exclude others; it is rather a “representative centre, to which all the children of Israel should be welcomed if they return</w:t>
      </w:r>
      <w:r w:rsidR="008A3D85" w:rsidRPr="0066103C">
        <w:t>.</w:t>
      </w:r>
      <w:r w:rsidRPr="0066103C">
        <w:t>”</w:t>
      </w:r>
      <w:r w:rsidR="008A3D85" w:rsidRPr="0066103C">
        <w:rPr>
          <w:rStyle w:val="FootnoteReference"/>
        </w:rPr>
        <w:footnoteReference w:id="480"/>
      </w:r>
      <w:r w:rsidR="00403126">
        <w:t xml:space="preserve"> The coimmunity of the Babylonian period and of Second Temple times</w:t>
      </w:r>
      <w:r w:rsidRPr="0066103C">
        <w:t xml:space="preserve"> </w:t>
      </w:r>
      <w:r w:rsidR="00A07277" w:rsidRPr="0066103C">
        <w:t>represents Israel as a whole: compare</w:t>
      </w:r>
      <w:r w:rsidRPr="0066103C">
        <w:t xml:space="preserve"> the reference to Ephraim and Manasseh as well as Judah and Benjamin at the he</w:t>
      </w:r>
      <w:r w:rsidR="00A07277" w:rsidRPr="0066103C">
        <w:t>ad of the list of the Second Temple community in 1 Chr 9:3,</w:t>
      </w:r>
      <w:r w:rsidRPr="0066103C">
        <w:t xml:space="preserve"> the twelvefold leadership of “the men of the people of Israel” in Neh 7:7</w:t>
      </w:r>
      <w:r w:rsidR="00A07277" w:rsidRPr="0066103C">
        <w:t>,</w:t>
      </w:r>
      <w:r w:rsidRPr="0066103C">
        <w:t xml:space="preserve"> and the first of Nehemiah’s prose confessions, offered on behalf of “the descendants of Israel” (Neh 1:6).</w:t>
      </w:r>
    </w:p>
    <w:p w:rsidR="003909F2" w:rsidRPr="0066103C" w:rsidRDefault="00A07277" w:rsidP="003909F2">
      <w:r w:rsidRPr="0066103C">
        <w:t>Daniel describes</w:t>
      </w:r>
      <w:r w:rsidR="003909F2" w:rsidRPr="0066103C">
        <w:t xml:space="preserve"> them as “my p</w:t>
      </w:r>
      <w:r w:rsidRPr="0066103C">
        <w:t>eople Israel” (v 20)</w:t>
      </w:r>
      <w:r w:rsidR="003909F2" w:rsidRPr="0066103C">
        <w:t xml:space="preserve">. When Israel </w:t>
      </w:r>
      <w:r w:rsidRPr="0066103C">
        <w:t>is “my people,” the pronoun usu</w:t>
      </w:r>
      <w:r w:rsidR="003909F2" w:rsidRPr="0066103C">
        <w:t xml:space="preserve">ally refers to Yahweh. In prayer, they would normally be “your people”: so </w:t>
      </w:r>
      <w:r w:rsidRPr="0066103C">
        <w:t>vv 15, 16, 19 (as</w:t>
      </w:r>
      <w:r w:rsidR="003909F2" w:rsidRPr="0066103C">
        <w:t xml:space="preserve"> Daniel speaks of “your city” and “your sanct</w:t>
      </w:r>
      <w:r w:rsidRPr="0066103C">
        <w:t>uary” in vv 16, 17, 19). The expression indicates Yahweh’s</w:t>
      </w:r>
      <w:r w:rsidR="003909F2" w:rsidRPr="0066103C">
        <w:t xml:space="preserve"> </w:t>
      </w:r>
      <w:r w:rsidRPr="0066103C">
        <w:t xml:space="preserve">special relationship </w:t>
      </w:r>
      <w:r w:rsidR="003909F2" w:rsidRPr="0066103C">
        <w:t>with Israel, which is fundamental to the basi</w:t>
      </w:r>
      <w:r w:rsidRPr="0066103C">
        <w:t>s on which one prays for them. On the other hand,</w:t>
      </w:r>
      <w:r w:rsidR="003909F2" w:rsidRPr="0066103C">
        <w:t xml:space="preserve"> Yahweh </w:t>
      </w:r>
      <w:r w:rsidRPr="0066103C">
        <w:t>can use the expression “your people” in speaking</w:t>
      </w:r>
      <w:r w:rsidR="003909F2" w:rsidRPr="0066103C">
        <w:t xml:space="preserve"> to their represen</w:t>
      </w:r>
      <w:r w:rsidRPr="0066103C">
        <w:t>tative</w:t>
      </w:r>
      <w:r w:rsidR="003909F2" w:rsidRPr="0066103C">
        <w:t xml:space="preserve"> (Exod 32:7; 34:10; c</w:t>
      </w:r>
      <w:r w:rsidRPr="0066103C">
        <w:t>ontrast 32:11, 12; 33:13, 16); h</w:t>
      </w:r>
      <w:r w:rsidR="003909F2" w:rsidRPr="0066103C">
        <w:t>e is then dissociating himself from them. Here Daniel takes the initiative in identifying himself with the people whom Yahweh has eve</w:t>
      </w:r>
      <w:r w:rsidRPr="0066103C">
        <w:t>ry ground for</w:t>
      </w:r>
      <w:r w:rsidR="00A33BCC" w:rsidRPr="0066103C">
        <w:t xml:space="preserve"> repudiating. His s</w:t>
      </w:r>
      <w:r w:rsidR="003909F2" w:rsidRPr="0066103C">
        <w:t>peaking of them as “my people” links to his addressing Yahweh on their behalf as “my God.” It is by their association with him that he commends them to Yahweh. Daniel belongs to that comp</w:t>
      </w:r>
      <w:r w:rsidRPr="0066103C">
        <w:t>any of persons such as Israel’s ancestors</w:t>
      </w:r>
      <w:r w:rsidR="003909F2" w:rsidRPr="0066103C">
        <w:t xml:space="preserve">, </w:t>
      </w:r>
      <w:r w:rsidRPr="0066103C">
        <w:t xml:space="preserve">the </w:t>
      </w:r>
      <w:r w:rsidR="003909F2" w:rsidRPr="0066103C">
        <w:t>prophets, kings, priests, and heavenly beings whose praye</w:t>
      </w:r>
      <w:r w:rsidR="00B414EF">
        <w:t>r can be expected to find a hearing with</w:t>
      </w:r>
      <w:r w:rsidR="003909F2" w:rsidRPr="0066103C">
        <w:t xml:space="preserve"> God. If</w:t>
      </w:r>
      <w:r w:rsidRPr="0066103C">
        <w:t xml:space="preserve"> Ezek 14:14 refers to this Daniel</w:t>
      </w:r>
      <w:r w:rsidR="003909F2" w:rsidRPr="0066103C">
        <w:t xml:space="preserve"> rather than to an ancient hero belonging to the epoch of Abraham and Job, the</w:t>
      </w:r>
      <w:r w:rsidRPr="0066103C">
        <w:t xml:space="preserve">re is a </w:t>
      </w:r>
      <w:r w:rsidR="003909F2" w:rsidRPr="0066103C">
        <w:t>tension between this view and the warning about the effectiveness of Daniel’s prayer for himself alone in Ezek 14:14.</w:t>
      </w:r>
      <w:r w:rsidRPr="0066103C">
        <w:rPr>
          <w:rStyle w:val="FootnoteReference"/>
        </w:rPr>
        <w:footnoteReference w:id="481"/>
      </w:r>
      <w:r w:rsidR="003909F2" w:rsidRPr="0066103C">
        <w:t xml:space="preserve"> He prays as one who is </w:t>
      </w:r>
      <w:r w:rsidR="003909F2" w:rsidRPr="0066103C">
        <w:rPr>
          <w:i/>
        </w:rPr>
        <w:t>persona grata</w:t>
      </w:r>
      <w:r w:rsidR="003909F2" w:rsidRPr="0066103C">
        <w:t xml:space="preserve"> with Yahweh, though the passage does not quite make the explicit assumption that an intercessor’s personal merits may “count” on behalf of people for whom he prays.</w:t>
      </w:r>
      <w:r w:rsidR="00A33BCC" w:rsidRPr="0066103C">
        <w:rPr>
          <w:rStyle w:val="FootnoteReference"/>
        </w:rPr>
        <w:footnoteReference w:id="482"/>
      </w:r>
    </w:p>
    <w:p w:rsidR="003909F2" w:rsidRPr="0066103C" w:rsidRDefault="003909F2" w:rsidP="003909F2">
      <w:r w:rsidRPr="0066103C">
        <w:t>Daniel has a special focus on Judah, Jerusalem, and its sanctuary (vv 7, 16, 17, 18, 19, 20). It was Judah that remained faithful to David and to Zion; it was Judah (and Benjamin) that continued to be the embodiment of t</w:t>
      </w:r>
      <w:r w:rsidR="00272B24">
        <w:t>he actual Israel</w:t>
      </w:r>
      <w:r w:rsidRPr="0066103C">
        <w:t xml:space="preserve"> (cf. the list in Neh 11). Administratively, Judah was a separate area from that of the old northern kingdom, Samaria; the arrival of the Persians meant it became a province of the Persian empire, ruled by its own provincial governor (see Hag 1:1; Ezra</w:t>
      </w:r>
      <w:r w:rsidR="008C6E66" w:rsidRPr="0066103C">
        <w:t xml:space="preserve"> 2:1, 63; Neh 1:3; 5:14–15; 8:9)</w:t>
      </w:r>
      <w:r w:rsidRPr="0066103C">
        <w:t>.</w:t>
      </w:r>
      <w:r w:rsidR="008C6E66" w:rsidRPr="0066103C">
        <w:rPr>
          <w:rStyle w:val="FootnoteReference"/>
        </w:rPr>
        <w:footnoteReference w:id="483"/>
      </w:r>
      <w:r w:rsidRPr="0066103C">
        <w:t xml:space="preserve"> In the Hellenistic period, the Ptolemies treated it as part of the larger major province of Syria and Palestine; within that </w:t>
      </w:r>
      <w:r w:rsidR="00152217">
        <w:t xml:space="preserve">province </w:t>
      </w:r>
      <w:r w:rsidRPr="0066103C">
        <w:t>Judah (Judea) remained a distinguishable unit over against Samaria to the</w:t>
      </w:r>
      <w:r w:rsidR="008C6E66" w:rsidRPr="0066103C">
        <w:t xml:space="preserve"> north and Idumea to the south</w:t>
      </w:r>
      <w:r w:rsidRPr="0066103C">
        <w:t>.</w:t>
      </w:r>
      <w:r w:rsidR="008C6E66" w:rsidRPr="0066103C">
        <w:rPr>
          <w:rStyle w:val="FootnoteReference"/>
        </w:rPr>
        <w:footnoteReference w:id="484"/>
      </w:r>
    </w:p>
    <w:p w:rsidR="003909F2" w:rsidRPr="0066103C" w:rsidRDefault="003909F2" w:rsidP="003909F2">
      <w:r w:rsidRPr="0066103C">
        <w:lastRenderedPageBreak/>
        <w:t>There are also both theological and political reasons for special mention of the city of Jerusalem in the prayer (vv 7, 16, 18, 19). Yahweh’s city, centered on Mount Zion, is the perfection of beauty, the joy of all the earth; it is the place where Yahweh has made himself known in the history and the worship of his people (Pss 48; 50:2). It is the city Yahweh chose as the dwelling place of his name (Neh 1:9, identifying Jerusalem as the place denoted by Deut 12:5). Admittedly, Daniel emphasizes rather that it is the city that bears Yahweh’s name—that is, the city he owns. Nor does Daniel specifically speak of it as Z</w:t>
      </w:r>
      <w:r w:rsidR="008C6E66" w:rsidRPr="0066103C">
        <w:t xml:space="preserve">ion, the name which carries </w:t>
      </w:r>
      <w:r w:rsidRPr="0066103C">
        <w:t>most theological freight and which thus most often features in the praise and prayer of the Psalms, though he does refer to it as “my God’s sacred mountain” (</w:t>
      </w:r>
      <w:r w:rsidRPr="0066103C">
        <w:rPr>
          <w:rFonts w:ascii="Arial" w:hAnsi="Arial" w:cs="Arial"/>
        </w:rPr>
        <w:t>אלהי</w:t>
      </w:r>
      <w:r w:rsidR="008C6E66" w:rsidRPr="0066103C">
        <w:rPr>
          <w:rFonts w:ascii="Arial" w:hAnsi="Arial" w:cs="Arial"/>
        </w:rPr>
        <w:t xml:space="preserve"> קדש הר</w:t>
      </w:r>
      <w:r w:rsidRPr="0066103C">
        <w:t xml:space="preserve">, v 20, cf. v 16), </w:t>
      </w:r>
      <w:r w:rsidR="008C6E66" w:rsidRPr="0066103C">
        <w:t>which</w:t>
      </w:r>
      <w:r w:rsidR="00945C8C">
        <w:t xml:space="preserve"> </w:t>
      </w:r>
      <w:r w:rsidR="008C6E66" w:rsidRPr="0066103C">
        <w:t xml:space="preserve">is </w:t>
      </w:r>
      <w:r w:rsidRPr="0066103C">
        <w:t>a</w:t>
      </w:r>
      <w:r w:rsidR="008C6E66" w:rsidRPr="0066103C">
        <w:t>n epithet of Zion (Pss 2:6; 48:1 [2</w:t>
      </w:r>
      <w:r w:rsidRPr="0066103C">
        <w:t xml:space="preserve">]; 99:9). In any case, the Babylonians’ desolation of Jerusalem put a question mark by the theological claims that had been made for Zion (Lam 2:15). The restoration of the city is of key importance for prophets and </w:t>
      </w:r>
      <w:r w:rsidR="00522C6A">
        <w:t xml:space="preserve">community leaders in the sixth century, but even in Nehemiah’s time </w:t>
      </w:r>
      <w:r w:rsidRPr="0066103C">
        <w:t>the city lacks inhabitants and requires a semi</w:t>
      </w:r>
      <w:r w:rsidR="008C6E66" w:rsidRPr="0066103C">
        <w:t>-</w:t>
      </w:r>
      <w:r w:rsidRPr="0066103C">
        <w:t xml:space="preserve">compulsory repopulation (Neh 11:2). The prose confessions in Ezra-Nehemiah do not focus on Jerusalem, despite the context of Neh 1 in </w:t>
      </w:r>
      <w:r w:rsidR="008C6E66" w:rsidRPr="0066103C">
        <w:t xml:space="preserve">a </w:t>
      </w:r>
      <w:r w:rsidR="00522C6A">
        <w:t>concern for the city</w:t>
      </w:r>
      <w:r w:rsidRPr="0066103C">
        <w:t xml:space="preserve">, and </w:t>
      </w:r>
      <w:r w:rsidR="008C6E66" w:rsidRPr="0066103C">
        <w:t xml:space="preserve">despite </w:t>
      </w:r>
      <w:r w:rsidRPr="0066103C">
        <w:t>the Jerusalem setting of Ez</w:t>
      </w:r>
      <w:r w:rsidR="008D05F3" w:rsidRPr="0066103C">
        <w:t xml:space="preserve">ra 9 and Neh 9. Although </w:t>
      </w:r>
      <w:r w:rsidRPr="0066103C">
        <w:t xml:space="preserve">set </w:t>
      </w:r>
      <w:r w:rsidR="008D05F3" w:rsidRPr="0066103C">
        <w:t xml:space="preserve">geographically </w:t>
      </w:r>
      <w:r w:rsidRPr="0066103C">
        <w:t>in the exil</w:t>
      </w:r>
      <w:r w:rsidR="008D05F3" w:rsidRPr="0066103C">
        <w:t>e, Dan 9 thus contrasts with tho</w:t>
      </w:r>
      <w:r w:rsidRPr="0066103C">
        <w:t>se</w:t>
      </w:r>
      <w:r w:rsidR="008D05F3" w:rsidRPr="0066103C">
        <w:t xml:space="preserve"> confessions. But in the Hellenistic period, </w:t>
      </w:r>
      <w:r w:rsidRPr="0066103C">
        <w:t xml:space="preserve">the city increased in </w:t>
      </w:r>
      <w:r w:rsidR="008D05F3" w:rsidRPr="0066103C">
        <w:t xml:space="preserve">political </w:t>
      </w:r>
      <w:r w:rsidRPr="0066103C">
        <w:t xml:space="preserve">significance. “As the only ‘city’ of Judea, Jerusalem completely dominated the country.. . . Judea could now be regarded by outside observers as the territory of what seemed to be the ‘polis’ </w:t>
      </w:r>
      <w:r w:rsidR="00144FE2">
        <w:t>of Jerusalem</w:t>
      </w:r>
      <w:r w:rsidRPr="0066103C">
        <w:t>.</w:t>
      </w:r>
      <w:r w:rsidR="008D05F3" w:rsidRPr="0066103C">
        <w:t>”</w:t>
      </w:r>
      <w:r w:rsidR="008D05F3" w:rsidRPr="0066103C">
        <w:rPr>
          <w:rStyle w:val="FootnoteReference"/>
        </w:rPr>
        <w:footnoteReference w:id="485"/>
      </w:r>
    </w:p>
    <w:p w:rsidR="003909F2" w:rsidRPr="0066103C" w:rsidRDefault="003909F2" w:rsidP="003909F2">
      <w:r w:rsidRPr="0066103C">
        <w:t>Within the city, Daniel is specifically concerned for the sanctuary. The significance of the sacred mountain (</w:t>
      </w:r>
      <w:r w:rsidRPr="0066103C">
        <w:rPr>
          <w:rFonts w:ascii="Arial" w:hAnsi="Arial" w:cs="Arial"/>
        </w:rPr>
        <w:t>קדש</w:t>
      </w:r>
      <w:r w:rsidR="008D05F3" w:rsidRPr="0066103C">
        <w:rPr>
          <w:rFonts w:ascii="Arial" w:hAnsi="Arial" w:cs="Arial"/>
        </w:rPr>
        <w:t xml:space="preserve"> הר</w:t>
      </w:r>
      <w:r w:rsidRPr="0066103C">
        <w:t>) lies in the presence of the sacred place (</w:t>
      </w:r>
      <w:r w:rsidRPr="0066103C">
        <w:rPr>
          <w:rFonts w:ascii="Arial" w:hAnsi="Arial" w:cs="Arial"/>
        </w:rPr>
        <w:t>מקדש</w:t>
      </w:r>
      <w:r w:rsidRPr="0066103C">
        <w:t xml:space="preserve">) (v 17; cf. 8:11; also the use of </w:t>
      </w:r>
      <w:r w:rsidRPr="0066103C">
        <w:rPr>
          <w:rFonts w:ascii="Arial" w:hAnsi="Arial" w:cs="Arial"/>
        </w:rPr>
        <w:t>קדש</w:t>
      </w:r>
      <w:r w:rsidR="008D05F3" w:rsidRPr="0066103C">
        <w:t xml:space="preserve"> in </w:t>
      </w:r>
      <w:r w:rsidRPr="0066103C">
        <w:t>8:13, 14; 9:</w:t>
      </w:r>
      <w:r w:rsidR="008D05F3" w:rsidRPr="0066103C">
        <w:t xml:space="preserve">24 [?], 26). In 587 and in the 160s </w:t>
      </w:r>
      <w:r w:rsidRPr="0066103C">
        <w:t>the sanctuary was despoiled and empt</w:t>
      </w:r>
      <w:r w:rsidR="008D05F3" w:rsidRPr="0066103C">
        <w:t>ied of its thronging worshipers.</w:t>
      </w:r>
      <w:r w:rsidRPr="0066103C">
        <w:t xml:space="preserve"> “[Jerusalem’s] sanctuary was laid waste lik</w:t>
      </w:r>
      <w:r w:rsidR="00144FE2">
        <w:t>e a wilderness, its</w:t>
      </w:r>
      <w:r w:rsidRPr="0066103C">
        <w:t xml:space="preserve"> feast</w:t>
      </w:r>
      <w:r w:rsidR="00144FE2">
        <w:t>s were turned into mourning, its sabbaths into reproach, its</w:t>
      </w:r>
      <w:r w:rsidRPr="0066103C">
        <w:t xml:space="preserve"> honor into contempt”; sacrifices were suspended and the building defiled (1 Macc 1:39, 45–47; cf. Lam 1:4, </w:t>
      </w:r>
      <w:r w:rsidR="008D05F3" w:rsidRPr="0066103C">
        <w:t>10; 2:6, 7). The prayer’s</w:t>
      </w:r>
      <w:r w:rsidRPr="0066103C">
        <w:t xml:space="preserve"> interest </w:t>
      </w:r>
      <w:r w:rsidR="008D05F3" w:rsidRPr="0066103C">
        <w:t xml:space="preserve">in matters concerning worship </w:t>
      </w:r>
      <w:r w:rsidRPr="0066103C">
        <w:t>corresponds to that of other material in chaps. 7–12.</w:t>
      </w:r>
    </w:p>
    <w:p w:rsidR="003909F2" w:rsidRPr="0066103C" w:rsidRDefault="00FB7C60" w:rsidP="003909F2">
      <w:r w:rsidRPr="002C2955">
        <w:rPr>
          <w:b/>
        </w:rPr>
        <w:t xml:space="preserve">3–23 </w:t>
      </w:r>
      <w:r w:rsidR="003909F2" w:rsidRPr="002C2955">
        <w:rPr>
          <w:b/>
        </w:rPr>
        <w:t>(e)</w:t>
      </w:r>
      <w:r w:rsidR="003909F2" w:rsidRPr="0066103C">
        <w:t xml:space="preserve"> The response God looks for from his people is stated first </w:t>
      </w:r>
      <w:r w:rsidR="0044420F" w:rsidRPr="0066103C">
        <w:t>in the initial description of God’</w:t>
      </w:r>
      <w:r w:rsidR="003909F2" w:rsidRPr="0066103C">
        <w:t>s characteristics: he is faithful to those “who love him</w:t>
      </w:r>
      <w:r w:rsidR="0044420F" w:rsidRPr="0066103C">
        <w:t xml:space="preserve"> and keep his commands” (v 4). T</w:t>
      </w:r>
      <w:r w:rsidR="003909F2" w:rsidRPr="0066103C">
        <w:t xml:space="preserve">he phrase recalls, behind Neh 1:5, Deut 7:9 (also Deut 5:10 = Exod 20:10); the theme of loving God is most common in Deuteronomistic </w:t>
      </w:r>
      <w:r w:rsidR="0044420F" w:rsidRPr="0066103C">
        <w:t>contexts. As is the case here</w:t>
      </w:r>
      <w:r w:rsidR="003909F2" w:rsidRPr="0066103C">
        <w:t xml:space="preserve">, the context </w:t>
      </w:r>
      <w:r w:rsidR="0044420F" w:rsidRPr="0066103C">
        <w:t xml:space="preserve">there </w:t>
      </w:r>
      <w:r w:rsidR="003909F2" w:rsidRPr="0066103C">
        <w:t>characteristically indicates that this love is not so much an em</w:t>
      </w:r>
      <w:r w:rsidR="0044420F" w:rsidRPr="0066103C">
        <w:t>otion as a moral commitment (cf.</w:t>
      </w:r>
      <w:r w:rsidR="003909F2" w:rsidRPr="0066103C">
        <w:t xml:space="preserve"> Deut 6:</w:t>
      </w:r>
      <w:r w:rsidR="0044420F" w:rsidRPr="0066103C">
        <w:t>5; 10:12; 11:1; 30:16, 20). The</w:t>
      </w:r>
      <w:r w:rsidR="003909F2" w:rsidRPr="0066103C">
        <w:t xml:space="preserve"> same emphasis features subsequently in Dan 9 in repeated references to listening to/obeying (</w:t>
      </w:r>
      <w:r w:rsidR="003909F2" w:rsidRPr="0066103C">
        <w:rPr>
          <w:rFonts w:ascii="Arial" w:hAnsi="Arial" w:cs="Arial"/>
        </w:rPr>
        <w:t>שמע</w:t>
      </w:r>
      <w:r w:rsidR="003909F2" w:rsidRPr="0066103C">
        <w:t>) God’s voice speaking through the prophets (vv 6, 10, 11, 14), which issues in living (</w:t>
      </w:r>
      <w:r w:rsidR="003909F2" w:rsidRPr="0066103C">
        <w:rPr>
          <w:rFonts w:ascii="Arial" w:hAnsi="Arial" w:cs="Arial"/>
        </w:rPr>
        <w:t>הלך</w:t>
      </w:r>
      <w:r w:rsidR="003909F2" w:rsidRPr="0066103C">
        <w:t>, “walk”) by his teaching(s) (v 10). These expressions, too, are characteristically Deuteronomistic (e.g., Deut 11:22; 12:28; 13:4–5 [3–4]; 19:9; 28:1–2;</w:t>
      </w:r>
      <w:r w:rsidR="0044420F" w:rsidRPr="0066103C">
        <w:t xml:space="preserve"> 30:2, 8, 10, 16; Josh 22:5). The response God seeks</w:t>
      </w:r>
      <w:r w:rsidR="003909F2" w:rsidRPr="0066103C">
        <w:t xml:space="preserve"> from his pe</w:t>
      </w:r>
      <w:r w:rsidR="0044420F" w:rsidRPr="0066103C">
        <w:t>ople is the one required by the</w:t>
      </w:r>
      <w:r w:rsidR="003909F2" w:rsidRPr="0066103C">
        <w:t xml:space="preserve"> covenant expounded in Deuteronomy.</w:t>
      </w:r>
    </w:p>
    <w:p w:rsidR="003909F2" w:rsidRPr="0066103C" w:rsidRDefault="003909F2" w:rsidP="003909F2">
      <w:r w:rsidRPr="0066103C">
        <w:t xml:space="preserve">If the people give God that response, they will be in the right with him, able to appeal to him on the basis of their </w:t>
      </w:r>
      <w:r w:rsidRPr="0066103C">
        <w:rPr>
          <w:rFonts w:ascii="Arial" w:hAnsi="Arial" w:cs="Arial"/>
        </w:rPr>
        <w:t>צדקת</w:t>
      </w:r>
      <w:r w:rsidRPr="0066103C">
        <w:t xml:space="preserve"> (“</w:t>
      </w:r>
      <w:r w:rsidR="0044420F" w:rsidRPr="0066103C">
        <w:t>right deeds,” v 18). That they</w:t>
      </w:r>
      <w:r w:rsidR="00013189">
        <w:t xml:space="preserve"> should be able to do so</w:t>
      </w:r>
      <w:r w:rsidR="0044420F" w:rsidRPr="0066103C">
        <w:t xml:space="preserve"> is presupposed by the </w:t>
      </w:r>
      <w:r w:rsidRPr="0066103C">
        <w:t>use of the term in Ezek 3:20; 18:24; 33:18. With the use of different words it is a common theme elsewhere in Israelite</w:t>
      </w:r>
      <w:r w:rsidR="0044420F" w:rsidRPr="0066103C">
        <w:t xml:space="preserve"> prayers, which commonly protest the innocence of the people</w:t>
      </w:r>
      <w:r w:rsidRPr="0066103C">
        <w:t xml:space="preserve"> who pray (e.g., Ps 7:</w:t>
      </w:r>
      <w:r w:rsidR="0044420F" w:rsidRPr="0066103C">
        <w:t>3-4 [4–5</w:t>
      </w:r>
      <w:r w:rsidRPr="0066103C">
        <w:t>]; 44:</w:t>
      </w:r>
      <w:r w:rsidR="0044420F" w:rsidRPr="0066103C">
        <w:t>17-22 [18–23</w:t>
      </w:r>
      <w:r w:rsidRPr="0066103C">
        <w:t>]; Job 31) in the conviction that casting oneself on God depends on one’s relationship with him being right.</w:t>
      </w:r>
    </w:p>
    <w:p w:rsidR="003909F2" w:rsidRPr="0066103C" w:rsidRDefault="003909F2" w:rsidP="003909F2">
      <w:r w:rsidRPr="0066103C">
        <w:t>An element of disobedience on Israel’s part is inevitable. Their task then is to turn (</w:t>
      </w:r>
      <w:r w:rsidRPr="0066103C">
        <w:rPr>
          <w:rFonts w:ascii="Arial" w:hAnsi="Arial" w:cs="Arial"/>
        </w:rPr>
        <w:t>שוב</w:t>
      </w:r>
      <w:r w:rsidRPr="0066103C">
        <w:t>) from it and pay attention (</w:t>
      </w:r>
      <w:r w:rsidRPr="0066103C">
        <w:rPr>
          <w:rFonts w:ascii="Arial" w:hAnsi="Arial" w:cs="Arial"/>
        </w:rPr>
        <w:t>שכל</w:t>
      </w:r>
      <w:r w:rsidR="00013189">
        <w:t>) to God’s truth</w:t>
      </w:r>
      <w:r w:rsidRPr="0066103C">
        <w:t xml:space="preserve">fulness (v 13). The idea of turning from wrongdoing—as opposed to (re)turning to God or simply (re)turning/repenting—is characteristic of the prose of Jeremiah and Ezekiel (e.g., Jer 15:7; 18:7–11; 23:14; 25:5; 26:3; 35:15; 36:3, 7; Ezek 3:19; 13:22; 18:21–30; 33:9–19; see also 1 Kgs 8:35; 13:33; 2 Kgs 17:3; Jonah 3:10; Zech 1:4; Neh 9:35; but not Deuteronomy). It is thus </w:t>
      </w:r>
      <w:r w:rsidRPr="0066103C">
        <w:lastRenderedPageBreak/>
        <w:t>an idea espe</w:t>
      </w:r>
      <w:r w:rsidR="00272B24">
        <w:t>cially associated with the Babylonian period</w:t>
      </w:r>
      <w:r w:rsidRPr="0066103C">
        <w:t xml:space="preserve"> </w:t>
      </w:r>
      <w:r w:rsidR="00272B24">
        <w:t xml:space="preserve">and its desolation, </w:t>
      </w:r>
      <w:r w:rsidRPr="0066103C">
        <w:t>and with the religious situation in which Daniel’s prayer is</w:t>
      </w:r>
      <w:r w:rsidR="0044420F" w:rsidRPr="0066103C">
        <w:t xml:space="preserve"> set. Its assumption is that Israel’s wrongdoing does not in itself </w:t>
      </w:r>
      <w:r w:rsidR="00013189">
        <w:t>end Israel’s</w:t>
      </w:r>
      <w:r w:rsidRPr="0066103C">
        <w:t xml:space="preserve"> relationship with Yahweh</w:t>
      </w:r>
      <w:r w:rsidR="0044420F" w:rsidRPr="0066103C">
        <w:t xml:space="preserve"> (cf. section [b] above)</w:t>
      </w:r>
      <w:r w:rsidR="00013189">
        <w:t>. If Israel</w:t>
      </w:r>
      <w:r w:rsidRPr="0066103C">
        <w:t xml:space="preserve"> turn</w:t>
      </w:r>
      <w:r w:rsidR="00013189">
        <w:t>s</w:t>
      </w:r>
      <w:r w:rsidRPr="0066103C">
        <w:t xml:space="preserve"> from such wrongdoing, the relationship continues.</w:t>
      </w:r>
    </w:p>
    <w:p w:rsidR="003909F2" w:rsidRPr="0066103C" w:rsidRDefault="0044420F" w:rsidP="003909F2">
      <w:r w:rsidRPr="0066103C">
        <w:t>If there is a</w:t>
      </w:r>
      <w:r w:rsidR="003909F2" w:rsidRPr="0066103C">
        <w:t xml:space="preserve"> specific background to the idea of paying attention (</w:t>
      </w:r>
      <w:r w:rsidR="003909F2" w:rsidRPr="0066103C">
        <w:rPr>
          <w:rFonts w:ascii="Arial" w:hAnsi="Arial" w:cs="Arial"/>
        </w:rPr>
        <w:t>שכל</w:t>
      </w:r>
      <w:r w:rsidR="003909F2" w:rsidRPr="0066103C">
        <w:t>) to God’s faithfulness (v 13), it lies in the communal confession of Ps 106, which acknowledges that Israel’s ancestors did not pay attention to and learn from Yahweh’s wondrous acts in Egypt (v 7; cf. Deut 32:29)</w:t>
      </w:r>
      <w:r w:rsidR="00A0040D" w:rsidRPr="0066103C">
        <w:t>. Bu</w:t>
      </w:r>
      <w:r w:rsidR="003909F2" w:rsidRPr="0066103C">
        <w:t xml:space="preserve">t Daniel uses words from this root more than any other OT book except Proverbs (and Psalms, if one includes the word </w:t>
      </w:r>
      <w:r w:rsidR="003909F2" w:rsidRPr="0066103C">
        <w:rPr>
          <w:rFonts w:ascii="Arial" w:hAnsi="Arial" w:cs="Arial"/>
        </w:rPr>
        <w:t>משכיל</w:t>
      </w:r>
      <w:r w:rsidR="00A0040D" w:rsidRPr="0066103C">
        <w:t>). It is a wisdom word.</w:t>
      </w:r>
      <w:r w:rsidR="003909F2" w:rsidRPr="0066103C">
        <w:t xml:space="preserve"> Daniel’s conce</w:t>
      </w:r>
      <w:r w:rsidR="00481E0A">
        <w:t>rn here is for Israel to be wise</w:t>
      </w:r>
      <w:r w:rsidR="003909F2" w:rsidRPr="0066103C">
        <w:t xml:space="preserve"> in their relationship with God as they reflect on his dealings with them.</w:t>
      </w:r>
    </w:p>
    <w:p w:rsidR="003909F2" w:rsidRPr="0066103C" w:rsidRDefault="00A0040D" w:rsidP="003909F2">
      <w:r w:rsidRPr="0066103C">
        <w:t>Evidencing such reflection is advisable if they are</w:t>
      </w:r>
      <w:r w:rsidR="003909F2" w:rsidRPr="0066103C">
        <w:t xml:space="preserve"> to persuade Yahweh to take a warm and favorable attitude </w:t>
      </w:r>
      <w:r w:rsidR="000C6CB7">
        <w:t xml:space="preserve">towards </w:t>
      </w:r>
      <w:r w:rsidR="003909F2" w:rsidRPr="0066103C">
        <w:t>them (</w:t>
      </w:r>
      <w:r w:rsidR="003909F2" w:rsidRPr="0066103C">
        <w:rPr>
          <w:rFonts w:ascii="Arial" w:hAnsi="Arial" w:cs="Arial"/>
        </w:rPr>
        <w:t>יהוה</w:t>
      </w:r>
      <w:r w:rsidRPr="0066103C">
        <w:rPr>
          <w:rFonts w:ascii="Arial" w:hAnsi="Arial" w:cs="Arial"/>
        </w:rPr>
        <w:t xml:space="preserve"> פני את חלה</w:t>
      </w:r>
      <w:r w:rsidR="003909F2" w:rsidRPr="0066103C">
        <w:t>, v 13</w:t>
      </w:r>
      <w:r w:rsidR="00013189">
        <w:t>; see n. 13.c-c</w:t>
      </w:r>
      <w:r w:rsidR="003909F2" w:rsidRPr="0066103C">
        <w:t xml:space="preserve">). The phrase comes sixteen times in the OT, and like many OT theological expressions </w:t>
      </w:r>
      <w:r w:rsidRPr="0066103C">
        <w:t xml:space="preserve">it </w:t>
      </w:r>
      <w:r w:rsidR="003909F2" w:rsidRPr="0066103C">
        <w:t>has its background in the royal court (cf. Ps 45:</w:t>
      </w:r>
      <w:r w:rsidRPr="0066103C">
        <w:t>12 [13</w:t>
      </w:r>
      <w:r w:rsidR="003909F2" w:rsidRPr="0066103C">
        <w:t>]; Job 11:19; Pro</w:t>
      </w:r>
      <w:r w:rsidRPr="0066103C">
        <w:t>v 19:6). It implies</w:t>
      </w:r>
      <w:r w:rsidR="003909F2" w:rsidRPr="0066103C">
        <w:t xml:space="preserve"> some concrete expression of respect</w:t>
      </w:r>
      <w:r w:rsidRPr="0066103C">
        <w:t>, homage and honor that prepares</w:t>
      </w:r>
      <w:r w:rsidR="007663A3">
        <w:t xml:space="preserve"> the way for making </w:t>
      </w:r>
      <w:r w:rsidR="003909F2" w:rsidRPr="0066103C">
        <w:t>a requ</w:t>
      </w:r>
      <w:r w:rsidRPr="0066103C">
        <w:t>est. It need not imply</w:t>
      </w:r>
      <w:r w:rsidR="003909F2" w:rsidRPr="0066103C">
        <w:t xml:space="preserve"> that the superior party is angry, only that the inferior is n</w:t>
      </w:r>
      <w:r w:rsidRPr="0066103C">
        <w:t>eedy. Such a way of speaking easily transfers</w:t>
      </w:r>
      <w:r w:rsidR="003909F2" w:rsidRPr="0066103C">
        <w:t xml:space="preserve"> to the theological sphere. It would </w:t>
      </w:r>
      <w:r w:rsidR="007663A3">
        <w:t xml:space="preserve">then naturally connect with making </w:t>
      </w:r>
      <w:r w:rsidR="003909F2" w:rsidRPr="0066103C">
        <w:t>offerings to God (1 Sam 13:12; Mal 1:9), though—as here—the offering could belong to the realm of morality and pi</w:t>
      </w:r>
      <w:r w:rsidRPr="0066103C">
        <w:t>ety, not explicitly that of worship</w:t>
      </w:r>
      <w:r w:rsidR="003909F2" w:rsidRPr="0066103C">
        <w:t xml:space="preserve"> (cf. Ps 119:58).</w:t>
      </w:r>
      <w:r w:rsidRPr="0066103C">
        <w:rPr>
          <w:rStyle w:val="FootnoteReference"/>
        </w:rPr>
        <w:footnoteReference w:id="486"/>
      </w:r>
      <w:r w:rsidR="003909F2" w:rsidRPr="0066103C">
        <w:t xml:space="preserve"> </w:t>
      </w:r>
    </w:p>
    <w:p w:rsidR="008230BB" w:rsidRPr="008230BB" w:rsidRDefault="00FB7C60" w:rsidP="008230BB">
      <w:r w:rsidRPr="002C2955">
        <w:rPr>
          <w:b/>
        </w:rPr>
        <w:t xml:space="preserve">3–23 </w:t>
      </w:r>
      <w:r w:rsidR="003909F2" w:rsidRPr="002C2955">
        <w:rPr>
          <w:b/>
        </w:rPr>
        <w:t>(f)</w:t>
      </w:r>
      <w:r w:rsidR="003909F2" w:rsidRPr="0066103C">
        <w:t xml:space="preserve"> The prayer presupposes that such</w:t>
      </w:r>
      <w:r w:rsidR="00F13B32" w:rsidRPr="0066103C">
        <w:t xml:space="preserve"> expectations have not been met;</w:t>
      </w:r>
      <w:r w:rsidR="003909F2" w:rsidRPr="0066103C">
        <w:t xml:space="preserve"> most of t</w:t>
      </w:r>
      <w:r w:rsidR="00F13B32" w:rsidRPr="0066103C">
        <w:t xml:space="preserve">he terms just surveyed </w:t>
      </w:r>
      <w:r w:rsidR="003909F2" w:rsidRPr="0066103C">
        <w:t>appear in Da</w:t>
      </w:r>
      <w:r w:rsidR="00F13B32" w:rsidRPr="0066103C">
        <w:t>n 9 in the negative. Israel has</w:t>
      </w:r>
      <w:r w:rsidR="003909F2" w:rsidRPr="0066103C">
        <w:t xml:space="preserve"> not listened, not lived by Yahweh’s teachings, not turn</w:t>
      </w:r>
      <w:r w:rsidR="00F13B32" w:rsidRPr="0066103C">
        <w:t>ed from its</w:t>
      </w:r>
      <w:r w:rsidR="003909F2" w:rsidRPr="0066103C">
        <w:t xml:space="preserve"> wrongdoing or paid heed to his faithfulnes</w:t>
      </w:r>
      <w:r w:rsidR="00F13B32" w:rsidRPr="0066103C">
        <w:t>s, not sought his favor, and it is</w:t>
      </w:r>
      <w:r w:rsidR="003909F2" w:rsidRPr="0066103C">
        <w:t xml:space="preserve"> not in the right with him.</w:t>
      </w:r>
      <w:r w:rsidR="00013189">
        <w:t xml:space="preserve"> In acknowledging these facts, i</w:t>
      </w:r>
      <w:r w:rsidR="008230BB" w:rsidRPr="008230BB">
        <w:t>n effect Daniel is providing the necessary response to a fo</w:t>
      </w:r>
      <w:r w:rsidR="00CC1756">
        <w:t>u</w:t>
      </w:r>
      <w:r w:rsidR="008230BB" w:rsidRPr="008230BB">
        <w:t>rfold confrontati</w:t>
      </w:r>
      <w:r w:rsidR="002B7719">
        <w:t>on by Yahweh</w:t>
      </w:r>
      <w:r w:rsidR="008230BB" w:rsidRPr="008230BB">
        <w:t>.</w:t>
      </w:r>
      <w:r w:rsidR="008230BB" w:rsidRPr="008230BB">
        <w:rPr>
          <w:vertAlign w:val="superscript"/>
        </w:rPr>
        <w:footnoteReference w:id="487"/>
      </w:r>
      <w:r w:rsidR="008230BB" w:rsidRPr="008230BB">
        <w:t xml:space="preserve"> </w:t>
      </w:r>
    </w:p>
    <w:p w:rsidR="003909F2" w:rsidRPr="0066103C" w:rsidRDefault="003909F2" w:rsidP="003909F2">
      <w:r w:rsidRPr="0066103C">
        <w:t>The term u</w:t>
      </w:r>
      <w:r w:rsidR="002B7719">
        <w:t>sed most often to describe Israel’</w:t>
      </w:r>
      <w:r w:rsidR="00F13B32" w:rsidRPr="0066103C">
        <w:t>s</w:t>
      </w:r>
      <w:r w:rsidRPr="0066103C">
        <w:t xml:space="preserve"> shortcomings is failure (</w:t>
      </w:r>
      <w:r w:rsidRPr="0066103C">
        <w:rPr>
          <w:rFonts w:ascii="Arial" w:hAnsi="Arial" w:cs="Arial"/>
        </w:rPr>
        <w:t>חטא</w:t>
      </w:r>
      <w:r w:rsidRPr="0066103C">
        <w:t xml:space="preserve">, vv 5, 8, 11, 15, 16, 20, 20; </w:t>
      </w:r>
      <w:r w:rsidR="005535FE" w:rsidRPr="0066103C">
        <w:t>EVV</w:t>
      </w:r>
      <w:r w:rsidRPr="0066103C">
        <w:t xml:space="preserve"> “sin”). In secular usage the verb suggests missing a target (Judg 20:16) or missing the way (Prov 19:2), though the religious usage of the word in other Semitic languages antedates the OT’s, and it may be hazardous to assume that the secular usage is basic to understanding the religious usage</w:t>
      </w:r>
      <w:r w:rsidR="00F13B32" w:rsidRPr="0066103C">
        <w:t>.</w:t>
      </w:r>
      <w:r w:rsidR="00F13B32" w:rsidRPr="0066103C">
        <w:rPr>
          <w:rStyle w:val="FootnoteReference"/>
        </w:rPr>
        <w:footnoteReference w:id="488"/>
      </w:r>
      <w:r w:rsidRPr="0066103C">
        <w:t xml:space="preserve"> </w:t>
      </w:r>
      <w:r w:rsidR="002B7719">
        <w:t>Either way,</w:t>
      </w:r>
      <w:r w:rsidRPr="0066103C">
        <w:t xml:space="preserve"> </w:t>
      </w:r>
      <w:r w:rsidRPr="0066103C">
        <w:rPr>
          <w:rFonts w:ascii="Arial" w:hAnsi="Arial" w:cs="Arial"/>
        </w:rPr>
        <w:t>חטא</w:t>
      </w:r>
      <w:r w:rsidRPr="0066103C">
        <w:t xml:space="preserve"> d</w:t>
      </w:r>
      <w:r w:rsidR="00013189">
        <w:t>oes not suggest that people had</w:t>
      </w:r>
      <w:r w:rsidRPr="0066103C">
        <w:t xml:space="preserve"> been seeking to live in accor</w:t>
      </w:r>
      <w:r w:rsidR="00013189">
        <w:t>dance with God’s expectations bu</w:t>
      </w:r>
      <w:r w:rsidRPr="0066103C">
        <w:t>t</w:t>
      </w:r>
      <w:r w:rsidR="00013189">
        <w:t xml:space="preserve"> did not manage </w:t>
      </w:r>
      <w:r w:rsidRPr="0066103C">
        <w:t xml:space="preserve">to achieve what they were aiming at. Their failure is willful. </w:t>
      </w:r>
    </w:p>
    <w:p w:rsidR="003909F2" w:rsidRPr="0066103C" w:rsidRDefault="003909F2" w:rsidP="003909F2">
      <w:r w:rsidRPr="0066103C">
        <w:t>Daniel’s opening confession in v 5 adds to failure four other images. “We have gone astray” (</w:t>
      </w:r>
      <w:r w:rsidRPr="0066103C">
        <w:rPr>
          <w:rFonts w:ascii="Arial" w:hAnsi="Arial" w:cs="Arial"/>
        </w:rPr>
        <w:t>עוה</w:t>
      </w:r>
      <w:r w:rsidRPr="0066103C">
        <w:t xml:space="preserve">; cf. v 16, </w:t>
      </w:r>
      <w:r w:rsidRPr="0066103C">
        <w:rPr>
          <w:rFonts w:ascii="Arial" w:hAnsi="Arial" w:cs="Arial"/>
        </w:rPr>
        <w:t>עון</w:t>
      </w:r>
      <w:r w:rsidRPr="0066103C">
        <w:t xml:space="preserve"> “waywardness”) has a similar background meaning to that of </w:t>
      </w:r>
      <w:r w:rsidRPr="0066103C">
        <w:rPr>
          <w:rFonts w:ascii="Arial" w:hAnsi="Arial" w:cs="Arial"/>
        </w:rPr>
        <w:t>חטא</w:t>
      </w:r>
      <w:r w:rsidRPr="0066103C">
        <w:t>.</w:t>
      </w:r>
      <w:r w:rsidR="000C47C5" w:rsidRPr="0066103C">
        <w:rPr>
          <w:rStyle w:val="FootnoteReference"/>
        </w:rPr>
        <w:footnoteReference w:id="489"/>
      </w:r>
      <w:r w:rsidR="00E36E6C">
        <w:t xml:space="preserve"> “We have acted faithlessly/done wrong</w:t>
      </w:r>
      <w:r w:rsidRPr="0066103C">
        <w:t>” (</w:t>
      </w:r>
      <w:r w:rsidRPr="0066103C">
        <w:rPr>
          <w:rFonts w:ascii="Arial" w:hAnsi="Arial" w:cs="Arial"/>
        </w:rPr>
        <w:t>הרשיע</w:t>
      </w:r>
      <w:r w:rsidRPr="0066103C">
        <w:t xml:space="preserve">; also </w:t>
      </w:r>
      <w:r w:rsidRPr="0066103C">
        <w:rPr>
          <w:rFonts w:ascii="Arial" w:hAnsi="Arial" w:cs="Arial"/>
        </w:rPr>
        <w:t>רשענו</w:t>
      </w:r>
      <w:r w:rsidRPr="0066103C">
        <w:t xml:space="preserve">, v 15) is a forensic expression, the antonym of </w:t>
      </w:r>
      <w:r w:rsidRPr="0066103C">
        <w:rPr>
          <w:rFonts w:ascii="Arial" w:hAnsi="Arial" w:cs="Arial"/>
        </w:rPr>
        <w:t>צדק</w:t>
      </w:r>
      <w:r w:rsidRPr="0066103C">
        <w:t xml:space="preserve"> (“</w:t>
      </w:r>
      <w:r w:rsidR="00E36E6C">
        <w:t>act faithfully/</w:t>
      </w:r>
      <w:r w:rsidRPr="0066103C">
        <w:t>do right,” vv 7, 14, 16, 18). It indicates action that puts a person in the wrong in a legal or quasi-legal setting</w:t>
      </w:r>
      <w:r w:rsidR="000C47C5" w:rsidRPr="0066103C">
        <w:t>, but also in a quasi-famili</w:t>
      </w:r>
      <w:r w:rsidR="008B32D7">
        <w:t>a</w:t>
      </w:r>
      <w:r w:rsidR="000C47C5" w:rsidRPr="0066103C">
        <w:t>l one</w:t>
      </w:r>
      <w:r w:rsidRPr="0066103C">
        <w:t>. It is used in connection with the covenant relationship in 11:32. “We have rebelled” (</w:t>
      </w:r>
      <w:r w:rsidRPr="0066103C">
        <w:rPr>
          <w:rFonts w:ascii="Arial" w:hAnsi="Arial" w:cs="Arial"/>
        </w:rPr>
        <w:t>מרד</w:t>
      </w:r>
      <w:r w:rsidRPr="0066103C">
        <w:t xml:space="preserve">; also v 9) may be a stronger term, and a less technically religious one, than </w:t>
      </w:r>
      <w:r w:rsidRPr="0066103C">
        <w:rPr>
          <w:rFonts w:ascii="Arial" w:hAnsi="Arial" w:cs="Arial"/>
        </w:rPr>
        <w:t>פשע</w:t>
      </w:r>
      <w:r w:rsidRPr="0066103C">
        <w:t xml:space="preserve"> (see v 24). “We have turned our backs” on your commands (</w:t>
      </w:r>
      <w:r w:rsidRPr="0066103C">
        <w:rPr>
          <w:rFonts w:ascii="Arial" w:hAnsi="Arial" w:cs="Arial"/>
        </w:rPr>
        <w:t>סור</w:t>
      </w:r>
      <w:r w:rsidR="002B7719">
        <w:t>,</w:t>
      </w:r>
      <w:r w:rsidRPr="0066103C">
        <w:t xml:space="preserve"> v 11) is another Deuteronomistic expression (e.g., Deut 17:11, 17, 20), though it goes back to the very beginning of Israel’s covenant relationship with Yahweh (Exod 32:8). Perhaps the verbs build up through v 5 (and v 6a): turning the back and closing the ears is the climactic rejection of Yahweh’s word and the crowning insult.</w:t>
      </w:r>
      <w:r w:rsidR="008B32D7">
        <w:t xml:space="preserve"> </w:t>
      </w:r>
    </w:p>
    <w:p w:rsidR="003909F2" w:rsidRPr="0066103C" w:rsidRDefault="003909F2" w:rsidP="003909F2">
      <w:r w:rsidRPr="0066103C">
        <w:lastRenderedPageBreak/>
        <w:t>Later verses in the confession introduce two further terms. “Trespass” (</w:t>
      </w:r>
      <w:r w:rsidRPr="0066103C">
        <w:rPr>
          <w:rFonts w:ascii="Arial" w:hAnsi="Arial" w:cs="Arial"/>
        </w:rPr>
        <w:t>מעל</w:t>
      </w:r>
      <w:r w:rsidRPr="0066103C">
        <w:t xml:space="preserve">, v 7), a common expression for unfaithfulness to Yahweh in worship or life in Ezekiel and Chronicles, suggests encroachment on what is holy, including </w:t>
      </w:r>
      <w:r w:rsidR="000C47C5" w:rsidRPr="0066103C">
        <w:t xml:space="preserve">on </w:t>
      </w:r>
      <w:r w:rsidRPr="0066103C">
        <w:t>God’s name (by violating an oath)</w:t>
      </w:r>
      <w:r w:rsidR="000C47C5" w:rsidRPr="0066103C">
        <w:t>.</w:t>
      </w:r>
      <w:r w:rsidR="000C47C5" w:rsidRPr="0066103C">
        <w:rPr>
          <w:rStyle w:val="FootnoteReference"/>
        </w:rPr>
        <w:footnoteReference w:id="490"/>
      </w:r>
      <w:r w:rsidRPr="0066103C">
        <w:t xml:space="preserve"> “We have overstepped your instruction” (</w:t>
      </w:r>
      <w:r w:rsidRPr="0066103C">
        <w:rPr>
          <w:rFonts w:ascii="Arial" w:hAnsi="Arial" w:cs="Arial"/>
        </w:rPr>
        <w:t>עבר</w:t>
      </w:r>
      <w:r w:rsidRPr="0066103C">
        <w:t>, v 11) indicates a contravention of the enactments of the covenant in a broader sense.</w:t>
      </w:r>
    </w:p>
    <w:p w:rsidR="003909F2" w:rsidRPr="0066103C" w:rsidRDefault="003909F2" w:rsidP="003909F2">
      <w:r w:rsidRPr="0066103C">
        <w:t>The wrongdoing Daniel confesses characterizes not only the present generation but past generations (v 16) (see the discussion of the “fathers</w:t>
      </w:r>
      <w:r w:rsidR="00025B11" w:rsidRPr="0066103C">
        <w:t>/ancestors</w:t>
      </w:r>
      <w:r w:rsidRPr="0066103C">
        <w:t>” above). It characterizes the people as a whole, an</w:t>
      </w:r>
      <w:r w:rsidR="00025B11" w:rsidRPr="0066103C">
        <w:t>d specifically Israel’s national</w:t>
      </w:r>
      <w:r w:rsidR="008B32D7">
        <w:t xml:space="preserve"> leadership (v 8). N</w:t>
      </w:r>
      <w:r w:rsidRPr="0066103C">
        <w:t>either pries</w:t>
      </w:r>
      <w:r w:rsidR="00025B11" w:rsidRPr="0066103C">
        <w:t>ts nor prophets are mentioned</w:t>
      </w:r>
      <w:r w:rsidR="008B32D7">
        <w:t>;</w:t>
      </w:r>
      <w:r w:rsidRPr="0066103C">
        <w:t xml:space="preserve"> </w:t>
      </w:r>
      <w:r w:rsidR="00025B11" w:rsidRPr="0066103C">
        <w:t xml:space="preserve">Daniel’s prayer contrasts </w:t>
      </w:r>
      <w:r w:rsidRPr="0066103C">
        <w:t xml:space="preserve">with </w:t>
      </w:r>
      <w:r w:rsidR="00025B11" w:rsidRPr="0066103C">
        <w:t xml:space="preserve">the outlook of </w:t>
      </w:r>
      <w:r w:rsidRPr="0066103C">
        <w:t>Jeremia</w:t>
      </w:r>
      <w:r w:rsidR="00272B24">
        <w:t>h and Ezekiel, who saw the fall of Jerusalem</w:t>
      </w:r>
      <w:r w:rsidRPr="0066103C">
        <w:t xml:space="preserve"> as in part issuing from the failure of prophets and priests.</w:t>
      </w:r>
    </w:p>
    <w:p w:rsidR="003909F2" w:rsidRPr="0066103C" w:rsidRDefault="00FB7C60" w:rsidP="003909F2">
      <w:r w:rsidRPr="002C2955">
        <w:rPr>
          <w:b/>
        </w:rPr>
        <w:t xml:space="preserve">3–23 </w:t>
      </w:r>
      <w:r w:rsidR="003909F2" w:rsidRPr="002C2955">
        <w:rPr>
          <w:b/>
        </w:rPr>
        <w:t>(g)</w:t>
      </w:r>
      <w:r w:rsidR="00025B11" w:rsidRPr="0066103C">
        <w:t xml:space="preserve"> B</w:t>
      </w:r>
      <w:r w:rsidR="003909F2" w:rsidRPr="0066103C">
        <w:t>eing in the w</w:t>
      </w:r>
      <w:r w:rsidR="00025B11" w:rsidRPr="0066103C">
        <w:t>rong in relation to Yahweh, one</w:t>
      </w:r>
      <w:r w:rsidR="003909F2" w:rsidRPr="0066103C">
        <w:t xml:space="preserve"> find</w:t>
      </w:r>
      <w:r w:rsidR="00025B11" w:rsidRPr="0066103C">
        <w:t>s</w:t>
      </w:r>
      <w:r w:rsidR="003909F2" w:rsidRPr="0066103C">
        <w:t xml:space="preserve"> oneself overcome by great trouble (vv 12, 13, 14), </w:t>
      </w:r>
      <w:r w:rsidR="008B32D7">
        <w:t xml:space="preserve">by </w:t>
      </w:r>
      <w:r w:rsidR="00025B11" w:rsidRPr="0066103C">
        <w:t>unprecedented trouble (v 12). The term for trouble,</w:t>
      </w:r>
      <w:r w:rsidR="003909F2" w:rsidRPr="0066103C">
        <w:t xml:space="preserve"> </w:t>
      </w:r>
      <w:r w:rsidR="003909F2" w:rsidRPr="0066103C">
        <w:rPr>
          <w:rFonts w:ascii="Arial" w:hAnsi="Arial" w:cs="Arial"/>
        </w:rPr>
        <w:t>רעה</w:t>
      </w:r>
      <w:r w:rsidR="00025B11" w:rsidRPr="0066103C">
        <w:t xml:space="preserve">, is a </w:t>
      </w:r>
      <w:r w:rsidR="003909F2" w:rsidRPr="0066103C">
        <w:t>general one, equivalent to English “bad”: it covers what is unpleasant or objectionable, what is distressing or calamitous, what is hurtful or injurious, and what is evil or wicked. In the last senses it applies to Israel’s conduct before Yahweh, in the earlier senses it applies to the judgment he brings on their conduct (e.g., Jer 36:3, 7, 31; 44:2, 3, 5, 7, 9, 11, 17, 23, 27, 29).</w:t>
      </w:r>
    </w:p>
    <w:p w:rsidR="003909F2" w:rsidRPr="0066103C" w:rsidRDefault="003909F2" w:rsidP="003909F2">
      <w:r w:rsidRPr="0066103C">
        <w:t>The concrete descriptions of this t</w:t>
      </w:r>
      <w:r w:rsidR="00025B11" w:rsidRPr="0066103C">
        <w:t>rouble are twofold. On one hand, it has involved</w:t>
      </w:r>
      <w:r w:rsidRPr="0066103C">
        <w:t xml:space="preserve"> the desolation of city and sanctuary (</w:t>
      </w:r>
      <w:r w:rsidRPr="0066103C">
        <w:rPr>
          <w:rFonts w:ascii="Arial" w:hAnsi="Arial" w:cs="Arial"/>
        </w:rPr>
        <w:t>שמם</w:t>
      </w:r>
      <w:r w:rsidR="00025B11" w:rsidRPr="0066103C">
        <w:t>, vv 17, 18). Desolation</w:t>
      </w:r>
      <w:r w:rsidRPr="0066103C">
        <w:t xml:space="preserve"> </w:t>
      </w:r>
      <w:r w:rsidR="00025B11" w:rsidRPr="0066103C">
        <w:t>suggests the wasting of a place,</w:t>
      </w:r>
      <w:r w:rsidRPr="0066103C">
        <w:t xml:space="preserve"> the devastation and ruin of what is built and the consequent emptying of what is inhabited. That a place should be wasted is a standard threat (Lev 26:22, 31–43; Jer 4:27; Amos 7:9); that the land has been wasted is a standard eleme</w:t>
      </w:r>
      <w:r w:rsidR="00272B24">
        <w:t>nt i</w:t>
      </w:r>
      <w:r w:rsidR="001D1D6F">
        <w:t>n the depiction of Judah’s posi</w:t>
      </w:r>
      <w:r w:rsidR="00272B24">
        <w:t>t</w:t>
      </w:r>
      <w:r w:rsidR="001D1D6F">
        <w:t>i</w:t>
      </w:r>
      <w:r w:rsidR="00272B24">
        <w:t>on</w:t>
      </w:r>
      <w:r w:rsidRPr="0066103C">
        <w:t xml:space="preserve"> (Isa 59:8, 19; Ezek 36:34</w:t>
      </w:r>
      <w:r w:rsidR="00272B24">
        <w:t>-</w:t>
      </w:r>
      <w:r w:rsidRPr="0066103C">
        <w:t xml:space="preserve">36; Zech 7:14; Lam 1:4, 13, 16; 5:18; 2 Chr 36:21) and of the Antiochene period (1 Macc 1:38–39; 3:45; 4:38) (see 8:13 </w:t>
      </w:r>
      <w:r w:rsidRPr="0066103C">
        <w:rPr>
          <w:i/>
        </w:rPr>
        <w:t>Comment</w:t>
      </w:r>
      <w:r w:rsidRPr="0066103C">
        <w:t>).</w:t>
      </w:r>
    </w:p>
    <w:p w:rsidR="003909F2" w:rsidRPr="0066103C" w:rsidRDefault="003909F2" w:rsidP="003909F2">
      <w:r w:rsidRPr="0066103C">
        <w:t>“Trouble” also takes the form of banishment (</w:t>
      </w:r>
      <w:r w:rsidRPr="0066103C">
        <w:rPr>
          <w:rFonts w:ascii="Arial" w:hAnsi="Arial" w:cs="Arial"/>
        </w:rPr>
        <w:t>נדח</w:t>
      </w:r>
      <w:r w:rsidRPr="0066103C">
        <w:t>, v 7) from Judah and Jerusalem to countries near and far away. That phrase is characteristic of Jeremianic prose. There is a pathos about the phrase “all the countries where</w:t>
      </w:r>
      <w:r w:rsidR="001D1D6F">
        <w:t xml:space="preserve"> you have driven them”; it </w:t>
      </w:r>
      <w:r w:rsidRPr="0066103C">
        <w:t>features prominently in promises that Yahweh will restore the people even from all these countries (Jer 16:15; 23:3, 8; 29:14; 32:37; 46:27</w:t>
      </w:r>
      <w:r w:rsidR="00025B11" w:rsidRPr="0066103C">
        <w:t xml:space="preserve">; also Deut 31:1, where in this context </w:t>
      </w:r>
      <w:r w:rsidRPr="0066103C">
        <w:t xml:space="preserve">the exiles </w:t>
      </w:r>
      <w:r w:rsidR="008B32D7">
        <w:t xml:space="preserve">are </w:t>
      </w:r>
      <w:r w:rsidRPr="0066103C">
        <w:t>coming to their senses).</w:t>
      </w:r>
    </w:p>
    <w:p w:rsidR="003909F2" w:rsidRPr="0066103C" w:rsidRDefault="00025B11" w:rsidP="003909F2">
      <w:r w:rsidRPr="0066103C">
        <w:t xml:space="preserve">One of the threats </w:t>
      </w:r>
      <w:r w:rsidR="003909F2" w:rsidRPr="0066103C">
        <w:t>of Israel</w:t>
      </w:r>
      <w:r w:rsidRPr="0066103C">
        <w:t>’s banishment, Jer 29:18, also refers to it</w:t>
      </w:r>
      <w:r w:rsidR="003909F2" w:rsidRPr="0066103C">
        <w:t>s bringing abuse (</w:t>
      </w:r>
      <w:r w:rsidR="003909F2" w:rsidRPr="0066103C">
        <w:rPr>
          <w:rFonts w:ascii="Arial" w:hAnsi="Arial" w:cs="Arial"/>
        </w:rPr>
        <w:t>חרפה</w:t>
      </w:r>
      <w:r w:rsidR="003909F2" w:rsidRPr="0066103C">
        <w:t>) on Judah—not to say taunts and curses; cf. also Jer 24:9; 49:13.</w:t>
      </w:r>
      <w:r w:rsidR="001D1D6F">
        <w:t xml:space="preserve"> Daniel, too, speaks of </w:t>
      </w:r>
      <w:r w:rsidR="003909F2" w:rsidRPr="0066103C">
        <w:t>the desolation and emptying o</w:t>
      </w:r>
      <w:r w:rsidR="001D1D6F">
        <w:t>f Jerusalem having</w:t>
      </w:r>
      <w:r w:rsidR="00157DEC" w:rsidRPr="0066103C">
        <w:t xml:space="preserve"> brought </w:t>
      </w:r>
      <w:r w:rsidR="003909F2" w:rsidRPr="0066103C">
        <w:t>shame and abuse (</w:t>
      </w:r>
      <w:r w:rsidR="003909F2" w:rsidRPr="0066103C">
        <w:rPr>
          <w:rFonts w:ascii="Arial" w:hAnsi="Arial" w:cs="Arial"/>
        </w:rPr>
        <w:t>בשת</w:t>
      </w:r>
      <w:r w:rsidR="003909F2" w:rsidRPr="0066103C">
        <w:t xml:space="preserve">, </w:t>
      </w:r>
      <w:r w:rsidR="003909F2" w:rsidRPr="0066103C">
        <w:rPr>
          <w:rFonts w:ascii="Arial" w:hAnsi="Arial" w:cs="Arial"/>
        </w:rPr>
        <w:t>חרפה</w:t>
      </w:r>
      <w:r w:rsidR="003909F2" w:rsidRPr="0066103C">
        <w:t>; vv 7, 8, 16). The two terms come together in Isa 54:4; Jer 51:51 to denote the real or imaginary sense of cont</w:t>
      </w:r>
      <w:r w:rsidR="001D1D6F">
        <w:t>umely and contempt caused</w:t>
      </w:r>
      <w:r w:rsidR="003909F2" w:rsidRPr="0066103C">
        <w:t xml:space="preserve"> by th</w:t>
      </w:r>
      <w:r w:rsidR="00157DEC" w:rsidRPr="0066103C">
        <w:t>e exile (also Isa 30:5; Ps 69:19 [20</w:t>
      </w:r>
      <w:r w:rsidR="003909F2" w:rsidRPr="0066103C">
        <w:t xml:space="preserve">]). The visible shame to which Daniel refers appears also in Jer 7:19; Ps 44:16; Ezra 9:7; 2 Chr 32:21, while passages such as Ezek 5:14–15; 36:15; Lam 5:1 speak of the abuse </w:t>
      </w:r>
      <w:r w:rsidR="00272B24">
        <w:t>brought upon Israel by the fall of Jerusalem</w:t>
      </w:r>
      <w:r w:rsidR="003909F2" w:rsidRPr="0066103C">
        <w:t xml:space="preserve"> (cf. also </w:t>
      </w:r>
      <w:r w:rsidR="003909F2" w:rsidRPr="0066103C">
        <w:rPr>
          <w:rFonts w:ascii="Arial" w:hAnsi="Arial" w:cs="Arial"/>
        </w:rPr>
        <w:t>ובחרפה</w:t>
      </w:r>
      <w:r w:rsidR="003909F2" w:rsidRPr="0066103C">
        <w:t xml:space="preserve"> </w:t>
      </w:r>
      <w:r w:rsidR="00157DEC" w:rsidRPr="0066103C">
        <w:rPr>
          <w:rFonts w:ascii="Arial" w:hAnsi="Arial" w:cs="Arial"/>
        </w:rPr>
        <w:t>גדלה</w:t>
      </w:r>
      <w:r w:rsidR="00157DEC" w:rsidRPr="0066103C">
        <w:t xml:space="preserve"> </w:t>
      </w:r>
      <w:r w:rsidR="003909F2" w:rsidRPr="0066103C">
        <w:rPr>
          <w:rFonts w:ascii="Arial" w:hAnsi="Arial" w:cs="Arial"/>
        </w:rPr>
        <w:t>ברעה</w:t>
      </w:r>
      <w:r w:rsidR="003909F2" w:rsidRPr="0066103C">
        <w:t xml:space="preserve"> “in great trouble and </w:t>
      </w:r>
      <w:r w:rsidR="001D1D6F">
        <w:t xml:space="preserve">in </w:t>
      </w:r>
      <w:r w:rsidR="003909F2" w:rsidRPr="0066103C">
        <w:t>reproach” in Neh 1:3, leading in to Nehemiah’s prose confession).</w:t>
      </w:r>
    </w:p>
    <w:p w:rsidR="003909F2" w:rsidRPr="0066103C" w:rsidRDefault="00157DEC" w:rsidP="003909F2">
      <w:r w:rsidRPr="0066103C">
        <w:t>Daniel’s</w:t>
      </w:r>
      <w:r w:rsidR="003909F2" w:rsidRPr="0066103C">
        <w:t xml:space="preserve"> prayer is prayed </w:t>
      </w:r>
      <w:r w:rsidR="00AA67CD" w:rsidRPr="0066103C">
        <w:t xml:space="preserve">as out of the situation brought about </w:t>
      </w:r>
      <w:r w:rsidR="008B32D7">
        <w:t>b</w:t>
      </w:r>
      <w:r w:rsidR="00AA67CD" w:rsidRPr="0066103C">
        <w:t>y the fall of Jerusalem</w:t>
      </w:r>
      <w:r w:rsidR="008B32D7">
        <w:t>. Here</w:t>
      </w:r>
      <w:r w:rsidR="003909F2" w:rsidRPr="0066103C">
        <w:t xml:space="preserve"> </w:t>
      </w:r>
      <w:r w:rsidR="008B32D7">
        <w:t>as</w:t>
      </w:r>
      <w:r w:rsidRPr="0066103C">
        <w:t xml:space="preserve"> in other apocalypses, it</w:t>
      </w:r>
      <w:r w:rsidR="003909F2" w:rsidRPr="0066103C">
        <w:t xml:space="preserve"> i</w:t>
      </w:r>
      <w:r w:rsidRPr="0066103C">
        <w:t xml:space="preserve">s not a </w:t>
      </w:r>
      <w:r w:rsidR="003909F2" w:rsidRPr="0066103C">
        <w:t>fictiona</w:t>
      </w:r>
      <w:r w:rsidR="00AA67CD" w:rsidRPr="0066103C">
        <w:t>l conceit. It was from that sixth-century catastrophe</w:t>
      </w:r>
      <w:r w:rsidR="003909F2" w:rsidRPr="0066103C">
        <w:t xml:space="preserve"> that many of the</w:t>
      </w:r>
      <w:r w:rsidRPr="0066103C">
        <w:t xml:space="preserve"> problems of second-century</w:t>
      </w:r>
      <w:r w:rsidR="00AA67CD" w:rsidRPr="0066103C">
        <w:t xml:space="preserve"> Jews stemmed. It was their model experience, as </w:t>
      </w:r>
      <w:r w:rsidR="003909F2" w:rsidRPr="0066103C">
        <w:t xml:space="preserve">is </w:t>
      </w:r>
      <w:r w:rsidR="00AA67CD" w:rsidRPr="0066103C">
        <w:t xml:space="preserve">the case </w:t>
      </w:r>
      <w:r w:rsidR="003909F2" w:rsidRPr="0066103C">
        <w:t xml:space="preserve">in many of the laments in the Psalter, though the content of their prayer is different (see </w:t>
      </w:r>
      <w:r w:rsidR="003909F2" w:rsidRPr="0066103C">
        <w:rPr>
          <w:i/>
        </w:rPr>
        <w:t>Form</w:t>
      </w:r>
      <w:r w:rsidRPr="0066103C">
        <w:t>)</w:t>
      </w:r>
      <w:r w:rsidR="003909F2" w:rsidRPr="0066103C">
        <w:t>.</w:t>
      </w:r>
      <w:r w:rsidRPr="0066103C">
        <w:rPr>
          <w:rStyle w:val="FootnoteReference"/>
        </w:rPr>
        <w:footnoteReference w:id="491"/>
      </w:r>
      <w:r w:rsidR="003909F2" w:rsidRPr="0066103C">
        <w:t xml:space="preserve"> As </w:t>
      </w:r>
      <w:r w:rsidR="008B32D7">
        <w:t>Daniel’s</w:t>
      </w:r>
      <w:r w:rsidR="003909F2" w:rsidRPr="0066103C">
        <w:t xml:space="preserve"> prayer overtly takes up the expe</w:t>
      </w:r>
      <w:r w:rsidR="00AA67CD" w:rsidRPr="0066103C">
        <w:t>rience of the sixth century</w:t>
      </w:r>
      <w:r w:rsidR="003909F2" w:rsidRPr="0066103C">
        <w:t>, it covertly takes up that of the second</w:t>
      </w:r>
      <w:r w:rsidR="00AA67CD" w:rsidRPr="0066103C">
        <w:t xml:space="preserve"> century</w:t>
      </w:r>
      <w:r w:rsidR="003909F2" w:rsidRPr="0066103C">
        <w:t xml:space="preserve">, </w:t>
      </w:r>
      <w:r w:rsidR="00AA67CD" w:rsidRPr="0066103C">
        <w:t>in which that earlier experience</w:t>
      </w:r>
      <w:r w:rsidR="003909F2" w:rsidRPr="0066103C">
        <w:t xml:space="preserve"> continues.</w:t>
      </w:r>
    </w:p>
    <w:p w:rsidR="003909F2" w:rsidRPr="0066103C" w:rsidRDefault="003909F2" w:rsidP="003909F2">
      <w:r w:rsidRPr="0066103C">
        <w:lastRenderedPageBreak/>
        <w:t>Thus far, Daniel’s descri</w:t>
      </w:r>
      <w:r w:rsidR="00AA67CD" w:rsidRPr="0066103C">
        <w:t>ption of the people’s fate</w:t>
      </w:r>
      <w:r w:rsidRPr="0066103C">
        <w:t xml:space="preserve"> bears comparison with </w:t>
      </w:r>
      <w:r w:rsidR="008B32D7">
        <w:t>the description</w:t>
      </w:r>
      <w:r w:rsidR="00AA67CD" w:rsidRPr="0066103C">
        <w:t xml:space="preserve"> in 1 Macc 1:39–40; 2:7–12</w:t>
      </w:r>
      <w:r w:rsidRPr="0066103C">
        <w:t>:</w:t>
      </w:r>
      <w:r w:rsidR="00AA67CD" w:rsidRPr="0066103C">
        <w:rPr>
          <w:rStyle w:val="FootnoteReference"/>
        </w:rPr>
        <w:footnoteReference w:id="492"/>
      </w:r>
      <w:r w:rsidRPr="0066103C">
        <w:t xml:space="preserve"> desolation, mourning, dishonor, banishment. Daniel’s understanding of its cause, however, dif</w:t>
      </w:r>
      <w:r w:rsidR="00AA67CD" w:rsidRPr="0066103C">
        <w:t>fers from that in 1 Maccabees. He can picture the ca</w:t>
      </w:r>
      <w:r w:rsidR="00534250" w:rsidRPr="0066103C">
        <w:t>use in impersonal terms: i</w:t>
      </w:r>
      <w:r w:rsidR="00AA67CD" w:rsidRPr="0066103C">
        <w:t>n their affliction</w:t>
      </w:r>
      <w:r w:rsidRPr="0066103C">
        <w:t xml:space="preserve"> a solemn, written curse has its effect (v 11). </w:t>
      </w:r>
      <w:r w:rsidR="00534250" w:rsidRPr="0066103C">
        <w:t>A curse</w:t>
      </w:r>
      <w:r w:rsidRPr="0066103C">
        <w:t xml:space="preserve"> (</w:t>
      </w:r>
      <w:r w:rsidRPr="0066103C">
        <w:rPr>
          <w:rFonts w:ascii="Arial" w:hAnsi="Arial" w:cs="Arial"/>
        </w:rPr>
        <w:t>לה</w:t>
      </w:r>
      <w:r w:rsidR="008B32D7" w:rsidRPr="008B32D7">
        <w:rPr>
          <w:rFonts w:ascii="Arial" w:hAnsi="Arial" w:cs="Arial"/>
        </w:rPr>
        <w:t>א</w:t>
      </w:r>
      <w:r w:rsidRPr="0066103C">
        <w:t>) does not denote an imprecation,</w:t>
      </w:r>
      <w:r w:rsidR="00AA67CD" w:rsidRPr="0066103C">
        <w:t xml:space="preserve"> but a sanction imposed in the </w:t>
      </w:r>
      <w:r w:rsidRPr="0066103C">
        <w:t>name of legal rig</w:t>
      </w:r>
      <w:r w:rsidR="00AA67CD" w:rsidRPr="0066103C">
        <w:t>hts or religio-ethical demands</w:t>
      </w:r>
      <w:r w:rsidRPr="0066103C">
        <w:t>.</w:t>
      </w:r>
      <w:r w:rsidR="00AA67CD" w:rsidRPr="0066103C">
        <w:rPr>
          <w:rStyle w:val="FootnoteReference"/>
        </w:rPr>
        <w:footnoteReference w:id="493"/>
      </w:r>
      <w:r w:rsidRPr="0066103C">
        <w:t xml:space="preserve"> Such a conditional </w:t>
      </w:r>
      <w:r w:rsidR="00534250" w:rsidRPr="0066103C">
        <w:t xml:space="preserve">curse buttresses </w:t>
      </w:r>
      <w:r w:rsidRPr="0066103C">
        <w:t>the commitment to fidelity that two parties make to a treaty. By analogy, the treaty/covenant relationship that Yahweh lays upon Isra</w:t>
      </w:r>
      <w:r w:rsidR="00534250" w:rsidRPr="0066103C">
        <w:t>el is protected by a curse, as</w:t>
      </w:r>
      <w:r w:rsidRPr="0066103C">
        <w:t xml:space="preserve"> </w:t>
      </w:r>
      <w:r w:rsidR="008B32D7">
        <w:t xml:space="preserve">is </w:t>
      </w:r>
      <w:r w:rsidRPr="0066103C">
        <w:t>dec</w:t>
      </w:r>
      <w:r w:rsidR="00D30879" w:rsidRPr="0066103C">
        <w:t>lared in Deut 29 (see esp.</w:t>
      </w:r>
      <w:r w:rsidRPr="0066103C">
        <w:t xml:space="preserve"> vv </w:t>
      </w:r>
      <w:r w:rsidR="00534250" w:rsidRPr="0066103C">
        <w:t>19-21 [18–20</w:t>
      </w:r>
      <w:r w:rsidRPr="0066103C">
        <w:t>]), which backs up the promises a</w:t>
      </w:r>
      <w:r w:rsidR="00534250" w:rsidRPr="0066103C">
        <w:t xml:space="preserve">nd warnings of chaps. 27–28. Such a curse </w:t>
      </w:r>
      <w:r w:rsidRPr="0066103C">
        <w:t>“overwhelmed” Israel (</w:t>
      </w:r>
      <w:r w:rsidRPr="0066103C">
        <w:rPr>
          <w:rFonts w:ascii="Arial" w:hAnsi="Arial" w:cs="Arial"/>
        </w:rPr>
        <w:t>נתך</w:t>
      </w:r>
      <w:r w:rsidRPr="0066103C">
        <w:t>): the image is of something pouring forth and flowing over, like a torrent of rain or a flooding waterfall (Exod 9:33; Job 3:24). The word is regularly used of God’s wrath overwhelming people; and—solemnly—of the smelting of metal in a furnace, a figure of judgment (e.g., Ezek 22:17–22).</w:t>
      </w:r>
    </w:p>
    <w:p w:rsidR="003909F2" w:rsidRPr="0066103C" w:rsidRDefault="003909F2" w:rsidP="003909F2">
      <w:r w:rsidRPr="0066103C">
        <w:t xml:space="preserve">To speak of a curse overwhelming Israel is to exclude </w:t>
      </w:r>
      <w:r w:rsidR="001D1D6F">
        <w:t xml:space="preserve">an </w:t>
      </w:r>
      <w:r w:rsidRPr="0066103C">
        <w:t>explanation of their calamity in terms of chance or of the demonic. It is not, however, to exclude an expl</w:t>
      </w:r>
      <w:r w:rsidR="00C247AE" w:rsidRPr="0066103C">
        <w:t>anation in terms of the magical.</w:t>
      </w:r>
      <w:r w:rsidR="00C247AE" w:rsidRPr="0066103C">
        <w:rPr>
          <w:rStyle w:val="FootnoteReference"/>
        </w:rPr>
        <w:footnoteReference w:id="494"/>
      </w:r>
      <w:r w:rsidR="00C247AE" w:rsidRPr="0066103C">
        <w:t xml:space="preserve"> H</w:t>
      </w:r>
      <w:r w:rsidRPr="0066103C">
        <w:t>ere</w:t>
      </w:r>
      <w:r w:rsidR="00C247AE" w:rsidRPr="0066103C">
        <w:t xml:space="preserve">, however, Daniel </w:t>
      </w:r>
      <w:r w:rsidRPr="0066103C">
        <w:t>immediatel</w:t>
      </w:r>
      <w:r w:rsidR="00C247AE" w:rsidRPr="0066103C">
        <w:t>y describes</w:t>
      </w:r>
      <w:r w:rsidRPr="0066103C">
        <w:t xml:space="preserve"> </w:t>
      </w:r>
      <w:r w:rsidR="00C247AE" w:rsidRPr="0066103C">
        <w:t xml:space="preserve">the calamity’s origin </w:t>
      </w:r>
      <w:r w:rsidRPr="0066103C">
        <w:t xml:space="preserve">more personally: in it Yahweh is keeping his spoken undertaking (v 12). </w:t>
      </w:r>
      <w:r w:rsidR="00C247AE" w:rsidRPr="0066103C">
        <w:t>Daniel underlines t</w:t>
      </w:r>
      <w:r w:rsidRPr="0066103C">
        <w:t>h</w:t>
      </w:r>
      <w:r w:rsidR="00C247AE" w:rsidRPr="0066103C">
        <w:t xml:space="preserve">e personal deliberateness of Yahweh’s deed </w:t>
      </w:r>
      <w:r w:rsidRPr="0066103C">
        <w:t>by speaking of him as watching over the trouble, keeping it ready; it comes as his carefully considered act (v 14), the determined realization of a predetermined plan. The unusual verb Daniel uses (</w:t>
      </w:r>
      <w:r w:rsidRPr="0066103C">
        <w:rPr>
          <w:rFonts w:ascii="Arial" w:hAnsi="Arial" w:cs="Arial"/>
        </w:rPr>
        <w:t>שקד</w:t>
      </w:r>
      <w:r w:rsidRPr="0066103C">
        <w:t>) again recalls Jeremianic prose (Jer 1:11–12; 31:28; 44:27).</w:t>
      </w:r>
    </w:p>
    <w:p w:rsidR="003909F2" w:rsidRDefault="003909F2" w:rsidP="003909F2">
      <w:r w:rsidRPr="0066103C">
        <w:t>At the same time, his act expresses his burning fury (</w:t>
      </w:r>
      <w:r w:rsidRPr="0066103C">
        <w:rPr>
          <w:rFonts w:ascii="Arial" w:hAnsi="Arial" w:cs="Arial"/>
        </w:rPr>
        <w:t>וחמה</w:t>
      </w:r>
      <w:r w:rsidR="00C247AE" w:rsidRPr="0066103C">
        <w:rPr>
          <w:rFonts w:ascii="Arial" w:hAnsi="Arial" w:cs="Arial"/>
        </w:rPr>
        <w:t xml:space="preserve"> אף</w:t>
      </w:r>
      <w:r w:rsidRPr="0066103C">
        <w:t>, v 16). The OT can speak of wrath</w:t>
      </w:r>
      <w:r w:rsidR="00C247AE" w:rsidRPr="0066103C">
        <w:t>, too,</w:t>
      </w:r>
      <w:r w:rsidRPr="0066103C">
        <w:t xml:space="preserve"> as an impersonal disaster that comes on people irrespective of what they deserve (e.g., 2 Kgs 3:27; Qoh 5:17), or as </w:t>
      </w:r>
      <w:r w:rsidR="008B32D7">
        <w:t xml:space="preserve">a </w:t>
      </w:r>
      <w:r w:rsidRPr="0066103C">
        <w:t xml:space="preserve">disaster that comes on people as retribution for wrongdoing but without the idea of God’s personal activity being prominent (e.g., Josh 9:20; cf. Ezra 7:23). In each of the passages just quoted, the noun is </w:t>
      </w:r>
      <w:r w:rsidRPr="0066103C">
        <w:rPr>
          <w:rFonts w:ascii="Arial" w:hAnsi="Arial" w:cs="Arial"/>
        </w:rPr>
        <w:t>קצף</w:t>
      </w:r>
      <w:r w:rsidRPr="0066103C">
        <w:t xml:space="preserve">. In Daniel the term </w:t>
      </w:r>
      <w:r w:rsidRPr="0066103C">
        <w:rPr>
          <w:rFonts w:ascii="Arial" w:hAnsi="Arial" w:cs="Arial"/>
        </w:rPr>
        <w:t>זעם</w:t>
      </w:r>
      <w:r w:rsidRPr="0066103C">
        <w:t xml:space="preserve"> is used in a similar way (8:19; 11:36; following Isa 10:25;</w:t>
      </w:r>
      <w:r w:rsidR="00D44B1C">
        <w:rPr>
          <w:rStyle w:val="FootnoteReference"/>
        </w:rPr>
        <w:footnoteReference w:id="495"/>
      </w:r>
      <w:r w:rsidRPr="0066103C">
        <w:t xml:space="preserve"> 26:20). But </w:t>
      </w:r>
      <w:r w:rsidRPr="0066103C">
        <w:rPr>
          <w:rFonts w:ascii="Arial" w:hAnsi="Arial" w:cs="Arial"/>
        </w:rPr>
        <w:t>אף</w:t>
      </w:r>
      <w:r w:rsidRPr="0066103C">
        <w:t xml:space="preserve"> and </w:t>
      </w:r>
      <w:r w:rsidRPr="0066103C">
        <w:rPr>
          <w:rFonts w:ascii="Arial" w:hAnsi="Arial" w:cs="Arial"/>
        </w:rPr>
        <w:t>חמה</w:t>
      </w:r>
      <w:r w:rsidRPr="0066103C">
        <w:t>, the OT’s two most freque</w:t>
      </w:r>
      <w:r w:rsidR="00C247AE" w:rsidRPr="0066103C">
        <w:t xml:space="preserve">nt words for anger, appear </w:t>
      </w:r>
      <w:r w:rsidRPr="0066103C">
        <w:t xml:space="preserve">more consistently with a possessive pronoun or noun, or with another indication in the context that they are essentially personal expressions. Feelings are more integral to </w:t>
      </w:r>
      <w:r w:rsidR="008B32D7">
        <w:t>the aspect of wrath they convey:</w:t>
      </w:r>
      <w:r w:rsidRPr="0066103C">
        <w:t xml:space="preserve"> wrath as it shows in the appearance of the face (and the snort of the nostrils?) (</w:t>
      </w:r>
      <w:r w:rsidRPr="0066103C">
        <w:rPr>
          <w:rFonts w:ascii="Arial" w:hAnsi="Arial" w:cs="Arial"/>
        </w:rPr>
        <w:t>אף</w:t>
      </w:r>
      <w:r w:rsidRPr="0066103C">
        <w:t>); wrath as burning rage (</w:t>
      </w:r>
      <w:r w:rsidRPr="0066103C">
        <w:rPr>
          <w:rFonts w:ascii="Arial" w:hAnsi="Arial" w:cs="Arial"/>
        </w:rPr>
        <w:t>חמה</w:t>
      </w:r>
      <w:r w:rsidRPr="0066103C">
        <w:t>).</w:t>
      </w:r>
    </w:p>
    <w:p w:rsidR="00E35936" w:rsidRPr="0066103C" w:rsidRDefault="00FB7C60" w:rsidP="003909F2">
      <w:r w:rsidRPr="002C2955">
        <w:rPr>
          <w:b/>
        </w:rPr>
        <w:t xml:space="preserve">3–23 </w:t>
      </w:r>
      <w:r w:rsidR="003909F2" w:rsidRPr="002C2955">
        <w:rPr>
          <w:b/>
        </w:rPr>
        <w:t>(h)</w:t>
      </w:r>
      <w:r w:rsidR="003909F2" w:rsidRPr="0066103C">
        <w:t xml:space="preserve"> The antonyms of anger in the OT are words such as </w:t>
      </w:r>
      <w:r w:rsidR="003909F2" w:rsidRPr="0066103C">
        <w:rPr>
          <w:rFonts w:ascii="Arial" w:hAnsi="Arial" w:cs="Arial"/>
        </w:rPr>
        <w:t>רחמים</w:t>
      </w:r>
      <w:r w:rsidR="003909F2" w:rsidRPr="0066103C">
        <w:t xml:space="preserve"> “compassion” and </w:t>
      </w:r>
      <w:r w:rsidR="003909F2" w:rsidRPr="0066103C">
        <w:rPr>
          <w:rFonts w:ascii="Arial" w:hAnsi="Arial" w:cs="Arial"/>
        </w:rPr>
        <w:t>חסד</w:t>
      </w:r>
      <w:r w:rsidR="00C247AE" w:rsidRPr="0066103C">
        <w:t xml:space="preserve"> “commitment</w:t>
      </w:r>
      <w:r w:rsidR="003909F2" w:rsidRPr="0066103C">
        <w:t>.</w:t>
      </w:r>
      <w:r w:rsidR="00C247AE" w:rsidRPr="0066103C">
        <w:t>”</w:t>
      </w:r>
      <w:r w:rsidR="00C247AE" w:rsidRPr="0066103C">
        <w:rPr>
          <w:rStyle w:val="FootnoteReference"/>
        </w:rPr>
        <w:footnoteReference w:id="496"/>
      </w:r>
      <w:r w:rsidR="00C247AE" w:rsidRPr="0066103C">
        <w:t xml:space="preserve"> And</w:t>
      </w:r>
      <w:r w:rsidR="003909F2" w:rsidRPr="0066103C">
        <w:t xml:space="preserve"> the God of Israel h</w:t>
      </w:r>
      <w:r w:rsidR="00C247AE" w:rsidRPr="0066103C">
        <w:t>as already been described in this</w:t>
      </w:r>
      <w:r w:rsidR="003909F2" w:rsidRPr="0066103C">
        <w:t xml:space="preserve"> prayer as the God of compass</w:t>
      </w:r>
      <w:r w:rsidR="008B32D7">
        <w:t xml:space="preserve">ion and commitment. It is on this basis </w:t>
      </w:r>
      <w:r w:rsidR="00C247AE" w:rsidRPr="0066103C">
        <w:t>that Daniel intercedes with him</w:t>
      </w:r>
      <w:r w:rsidR="008B32D7">
        <w:t xml:space="preserve"> on Israel’s behalf. H</w:t>
      </w:r>
      <w:r w:rsidR="003909F2" w:rsidRPr="0066103C">
        <w:t xml:space="preserve">is </w:t>
      </w:r>
      <w:r w:rsidR="00C247AE" w:rsidRPr="0066103C">
        <w:t>intercession involves turning to God (v 3). In 6:10 [11</w:t>
      </w:r>
      <w:r w:rsidR="003909F2" w:rsidRPr="0066103C">
        <w:t xml:space="preserve">] Daniel prayed in a room facing Jerusalem, and here </w:t>
      </w:r>
      <w:r w:rsidR="00C247AE" w:rsidRPr="0066103C">
        <w:t>his turning to the Lord will have</w:t>
      </w:r>
      <w:r w:rsidR="003909F2" w:rsidRPr="0066103C">
        <w:t xml:space="preserve"> a similar implication.</w:t>
      </w:r>
      <w:r w:rsidR="00C247AE" w:rsidRPr="0066103C">
        <w:rPr>
          <w:rStyle w:val="FootnoteReference"/>
        </w:rPr>
        <w:footnoteReference w:id="497"/>
      </w:r>
      <w:r w:rsidR="003909F2" w:rsidRPr="0066103C">
        <w:t xml:space="preserve"> At the same time, turning </w:t>
      </w:r>
    </w:p>
    <w:p w:rsidR="003909F2" w:rsidRPr="0066103C" w:rsidRDefault="003909F2" w:rsidP="00E35936">
      <w:pPr>
        <w:ind w:firstLine="0"/>
      </w:pPr>
      <w:r w:rsidRPr="0066103C">
        <w:t>(</w:t>
      </w:r>
      <w:r w:rsidRPr="0066103C">
        <w:rPr>
          <w:rFonts w:ascii="Arial" w:hAnsi="Arial" w:cs="Arial"/>
        </w:rPr>
        <w:t>פני</w:t>
      </w:r>
      <w:r w:rsidR="00E35936" w:rsidRPr="0066103C">
        <w:rPr>
          <w:rFonts w:ascii="Arial" w:hAnsi="Arial" w:cs="Arial"/>
        </w:rPr>
        <w:t xml:space="preserve"> את ואתנה</w:t>
      </w:r>
      <w:r w:rsidRPr="0066103C">
        <w:t>, “I set my face”) implies a deliberate, purposeful act express</w:t>
      </w:r>
      <w:r w:rsidR="0068409F">
        <w:t>ive of determination in connection with</w:t>
      </w:r>
      <w:r w:rsidRPr="0066103C">
        <w:t xml:space="preserve"> a crisis or challenge: cf. 2 Chr 20:3;</w:t>
      </w:r>
      <w:r w:rsidR="00E35936" w:rsidRPr="0066103C">
        <w:t xml:space="preserve"> also Gen 31:21; and 2 Kgs 12:17 [18</w:t>
      </w:r>
      <w:r w:rsidRPr="0066103C">
        <w:t>] with Luke 9:51; contrast Dan 10:15. The deliberateness of Daniel’s action is underlined by his describing it as “laying down” supplications before Yahweh (</w:t>
      </w:r>
      <w:r w:rsidRPr="0066103C">
        <w:rPr>
          <w:rFonts w:ascii="Arial" w:hAnsi="Arial" w:cs="Arial"/>
        </w:rPr>
        <w:t>הפיל</w:t>
      </w:r>
      <w:r w:rsidRPr="0066103C">
        <w:t>, “cause th</w:t>
      </w:r>
      <w:r w:rsidR="00E35936" w:rsidRPr="0066103C">
        <w:t>em to fall”; v 20). Behind this</w:t>
      </w:r>
      <w:r w:rsidRPr="0066103C">
        <w:t xml:space="preserve"> expression </w:t>
      </w:r>
      <w:r w:rsidR="00E35936" w:rsidRPr="0066103C">
        <w:t xml:space="preserve">there lies the practice of causing oneself </w:t>
      </w:r>
      <w:r w:rsidRPr="0066103C">
        <w:t>to fall before God. “Supplications” (</w:t>
      </w:r>
      <w:r w:rsidR="00E35936" w:rsidRPr="0066103C">
        <w:rPr>
          <w:rFonts w:ascii="Arial" w:hAnsi="Arial" w:cs="Arial"/>
        </w:rPr>
        <w:t>ים</w:t>
      </w:r>
      <w:r w:rsidR="00E35936" w:rsidRPr="0066103C">
        <w:t xml:space="preserve"> </w:t>
      </w:r>
      <w:r w:rsidRPr="0066103C">
        <w:rPr>
          <w:rFonts w:ascii="Arial" w:hAnsi="Arial" w:cs="Arial"/>
        </w:rPr>
        <w:t>תחנונ</w:t>
      </w:r>
      <w:r w:rsidRPr="0066103C">
        <w:t>, vv 3, 20, 23) are prayers in which one casts oneself on grace (</w:t>
      </w:r>
      <w:r w:rsidRPr="0066103C">
        <w:rPr>
          <w:rFonts w:ascii="Arial" w:hAnsi="Arial" w:cs="Arial"/>
        </w:rPr>
        <w:t>חן</w:t>
      </w:r>
      <w:r w:rsidR="00E35936" w:rsidRPr="0066103C">
        <w:t>) and pleads on that basis</w:t>
      </w:r>
      <w:r w:rsidRPr="0066103C">
        <w:t>.</w:t>
      </w:r>
    </w:p>
    <w:p w:rsidR="003909F2" w:rsidRPr="0066103C" w:rsidRDefault="003909F2" w:rsidP="003909F2">
      <w:r w:rsidRPr="0066103C">
        <w:t xml:space="preserve">Daniel’s prayer for Jerusalem’s restoration begins as a confession (see also v 20). The verb </w:t>
      </w:r>
      <w:r w:rsidRPr="0066103C">
        <w:rPr>
          <w:rFonts w:ascii="Arial" w:hAnsi="Arial" w:cs="Arial"/>
        </w:rPr>
        <w:t>ידה</w:t>
      </w:r>
      <w:r w:rsidRPr="0066103C">
        <w:t>[</w:t>
      </w:r>
      <w:r w:rsidRPr="0066103C">
        <w:rPr>
          <w:rFonts w:ascii="Arial" w:hAnsi="Arial" w:cs="Arial"/>
        </w:rPr>
        <w:t>הת</w:t>
      </w:r>
      <w:r w:rsidR="00084F3B">
        <w:t xml:space="preserve">] covers </w:t>
      </w:r>
      <w:r w:rsidR="00E35936" w:rsidRPr="0066103C">
        <w:t>confessing</w:t>
      </w:r>
      <w:r w:rsidRPr="0066103C">
        <w:t xml:space="preserve"> </w:t>
      </w:r>
      <w:r w:rsidR="00084F3B">
        <w:t xml:space="preserve">both </w:t>
      </w:r>
      <w:r w:rsidRPr="0066103C">
        <w:t>the great</w:t>
      </w:r>
      <w:r w:rsidR="00E35936" w:rsidRPr="0066103C">
        <w:t xml:space="preserve"> things God has done (2:23; 6:10 [11]) and</w:t>
      </w:r>
      <w:r w:rsidRPr="0066103C">
        <w:t xml:space="preserve"> the wrong things we </w:t>
      </w:r>
      <w:r w:rsidRPr="0066103C">
        <w:lastRenderedPageBreak/>
        <w:t>have done. In either c</w:t>
      </w:r>
      <w:r w:rsidR="00E35936" w:rsidRPr="0066103C">
        <w:t>ase, the confession characteristically takes the form of</w:t>
      </w:r>
      <w:r w:rsidRPr="0066103C">
        <w:t xml:space="preserve"> pure statement: either the declaration of </w:t>
      </w:r>
      <w:r w:rsidR="00E35936" w:rsidRPr="0066103C">
        <w:t xml:space="preserve">God’s acts (e.g., Ps 40) or the </w:t>
      </w:r>
      <w:r w:rsidRPr="0066103C">
        <w:t>declaration of our acts (as here). In either case, expressions such as “we thank you” or “we are sorry” have less prom</w:t>
      </w:r>
      <w:r w:rsidR="00E35936" w:rsidRPr="0066103C">
        <w:t>inence than is the case with Christian worship. The confession</w:t>
      </w:r>
      <w:r w:rsidRPr="0066103C">
        <w:t xml:space="preserve"> lies in the statements themselves.</w:t>
      </w:r>
      <w:r w:rsidR="00E35936" w:rsidRPr="0066103C">
        <w:rPr>
          <w:rStyle w:val="FootnoteReference"/>
        </w:rPr>
        <w:footnoteReference w:id="498"/>
      </w:r>
      <w:r w:rsidRPr="0066103C">
        <w:t xml:space="preserve"> Further, in the c</w:t>
      </w:r>
      <w:r w:rsidR="00E35936" w:rsidRPr="0066103C">
        <w:t xml:space="preserve">ase of confessing sin, this act also is a confession </w:t>
      </w:r>
      <w:r w:rsidRPr="0066103C">
        <w:t>of the justice of God</w:t>
      </w:r>
      <w:r w:rsidR="00E35936" w:rsidRPr="0066103C">
        <w:t>—</w:t>
      </w:r>
      <w:r w:rsidRPr="0066103C">
        <w:t xml:space="preserve">an act of praise at the justice of his judgment (see </w:t>
      </w:r>
      <w:r w:rsidRPr="0066103C">
        <w:rPr>
          <w:i/>
        </w:rPr>
        <w:t>Form</w:t>
      </w:r>
      <w:r w:rsidRPr="0066103C">
        <w:t>).</w:t>
      </w:r>
    </w:p>
    <w:p w:rsidR="00C54405" w:rsidRPr="0066103C" w:rsidRDefault="00E35936" w:rsidP="003909F2">
      <w:r w:rsidRPr="0066103C">
        <w:t>Such</w:t>
      </w:r>
      <w:r w:rsidR="00D60754">
        <w:t xml:space="preserve"> turning to God is </w:t>
      </w:r>
      <w:r w:rsidR="003909F2" w:rsidRPr="0066103C">
        <w:t>a matter of words, spoken out loud (vv 20, 21). But words spoken out are accompanie</w:t>
      </w:r>
      <w:r w:rsidR="00C54405" w:rsidRPr="0066103C">
        <w:t xml:space="preserve">d by deeds acted out (v 3); the actions add to the </w:t>
      </w:r>
      <w:r w:rsidR="003909F2" w:rsidRPr="0066103C">
        <w:t>seriousness and earnestness expre</w:t>
      </w:r>
      <w:r w:rsidR="00C54405" w:rsidRPr="0066103C">
        <w:t>ssed by the prayer. Fasting, sackcloth, and ash</w:t>
      </w:r>
      <w:r w:rsidR="003909F2" w:rsidRPr="0066103C">
        <w:t xml:space="preserve"> are indications of grief and self-abasement in the context of calamity or loss experienced or threatened, or of wrongdoing committed (Isa 58:5; Jonah 3:5–9; Neh 9:1; Esth 4:1–4). Fasting involved abstaining from (regular) food during the day (Judg 20:26; 1 Sam 14:24; 2 Sam 1:12; 3:31–35; 12:15–23; Jer 16:7; Ezek 24:17; fasting for the whole of twenty-four hours is less usual—see Lev 23:32; Esth 4:16). Sackcloth was dark, rough, cheap material worn in contrast to the more presentable smart clothing in which a respectable person would normally wish to appear in public (1 Kgs 20:31–32; 2 Kgs 19:1–2). The reference</w:t>
      </w:r>
      <w:r w:rsidR="00C54405" w:rsidRPr="0066103C">
        <w:t xml:space="preserve"> to ash denotes putting ashes (or dirt</w:t>
      </w:r>
      <w:r w:rsidR="003909F2" w:rsidRPr="0066103C">
        <w:t xml:space="preserve">) on the head or </w:t>
      </w:r>
      <w:r w:rsidR="00C54405" w:rsidRPr="0066103C">
        <w:t xml:space="preserve">on the </w:t>
      </w:r>
      <w:r w:rsidR="00D60754">
        <w:t>head and body, or</w:t>
      </w:r>
      <w:r w:rsidR="003909F2" w:rsidRPr="0066103C">
        <w:t xml:space="preserve"> lyi</w:t>
      </w:r>
      <w:r w:rsidR="00C54405" w:rsidRPr="0066103C">
        <w:t>ng or sitting in a pile of ash</w:t>
      </w:r>
      <w:r w:rsidR="003909F2" w:rsidRPr="0066103C">
        <w:t xml:space="preserve"> (Josh 7:6; 1 Sam 4:12; 2 Sam 1:2; 13:19). </w:t>
      </w:r>
    </w:p>
    <w:p w:rsidR="003909F2" w:rsidRPr="0066103C" w:rsidRDefault="00D60754" w:rsidP="003909F2">
      <w:r>
        <w:t>S</w:t>
      </w:r>
      <w:r w:rsidR="003909F2" w:rsidRPr="0066103C">
        <w:t>hock, loss, and grief naturally express themselves in a loss of interest over food and one’s appearance and in an inner gloominess that expresses itsel</w:t>
      </w:r>
      <w:r w:rsidR="00C54405" w:rsidRPr="0066103C">
        <w:t xml:space="preserve">f in gloominess of appearance. Such practices </w:t>
      </w:r>
      <w:r w:rsidR="003909F2" w:rsidRPr="0066103C">
        <w:t>give formal, stylized, ritual expression to feelings people have or purport to.</w:t>
      </w:r>
      <w:r>
        <w:t xml:space="preserve"> F</w:t>
      </w:r>
      <w:r w:rsidR="003909F2" w:rsidRPr="0066103C">
        <w:t>asting also features in the context of special meeting with God, or the seeking of a meeting with God or of a revela</w:t>
      </w:r>
      <w:r>
        <w:t>tion from him. It then</w:t>
      </w:r>
      <w:r w:rsidR="00C54405" w:rsidRPr="0066103C">
        <w:t xml:space="preserve"> suggests </w:t>
      </w:r>
      <w:r w:rsidR="003909F2" w:rsidRPr="0066103C">
        <w:t>abandon</w:t>
      </w:r>
      <w:r w:rsidR="00C54405" w:rsidRPr="0066103C">
        <w:t xml:space="preserve">ing </w:t>
      </w:r>
      <w:r w:rsidR="003909F2" w:rsidRPr="0066103C">
        <w:t xml:space="preserve">regular human preoccupations for the sake of concentration on seeking God or being with God (Exod 34:28; 1 Kgs 19:8; 2 Esd 6:31; </w:t>
      </w:r>
      <w:r w:rsidR="003909F2" w:rsidRPr="0066103C">
        <w:rPr>
          <w:i/>
        </w:rPr>
        <w:t xml:space="preserve">2 Apoc. </w:t>
      </w:r>
      <w:r w:rsidR="003909F2" w:rsidRPr="0014298A">
        <w:rPr>
          <w:i/>
        </w:rPr>
        <w:t>Bar</w:t>
      </w:r>
      <w:r w:rsidR="0014298A" w:rsidRPr="0014298A">
        <w:rPr>
          <w:i/>
        </w:rPr>
        <w:t>uch</w:t>
      </w:r>
      <w:r w:rsidR="003909F2" w:rsidRPr="0066103C">
        <w:t xml:space="preserve"> 20.5–6; 47.2; Matt 4:1–2; Acts 13:2–3).</w:t>
      </w:r>
      <w:r>
        <w:t xml:space="preserve"> </w:t>
      </w:r>
      <w:r w:rsidR="003909F2" w:rsidRPr="0066103C">
        <w:t>In the apocalypses, the two contexts or significances of fasting coalesce. The seers behave as people who are g</w:t>
      </w:r>
      <w:r w:rsidR="00C54405" w:rsidRPr="0066103C">
        <w:t>rieving and abasing themselves; t</w:t>
      </w:r>
      <w:r w:rsidR="003909F2" w:rsidRPr="0066103C">
        <w:t>he background of many apocalypses, notional</w:t>
      </w:r>
      <w:r w:rsidR="00C54405" w:rsidRPr="0066103C">
        <w:t xml:space="preserve">ly or actually, in one </w:t>
      </w:r>
      <w:r w:rsidR="003909F2" w:rsidRPr="0066103C">
        <w:t>of the falls of J</w:t>
      </w:r>
      <w:r w:rsidR="00C54405" w:rsidRPr="0066103C">
        <w:t>erus</w:t>
      </w:r>
      <w:r>
        <w:t>alem is relevant here. T</w:t>
      </w:r>
      <w:r w:rsidR="00C54405" w:rsidRPr="0066103C">
        <w:t>he seers</w:t>
      </w:r>
      <w:r w:rsidR="003909F2" w:rsidRPr="0066103C">
        <w:t xml:space="preserve"> are also people who hope for and receive revelations from God after a period of such self-abasement (2 Esd 5:13, 20; 6:35; </w:t>
      </w:r>
      <w:r w:rsidR="0014298A">
        <w:rPr>
          <w:i/>
        </w:rPr>
        <w:t>2 Apoc. Baruch</w:t>
      </w:r>
      <w:r w:rsidR="003909F2" w:rsidRPr="0066103C">
        <w:t xml:space="preserve"> 5.7; 9.2; 12.5).</w:t>
      </w:r>
      <w:r w:rsidR="00E64F5C">
        <w:rPr>
          <w:rStyle w:val="FootnoteReference"/>
        </w:rPr>
        <w:footnoteReference w:id="499"/>
      </w:r>
      <w:r>
        <w:t xml:space="preserve"> </w:t>
      </w:r>
      <w:r w:rsidR="00C54405" w:rsidRPr="0066103C">
        <w:t>Either context or significance</w:t>
      </w:r>
      <w:r w:rsidR="003909F2" w:rsidRPr="0066103C">
        <w:t xml:space="preserve"> could be appropriate to Dan 9. Daniel’s mourning belongs in the context of his asking God, “When are you going to</w:t>
      </w:r>
      <w:r w:rsidR="00C54405" w:rsidRPr="0066103C">
        <w:t xml:space="preserve"> restore Jerusalem?” The</w:t>
      </w:r>
      <w:r w:rsidR="003909F2" w:rsidRPr="0066103C">
        <w:t xml:space="preserve"> qu</w:t>
      </w:r>
      <w:r w:rsidR="00C54405" w:rsidRPr="0066103C">
        <w:t xml:space="preserve">estion might represent a seer’s </w:t>
      </w:r>
      <w:r w:rsidR="003909F2" w:rsidRPr="0066103C">
        <w:t>plea for information regarding God’s purpose, or a suppliant’s pl</w:t>
      </w:r>
      <w:r w:rsidR="00C54405" w:rsidRPr="0066103C">
        <w:t>ea for action to implement that</w:t>
      </w:r>
      <w:r w:rsidR="003909F2" w:rsidRPr="0066103C">
        <w:t xml:space="preserve"> purpose. Reading it </w:t>
      </w:r>
      <w:r w:rsidR="006234C4" w:rsidRPr="0066103C">
        <w:t>in light</w:t>
      </w:r>
      <w:r w:rsidR="003909F2" w:rsidRPr="0066103C">
        <w:t xml:space="preserve"> of the apocalypses (and of v 22, also 10:2) would suggest the forme</w:t>
      </w:r>
      <w:r w:rsidR="00C54405" w:rsidRPr="0066103C">
        <w:t xml:space="preserve">r, whereas </w:t>
      </w:r>
      <w:r w:rsidR="003909F2" w:rsidRPr="0066103C">
        <w:t xml:space="preserve">reading it </w:t>
      </w:r>
      <w:r w:rsidR="006234C4" w:rsidRPr="0066103C">
        <w:t>in light</w:t>
      </w:r>
      <w:r w:rsidR="003909F2" w:rsidRPr="0066103C">
        <w:t xml:space="preserve"> of </w:t>
      </w:r>
      <w:r>
        <w:t xml:space="preserve">other references in </w:t>
      </w:r>
      <w:r w:rsidR="003909F2" w:rsidRPr="0066103C">
        <w:t xml:space="preserve">the OT (and of vv </w:t>
      </w:r>
      <w:r w:rsidR="00C54405" w:rsidRPr="0066103C">
        <w:t>1–2) would suggest</w:t>
      </w:r>
      <w:r>
        <w:t xml:space="preserve"> the latter. T</w:t>
      </w:r>
      <w:r w:rsidR="003909F2" w:rsidRPr="0066103C">
        <w:t>he two</w:t>
      </w:r>
      <w:r w:rsidR="00C54405" w:rsidRPr="0066103C">
        <w:t xml:space="preserve"> need not be dissociated. Vv</w:t>
      </w:r>
      <w:r w:rsidR="003909F2" w:rsidRPr="0066103C">
        <w:t xml:space="preserve"> 1–2 do not directly portray </w:t>
      </w:r>
      <w:r w:rsidR="008F4B17" w:rsidRPr="0066103C">
        <w:t xml:space="preserve">Daniel as in need of revelation; </w:t>
      </w:r>
      <w:r w:rsidR="003909F2" w:rsidRPr="0066103C">
        <w:t>he understands the revelation and seeks its fulfillment. But the second-centu</w:t>
      </w:r>
      <w:r w:rsidR="008F4B17" w:rsidRPr="0066103C">
        <w:t xml:space="preserve">ry </w:t>
      </w:r>
      <w:r w:rsidR="003909F2" w:rsidRPr="0066103C">
        <w:t>author and audience is in need of revelation, and its puzzledness also underlies vv 1–2. The expression of grief and self-abasement is both a plea for divine revelation and a plea for divine action.</w:t>
      </w:r>
    </w:p>
    <w:p w:rsidR="00AA4067" w:rsidRPr="00084F3B" w:rsidRDefault="003909F2" w:rsidP="00AA4067">
      <w:r w:rsidRPr="0066103C">
        <w:t>The prayer of</w:t>
      </w:r>
      <w:r w:rsidR="00D60754">
        <w:t xml:space="preserve"> confession, then, is an expression</w:t>
      </w:r>
      <w:r w:rsidRPr="0066103C">
        <w:t xml:space="preserve"> of self-abasement before God </w:t>
      </w:r>
      <w:r w:rsidR="00D60754">
        <w:t xml:space="preserve">that is </w:t>
      </w:r>
      <w:r w:rsidRPr="0066103C">
        <w:t xml:space="preserve">appropriate to someone who longs for God to reveal and implement his purpose for his people. </w:t>
      </w:r>
      <w:r w:rsidR="00084F3B">
        <w:t xml:space="preserve">It’s been said that the confession </w:t>
      </w:r>
      <w:r w:rsidR="00084F3B" w:rsidRPr="00084F3B">
        <w:t>is key to an explanation of Daniel’s “degenerative conception of history.”</w:t>
      </w:r>
      <w:r w:rsidR="00084F3B" w:rsidRPr="00084F3B">
        <w:rPr>
          <w:vertAlign w:val="superscript"/>
        </w:rPr>
        <w:footnoteReference w:id="500"/>
      </w:r>
      <w:r w:rsidR="00084F3B">
        <w:t xml:space="preserve"> But l</w:t>
      </w:r>
      <w:r w:rsidRPr="0066103C">
        <w:t xml:space="preserve">ike the prayers of confession at the beginning of some church services, it </w:t>
      </w:r>
      <w:r w:rsidR="00084F3B">
        <w:t>may simply indicate</w:t>
      </w:r>
      <w:r w:rsidRPr="0066103C">
        <w:t xml:space="preserve"> a sense that sin is always an obstacle between humanity and God, and needs to be confessed and forgiven before we can expect God to speak or act. </w:t>
      </w:r>
      <w:r w:rsidR="00377441">
        <w:t>It is a model act of repentance for people who want to seek God.</w:t>
      </w:r>
      <w:r w:rsidR="00377441">
        <w:rPr>
          <w:rStyle w:val="FootnoteReference"/>
        </w:rPr>
        <w:footnoteReference w:id="501"/>
      </w:r>
      <w:r w:rsidR="00377441">
        <w:t xml:space="preserve"> T</w:t>
      </w:r>
      <w:r w:rsidR="00AA4067">
        <w:rPr>
          <w:rFonts w:eastAsiaTheme="minorHAnsi" w:cs="AGaramondPro-Italic"/>
          <w:iCs/>
        </w:rPr>
        <w:t xml:space="preserve">he prayer from the 1549 English </w:t>
      </w:r>
      <w:r w:rsidR="00AA4067">
        <w:rPr>
          <w:rFonts w:eastAsiaTheme="minorHAnsi" w:cs="AGaramondPro-Italic"/>
          <w:i/>
          <w:iCs/>
        </w:rPr>
        <w:t xml:space="preserve">Book of Common Prayer </w:t>
      </w:r>
      <w:r w:rsidR="00AA4067">
        <w:rPr>
          <w:rFonts w:eastAsiaTheme="minorHAnsi" w:cs="AGaramondPro-Italic"/>
          <w:iCs/>
        </w:rPr>
        <w:t>recalls it:</w:t>
      </w:r>
      <w:r w:rsidR="00945C8C">
        <w:rPr>
          <w:rFonts w:eastAsiaTheme="minorHAnsi" w:cs="AGaramondPro-Italic"/>
          <w:iCs/>
        </w:rPr>
        <w:t xml:space="preserve"> </w:t>
      </w:r>
    </w:p>
    <w:p w:rsidR="00AA4067" w:rsidRDefault="00AA4067" w:rsidP="00AA4067">
      <w:pPr>
        <w:rPr>
          <w:rFonts w:eastAsiaTheme="minorHAnsi" w:cs="AGaramondPro-Italic"/>
          <w:i/>
          <w:iCs/>
        </w:rPr>
      </w:pPr>
    </w:p>
    <w:p w:rsidR="00AA4067" w:rsidRDefault="00AA4067" w:rsidP="00DD5E95">
      <w:pPr>
        <w:pStyle w:val="Quote"/>
        <w:rPr>
          <w:rFonts w:eastAsiaTheme="minorHAnsi"/>
        </w:rPr>
      </w:pPr>
      <w:r w:rsidRPr="009C034E">
        <w:rPr>
          <w:rFonts w:eastAsiaTheme="minorHAnsi"/>
        </w:rPr>
        <w:t>We do not presume to come to t</w:t>
      </w:r>
      <w:r>
        <w:rPr>
          <w:rFonts w:eastAsiaTheme="minorHAnsi"/>
        </w:rPr>
        <w:t xml:space="preserve">his thy Table, O merciful Lord, </w:t>
      </w:r>
      <w:r w:rsidRPr="009C034E">
        <w:rPr>
          <w:rFonts w:eastAsiaTheme="minorHAnsi"/>
        </w:rPr>
        <w:t>trusting in our own righteousness</w:t>
      </w:r>
      <w:r>
        <w:rPr>
          <w:rFonts w:eastAsiaTheme="minorHAnsi"/>
        </w:rPr>
        <w:t xml:space="preserve">, but in thy manifold and great </w:t>
      </w:r>
      <w:r w:rsidRPr="009C034E">
        <w:rPr>
          <w:rFonts w:eastAsiaTheme="minorHAnsi"/>
        </w:rPr>
        <w:t>mercies. We are not worthy so much as to gather up the crumbs</w:t>
      </w:r>
      <w:r>
        <w:rPr>
          <w:rFonts w:eastAsiaTheme="minorHAnsi"/>
        </w:rPr>
        <w:t xml:space="preserve"> </w:t>
      </w:r>
      <w:r w:rsidRPr="009C034E">
        <w:rPr>
          <w:rFonts w:eastAsiaTheme="minorHAnsi"/>
        </w:rPr>
        <w:t>under thy Table. But thou art t</w:t>
      </w:r>
      <w:r>
        <w:rPr>
          <w:rFonts w:eastAsiaTheme="minorHAnsi"/>
        </w:rPr>
        <w:t xml:space="preserve">he same Lord, whose property is </w:t>
      </w:r>
      <w:r w:rsidRPr="009C034E">
        <w:rPr>
          <w:rFonts w:eastAsiaTheme="minorHAnsi"/>
        </w:rPr>
        <w:t>always to have mercy.</w:t>
      </w:r>
      <w:r>
        <w:rPr>
          <w:rStyle w:val="FootnoteReference"/>
          <w:rFonts w:eastAsiaTheme="minorHAnsi" w:cs="AGaramondPro-Italic"/>
          <w:iCs w:val="0"/>
        </w:rPr>
        <w:footnoteReference w:id="502"/>
      </w:r>
    </w:p>
    <w:p w:rsidR="00AA4067" w:rsidRDefault="00AA4067" w:rsidP="003909F2">
      <w:pPr>
        <w:rPr>
          <w:rFonts w:eastAsiaTheme="minorHAnsi" w:cs="AGaramondPro-Italic"/>
          <w:iCs/>
        </w:rPr>
      </w:pPr>
    </w:p>
    <w:p w:rsidR="00400A7B" w:rsidRDefault="00AE0BA0" w:rsidP="00400A7B">
      <w:pPr>
        <w:ind w:firstLine="0"/>
      </w:pPr>
      <w:r w:rsidRPr="00AE0BA0">
        <w:rPr>
          <w:iCs/>
        </w:rPr>
        <w:t>Words from Daniel’s prayer thus feature in the confessions during the evening service on Yom Kippur.</w:t>
      </w:r>
      <w:r w:rsidRPr="00AE0BA0">
        <w:rPr>
          <w:iCs/>
          <w:vertAlign w:val="superscript"/>
        </w:rPr>
        <w:footnoteReference w:id="503"/>
      </w:r>
      <w:r w:rsidRPr="00AE0BA0">
        <w:rPr>
          <w:iCs/>
        </w:rPr>
        <w:t xml:space="preserve"> </w:t>
      </w:r>
      <w:r>
        <w:t xml:space="preserve">One might </w:t>
      </w:r>
      <w:r w:rsidRPr="00AE0BA0">
        <w:t>see the pray</w:t>
      </w:r>
      <w:r w:rsidR="00084F3B">
        <w:t>er as a typical act of S</w:t>
      </w:r>
      <w:r w:rsidR="00403126">
        <w:t xml:space="preserve">econd Temple </w:t>
      </w:r>
      <w:r w:rsidRPr="00AE0BA0">
        <w:t>piety whose confession is not to be related to an awareness of a link between particular people’s sin and a parti</w:t>
      </w:r>
      <w:r>
        <w:t>cular experience of trouble.</w:t>
      </w:r>
      <w:r w:rsidR="00400A7B">
        <w:t xml:space="preserve"> </w:t>
      </w:r>
      <w:r w:rsidR="00400A7B" w:rsidRPr="00400A7B">
        <w:rPr>
          <w:iCs/>
        </w:rPr>
        <w:t xml:space="preserve">The prayer </w:t>
      </w:r>
      <w:r w:rsidR="00400A7B" w:rsidRPr="00400A7B">
        <w:t>need not carry the implication that it is Jewish sin that explains Jewish suffering in the second century.</w:t>
      </w:r>
      <w:r w:rsidR="00400A7B" w:rsidRPr="00400A7B">
        <w:rPr>
          <w:vertAlign w:val="superscript"/>
        </w:rPr>
        <w:footnoteReference w:id="504"/>
      </w:r>
      <w:r w:rsidR="00400A7B">
        <w:t xml:space="preserve"> </w:t>
      </w:r>
      <w:r w:rsidR="00400A7B" w:rsidRPr="00400A7B">
        <w:t xml:space="preserve">Further, while such a prayer is a necessary undertaking on the part of someone who seeks for God to speak and act, God’s response is not directly a response </w:t>
      </w:r>
      <w:r w:rsidR="00400A7B">
        <w:t>to this confession—as may be hint</w:t>
      </w:r>
      <w:r w:rsidR="00400A7B" w:rsidRPr="00400A7B">
        <w:t>ed by the fact that Gabriel was commissioned at the beginning of the prayer, not after its end.</w:t>
      </w:r>
    </w:p>
    <w:p w:rsidR="00B014FF" w:rsidRDefault="00FB7C60" w:rsidP="003909F2">
      <w:r w:rsidRPr="002C2955">
        <w:rPr>
          <w:b/>
        </w:rPr>
        <w:t xml:space="preserve">3–23 </w:t>
      </w:r>
      <w:r w:rsidR="003909F2" w:rsidRPr="002C2955">
        <w:rPr>
          <w:b/>
        </w:rPr>
        <w:t>(i)</w:t>
      </w:r>
      <w:r w:rsidR="003909F2" w:rsidRPr="0066103C">
        <w:t xml:space="preserve"> The content of Daniel’s supplication is expressed in vv 16–19, most directly and movingly in v 19, the close and climax of the prayer. </w:t>
      </w:r>
      <w:r w:rsidR="008230BB">
        <w:t>“There is hardly another prayer in scripture so urgent.</w:t>
      </w:r>
      <w:r w:rsidR="00AA4067">
        <w:t>”</w:t>
      </w:r>
      <w:r w:rsidR="008230BB">
        <w:rPr>
          <w:rStyle w:val="FootnoteReference"/>
        </w:rPr>
        <w:footnoteReference w:id="505"/>
      </w:r>
      <w:r w:rsidR="008230BB">
        <w:t xml:space="preserve"> </w:t>
      </w:r>
    </w:p>
    <w:p w:rsidR="003909F2" w:rsidRPr="0066103C" w:rsidRDefault="003909F2" w:rsidP="003909F2">
      <w:r w:rsidRPr="0066103C">
        <w:t>It asks</w:t>
      </w:r>
      <w:r w:rsidR="008F4B17" w:rsidRPr="0066103C">
        <w:t xml:space="preserve"> </w:t>
      </w:r>
      <w:r w:rsidRPr="0066103C">
        <w:t>first that God may “listen” (</w:t>
      </w:r>
      <w:r w:rsidRPr="0066103C">
        <w:rPr>
          <w:rFonts w:ascii="Arial" w:hAnsi="Arial" w:cs="Arial"/>
        </w:rPr>
        <w:t>שמעה</w:t>
      </w:r>
      <w:r w:rsidR="00B014FF">
        <w:t>). That note appears</w:t>
      </w:r>
      <w:r w:rsidRPr="0066103C">
        <w:t xml:space="preserve"> already in </w:t>
      </w:r>
      <w:r w:rsidR="008F4B17" w:rsidRPr="0066103C">
        <w:t>v 17</w:t>
      </w:r>
      <w:r w:rsidR="00AA4067">
        <w:t>,</w:t>
      </w:r>
      <w:r w:rsidRPr="0066103C">
        <w:t xml:space="preserve"> and </w:t>
      </w:r>
      <w:r w:rsidR="00AA4067">
        <w:t xml:space="preserve">then </w:t>
      </w:r>
      <w:r w:rsidRPr="0066103C">
        <w:t xml:space="preserve">in v 18 (“give ear </w:t>
      </w:r>
      <w:r w:rsidR="00AA4067">
        <w:t xml:space="preserve">and listen”), while v 19 </w:t>
      </w:r>
      <w:r w:rsidRPr="0066103C">
        <w:t>adds a plea to “hear” (</w:t>
      </w:r>
      <w:r w:rsidRPr="0066103C">
        <w:rPr>
          <w:rFonts w:ascii="Arial" w:hAnsi="Arial" w:cs="Arial"/>
        </w:rPr>
        <w:t>הקשיבה</w:t>
      </w:r>
      <w:r w:rsidRPr="0066103C">
        <w:t>). It is the standard first elemen</w:t>
      </w:r>
      <w:r w:rsidR="00B014FF">
        <w:t xml:space="preserve">t in the actual prayer </w:t>
      </w:r>
      <w:r w:rsidR="008F4B17" w:rsidRPr="0066103C">
        <w:t>in a protest psalm.</w:t>
      </w:r>
      <w:r w:rsidR="008F4B17" w:rsidRPr="0066103C">
        <w:rPr>
          <w:rStyle w:val="FootnoteReference"/>
        </w:rPr>
        <w:footnoteReference w:id="506"/>
      </w:r>
      <w:r w:rsidR="008F4B17" w:rsidRPr="0066103C">
        <w:t xml:space="preserve"> </w:t>
      </w:r>
      <w:r w:rsidR="00B014FF">
        <w:t>Such plea</w:t>
      </w:r>
      <w:r w:rsidR="008F4B17" w:rsidRPr="0066103C">
        <w:t xml:space="preserve"> </w:t>
      </w:r>
      <w:r w:rsidRPr="0066103C">
        <w:t>arises out of a co</w:t>
      </w:r>
      <w:r w:rsidR="008F4B17" w:rsidRPr="0066103C">
        <w:t>ntext where God has</w:t>
      </w:r>
      <w:r w:rsidRPr="0066103C">
        <w:t xml:space="preserve"> been ignoring his people’s plight and their prayer. It pleads first that he </w:t>
      </w:r>
      <w:r w:rsidR="008F4B17" w:rsidRPr="0066103C">
        <w:t xml:space="preserve">should give attention. </w:t>
      </w:r>
      <w:r w:rsidRPr="0066103C">
        <w:t>The o</w:t>
      </w:r>
      <w:r w:rsidR="00AA4067">
        <w:t xml:space="preserve">ther </w:t>
      </w:r>
      <w:r w:rsidR="00B014FF">
        <w:t>regular feature of the prayer in a protest psalm</w:t>
      </w:r>
      <w:r w:rsidR="00AA4067">
        <w:t xml:space="preserve"> </w:t>
      </w:r>
      <w:r w:rsidR="008F4B17" w:rsidRPr="0066103C">
        <w:t xml:space="preserve">is the appeal to God to act, </w:t>
      </w:r>
      <w:r w:rsidR="00B014FF">
        <w:t>to deliver</w:t>
      </w:r>
      <w:r w:rsidR="008F4B17" w:rsidRPr="0066103C">
        <w:t xml:space="preserve"> the petitioner(s) and if necessary to punish</w:t>
      </w:r>
      <w:r w:rsidRPr="0066103C">
        <w:t xml:space="preserve"> their oppressors. </w:t>
      </w:r>
      <w:r w:rsidR="00B014FF">
        <w:t xml:space="preserve">Here, </w:t>
      </w:r>
      <w:r w:rsidRPr="0066103C">
        <w:t xml:space="preserve">Daniel’s closing plea asks that God may “pardon” </w:t>
      </w:r>
      <w:r w:rsidR="00B014FF">
        <w:t xml:space="preserve">his people </w:t>
      </w:r>
      <w:r w:rsidRPr="0066103C">
        <w:t>(</w:t>
      </w:r>
      <w:r w:rsidRPr="0066103C">
        <w:rPr>
          <w:rFonts w:ascii="Arial" w:hAnsi="Arial" w:cs="Arial"/>
        </w:rPr>
        <w:t>סלחה</w:t>
      </w:r>
      <w:r w:rsidRPr="0066103C">
        <w:t>; cf. v 9). Pe</w:t>
      </w:r>
      <w:r w:rsidR="00B014FF">
        <w:t>rhaps this</w:t>
      </w:r>
      <w:r w:rsidR="008F4B17" w:rsidRPr="0066103C">
        <w:t xml:space="preserve"> plea takes the place of an appeal to punish the oppressors</w:t>
      </w:r>
      <w:r w:rsidRPr="0066103C">
        <w:t>. The unjustly afflicted seek justice; the justly afflicted seek pardon. “The Israel which acknowledges its God’s justice even when disaster comes to it can ask for his mercy. Only those who know that they are struck down as guilty before God, only they can appeal to God’s mercy</w:t>
      </w:r>
      <w:r w:rsidR="008F4B17" w:rsidRPr="0066103C">
        <w:t>.</w:t>
      </w:r>
      <w:r w:rsidRPr="0066103C">
        <w:t>”</w:t>
      </w:r>
      <w:r w:rsidR="008F4B17" w:rsidRPr="0066103C">
        <w:rPr>
          <w:rStyle w:val="FootnoteReference"/>
        </w:rPr>
        <w:footnoteReference w:id="507"/>
      </w:r>
    </w:p>
    <w:p w:rsidR="003909F2" w:rsidRPr="0066103C" w:rsidRDefault="003909F2" w:rsidP="003909F2">
      <w:r w:rsidRPr="0066103C">
        <w:t>The same idea lies behind the plea for God’s burning fury to turn away from the city (</w:t>
      </w:r>
      <w:r w:rsidRPr="0066103C">
        <w:rPr>
          <w:rFonts w:ascii="Arial" w:hAnsi="Arial" w:cs="Arial"/>
        </w:rPr>
        <w:t>שוב</w:t>
      </w:r>
      <w:r w:rsidRPr="0066103C">
        <w:t>, v 16). Like the use of</w:t>
      </w:r>
      <w:r w:rsidR="00B014FF">
        <w:t xml:space="preserve"> this</w:t>
      </w:r>
      <w:r w:rsidR="008F4B17" w:rsidRPr="0066103C">
        <w:t xml:space="preserve"> verb</w:t>
      </w:r>
      <w:r w:rsidRPr="0066103C">
        <w:t xml:space="preserve"> to refer to turning </w:t>
      </w:r>
      <w:r w:rsidR="00B014FF">
        <w:t xml:space="preserve">away </w:t>
      </w:r>
      <w:r w:rsidRPr="0066103C">
        <w:t xml:space="preserve">from wrong-doing (v 13), its use to denote God’s wrath turning </w:t>
      </w:r>
      <w:r w:rsidR="00B014FF">
        <w:t xml:space="preserve">away </w:t>
      </w:r>
      <w:r w:rsidRPr="0066103C">
        <w:t>from people is frequent In Jeremianic prose (Jer 2:35; 18:20; 23:20; 30:24; cf. Isa 12</w:t>
      </w:r>
      <w:r w:rsidR="008F4B17" w:rsidRPr="0066103C">
        <w:t>:1; Hos 14:4 [5</w:t>
      </w:r>
      <w:r w:rsidR="00B014FF">
        <w:t xml:space="preserve">]; Prov 29:8). It is </w:t>
      </w:r>
      <w:r w:rsidRPr="0066103C">
        <w:t xml:space="preserve">used </w:t>
      </w:r>
      <w:r w:rsidR="00B014FF">
        <w:t xml:space="preserve">elsewhere </w:t>
      </w:r>
      <w:r w:rsidRPr="0066103C">
        <w:t>of other figures who caused God’s wrath to turn away (Num 25:11; Ps 106:23; 2 Chr 12:12; 29:10; 30:8)</w:t>
      </w:r>
      <w:r w:rsidR="00B014FF">
        <w:t xml:space="preserve">, </w:t>
      </w:r>
      <w:r w:rsidR="00B014FF" w:rsidRPr="00B014FF">
        <w:t>like Daniel and Jeremiah</w:t>
      </w:r>
      <w:r w:rsidRPr="0066103C">
        <w:t xml:space="preserve"> (for turning away human wrath, see Gen 27:44–4</w:t>
      </w:r>
      <w:r w:rsidR="00B014FF">
        <w:t xml:space="preserve">5; Prov 15:1). The expression </w:t>
      </w:r>
      <w:r w:rsidRPr="0066103C">
        <w:t>picture</w:t>
      </w:r>
      <w:r w:rsidR="008F4B17" w:rsidRPr="0066103C">
        <w:t>s</w:t>
      </w:r>
      <w:r w:rsidRPr="0066103C">
        <w:t xml:space="preserve"> anger as a violent, dynamic force like a fierce wind that would destroy all in its path. It cannot be instantly calmed once generated; it has to spend itself. Someone in its path must bear its force, or </w:t>
      </w:r>
      <w:r w:rsidR="008F4B17" w:rsidRPr="0066103C">
        <w:t xml:space="preserve">must </w:t>
      </w:r>
      <w:r w:rsidRPr="0066103C">
        <w:t>hope it may veer and dissipate itself harmlessly elsewhere.</w:t>
      </w:r>
    </w:p>
    <w:p w:rsidR="008F4B17" w:rsidRPr="0066103C" w:rsidRDefault="003909F2" w:rsidP="003909F2">
      <w:r w:rsidRPr="0066103C">
        <w:t xml:space="preserve">To put the point more positively, Daniel asks that God’s face may shine on the sanctuary </w:t>
      </w:r>
    </w:p>
    <w:p w:rsidR="003909F2" w:rsidRPr="0066103C" w:rsidRDefault="003909F2" w:rsidP="008F4B17">
      <w:pPr>
        <w:ind w:firstLine="0"/>
      </w:pPr>
      <w:r w:rsidRPr="0066103C">
        <w:t>(</w:t>
      </w:r>
      <w:r w:rsidRPr="0066103C">
        <w:rPr>
          <w:rFonts w:ascii="Arial" w:hAnsi="Arial" w:cs="Arial"/>
        </w:rPr>
        <w:t>ניך</w:t>
      </w:r>
      <w:r w:rsidR="00AA4067" w:rsidRPr="00AA4067">
        <w:rPr>
          <w:rFonts w:ascii="Arial" w:hAnsi="Arial" w:cs="Arial"/>
        </w:rPr>
        <w:t xml:space="preserve"> פ</w:t>
      </w:r>
      <w:r w:rsidR="008F4B17" w:rsidRPr="0066103C">
        <w:rPr>
          <w:rFonts w:ascii="Arial" w:hAnsi="Arial" w:cs="Arial"/>
        </w:rPr>
        <w:t xml:space="preserve"> האר</w:t>
      </w:r>
      <w:r w:rsidRPr="0066103C">
        <w:t>, v 17). He takes up one element in the Aaronic blessing (Num 6</w:t>
      </w:r>
      <w:r w:rsidR="008F4B17" w:rsidRPr="0066103C">
        <w:t>:25), which becomes a prayer in Psalms (31:16 [17]; 67:1 [2</w:t>
      </w:r>
      <w:r w:rsidRPr="0066103C">
        <w:t>]; 80:</w:t>
      </w:r>
      <w:r w:rsidR="008F4B17" w:rsidRPr="0066103C">
        <w:t>3, 7, 19 [4, 8, 20]; 119:135; cf. 4:6 [7</w:t>
      </w:r>
      <w:r w:rsidRPr="0066103C">
        <w:t>]; 118:27).</w:t>
      </w:r>
      <w:r w:rsidR="008F4B17" w:rsidRPr="0066103C">
        <w:t xml:space="preserve"> The metaphor presupposes </w:t>
      </w:r>
      <w:r w:rsidRPr="0066103C">
        <w:t>that a person’s happiness shows in the brightness of his or</w:t>
      </w:r>
      <w:r w:rsidR="008F4B17" w:rsidRPr="0066103C">
        <w:t xml:space="preserve"> her face (cf. 1 Sam 14:27, 29),</w:t>
      </w:r>
      <w:r w:rsidRPr="0066103C">
        <w:t xml:space="preserve"> then that this same brightness directed toward</w:t>
      </w:r>
      <w:r w:rsidR="008F4B17" w:rsidRPr="0066103C">
        <w:t>s</w:t>
      </w:r>
      <w:r w:rsidRPr="0066103C">
        <w:t xml:space="preserve"> other people is an indication of regard and favor (cf. Job 29:24; Prov 16:15). In such passages, the expression is regularly used in </w:t>
      </w:r>
      <w:r w:rsidR="008F4B17" w:rsidRPr="0066103C">
        <w:t xml:space="preserve">association with words such as </w:t>
      </w:r>
      <w:r w:rsidR="008F4B17" w:rsidRPr="0066103C">
        <w:lastRenderedPageBreak/>
        <w:t>save, bless, and redeem,</w:t>
      </w:r>
      <w:r w:rsidRPr="0066103C">
        <w:t xml:space="preserve"> the ve</w:t>
      </w:r>
      <w:r w:rsidR="008F4B17" w:rsidRPr="0066103C">
        <w:t>rbs characteristic of a psalmic</w:t>
      </w:r>
      <w:r w:rsidRPr="0066103C">
        <w:t xml:space="preserve"> plea for God to act. Thus Daniel, t</w:t>
      </w:r>
      <w:r w:rsidR="008F4B17" w:rsidRPr="0066103C">
        <w:t xml:space="preserve">oo, in his final plea bids God </w:t>
      </w:r>
      <w:r w:rsidRPr="0066103C">
        <w:t>ac</w:t>
      </w:r>
      <w:r w:rsidR="008F4B17" w:rsidRPr="0066103C">
        <w:t>t and not delay</w:t>
      </w:r>
      <w:r w:rsidRPr="0066103C">
        <w:t xml:space="preserve"> (</w:t>
      </w:r>
      <w:r w:rsidRPr="0066103C">
        <w:rPr>
          <w:rFonts w:ascii="Arial" w:hAnsi="Arial" w:cs="Arial"/>
        </w:rPr>
        <w:t>תאחר</w:t>
      </w:r>
      <w:r w:rsidR="008F4B17" w:rsidRPr="0066103C">
        <w:rPr>
          <w:rFonts w:ascii="Arial" w:hAnsi="Arial" w:cs="Arial"/>
        </w:rPr>
        <w:t xml:space="preserve"> אל עשה</w:t>
      </w:r>
      <w:r w:rsidRPr="0066103C">
        <w:t>). Such an appeal to God not to delay acting c</w:t>
      </w:r>
      <w:r w:rsidR="008F4B17" w:rsidRPr="0066103C">
        <w:t>loses off the pleas in Pss 40:17 [18]; 70:5 [6</w:t>
      </w:r>
      <w:r w:rsidRPr="0066103C">
        <w:t>]. It recalls the “how long . .</w:t>
      </w:r>
      <w:r w:rsidR="00AA4067">
        <w:t xml:space="preserve"> .?” </w:t>
      </w:r>
      <w:r w:rsidR="008F4B17" w:rsidRPr="0066103C">
        <w:t>in the lament</w:t>
      </w:r>
      <w:r w:rsidRPr="0066103C">
        <w:t xml:space="preserve"> itself (Pss 6:</w:t>
      </w:r>
      <w:r w:rsidR="008F4B17" w:rsidRPr="0066103C">
        <w:t>3 [4]; 13:1-2 [2–3</w:t>
      </w:r>
      <w:r w:rsidRPr="0066103C">
        <w:t>]; 74:10; 79:5; 80:4; 89:46; 90:13) and</w:t>
      </w:r>
      <w:r w:rsidR="008F4B17" w:rsidRPr="0066103C">
        <w:t xml:space="preserve"> the positive plea</w:t>
      </w:r>
      <w:r w:rsidR="00AA4067">
        <w:t xml:space="preserve"> </w:t>
      </w:r>
      <w:r w:rsidR="008F4B17" w:rsidRPr="0066103C">
        <w:t>to hurry to help</w:t>
      </w:r>
      <w:r w:rsidRPr="0066103C">
        <w:t xml:space="preserve"> (e.g., 22:</w:t>
      </w:r>
      <w:r w:rsidR="008F4B17" w:rsidRPr="0066103C">
        <w:t>19 [20] 38:22 [23]; 40:13 [14]; 70:1, 5 [2, 6</w:t>
      </w:r>
      <w:r w:rsidRPr="0066103C">
        <w:t>]; 71:12).</w:t>
      </w:r>
    </w:p>
    <w:p w:rsidR="003909F2" w:rsidRPr="0066103C" w:rsidRDefault="003909F2" w:rsidP="003909F2">
      <w:r w:rsidRPr="0066103C">
        <w:t xml:space="preserve">Each verse in the plea offers some motivation for God to hear, forgive, and act. It would be in keeping with his acts in the past, </w:t>
      </w:r>
      <w:r w:rsidR="008F4B17" w:rsidRPr="0066103C">
        <w:t xml:space="preserve">in </w:t>
      </w:r>
      <w:r w:rsidRPr="0066103C">
        <w:t>rescuing his people from oppression in Egypt (vv 15–16) (cf. Isa 63:7–64:12; Jer 32:16–25; Pss 80; 106; and the prose confessions in Neh 9). Daniel appeals to the saving act that led to Yahweh’s covenant relationship wit</w:t>
      </w:r>
      <w:r w:rsidR="008F4B17" w:rsidRPr="0066103C">
        <w:t xml:space="preserve">h Israel and always underlay it, </w:t>
      </w:r>
      <w:r w:rsidRPr="0066103C">
        <w:t xml:space="preserve">an aspect of the covenant that offered promise for the future rather than merely explaining the trouble of the present. </w:t>
      </w:r>
      <w:r w:rsidR="008F4B17" w:rsidRPr="0066103C">
        <w:t xml:space="preserve">He urges God </w:t>
      </w:r>
      <w:r w:rsidRPr="0066103C">
        <w:t>to open his eyes and lo</w:t>
      </w:r>
      <w:r w:rsidR="008F4B17" w:rsidRPr="0066103C">
        <w:t xml:space="preserve">ok at the desolate state of </w:t>
      </w:r>
      <w:r w:rsidRPr="0066103C">
        <w:t>people, city, an</w:t>
      </w:r>
      <w:r w:rsidR="008F4B17" w:rsidRPr="0066103C">
        <w:t>d sanctuary (see [g] above). I</w:t>
      </w:r>
      <w:r w:rsidRPr="0066103C">
        <w:t>t is an appeal to his compass</w:t>
      </w:r>
      <w:r w:rsidR="008F4B17" w:rsidRPr="0066103C">
        <w:t xml:space="preserve">ion, but also </w:t>
      </w:r>
      <w:r w:rsidRPr="0066103C">
        <w:t>to his honor. In rescuing people from Egypt, he made a name for himself as a</w:t>
      </w:r>
      <w:r w:rsidR="00AA4067">
        <w:t xml:space="preserve"> God of compassion who did the r</w:t>
      </w:r>
      <w:r w:rsidRPr="0066103C">
        <w:t>ight thing by that afflicted people (vv 15, 16, 18). People, city, and sanctuary bear Yahweh’s name. Calling something by your name (see n. 18.c) indicates that you own it (2 Sam 12:28; Is</w:t>
      </w:r>
      <w:r w:rsidR="008F4B17" w:rsidRPr="0066103C">
        <w:t>a 63:19; 65:1; Amos 9:12). The people’s</w:t>
      </w:r>
      <w:r w:rsidR="00AA4067">
        <w:t xml:space="preserve"> desolation</w:t>
      </w:r>
      <w:r w:rsidR="008F4B17" w:rsidRPr="0066103C">
        <w:t xml:space="preserve"> brings discredit on God</w:t>
      </w:r>
      <w:r w:rsidRPr="0066103C">
        <w:t>; for his own sake, he should act (vv 17, 18, 19). “To the degree that he has committed himself to preserving the safety of those things which are named by his name (identified with him, blessed in his name and with his sanction), to that extent the God of Israel has limited and compromised his own freedom</w:t>
      </w:r>
      <w:r w:rsidR="008F4B17" w:rsidRPr="0066103C">
        <w:t xml:space="preserve"> to act in the future.”</w:t>
      </w:r>
      <w:r w:rsidR="008F4B17" w:rsidRPr="0066103C">
        <w:rPr>
          <w:rStyle w:val="FootnoteReference"/>
        </w:rPr>
        <w:footnoteReference w:id="508"/>
      </w:r>
      <w:r w:rsidRPr="0066103C">
        <w:t xml:space="preserve"> It is on that note that the prayer closes.</w:t>
      </w:r>
    </w:p>
    <w:p w:rsidR="005A1936" w:rsidRPr="0066103C" w:rsidRDefault="00FB7C60" w:rsidP="003909F2">
      <w:r w:rsidRPr="002C2955">
        <w:rPr>
          <w:b/>
        </w:rPr>
        <w:t xml:space="preserve">3–23 </w:t>
      </w:r>
      <w:r w:rsidR="003909F2" w:rsidRPr="002C2955">
        <w:rPr>
          <w:b/>
        </w:rPr>
        <w:t>(j)</w:t>
      </w:r>
      <w:r w:rsidR="003909F2" w:rsidRPr="0066103C">
        <w:t xml:space="preserve"> The OT assumes that prayers meet respons</w:t>
      </w:r>
      <w:r w:rsidR="005A1936" w:rsidRPr="0066103C">
        <w:t xml:space="preserve">es. OT narratives </w:t>
      </w:r>
      <w:r w:rsidR="000C6CB7">
        <w:t>support this assumption</w:t>
      </w:r>
      <w:r w:rsidR="003909F2" w:rsidRPr="0066103C">
        <w:t xml:space="preserve"> (e.g., Josh 7:7–15; 2 Chr 20:1–30), passages within the prop</w:t>
      </w:r>
      <w:r w:rsidR="007D68DD">
        <w:t>hets suggest the same dynamic</w:t>
      </w:r>
      <w:r w:rsidR="003909F2" w:rsidRPr="0066103C">
        <w:t xml:space="preserve"> (e.g., Jer 3:21–4:2; Hos 14:</w:t>
      </w:r>
      <w:r w:rsidR="005A1936" w:rsidRPr="0066103C">
        <w:t>1-8 [2–9</w:t>
      </w:r>
      <w:r w:rsidR="003909F2" w:rsidRPr="0066103C">
        <w:t>]; cf. the promise o</w:t>
      </w:r>
      <w:r w:rsidR="005A1936" w:rsidRPr="0066103C">
        <w:t>f Isa 58:9), and some protest</w:t>
      </w:r>
      <w:r w:rsidR="003909F2" w:rsidRPr="0066103C">
        <w:t>s in the Psalter preserve responses (Pss 12; 60). Others show a marked change of mood reflecting an assurance that God has heard and granted the pra</w:t>
      </w:r>
      <w:r w:rsidR="005A1936" w:rsidRPr="0066103C">
        <w:t>yer, which might</w:t>
      </w:r>
      <w:r w:rsidR="003909F2" w:rsidRPr="0066103C">
        <w:t xml:space="preserve"> indicate that a </w:t>
      </w:r>
      <w:r w:rsidR="005A1936" w:rsidRPr="0066103C">
        <w:t>priest or prophet responded to the plea</w:t>
      </w:r>
      <w:r w:rsidR="003909F2" w:rsidRPr="0066103C">
        <w:t xml:space="preserve"> (Pss 6; 13; 22; 28). The suppliant of course hoped </w:t>
      </w:r>
      <w:r w:rsidR="004467E8">
        <w:t>that this response would be for positive</w:t>
      </w:r>
      <w:r w:rsidR="005A1936" w:rsidRPr="0066103C">
        <w:t xml:space="preserve">, but could </w:t>
      </w:r>
      <w:r w:rsidR="004467E8">
        <w:t>not take it</w:t>
      </w:r>
      <w:r w:rsidR="005A1936" w:rsidRPr="0066103C">
        <w:t xml:space="preserve"> for gran</w:t>
      </w:r>
      <w:r w:rsidR="004467E8">
        <w:t>ted (e.g., Jer 14:1–15:9</w:t>
      </w:r>
      <w:r w:rsidR="005A1936" w:rsidRPr="0066103C">
        <w:t>)</w:t>
      </w:r>
      <w:r w:rsidR="003909F2" w:rsidRPr="0066103C">
        <w:t>.</w:t>
      </w:r>
      <w:r w:rsidR="005A1936" w:rsidRPr="0066103C">
        <w:rPr>
          <w:rStyle w:val="FootnoteReference"/>
        </w:rPr>
        <w:footnoteReference w:id="509"/>
      </w:r>
      <w:r w:rsidR="003909F2" w:rsidRPr="0066103C">
        <w:t xml:space="preserve"> </w:t>
      </w:r>
    </w:p>
    <w:p w:rsidR="003909F2" w:rsidRPr="0066103C" w:rsidRDefault="004467E8" w:rsidP="003909F2">
      <w:r>
        <w:t xml:space="preserve">Daniel’s prayer </w:t>
      </w:r>
      <w:r w:rsidR="001D431B" w:rsidRPr="001D431B">
        <w:t>receives the expected response</w:t>
      </w:r>
      <w:r w:rsidR="001D431B">
        <w:t xml:space="preserve"> (v 21)</w:t>
      </w:r>
      <w:r w:rsidR="001D431B" w:rsidRPr="001D431B">
        <w:t xml:space="preserve">, though it comes via a heavenly being rather than via an earthly one. </w:t>
      </w:r>
      <w:r w:rsidR="001D431B">
        <w:t>It</w:t>
      </w:r>
      <w:r w:rsidR="003909F2" w:rsidRPr="0066103C">
        <w:t xml:space="preserve"> comes at the tim</w:t>
      </w:r>
      <w:r w:rsidR="001D431B">
        <w:t>e of the evening offering</w:t>
      </w:r>
      <w:r w:rsidR="003909F2" w:rsidRPr="0066103C">
        <w:t>, the specia</w:t>
      </w:r>
      <w:r w:rsidR="00CD0678" w:rsidRPr="0066103C">
        <w:t>l hour for prayer (</w:t>
      </w:r>
      <w:r w:rsidR="003909F2" w:rsidRPr="0066103C">
        <w:t>cf. Ezra 9:5, the introduction to Ezra’s prose confession). In Dan 9 the no</w:t>
      </w:r>
      <w:r>
        <w:t>te could have special point, because</w:t>
      </w:r>
      <w:r w:rsidR="003909F2" w:rsidRPr="0066103C">
        <w:t xml:space="preserve"> the offerings may not have been</w:t>
      </w:r>
      <w:r w:rsidR="00CD0678" w:rsidRPr="0066103C">
        <w:t xml:space="preserve"> </w:t>
      </w:r>
      <w:r w:rsidR="00272B24">
        <w:t>regularly made during the Babylonian</w:t>
      </w:r>
      <w:r w:rsidR="00CD0678" w:rsidRPr="0066103C">
        <w:t xml:space="preserve"> period</w:t>
      </w:r>
      <w:r w:rsidR="003909F2" w:rsidRPr="0066103C">
        <w:t xml:space="preserve">, and they were certainly suspended by Antiochus (cf. 8:11; 11:31; 1 Macc 1:45). </w:t>
      </w:r>
      <w:r>
        <w:t>T</w:t>
      </w:r>
      <w:r w:rsidR="003909F2" w:rsidRPr="0066103C">
        <w:t xml:space="preserve">he relationship between God and Israel still holds, notwithstanding the lack of offerings; compare the promise of Ezek 11:16 for the people exiled from the temple. </w:t>
      </w:r>
      <w:r w:rsidR="00750508">
        <w:t>“P</w:t>
      </w:r>
      <w:r w:rsidR="00750508" w:rsidRPr="00750508">
        <w:rPr>
          <w:rFonts w:eastAsia="Times New Roman" w:cs="Times New Roman"/>
        </w:rPr>
        <w:t>rayer can still be acceptable even when Antiochus had proscribed certain rites and polluted the temple.</w:t>
      </w:r>
      <w:r w:rsidR="00750508">
        <w:rPr>
          <w:rFonts w:ascii="Times New Roman" w:eastAsia="Times New Roman" w:hAnsi="Times New Roman" w:cs="Times New Roman"/>
          <w:sz w:val="24"/>
          <w:szCs w:val="24"/>
        </w:rPr>
        <w:t>”</w:t>
      </w:r>
      <w:r w:rsidR="00750508">
        <w:rPr>
          <w:rStyle w:val="FootnoteReference"/>
        </w:rPr>
        <w:footnoteReference w:id="510"/>
      </w:r>
      <w:r w:rsidR="003909F2" w:rsidRPr="0066103C">
        <w:t xml:space="preserve"> </w:t>
      </w:r>
      <w:r w:rsidR="000C6CB7" w:rsidRPr="000C6CB7">
        <w:t xml:space="preserve">God behaves as though the offerings are still being made. </w:t>
      </w:r>
      <w:r w:rsidR="003909F2" w:rsidRPr="0066103C">
        <w:t>The cosmic temporal order, reflected in the rhythm of the hours of prayer, stands despite the vicissitudes of history.</w:t>
      </w:r>
      <w:r w:rsidR="00CD0678" w:rsidRPr="0066103C">
        <w:rPr>
          <w:rStyle w:val="FootnoteReference"/>
        </w:rPr>
        <w:footnoteReference w:id="511"/>
      </w:r>
    </w:p>
    <w:p w:rsidR="002A3BED" w:rsidRDefault="00BD5DEE" w:rsidP="00016ABC">
      <w:r>
        <w:t>Gabriel describes t</w:t>
      </w:r>
      <w:r w:rsidR="003909F2" w:rsidRPr="0066103C">
        <w:t xml:space="preserve">he message </w:t>
      </w:r>
      <w:r>
        <w:t>a</w:t>
      </w:r>
      <w:r w:rsidR="00DD3AEB">
        <w:t>s one that will bring</w:t>
      </w:r>
      <w:r w:rsidR="003909F2" w:rsidRPr="0066103C">
        <w:t xml:space="preserve"> insight and understanding to Daniel (v 22)</w:t>
      </w:r>
      <w:r w:rsidR="001D431B">
        <w:t>.</w:t>
      </w:r>
      <w:r w:rsidR="003909F2" w:rsidRPr="0066103C">
        <w:t xml:space="preserve"> </w:t>
      </w:r>
      <w:r w:rsidR="004467E8">
        <w:t xml:space="preserve">He does not speak </w:t>
      </w:r>
      <w:r w:rsidR="001D431B">
        <w:t xml:space="preserve">of giving Daniel </w:t>
      </w:r>
      <w:r w:rsidR="001E07B1">
        <w:t xml:space="preserve">an interpretation of </w:t>
      </w:r>
      <w:r w:rsidR="00DD3AEB" w:rsidRPr="00DD3AEB">
        <w:t>Jere</w:t>
      </w:r>
      <w:r w:rsidR="001E07B1">
        <w:t>miah’s words from wh</w:t>
      </w:r>
      <w:r w:rsidR="004467E8">
        <w:t>i</w:t>
      </w:r>
      <w:r w:rsidR="001E07B1">
        <w:t>ch the chapter began</w:t>
      </w:r>
      <w:r w:rsidR="004467E8">
        <w:t xml:space="preserve"> but of</w:t>
      </w:r>
      <w:r w:rsidR="00DD3AEB" w:rsidRPr="00DD3AEB">
        <w:t xml:space="preserve"> bring</w:t>
      </w:r>
      <w:r w:rsidR="004467E8">
        <w:t>ing</w:t>
      </w:r>
      <w:r w:rsidR="00DD3AEB" w:rsidRPr="00DD3AEB">
        <w:t xml:space="preserve"> a new</w:t>
      </w:r>
      <w:r w:rsidR="001E07B1">
        <w:t xml:space="preserve"> </w:t>
      </w:r>
      <w:r w:rsidR="001D431B">
        <w:t>“</w:t>
      </w:r>
      <w:r w:rsidR="001E07B1">
        <w:t>revelation</w:t>
      </w:r>
      <w:r w:rsidR="001D431B">
        <w:t>”</w:t>
      </w:r>
      <w:r w:rsidR="001E07B1">
        <w:t xml:space="preserve"> (</w:t>
      </w:r>
      <w:r w:rsidR="000D1837">
        <w:t>v</w:t>
      </w:r>
      <w:r w:rsidR="001E07B1">
        <w:t xml:space="preserve"> 23).</w:t>
      </w:r>
      <w:r w:rsidR="00DD3AEB" w:rsidRPr="00DD3AEB">
        <w:rPr>
          <w:vertAlign w:val="superscript"/>
        </w:rPr>
        <w:footnoteReference w:id="512"/>
      </w:r>
      <w:r w:rsidR="00DD3AEB">
        <w:t xml:space="preserve"> </w:t>
      </w:r>
      <w:r w:rsidR="001E07B1">
        <w:t xml:space="preserve">But the revelation </w:t>
      </w:r>
      <w:r w:rsidR="00DD3AEB" w:rsidRPr="00DD3AEB">
        <w:t>will take the form of a gloss on</w:t>
      </w:r>
      <w:r w:rsidR="001D431B">
        <w:t xml:space="preserve"> that</w:t>
      </w:r>
      <w:r w:rsidR="00DD3AEB" w:rsidRPr="00DD3AEB">
        <w:t xml:space="preserve"> scriptural passage</w:t>
      </w:r>
      <w:r w:rsidR="001E07B1">
        <w:t xml:space="preserve">, </w:t>
      </w:r>
      <w:r w:rsidR="001D431B">
        <w:t xml:space="preserve">a gloss </w:t>
      </w:r>
      <w:r w:rsidR="001E07B1">
        <w:t xml:space="preserve">which </w:t>
      </w:r>
      <w:r w:rsidR="001E07B1" w:rsidRPr="001E07B1">
        <w:t>will explain why Jeremiah’s promise was not fulfilled.</w:t>
      </w:r>
      <w:r w:rsidR="001D431B">
        <w:t xml:space="preserve"> The </w:t>
      </w:r>
      <w:r w:rsidR="004467E8">
        <w:t>image of a message “coming out</w:t>
      </w:r>
      <w:r w:rsidR="003909F2" w:rsidRPr="0066103C">
        <w:t xml:space="preserve">” </w:t>
      </w:r>
      <w:r w:rsidR="001D431B">
        <w:t xml:space="preserve">or issuing </w:t>
      </w:r>
      <w:r w:rsidR="003909F2" w:rsidRPr="0066103C">
        <w:t>(</w:t>
      </w:r>
      <w:r w:rsidR="003909F2" w:rsidRPr="0066103C">
        <w:rPr>
          <w:rFonts w:ascii="Arial" w:hAnsi="Arial" w:cs="Arial"/>
        </w:rPr>
        <w:t>יצא</w:t>
      </w:r>
      <w:r w:rsidR="004467E8">
        <w:t>) has its background in</w:t>
      </w:r>
      <w:r w:rsidR="003909F2" w:rsidRPr="0066103C">
        <w:t xml:space="preserve"> everyday life, where it is used of the deliberate proclamatio</w:t>
      </w:r>
      <w:r w:rsidR="0030776B" w:rsidRPr="0066103C">
        <w:t>n of significant words (Num 30:2 [3</w:t>
      </w:r>
      <w:r w:rsidR="003909F2" w:rsidRPr="0066103C">
        <w:t xml:space="preserve">]; Josh 6:10; Judg 11:36; Jer 44:17), especially </w:t>
      </w:r>
      <w:r w:rsidR="003909F2" w:rsidRPr="0066103C">
        <w:lastRenderedPageBreak/>
        <w:t xml:space="preserve">by the king (Esth 1:19; 7:8; cf. </w:t>
      </w:r>
      <w:r w:rsidR="003909F2" w:rsidRPr="0066103C">
        <w:rPr>
          <w:rFonts w:ascii="Arial" w:hAnsi="Arial" w:cs="Arial"/>
        </w:rPr>
        <w:t>נפק</w:t>
      </w:r>
      <w:r w:rsidR="004467E8">
        <w:t xml:space="preserve"> in Dan 2:13). T</w:t>
      </w:r>
      <w:r w:rsidR="0030776B" w:rsidRPr="0066103C">
        <w:t>he image</w:t>
      </w:r>
      <w:r w:rsidR="003909F2" w:rsidRPr="0066103C">
        <w:t xml:space="preserve"> is naturally applied to God’s declaration of his will and intention (Isa 2:3; 45:23; 48:3; 51:4; 55:11; Ezek 33</w:t>
      </w:r>
      <w:r w:rsidR="004467E8">
        <w:t>:30). The message</w:t>
      </w:r>
      <w:r w:rsidR="003909F2" w:rsidRPr="0066103C">
        <w:t xml:space="preserve"> issues auth</w:t>
      </w:r>
      <w:r w:rsidR="002A3BED">
        <w:t>oritatively from God himself, like</w:t>
      </w:r>
      <w:r w:rsidR="003909F2" w:rsidRPr="0066103C">
        <w:t xml:space="preserve"> the or</w:t>
      </w:r>
      <w:r w:rsidR="002A3BED">
        <w:t>iginal word of prophecy</w:t>
      </w:r>
      <w:r w:rsidR="003909F2" w:rsidRPr="0066103C">
        <w:t>.</w:t>
      </w:r>
      <w:r w:rsidR="001D431B">
        <w:t xml:space="preserve"> It comes to Daniel </w:t>
      </w:r>
      <w:r w:rsidR="001D431B" w:rsidRPr="001D431B">
        <w:t xml:space="preserve">as a person “held in high regard” </w:t>
      </w:r>
    </w:p>
    <w:p w:rsidR="00016ABC" w:rsidRPr="00016ABC" w:rsidRDefault="001D431B" w:rsidP="002A3BED">
      <w:pPr>
        <w:ind w:firstLine="0"/>
      </w:pPr>
      <w:r w:rsidRPr="001D431B">
        <w:t>(</w:t>
      </w:r>
      <w:r w:rsidR="002A3BED" w:rsidRPr="002A3BED">
        <w:rPr>
          <w:rFonts w:ascii="Arial" w:hAnsi="Arial" w:cs="Arial"/>
        </w:rPr>
        <w:t>ת</w:t>
      </w:r>
      <w:r w:rsidR="002A3BED">
        <w:t xml:space="preserve"> </w:t>
      </w:r>
      <w:r w:rsidRPr="001D431B">
        <w:rPr>
          <w:rFonts w:ascii="Arial" w:hAnsi="Arial" w:cs="Arial"/>
        </w:rPr>
        <w:t>ו</w:t>
      </w:r>
      <w:r w:rsidR="002A3BED">
        <w:rPr>
          <w:rFonts w:ascii="Arial" w:hAnsi="Arial" w:cs="Arial"/>
        </w:rPr>
        <w:t xml:space="preserve"> </w:t>
      </w:r>
      <w:r w:rsidRPr="001D431B">
        <w:rPr>
          <w:rFonts w:ascii="Arial" w:hAnsi="Arial" w:cs="Arial"/>
        </w:rPr>
        <w:t>ד</w:t>
      </w:r>
      <w:r w:rsidR="002A3BED">
        <w:rPr>
          <w:rFonts w:ascii="Arial" w:hAnsi="Arial" w:cs="Arial"/>
        </w:rPr>
        <w:t xml:space="preserve">  </w:t>
      </w:r>
      <w:r w:rsidR="002A3BED" w:rsidRPr="002A3BED">
        <w:rPr>
          <w:rFonts w:ascii="Arial" w:hAnsi="Arial" w:cs="Arial"/>
        </w:rPr>
        <w:t>ו</w:t>
      </w:r>
      <w:r w:rsidR="002A3BED">
        <w:rPr>
          <w:rFonts w:ascii="Arial" w:hAnsi="Arial" w:cs="Arial"/>
        </w:rPr>
        <w:t xml:space="preserve"> </w:t>
      </w:r>
      <w:r w:rsidR="002A3BED" w:rsidRPr="002A3BED">
        <w:rPr>
          <w:rFonts w:ascii="Arial" w:hAnsi="Arial" w:cs="Arial"/>
        </w:rPr>
        <w:t>מ</w:t>
      </w:r>
      <w:r w:rsidR="002A3BED">
        <w:rPr>
          <w:rFonts w:ascii="Arial" w:hAnsi="Arial" w:cs="Arial"/>
        </w:rPr>
        <w:t xml:space="preserve"> </w:t>
      </w:r>
      <w:r w:rsidRPr="001D431B">
        <w:rPr>
          <w:rFonts w:ascii="Arial" w:hAnsi="Arial" w:cs="Arial"/>
        </w:rPr>
        <w:t>ח</w:t>
      </w:r>
      <w:r w:rsidRPr="001D431B">
        <w:t xml:space="preserve">). Like words such as </w:t>
      </w:r>
      <w:r w:rsidRPr="001D431B">
        <w:rPr>
          <w:rFonts w:ascii="Arial" w:hAnsi="Arial" w:cs="Arial"/>
        </w:rPr>
        <w:t>אהב</w:t>
      </w:r>
      <w:r w:rsidRPr="001D431B">
        <w:t xml:space="preserve"> “love,” </w:t>
      </w:r>
      <w:r w:rsidRPr="001D431B">
        <w:rPr>
          <w:rFonts w:ascii="Arial" w:hAnsi="Arial" w:cs="Arial"/>
        </w:rPr>
        <w:t>חמד</w:t>
      </w:r>
      <w:r w:rsidRPr="001D431B">
        <w:t xml:space="preserve"> suggests both a feeling and an attitude that expresses itself in being drawn towards the object of love and in committing oneself to it (Isa 53:2; Pss 19:10 [11]; 68:16 [17]).</w:t>
      </w:r>
      <w:r w:rsidRPr="001D431B">
        <w:rPr>
          <w:vertAlign w:val="superscript"/>
        </w:rPr>
        <w:footnoteReference w:id="513"/>
      </w:r>
      <w:r w:rsidRPr="001D431B">
        <w:t xml:space="preserve"> Daniel is one to whom God is committed; he has indeed prayed to Yahweh as </w:t>
      </w:r>
      <w:r w:rsidRPr="001D431B">
        <w:rPr>
          <w:i/>
        </w:rPr>
        <w:t>persona grata</w:t>
      </w:r>
      <w:r w:rsidRPr="001D431B">
        <w:t>.</w:t>
      </w:r>
      <w:r w:rsidR="00016ABC">
        <w:t xml:space="preserve"> Or might the genitive </w:t>
      </w:r>
      <w:r w:rsidR="00016ABC" w:rsidRPr="00016ABC">
        <w:t>be subjectiv</w:t>
      </w:r>
      <w:r w:rsidR="00016ABC">
        <w:t>e: Daniel is one who loves well?</w:t>
      </w:r>
      <w:r w:rsidR="00016ABC" w:rsidRPr="00016ABC">
        <w:rPr>
          <w:vertAlign w:val="superscript"/>
        </w:rPr>
        <w:footnoteReference w:id="514"/>
      </w:r>
    </w:p>
    <w:p w:rsidR="000465F8" w:rsidRPr="0066103C" w:rsidRDefault="00DD3AEB" w:rsidP="000465F8">
      <w:r w:rsidRPr="0066103C">
        <w:t xml:space="preserve">In keeping with the possibility that self-abasement ([h] above) may suggest both a plea for divine revelation and a plea for divine action, the response to Daniel’s prayer </w:t>
      </w:r>
      <w:r w:rsidR="000465F8">
        <w:t>involve</w:t>
      </w:r>
      <w:r w:rsidR="002A3BED">
        <w:t>s</w:t>
      </w:r>
      <w:r w:rsidR="000465F8">
        <w:t xml:space="preserve"> both revelation and a promise of action. </w:t>
      </w:r>
      <w:r w:rsidR="002A3BED">
        <w:t xml:space="preserve">It would </w:t>
      </w:r>
      <w:r w:rsidR="000465F8" w:rsidRPr="000465F8">
        <w:t>offer</w:t>
      </w:r>
      <w:r w:rsidR="002A3BED">
        <w:t xml:space="preserve"> little good news to a</w:t>
      </w:r>
      <w:r w:rsidR="000465F8" w:rsidRPr="000465F8">
        <w:t xml:space="preserve"> sixth-century context</w:t>
      </w:r>
      <w:r w:rsidR="000465F8">
        <w:t>;</w:t>
      </w:r>
      <w:r w:rsidR="000465F8" w:rsidRPr="000465F8">
        <w:t xml:space="preserve"> the revelation it offers to the second-century context </w:t>
      </w:r>
      <w:r w:rsidR="000465F8">
        <w:t>mostly comprise</w:t>
      </w:r>
      <w:r w:rsidR="002A3BED">
        <w:t>s</w:t>
      </w:r>
      <w:r w:rsidR="000465F8" w:rsidRPr="000465F8">
        <w:t xml:space="preserve"> a way of understanding what God has been doing over the p</w:t>
      </w:r>
      <w:r w:rsidR="000465F8">
        <w:t xml:space="preserve">receding four centuries, like the other revelations in chaps. 7—12. It </w:t>
      </w:r>
      <w:r w:rsidR="001D431B">
        <w:t>thus take</w:t>
      </w:r>
      <w:r w:rsidR="002A3BED">
        <w:t>s</w:t>
      </w:r>
      <w:r w:rsidRPr="0066103C">
        <w:t xml:space="preserve"> the overt form of a revelation to the seer set in the sixth</w:t>
      </w:r>
      <w:r>
        <w:t xml:space="preserve"> century, but it covertly </w:t>
      </w:r>
      <w:r w:rsidRPr="000A385A">
        <w:t>pr</w:t>
      </w:r>
      <w:r w:rsidR="001D431B">
        <w:t>omise</w:t>
      </w:r>
      <w:r w:rsidR="002A3BED">
        <w:t>s</w:t>
      </w:r>
      <w:r>
        <w:t xml:space="preserve"> action on behalf of the people</w:t>
      </w:r>
      <w:r w:rsidR="002A3BED">
        <w:t xml:space="preserve"> </w:t>
      </w:r>
      <w:r w:rsidRPr="000A385A">
        <w:t>pray</w:t>
      </w:r>
      <w:r w:rsidR="002A3BED">
        <w:t>ing</w:t>
      </w:r>
      <w:r w:rsidRPr="000A385A">
        <w:t xml:space="preserve"> this p</w:t>
      </w:r>
      <w:r>
        <w:t xml:space="preserve">rayer in the second century. </w:t>
      </w:r>
      <w:r w:rsidR="002A3BED">
        <w:t xml:space="preserve">Like the exiles </w:t>
      </w:r>
      <w:r w:rsidR="000465F8">
        <w:t>in that period in whi</w:t>
      </w:r>
      <w:r w:rsidR="002A3BED">
        <w:t xml:space="preserve">ch Daniel’s prayer is set, </w:t>
      </w:r>
      <w:r w:rsidR="000465F8">
        <w:t xml:space="preserve">they </w:t>
      </w:r>
      <w:r w:rsidR="002A3BED">
        <w:t>could be inclined to think</w:t>
      </w:r>
      <w:r w:rsidR="000465F8">
        <w:t xml:space="preserve"> </w:t>
      </w:r>
      <w:r w:rsidR="000465F8" w:rsidRPr="0066103C">
        <w:t>that God was indifferent to his people’s cries in their affliction (Isa 40:27; 49:14; cf. 58:3). The point expressed in loving hyperbole in Isa 65:24 (cf. 65:1)</w:t>
      </w:r>
      <w:r w:rsidR="000465F8">
        <w:t>, that Yahweh responds to his pe</w:t>
      </w:r>
      <w:r w:rsidR="00B45DBA">
        <w:t xml:space="preserve">ople’s prayer before it is </w:t>
      </w:r>
      <w:r w:rsidR="000465F8">
        <w:t>begun</w:t>
      </w:r>
      <w:r w:rsidR="00B45DBA">
        <w:t>,</w:t>
      </w:r>
      <w:r w:rsidR="000465F8">
        <w:t xml:space="preserve"> let alone finished,</w:t>
      </w:r>
      <w:r w:rsidR="000465F8" w:rsidRPr="0066103C">
        <w:t xml:space="preserve"> here becomes prosaic narrative real</w:t>
      </w:r>
      <w:r w:rsidR="000465F8">
        <w:t>ity.</w:t>
      </w:r>
      <w:r w:rsidR="00617F8E">
        <w:rPr>
          <w:rStyle w:val="FootnoteReference"/>
        </w:rPr>
        <w:footnoteReference w:id="515"/>
      </w:r>
      <w:r w:rsidR="000465F8">
        <w:t xml:space="preserve"> The implication is not that the</w:t>
      </w:r>
      <w:r w:rsidR="000465F8" w:rsidRPr="0066103C">
        <w:t xml:space="preserve"> prayer was unnecessary or unheard, but that God is eager to respond to his servants when they come to him on behalf of his people in need. The picture of God “responding” before Daniel actua</w:t>
      </w:r>
      <w:r w:rsidR="00B45DBA">
        <w:t>lly prays may also safeguard God’s sovereignty</w:t>
      </w:r>
      <w:r w:rsidR="000465F8" w:rsidRPr="0066103C">
        <w:t>, a concern that underlay some hesitation over the whole i</w:t>
      </w:r>
      <w:r w:rsidR="000465F8">
        <w:t>dea of intercession in Judaism,</w:t>
      </w:r>
      <w:r w:rsidR="000465F8" w:rsidRPr="0066103C">
        <w:rPr>
          <w:rStyle w:val="FootnoteReference"/>
        </w:rPr>
        <w:footnoteReference w:id="516"/>
      </w:r>
      <w:r w:rsidR="000465F8">
        <w:t xml:space="preserve"> as it can underlie Christian hesitation over the idea that prayer leads to God doing things that God would not otherwise have done.</w:t>
      </w:r>
    </w:p>
    <w:p w:rsidR="003909F2" w:rsidRDefault="003909F2" w:rsidP="003909F2">
      <w:r w:rsidRPr="002C2955">
        <w:rPr>
          <w:b/>
        </w:rPr>
        <w:t>24</w:t>
      </w:r>
      <w:r w:rsidR="00F139C5">
        <w:rPr>
          <w:b/>
        </w:rPr>
        <w:t>-27</w:t>
      </w:r>
      <w:r w:rsidRPr="002C2955">
        <w:rPr>
          <w:b/>
        </w:rPr>
        <w:t xml:space="preserve"> </w:t>
      </w:r>
      <w:r w:rsidRPr="0066103C">
        <w:t>“S</w:t>
      </w:r>
      <w:r w:rsidR="003E5119" w:rsidRPr="0066103C">
        <w:t>eventy sevens” implie</w:t>
      </w:r>
      <w:r w:rsidRPr="0066103C">
        <w:t xml:space="preserve">s “seventy times seven years,” as the original “seventy” of Jeremiah was explicitly a period of </w:t>
      </w:r>
      <w:r w:rsidR="000465F8">
        <w:t xml:space="preserve">seventy </w:t>
      </w:r>
      <w:r w:rsidRPr="0066103C">
        <w:t>years (</w:t>
      </w:r>
      <w:r w:rsidR="003E5119" w:rsidRPr="0066103C">
        <w:t>v 2). T</w:t>
      </w:r>
      <w:r w:rsidRPr="0066103C">
        <w:t xml:space="preserve">he seventy years of punishment due according to Jer 25:11/29:10 is being exacted sevenfold in accordance with Lev 26 (see </w:t>
      </w:r>
      <w:r w:rsidRPr="0066103C">
        <w:rPr>
          <w:i/>
        </w:rPr>
        <w:t>Form</w:t>
      </w:r>
      <w:r w:rsidRPr="0066103C">
        <w:t>).</w:t>
      </w:r>
    </w:p>
    <w:p w:rsidR="00AE5A94" w:rsidRDefault="00AE5A94" w:rsidP="003909F2"/>
    <w:p w:rsidR="00DC47BB" w:rsidRPr="0066103C" w:rsidRDefault="00DC47BB" w:rsidP="00F31120">
      <w:pPr>
        <w:pStyle w:val="Quote"/>
      </w:pPr>
      <w:r>
        <w:t>This passage has been variously treated, and so distracted, and almost torn to pieces by the various opinions of interpreters, that it might be considered nearly useless on account of its obscurity.</w:t>
      </w:r>
      <w:r w:rsidR="00E376DE">
        <w:t xml:space="preserve"> But, in the assurance that no prediction is really in vain, we may hope to understand this prophecy, provided only we are attentive and teachable according to the angel's admonition, and the Prophet's example. I do not usually refer to conflicting opinions, because I take no pleasure in refuting them, and the simple method which I adopt pleases me best, namely, to expound what I think delivered by the Spirit of God. But I cannot escape the necessity of confuting various views of the present passage.</w:t>
      </w:r>
      <w:r>
        <w:rPr>
          <w:rStyle w:val="FootnoteReference"/>
        </w:rPr>
        <w:footnoteReference w:id="517"/>
      </w:r>
    </w:p>
    <w:p w:rsidR="00AE5A94" w:rsidRDefault="00AE5A94" w:rsidP="003909F2"/>
    <w:p w:rsidR="00B45DBA" w:rsidRDefault="00AE5A94" w:rsidP="006D4563">
      <w:r>
        <w:t>Explicitly or implicitly (and not wrongly), a</w:t>
      </w:r>
      <w:r w:rsidR="003909F2" w:rsidRPr="0066103C">
        <w:t>ncient and modern interpreters have commonl</w:t>
      </w:r>
      <w:r w:rsidR="00F54844" w:rsidRPr="0066103C">
        <w:t xml:space="preserve">y </w:t>
      </w:r>
      <w:r>
        <w:t>understood vv 24–27</w:t>
      </w:r>
      <w:r w:rsidR="00352561" w:rsidRPr="0066103C">
        <w:t xml:space="preserve"> by </w:t>
      </w:r>
      <w:r w:rsidR="00311FBF" w:rsidRPr="0066103C">
        <w:t>beginning from the end of the seventy sevens and working backwards</w:t>
      </w:r>
      <w:r w:rsidR="00854ABC">
        <w:t>: “let the 490 years be calculated in reverse.”</w:t>
      </w:r>
      <w:r w:rsidR="00854ABC">
        <w:rPr>
          <w:rStyle w:val="FootnoteReference"/>
        </w:rPr>
        <w:footnoteReference w:id="518"/>
      </w:r>
      <w:r>
        <w:t xml:space="preserve"> </w:t>
      </w:r>
      <w:r w:rsidR="002D70D0">
        <w:t>T</w:t>
      </w:r>
      <w:r>
        <w:t xml:space="preserve">he </w:t>
      </w:r>
      <w:r w:rsidR="00264489">
        <w:t>oldest</w:t>
      </w:r>
      <w:r w:rsidR="009A77AC">
        <w:t xml:space="preserve"> surviving</w:t>
      </w:r>
      <w:r w:rsidR="00264489">
        <w:t xml:space="preserve"> understanding</w:t>
      </w:r>
      <w:r w:rsidR="009A77AC">
        <w:t>s of the passage illustrate</w:t>
      </w:r>
      <w:r w:rsidR="002D70D0">
        <w:t xml:space="preserve"> the point</w:t>
      </w:r>
      <w:r w:rsidR="009A77AC">
        <w:t>. The description in 1 Macc 1:54 of Antiochus’s constructing a desolating abomination on the temple altar is “the earliest interpretation of the phrase in Daniel.”</w:t>
      </w:r>
      <w:r w:rsidR="009A77AC">
        <w:rPr>
          <w:rStyle w:val="FootnoteReference"/>
        </w:rPr>
        <w:footnoteReference w:id="519"/>
      </w:r>
      <w:r w:rsidR="009A77AC">
        <w:t xml:space="preserve"> OG’</w:t>
      </w:r>
      <w:r w:rsidR="002D70D0">
        <w:t xml:space="preserve">s version of the opening of </w:t>
      </w:r>
      <w:r w:rsidR="000D1837">
        <w:t>v</w:t>
      </w:r>
      <w:r w:rsidR="002D70D0">
        <w:t xml:space="preserve"> </w:t>
      </w:r>
      <w:r w:rsidR="002D70D0">
        <w:lastRenderedPageBreak/>
        <w:t>26 presupposes a reference to</w:t>
      </w:r>
      <w:r w:rsidR="00FC4AAA" w:rsidRPr="00FC4AAA">
        <w:t xml:space="preserve"> the Antiochene crisis </w:t>
      </w:r>
      <w:r>
        <w:t xml:space="preserve">which had taken place </w:t>
      </w:r>
      <w:r w:rsidR="00FC4AAA" w:rsidRPr="00FC4AAA">
        <w:t>a few years previously</w:t>
      </w:r>
      <w:r w:rsidR="002D70D0">
        <w:t xml:space="preserve"> (see n. 26.a)</w:t>
      </w:r>
      <w:r w:rsidR="00FC4AAA" w:rsidRPr="00FC4AAA">
        <w:t xml:space="preserve">. </w:t>
      </w:r>
      <w:r w:rsidR="002D70D0">
        <w:t xml:space="preserve">In general, indeed, </w:t>
      </w:r>
      <w:r>
        <w:t xml:space="preserve">OG’s </w:t>
      </w:r>
      <w:r w:rsidR="00264489">
        <w:t xml:space="preserve">idiosyncrasies </w:t>
      </w:r>
      <w:r w:rsidR="002D70D0">
        <w:t xml:space="preserve">in vv 24-27 </w:t>
      </w:r>
      <w:r w:rsidR="00264489">
        <w:t>partly reflect an attempt “to shape the wording to correspond as closely as possible with recent events as th</w:t>
      </w:r>
      <w:r w:rsidR="002D70D0">
        <w:t>e translator(s) understood them.</w:t>
      </w:r>
      <w:r w:rsidR="00264489">
        <w:t>”</w:t>
      </w:r>
      <w:r w:rsidR="00264489">
        <w:rPr>
          <w:rStyle w:val="FootnoteReference"/>
        </w:rPr>
        <w:footnoteReference w:id="520"/>
      </w:r>
      <w:r w:rsidR="00FC4AAA">
        <w:t xml:space="preserve"> </w:t>
      </w:r>
      <w:r w:rsidR="00907A63">
        <w:t>Naturally enough, a parallel</w:t>
      </w:r>
      <w:r w:rsidR="002D70D0">
        <w:t xml:space="preserve"> instinct</w:t>
      </w:r>
      <w:r w:rsidR="00907A63">
        <w:t xml:space="preserve"> to relate the passage to their own times</w:t>
      </w:r>
      <w:r w:rsidR="002D70D0">
        <w:t xml:space="preserve"> subsequently encouraged</w:t>
      </w:r>
      <w:r w:rsidR="00B45DBA">
        <w:t xml:space="preserve"> </w:t>
      </w:r>
      <w:r w:rsidR="00FC4AAA">
        <w:t xml:space="preserve">Jewish and Christian interpretation </w:t>
      </w:r>
      <w:r w:rsidR="00907A63">
        <w:t>not to relate the passage to the Antiochene period</w:t>
      </w:r>
      <w:r w:rsidR="00B45DBA">
        <w:t>,</w:t>
      </w:r>
      <w:r w:rsidR="00907A63">
        <w:t xml:space="preserve"> </w:t>
      </w:r>
      <w:r w:rsidR="00FC4AAA">
        <w:t>until</w:t>
      </w:r>
      <w:r w:rsidR="006D4563">
        <w:t xml:space="preserve"> </w:t>
      </w:r>
      <w:r w:rsidR="00FC4AAA">
        <w:t xml:space="preserve">the calculations of the </w:t>
      </w:r>
      <w:r w:rsidR="00907A63">
        <w:t xml:space="preserve">innovative </w:t>
      </w:r>
      <w:r w:rsidR="00FC4AAA">
        <w:t>seventeenth century chronographer John Marsham</w:t>
      </w:r>
      <w:r w:rsidR="00C54502">
        <w:t xml:space="preserve"> </w:t>
      </w:r>
      <w:r w:rsidR="00907A63">
        <w:t>(</w:t>
      </w:r>
      <w:r w:rsidR="00C54502">
        <w:t>subsequent to his entanglement in the English Civil War with its rather different involvement with Daniel</w:t>
      </w:r>
      <w:r w:rsidR="00907A63">
        <w:t>)</w:t>
      </w:r>
      <w:r w:rsidR="00D82828">
        <w:t>.</w:t>
      </w:r>
      <w:r w:rsidR="00FC4AAA">
        <w:rPr>
          <w:rStyle w:val="FootnoteReference"/>
          <w:i/>
        </w:rPr>
        <w:footnoteReference w:id="521"/>
      </w:r>
      <w:r w:rsidR="00D82828">
        <w:t xml:space="preserve"> Marsham’s work was then taken up by th</w:t>
      </w:r>
      <w:r w:rsidR="00907A63">
        <w:t>e philosopher Anthony Collins as an aspect of</w:t>
      </w:r>
      <w:r w:rsidR="00D82828">
        <w:t xml:space="preserve"> his defense of a more historical approach to the Scriptures.</w:t>
      </w:r>
      <w:r w:rsidR="00D82828">
        <w:rPr>
          <w:rStyle w:val="FootnoteReference"/>
        </w:rPr>
        <w:footnoteReference w:id="522"/>
      </w:r>
      <w:r w:rsidR="00C54502">
        <w:t xml:space="preserve"> </w:t>
      </w:r>
    </w:p>
    <w:p w:rsidR="00264489" w:rsidRDefault="00B45DBA" w:rsidP="006D4563">
      <w:r>
        <w:t>T</w:t>
      </w:r>
      <w:r w:rsidR="00907A63">
        <w:t xml:space="preserve">aking </w:t>
      </w:r>
      <w:r w:rsidR="00907A63" w:rsidRPr="00907A63">
        <w:t xml:space="preserve">the Antiochene crisis </w:t>
      </w:r>
      <w:r w:rsidR="00907A63">
        <w:t>as the starting point for understanding Gabriel’s message fits</w:t>
      </w:r>
      <w:r w:rsidR="00907A63" w:rsidRPr="00907A63">
        <w:t xml:space="preserve"> the other visions’ focus on this crisis.</w:t>
      </w:r>
      <w:r>
        <w:t xml:space="preserve"> </w:t>
      </w:r>
      <w:r w:rsidR="003D3452">
        <w:t>At the same ti</w:t>
      </w:r>
      <w:r w:rsidR="00907A63">
        <w:t>me, OG</w:t>
      </w:r>
      <w:r w:rsidR="00E376DE">
        <w:t xml:space="preserve"> shows signs of</w:t>
      </w:r>
      <w:r w:rsidR="003D3452">
        <w:t xml:space="preserve"> rec</w:t>
      </w:r>
      <w:r w:rsidR="006D4563">
        <w:t>ognizing that not everythng</w:t>
      </w:r>
      <w:r>
        <w:t xml:space="preserve"> </w:t>
      </w:r>
      <w:r w:rsidR="003D3452">
        <w:t>promis</w:t>
      </w:r>
      <w:r w:rsidR="006D4563">
        <w:t xml:space="preserve">ed in vv 24-27 has yet happened, and </w:t>
      </w:r>
      <w:r w:rsidR="006D4563">
        <w:rPr>
          <w:rFonts w:eastAsia="Times-Roman" w:cs="Times-Roman"/>
        </w:rPr>
        <w:t>“i</w:t>
      </w:r>
      <w:r w:rsidR="006D4563" w:rsidRPr="006D4563">
        <w:rPr>
          <w:rFonts w:eastAsia="Times-Roman" w:cs="Times-Roman"/>
        </w:rPr>
        <w:t>t is evident from 1 Maccabees—not to mention other Second Temple literature—that not all prophecy or</w:t>
      </w:r>
      <w:r w:rsidR="006D4563">
        <w:rPr>
          <w:rFonts w:eastAsia="Times-Roman" w:cs="Times-Roman"/>
        </w:rPr>
        <w:t xml:space="preserve"> </w:t>
      </w:r>
      <w:r w:rsidR="006D4563" w:rsidRPr="006D4563">
        <w:rPr>
          <w:rFonts w:eastAsia="Times-Roman" w:cs="Times-Roman"/>
        </w:rPr>
        <w:t>even the six objectives of Dan 9:24 reached complete realisation at the resolution</w:t>
      </w:r>
      <w:r w:rsidR="006D4563">
        <w:rPr>
          <w:rFonts w:eastAsia="Times-Roman" w:cs="Times-Roman"/>
        </w:rPr>
        <w:t xml:space="preserve"> </w:t>
      </w:r>
      <w:r w:rsidR="006D4563" w:rsidRPr="006D4563">
        <w:rPr>
          <w:rFonts w:eastAsia="Times-Roman" w:cs="Times-Roman"/>
        </w:rPr>
        <w:t>of the Antiochene crisis. The author of 1 Maccabees knew that the death of</w:t>
      </w:r>
      <w:r w:rsidR="006D4563">
        <w:rPr>
          <w:rFonts w:eastAsia="Times-Roman" w:cs="Times-Roman"/>
        </w:rPr>
        <w:t xml:space="preserve"> </w:t>
      </w:r>
      <w:r w:rsidR="006D4563" w:rsidRPr="006D4563">
        <w:rPr>
          <w:rFonts w:eastAsia="Times-Roman" w:cs="Times-Roman"/>
        </w:rPr>
        <w:t>Antiochus IV and the victory of the Maccabees did not mark the full</w:t>
      </w:r>
      <w:r w:rsidR="006D4563">
        <w:rPr>
          <w:rFonts w:eastAsia="Times-Roman" w:cs="Times-Roman"/>
        </w:rPr>
        <w:t xml:space="preserve"> </w:t>
      </w:r>
      <w:r w:rsidR="006D4563" w:rsidRPr="006D4563">
        <w:rPr>
          <w:rFonts w:eastAsia="Times-Roman" w:cs="Times-Roman"/>
        </w:rPr>
        <w:t>accomplishment of the six objectives of the seventy sevens.</w:t>
      </w:r>
      <w:r w:rsidR="006D4563">
        <w:rPr>
          <w:rFonts w:eastAsia="Times-Roman" w:cs="Times-Roman"/>
        </w:rPr>
        <w:t>”</w:t>
      </w:r>
      <w:r w:rsidR="006D4563" w:rsidRPr="006D4563">
        <w:rPr>
          <w:rStyle w:val="FootnoteReference"/>
        </w:rPr>
        <w:t xml:space="preserve"> </w:t>
      </w:r>
      <w:r w:rsidR="003D3452" w:rsidRPr="006D4563">
        <w:rPr>
          <w:rStyle w:val="FootnoteReference"/>
        </w:rPr>
        <w:footnoteReference w:id="523"/>
      </w:r>
      <w:r w:rsidR="006D4563" w:rsidRPr="006D4563">
        <w:t xml:space="preserve"> </w:t>
      </w:r>
    </w:p>
    <w:p w:rsidR="006D4563" w:rsidRDefault="006D4563" w:rsidP="006D4563">
      <w:r>
        <w:t xml:space="preserve">Ironically, </w:t>
      </w:r>
      <w:r w:rsidR="007B019A">
        <w:t xml:space="preserve">in their relationship to subsequent events there is a parallel </w:t>
      </w:r>
      <w:r>
        <w:t xml:space="preserve">between this prophecy in Daniel and the </w:t>
      </w:r>
      <w:r w:rsidR="00B45DBA">
        <w:t>Jeremiah prophecies which form its starting point. I</w:t>
      </w:r>
      <w:r w:rsidR="007B019A">
        <w:t>t is the regular relationship between prophecy and event in both Testaments. A prophet declares that God is about to do something that constitutes the “end,” the achievement of God’s ultimate purpose. Subsequently something happens that constitutes a confirmation of the prophet’s word. An end comes upon Samaria or Jerusalem, confirming the word</w:t>
      </w:r>
      <w:r w:rsidR="00B45DBA">
        <w:t>s of Amos or Jeremiah; an end to</w:t>
      </w:r>
      <w:r w:rsidR="007B019A">
        <w:t xml:space="preserve"> desolation comes to Judah, confirming promises in </w:t>
      </w:r>
      <w:r w:rsidR="00B45DBA">
        <w:t xml:space="preserve">Jeremiah or Isaiah 40—55. But neither end is </w:t>
      </w:r>
      <w:r w:rsidR="007B019A">
        <w:rPr>
          <w:i/>
        </w:rPr>
        <w:t>the</w:t>
      </w:r>
      <w:r w:rsidR="00B45DBA">
        <w:t xml:space="preserve"> end, in </w:t>
      </w:r>
      <w:r w:rsidR="007B019A">
        <w:t>the bad sense or</w:t>
      </w:r>
      <w:r w:rsidR="00B45DBA">
        <w:t xml:space="preserve"> the good sense. T</w:t>
      </w:r>
      <w:r w:rsidR="007B019A">
        <w:t xml:space="preserve">he threats and promises </w:t>
      </w:r>
      <w:r w:rsidR="00B45DBA">
        <w:t xml:space="preserve">then </w:t>
      </w:r>
      <w:r w:rsidR="007B019A">
        <w:t>stand as warnings and encouragements in light of which the people of God need to live.</w:t>
      </w:r>
    </w:p>
    <w:p w:rsidR="004B5ABD" w:rsidRDefault="00B45DBA" w:rsidP="003909F2">
      <w:r>
        <w:t xml:space="preserve">As Dan 9 </w:t>
      </w:r>
      <w:r w:rsidR="00ED441A">
        <w:t xml:space="preserve">reapplies Jeremiah’s promises to the second century, Jews and Christians came to reapply Dan 9 to events at the end of the Second Temple period. To put it the other way, they </w:t>
      </w:r>
      <w:r w:rsidR="0032400D">
        <w:t xml:space="preserve">too </w:t>
      </w:r>
      <w:r w:rsidR="00ED441A">
        <w:t xml:space="preserve">calculated the 490 years in reverse, </w:t>
      </w:r>
      <w:r w:rsidR="0032400D">
        <w:t>but they took</w:t>
      </w:r>
      <w:r w:rsidR="00352561" w:rsidRPr="0066103C">
        <w:t xml:space="preserve"> </w:t>
      </w:r>
      <w:r w:rsidR="00F95BA5" w:rsidRPr="0066103C">
        <w:t>events in the first century AD as the</w:t>
      </w:r>
      <w:r w:rsidR="00ED441A">
        <w:t>ir</w:t>
      </w:r>
      <w:r w:rsidR="00F95BA5" w:rsidRPr="0066103C">
        <w:t xml:space="preserve"> starting point</w:t>
      </w:r>
      <w:r w:rsidR="00ED441A">
        <w:t xml:space="preserve"> for understanding the significance of Dan 9 for themselves</w:t>
      </w:r>
      <w:r w:rsidR="00F95BA5" w:rsidRPr="0066103C">
        <w:t xml:space="preserve">. </w:t>
      </w:r>
      <w:r w:rsidR="0004447C">
        <w:t xml:space="preserve">Jewish interpreters </w:t>
      </w:r>
      <w:r w:rsidR="004B5ABD">
        <w:t>began from the Roman assault on</w:t>
      </w:r>
      <w:r w:rsidR="00F95BA5" w:rsidRPr="0066103C">
        <w:t xml:space="preserve"> Jerusalem</w:t>
      </w:r>
      <w:r w:rsidR="004B5ABD">
        <w:t xml:space="preserve"> in the 60s and understood this event in light of Dan 9</w:t>
      </w:r>
      <w:r w:rsidR="00F95BA5" w:rsidRPr="0066103C">
        <w:t>.</w:t>
      </w:r>
      <w:r w:rsidR="00B92664">
        <w:rPr>
          <w:rStyle w:val="FootnoteReference"/>
        </w:rPr>
        <w:footnoteReference w:id="524"/>
      </w:r>
      <w:r w:rsidR="00F95BA5" w:rsidRPr="0066103C">
        <w:t xml:space="preserve"> </w:t>
      </w:r>
      <w:r w:rsidR="0032400D">
        <w:t xml:space="preserve">The NT </w:t>
      </w:r>
      <w:r w:rsidR="0032400D" w:rsidRPr="0032400D">
        <w:t>does not refer to the seventy sevens in this connection; L</w:t>
      </w:r>
      <w:r w:rsidR="0032400D">
        <w:t xml:space="preserve">uke 1–2 applies v 24 in a </w:t>
      </w:r>
      <w:r w:rsidR="0032400D" w:rsidRPr="0032400D">
        <w:t>different way.</w:t>
      </w:r>
      <w:r w:rsidR="0032400D" w:rsidRPr="0032400D">
        <w:rPr>
          <w:vertAlign w:val="superscript"/>
        </w:rPr>
        <w:footnoteReference w:id="525"/>
      </w:r>
      <w:r w:rsidR="0032400D" w:rsidRPr="0032400D">
        <w:t xml:space="preserve"> </w:t>
      </w:r>
      <w:r w:rsidR="0032400D">
        <w:t xml:space="preserve">Nor does </w:t>
      </w:r>
      <w:r w:rsidR="0032400D" w:rsidRPr="0032400D">
        <w:t xml:space="preserve">Justin Martyr in his </w:t>
      </w:r>
      <w:r w:rsidR="0032400D" w:rsidRPr="0032400D">
        <w:rPr>
          <w:i/>
        </w:rPr>
        <w:t>Apology</w:t>
      </w:r>
      <w:r w:rsidR="0032400D" w:rsidRPr="0032400D">
        <w:t xml:space="preserve"> refer to the passage</w:t>
      </w:r>
      <w:r w:rsidR="0032400D">
        <w:t>. “I</w:t>
      </w:r>
      <w:r w:rsidR="0032400D" w:rsidRPr="0032400D">
        <w:t xml:space="preserve">t was only in the late second-century AD </w:t>
      </w:r>
      <w:r w:rsidR="0032400D" w:rsidRPr="0032400D">
        <w:rPr>
          <w:bCs/>
        </w:rPr>
        <w:t xml:space="preserve">that Christian writers began to use this part of Daniel to prove that Jesus was the </w:t>
      </w:r>
      <w:r w:rsidR="0032400D">
        <w:rPr>
          <w:bCs/>
        </w:rPr>
        <w:t>one to fit the c</w:t>
      </w:r>
      <w:r w:rsidR="0032400D" w:rsidRPr="0032400D">
        <w:rPr>
          <w:bCs/>
        </w:rPr>
        <w:t>hronology</w:t>
      </w:r>
      <w:r w:rsidR="0032400D" w:rsidRPr="0032400D">
        <w:t>,”</w:t>
      </w:r>
      <w:r w:rsidR="0032400D" w:rsidRPr="0032400D">
        <w:rPr>
          <w:vertAlign w:val="superscript"/>
        </w:rPr>
        <w:footnoteReference w:id="526"/>
      </w:r>
      <w:r w:rsidR="0032400D" w:rsidRPr="0032400D">
        <w:t xml:space="preserve"> and there are only passing references in Christian writers before Hippolytus.</w:t>
      </w:r>
      <w:r w:rsidR="0032400D" w:rsidRPr="0032400D">
        <w:rPr>
          <w:vertAlign w:val="superscript"/>
        </w:rPr>
        <w:footnoteReference w:id="527"/>
      </w:r>
      <w:r w:rsidR="0032400D">
        <w:t xml:space="preserve"> </w:t>
      </w:r>
      <w:r w:rsidR="00E37FA7" w:rsidRPr="0066103C">
        <w:t xml:space="preserve">As far as we know, </w:t>
      </w:r>
      <w:r w:rsidR="00352561" w:rsidRPr="0066103C">
        <w:t>Julius Af</w:t>
      </w:r>
      <w:r w:rsidR="00E37FA7" w:rsidRPr="0066103C">
        <w:t xml:space="preserve">ricanus in the third century was </w:t>
      </w:r>
      <w:r w:rsidR="00352561" w:rsidRPr="0066103C">
        <w:t xml:space="preserve">the first to work out </w:t>
      </w:r>
      <w:r w:rsidR="0032400D">
        <w:t>an approach</w:t>
      </w:r>
      <w:r w:rsidR="0032400D" w:rsidRPr="0032400D">
        <w:t xml:space="preserve"> </w:t>
      </w:r>
      <w:r w:rsidR="0032400D">
        <w:t>to an interpretation of vv 24-27 that</w:t>
      </w:r>
      <w:r w:rsidR="0032400D" w:rsidRPr="0032400D">
        <w:t xml:space="preserve"> began from </w:t>
      </w:r>
      <w:r w:rsidR="00EF2BBD">
        <w:lastRenderedPageBreak/>
        <w:t>Jesus’</w:t>
      </w:r>
      <w:r w:rsidR="0032400D" w:rsidRPr="0032400D">
        <w:t xml:space="preserve"> life and/or death</w:t>
      </w:r>
      <w:r w:rsidR="0004447C">
        <w:t>,</w:t>
      </w:r>
      <w:r w:rsidR="0032400D" w:rsidRPr="0032400D">
        <w:t xml:space="preserve"> </w:t>
      </w:r>
      <w:r w:rsidR="0032400D">
        <w:t>on the basis that he</w:t>
      </w:r>
      <w:r w:rsidR="0032400D" w:rsidRPr="0032400D">
        <w:t xml:space="preserve"> brought about the</w:t>
      </w:r>
      <w:r w:rsidR="0032400D">
        <w:t xml:space="preserve"> achievements described there.</w:t>
      </w:r>
      <w:r w:rsidR="00945C8C">
        <w:t xml:space="preserve"> </w:t>
      </w:r>
      <w:r w:rsidR="00E37FA7" w:rsidRPr="0066103C">
        <w:t xml:space="preserve">Jerome </w:t>
      </w:r>
      <w:r w:rsidR="0032400D">
        <w:t xml:space="preserve">subsequently </w:t>
      </w:r>
      <w:r w:rsidR="00E37FA7" w:rsidRPr="0066103C">
        <w:t xml:space="preserve">notes </w:t>
      </w:r>
      <w:r w:rsidR="00352561" w:rsidRPr="0066103C">
        <w:t xml:space="preserve">various </w:t>
      </w:r>
      <w:r w:rsidR="00E37FA7" w:rsidRPr="0066103C">
        <w:t xml:space="preserve">ways of doing so </w:t>
      </w:r>
      <w:r w:rsidR="0032400D">
        <w:t xml:space="preserve">that are </w:t>
      </w:r>
      <w:r w:rsidR="00E37FA7" w:rsidRPr="0066103C">
        <w:t>represented by Eusebius, Hippolyt</w:t>
      </w:r>
      <w:r w:rsidR="0007233A">
        <w:t>us, Apollinaris, and Tertullian</w:t>
      </w:r>
      <w:r w:rsidR="00CF18CA">
        <w:t>, and t</w:t>
      </w:r>
      <w:r w:rsidR="0007233A">
        <w:t>he different views they espouse continue to be maintained in thetwenty-first century.</w:t>
      </w:r>
      <w:r w:rsidR="00F54844" w:rsidRPr="0066103C">
        <w:rPr>
          <w:rStyle w:val="FootnoteReference"/>
        </w:rPr>
        <w:footnoteReference w:id="528"/>
      </w:r>
      <w:r w:rsidR="0032400D">
        <w:t xml:space="preserve"> </w:t>
      </w:r>
      <w:r w:rsidR="004B5ABD">
        <w:t>Both for Jews and for Christians, it would be evident that once more not everyt</w:t>
      </w:r>
      <w:r w:rsidR="0007233A">
        <w:t>h</w:t>
      </w:r>
      <w:r w:rsidR="004B5ABD">
        <w:t>ing promised in the pa</w:t>
      </w:r>
      <w:r w:rsidR="0032400D">
        <w:t>ssage had been achieved, and</w:t>
      </w:r>
      <w:r w:rsidR="004B5ABD">
        <w:t xml:space="preserve"> that its fulfillment remains an object of hope.</w:t>
      </w:r>
    </w:p>
    <w:p w:rsidR="00526159" w:rsidRDefault="0007233A" w:rsidP="003909F2">
      <w:r>
        <w:t xml:space="preserve">It is not surprising that Jews and Christians disagree over the </w:t>
      </w:r>
      <w:r w:rsidR="0004447C">
        <w:t xml:space="preserve">precise first-century AD </w:t>
      </w:r>
      <w:r>
        <w:t xml:space="preserve">starting point for a retrospective interpretation of Gabriel’s message. It might be more surprising that interpreters such as Julius, </w:t>
      </w:r>
      <w:r w:rsidRPr="0007233A">
        <w:t xml:space="preserve">Eusebius, Hippolytus, Apollinaris, and Tertullian </w:t>
      </w:r>
      <w:r>
        <w:t xml:space="preserve">and their twenty-first century equivalents, who are in broad agreement over </w:t>
      </w:r>
      <w:r w:rsidR="008C13EA">
        <w:t>an interpretive starting point,</w:t>
      </w:r>
      <w:r>
        <w:t xml:space="preserve"> disagree</w:t>
      </w:r>
      <w:r w:rsidR="00CF18CA">
        <w:t xml:space="preserve"> over whether (e.g.) to work</w:t>
      </w:r>
      <w:r w:rsidR="00CF18CA" w:rsidRPr="00CF18CA">
        <w:t xml:space="preserve"> back from </w:t>
      </w:r>
      <w:r w:rsidR="00EF2BBD">
        <w:t>Jesus’</w:t>
      </w:r>
      <w:r w:rsidR="00CF18CA">
        <w:t xml:space="preserve"> birth or death, and/or over whether to</w:t>
      </w:r>
      <w:r w:rsidR="00CF18CA" w:rsidRPr="00CF18CA">
        <w:t xml:space="preserve"> wor</w:t>
      </w:r>
      <w:r w:rsidR="00CF18CA">
        <w:t>k</w:t>
      </w:r>
      <w:r w:rsidR="00CF18CA" w:rsidRPr="00CF18CA">
        <w:t xml:space="preserve"> back to Artaxerxes, Darius, or Cyrus, </w:t>
      </w:r>
      <w:r w:rsidR="00CF18CA">
        <w:t xml:space="preserve">and/or over how many days to assume that </w:t>
      </w:r>
      <w:r w:rsidR="00CF18CA" w:rsidRPr="00CF18CA">
        <w:t xml:space="preserve">there are in a year, and </w:t>
      </w:r>
      <w:r w:rsidR="00CF18CA">
        <w:t xml:space="preserve">and/or over </w:t>
      </w:r>
      <w:r w:rsidR="00CF18CA" w:rsidRPr="00CF18CA">
        <w:t>where one locates the final seven years</w:t>
      </w:r>
      <w:r w:rsidR="00CF18CA">
        <w:t>.</w:t>
      </w:r>
      <w:r>
        <w:t xml:space="preserve"> </w:t>
      </w:r>
      <w:r w:rsidR="00CF18CA">
        <w:t xml:space="preserve">Their differences of </w:t>
      </w:r>
      <w:r w:rsidR="003909F2" w:rsidRPr="0066103C">
        <w:t>understandi</w:t>
      </w:r>
      <w:r w:rsidR="00CF18CA">
        <w:t>ng</w:t>
      </w:r>
      <w:r w:rsidR="00E37FA7" w:rsidRPr="0066103C">
        <w:t xml:space="preserve"> </w:t>
      </w:r>
      <w:r w:rsidR="0004447C">
        <w:t>reflect</w:t>
      </w:r>
      <w:r w:rsidR="00CD0A55" w:rsidRPr="0066103C">
        <w:t xml:space="preserve"> some</w:t>
      </w:r>
      <w:r w:rsidR="003909F2" w:rsidRPr="0066103C">
        <w:t xml:space="preserve"> </w:t>
      </w:r>
      <w:r w:rsidR="0004447C">
        <w:t xml:space="preserve">inevitable </w:t>
      </w:r>
      <w:r w:rsidR="003909F2" w:rsidRPr="0066103C">
        <w:t>arbitrariness</w:t>
      </w:r>
      <w:r w:rsidR="00E37FA7" w:rsidRPr="0066103C">
        <w:t xml:space="preserve"> over the starting point, the finishing point, and the method of calculation</w:t>
      </w:r>
      <w:r w:rsidR="00CF18CA">
        <w:t xml:space="preserve">. </w:t>
      </w:r>
    </w:p>
    <w:p w:rsidR="00526159" w:rsidRPr="00526159" w:rsidRDefault="00526159" w:rsidP="00526159">
      <w:r>
        <w:t>T</w:t>
      </w:r>
      <w:r w:rsidR="00F0587C">
        <w:t>he problem here is</w:t>
      </w:r>
      <w:r w:rsidR="00CF18CA">
        <w:t xml:space="preserve"> the assumption that first Jeremiah and then Gabriel offer </w:t>
      </w:r>
      <w:r w:rsidR="006D4563" w:rsidRPr="006D4563">
        <w:t>chronological i</w:t>
      </w:r>
      <w:r w:rsidR="00CF18CA">
        <w:t xml:space="preserve">nformation. </w:t>
      </w:r>
      <w:r w:rsidR="0032400D">
        <w:t>Jerome is again illuminating. A</w:t>
      </w:r>
      <w:r w:rsidR="00E37FA7" w:rsidRPr="0066103C">
        <w:t>s well as declining to offer an opinion</w:t>
      </w:r>
      <w:r w:rsidR="0032400D">
        <w:t xml:space="preserve"> concerning the question on which the other theolog</w:t>
      </w:r>
      <w:r w:rsidR="00771735">
        <w:t>ia</w:t>
      </w:r>
      <w:r w:rsidR="0032400D">
        <w:t>ns differ, he</w:t>
      </w:r>
      <w:r w:rsidR="00E37FA7" w:rsidRPr="0066103C">
        <w:t xml:space="preserve"> notes that </w:t>
      </w:r>
      <w:r w:rsidR="00F95BA5" w:rsidRPr="0066103C">
        <w:t>Julius’s contemporary</w:t>
      </w:r>
      <w:r w:rsidR="0004447C">
        <w:t>,</w:t>
      </w:r>
      <w:r w:rsidR="00F95BA5" w:rsidRPr="0066103C">
        <w:t xml:space="preserve"> </w:t>
      </w:r>
      <w:r w:rsidR="00E37FA7" w:rsidRPr="0066103C">
        <w:t xml:space="preserve">Clement </w:t>
      </w:r>
      <w:r w:rsidR="00F95BA5" w:rsidRPr="0066103C">
        <w:t>of Alexandria</w:t>
      </w:r>
      <w:r w:rsidR="0004447C">
        <w:t>,</w:t>
      </w:r>
      <w:r w:rsidR="00F95BA5" w:rsidRPr="0066103C">
        <w:t xml:space="preserve"> </w:t>
      </w:r>
      <w:r w:rsidR="00E37FA7" w:rsidRPr="0066103C">
        <w:t>“regards the number of years as a matter of slight consequence,” though t</w:t>
      </w:r>
      <w:r w:rsidR="0032400D">
        <w:t>his conviction does not hold Clement</w:t>
      </w:r>
      <w:r w:rsidR="00E37FA7" w:rsidRPr="0066103C">
        <w:t xml:space="preserve"> back from suggesting a calculation</w:t>
      </w:r>
      <w:r w:rsidR="00F95BA5" w:rsidRPr="0066103C">
        <w:t>.</w:t>
      </w:r>
      <w:r w:rsidR="00F95BA5" w:rsidRPr="0066103C">
        <w:rPr>
          <w:vertAlign w:val="superscript"/>
        </w:rPr>
        <w:footnoteReference w:id="529"/>
      </w:r>
      <w:r w:rsidR="003A1E5A">
        <w:t xml:space="preserve"> T</w:t>
      </w:r>
      <w:r>
        <w:t xml:space="preserve">here are ways of making Gabriel’s chronology work </w:t>
      </w:r>
      <w:r w:rsidR="00771735">
        <w:t xml:space="preserve">whether </w:t>
      </w:r>
      <w:r>
        <w:t>one starts from the 160s</w:t>
      </w:r>
      <w:r w:rsidR="00771735">
        <w:t xml:space="preserve"> or from Jesus</w:t>
      </w:r>
      <w:r w:rsidR="0004447C">
        <w:t>, in such a way</w:t>
      </w:r>
      <w:r>
        <w:t xml:space="preserve"> that </w:t>
      </w:r>
      <w:r w:rsidRPr="00526159">
        <w:t>the sevent</w:t>
      </w:r>
      <w:r>
        <w:t xml:space="preserve">y sevens extend </w:t>
      </w:r>
      <w:r w:rsidRPr="00526159">
        <w:t>from some</w:t>
      </w:r>
      <w:r w:rsidR="00771735">
        <w:t xml:space="preserve"> point in the sixth century to the second century BC or </w:t>
      </w:r>
      <w:r w:rsidR="00013C96">
        <w:t xml:space="preserve">to some point </w:t>
      </w:r>
      <w:r w:rsidR="003A1E5A">
        <w:t xml:space="preserve">in </w:t>
      </w:r>
      <w:r w:rsidR="00771735">
        <w:t>the first century AD</w:t>
      </w:r>
      <w:r w:rsidR="003A1E5A">
        <w:t xml:space="preserve"> (then maybe with a 2000-year extension on the basis of “prophetic postponement). </w:t>
      </w:r>
      <w:r w:rsidR="00771735">
        <w:rPr>
          <w:rStyle w:val="FootnoteReference"/>
        </w:rPr>
        <w:footnoteReference w:id="530"/>
      </w:r>
      <w:r w:rsidR="00771735">
        <w:t xml:space="preserve"> </w:t>
      </w:r>
      <w:r w:rsidR="00013C96">
        <w:t>Ye</w:t>
      </w:r>
      <w:r w:rsidR="003A1E5A">
        <w:t xml:space="preserve">t </w:t>
      </w:r>
      <w:r w:rsidR="00013C96">
        <w:t xml:space="preserve">the very variety in the approaches raises questions about the venture and may seem to suggest the conclusion that </w:t>
      </w:r>
      <w:r>
        <w:t xml:space="preserve">Dan 9 </w:t>
      </w:r>
      <w:r w:rsidR="003A1E5A">
        <w:t>mis</w:t>
      </w:r>
      <w:r w:rsidRPr="00526159">
        <w:t>estimate</w:t>
      </w:r>
      <w:r w:rsidR="00013C96">
        <w:t>s</w:t>
      </w:r>
      <w:r w:rsidRPr="00526159">
        <w:t xml:space="preserve"> </w:t>
      </w:r>
      <w:r w:rsidR="00013C96">
        <w:t xml:space="preserve">the time period and </w:t>
      </w:r>
      <w:r w:rsidR="003A1E5A">
        <w:t>reflect</w:t>
      </w:r>
      <w:r w:rsidR="00013C96">
        <w:t>s</w:t>
      </w:r>
      <w:r w:rsidRPr="00526159">
        <w:t xml:space="preserve"> “wrongheaded arithmetical calcul</w:t>
      </w:r>
      <w:r w:rsidR="00771735">
        <w:t>ations.”</w:t>
      </w:r>
      <w:r w:rsidR="00771735">
        <w:rPr>
          <w:rStyle w:val="FootnoteReference"/>
        </w:rPr>
        <w:footnoteReference w:id="531"/>
      </w:r>
    </w:p>
    <w:p w:rsidR="00EB266C" w:rsidRDefault="00F0587C" w:rsidP="00EB266C">
      <w:r>
        <w:t xml:space="preserve">But a fundamental objection to </w:t>
      </w:r>
      <w:r w:rsidR="003909F2" w:rsidRPr="0066103C">
        <w:t>attempts</w:t>
      </w:r>
      <w:r>
        <w:t xml:space="preserve"> either to vindicate and build on</w:t>
      </w:r>
      <w:r w:rsidR="003909F2" w:rsidRPr="0066103C">
        <w:t xml:space="preserve"> Daniel’s figures </w:t>
      </w:r>
      <w:r>
        <w:t xml:space="preserve">or </w:t>
      </w:r>
      <w:r w:rsidRPr="00F0587C">
        <w:t xml:space="preserve">to critique </w:t>
      </w:r>
      <w:r>
        <w:t xml:space="preserve">them </w:t>
      </w:r>
      <w:r w:rsidR="003909F2" w:rsidRPr="0066103C">
        <w:t xml:space="preserve">is that both </w:t>
      </w:r>
      <w:r>
        <w:t xml:space="preserve">attempts </w:t>
      </w:r>
      <w:r w:rsidR="00013C96">
        <w:t>are mistaken in taking the 490 years to offer</w:t>
      </w:r>
      <w:r w:rsidR="003909F2" w:rsidRPr="0066103C">
        <w:t xml:space="preserve"> chronological information. </w:t>
      </w:r>
      <w:r w:rsidR="00013C96">
        <w:t>Writers of the Hellenistic period were not</w:t>
      </w:r>
      <w:r w:rsidR="007120A1" w:rsidRPr="0066103C">
        <w:t xml:space="preserve"> </w:t>
      </w:r>
      <w:r w:rsidR="00013C96">
        <w:t xml:space="preserve">uninterested in </w:t>
      </w:r>
      <w:r w:rsidR="007120A1" w:rsidRPr="0066103C">
        <w:t xml:space="preserve">or </w:t>
      </w:r>
      <w:r w:rsidR="00013C96">
        <w:t>in</w:t>
      </w:r>
      <w:r w:rsidR="007120A1" w:rsidRPr="0066103C">
        <w:t>capable of discovering the real chronology of preceding centuries.</w:t>
      </w:r>
      <w:r w:rsidR="007120A1" w:rsidRPr="0066103C">
        <w:rPr>
          <w:vertAlign w:val="superscript"/>
        </w:rPr>
        <w:footnoteReference w:id="532"/>
      </w:r>
      <w:r w:rsidR="007120A1" w:rsidRPr="0066103C">
        <w:t xml:space="preserve"> Yet the variety of ways of understanding the </w:t>
      </w:r>
      <w:r>
        <w:t>data in Dan 9 raises the question whether these data,</w:t>
      </w:r>
      <w:r w:rsidR="007120A1" w:rsidRPr="0066103C">
        <w:t xml:space="preserve"> at least</w:t>
      </w:r>
      <w:r>
        <w:t>,</w:t>
      </w:r>
      <w:r w:rsidR="007120A1" w:rsidRPr="0066103C">
        <w:t xml:space="preserve"> involve</w:t>
      </w:r>
      <w:r w:rsidR="003909F2" w:rsidRPr="0066103C">
        <w:t xml:space="preserve"> </w:t>
      </w:r>
      <w:r>
        <w:t xml:space="preserve">not chronology but chronography. Chronography is </w:t>
      </w:r>
      <w:r w:rsidR="003909F2" w:rsidRPr="0066103C">
        <w:t xml:space="preserve">a stylized scheme of history </w:t>
      </w:r>
      <w:r>
        <w:t xml:space="preserve">which is </w:t>
      </w:r>
      <w:r w:rsidR="003909F2" w:rsidRPr="0066103C">
        <w:t>used to interpret historical data</w:t>
      </w:r>
      <w:r>
        <w:t>,</w:t>
      </w:r>
      <w:r w:rsidR="003909F2" w:rsidRPr="0066103C">
        <w:t xml:space="preserve"> rather than </w:t>
      </w:r>
      <w:r>
        <w:t>an understanding that arises from the data. It is</w:t>
      </w:r>
      <w:r w:rsidR="003909F2" w:rsidRPr="0066103C">
        <w:t xml:space="preserve"> comparable to cosmology, arithmology, and genealogy as </w:t>
      </w:r>
      <w:r w:rsidR="003909F2" w:rsidRPr="0066103C">
        <w:lastRenderedPageBreak/>
        <w:t>these app</w:t>
      </w:r>
      <w:r w:rsidR="007120A1" w:rsidRPr="0066103C">
        <w:t>ear in writings such as the OT</w:t>
      </w:r>
      <w:r w:rsidR="003909F2" w:rsidRPr="0066103C">
        <w:t>.</w:t>
      </w:r>
      <w:r w:rsidR="007120A1" w:rsidRPr="0066103C">
        <w:rPr>
          <w:rStyle w:val="FootnoteReference"/>
        </w:rPr>
        <w:footnoteReference w:id="533"/>
      </w:r>
      <w:r w:rsidR="003909F2" w:rsidRPr="0066103C">
        <w:t xml:space="preserve"> </w:t>
      </w:r>
      <w:r w:rsidR="00B825FF" w:rsidRPr="0066103C">
        <w:t>A</w:t>
      </w:r>
      <w:r w:rsidR="003909F2" w:rsidRPr="0066103C">
        <w:t xml:space="preserve"> general consideration of OT dates supports the view that a figure such as 490 years is not designed to offer chronologica</w:t>
      </w:r>
      <w:r>
        <w:t xml:space="preserve">l information. </w:t>
      </w:r>
      <w:r w:rsidR="0025638D">
        <w:t xml:space="preserve">The Books of </w:t>
      </w:r>
      <w:r>
        <w:t xml:space="preserve">Kings </w:t>
      </w:r>
      <w:r w:rsidR="0025638D">
        <w:t>offer precise figure</w:t>
      </w:r>
      <w:r w:rsidR="003909F2" w:rsidRPr="0066103C">
        <w:t>s regarding how long kings reigned (28 years</w:t>
      </w:r>
      <w:r w:rsidR="0025638D">
        <w:t>, 41 years, etc.), and while these</w:t>
      </w:r>
      <w:r w:rsidR="003909F2" w:rsidRPr="0066103C">
        <w:t xml:space="preserve"> figures raise</w:t>
      </w:r>
      <w:r>
        <w:t xml:space="preserve"> detailed problems, they do</w:t>
      </w:r>
      <w:r w:rsidR="003909F2" w:rsidRPr="0066103C">
        <w:t xml:space="preserve"> seek to convey chronological information.</w:t>
      </w:r>
      <w:r>
        <w:t xml:space="preserve"> In contrast, Judges </w:t>
      </w:r>
      <w:r w:rsidR="003909F2" w:rsidRPr="0066103C">
        <w:t xml:space="preserve">speaks of periods of forty years of oppression, peace, or some other experience, </w:t>
      </w:r>
      <w:r>
        <w:t>which do not look like</w:t>
      </w:r>
      <w:r w:rsidR="003909F2" w:rsidRPr="0066103C">
        <w:t xml:space="preserve"> chronological</w:t>
      </w:r>
      <w:r>
        <w:t xml:space="preserve"> markers of that precise kind. First Kings itself says</w:t>
      </w:r>
      <w:r w:rsidR="003909F2" w:rsidRPr="0066103C">
        <w:t xml:space="preserve"> that the building of the temple began 480 </w:t>
      </w:r>
      <w:r>
        <w:t>years (twelve times forty years</w:t>
      </w:r>
      <w:r w:rsidR="003909F2" w:rsidRPr="0066103C">
        <w:t>) after the exodus (6:1), and this</w:t>
      </w:r>
      <w:r w:rsidR="00B825FF" w:rsidRPr="0066103C">
        <w:t xml:space="preserve"> date</w:t>
      </w:r>
      <w:r w:rsidR="003909F2" w:rsidRPr="0066103C">
        <w:t>, too, does not have the appearance of a chrono</w:t>
      </w:r>
      <w:r w:rsidR="0025638D">
        <w:t>logical note, while e</w:t>
      </w:r>
      <w:r w:rsidR="003909F2" w:rsidRPr="0066103C">
        <w:t xml:space="preserve">lsewhere 490 also seems to have been used as a principle for </w:t>
      </w:r>
      <w:r w:rsidR="0025638D">
        <w:t xml:space="preserve">periodizing history (see </w:t>
      </w:r>
      <w:r w:rsidR="0025638D" w:rsidRPr="0025638D">
        <w:rPr>
          <w:i/>
        </w:rPr>
        <w:t>Form</w:t>
      </w:r>
      <w:r w:rsidR="0025638D">
        <w:t>)</w:t>
      </w:r>
      <w:r w:rsidR="003909F2" w:rsidRPr="0066103C">
        <w:t>. Dan 9 is to be related to these ways of speaking. It begins from Jeremiah’s “seventy years,” which was hardly a chronological calculation but a term denoting a period such as human lifetime that extends beyond the yea</w:t>
      </w:r>
      <w:r w:rsidR="0025638D">
        <w:t>rs that the hearers will see, and</w:t>
      </w:r>
      <w:r w:rsidR="003909F2" w:rsidRPr="0066103C">
        <w:t xml:space="preserve"> combines that </w:t>
      </w:r>
      <w:r w:rsidR="0025638D">
        <w:t xml:space="preserve">figure </w:t>
      </w:r>
      <w:r w:rsidR="003909F2" w:rsidRPr="0066103C">
        <w:t>with the principle of sevenfold punishment from Lev 26. None of this background suggests that either the total period of 490 years or its subdivisions are to be expected necessarily to correspond numerically to chro</w:t>
      </w:r>
      <w:r w:rsidR="00EB266C">
        <w:t xml:space="preserve">nological periods. </w:t>
      </w:r>
      <w:r w:rsidR="00B825FF" w:rsidRPr="0066103C">
        <w:t>The attempt to interpret as chronology figures that are not amenable to any consistently literal interpretation is misguided.</w:t>
      </w:r>
      <w:r w:rsidR="00EB266C">
        <w:t xml:space="preserve"> </w:t>
      </w:r>
    </w:p>
    <w:p w:rsidR="00EB266C" w:rsidRPr="00EB266C" w:rsidRDefault="00EB266C" w:rsidP="00EB266C">
      <w:pPr>
        <w:rPr>
          <w:rFonts w:eastAsiaTheme="minorHAnsi" w:cs="Times New Roman"/>
        </w:rPr>
      </w:pPr>
      <w:r>
        <w:rPr>
          <w:rFonts w:eastAsiaTheme="minorHAnsi" w:cs="Times New Roman"/>
        </w:rPr>
        <w:t>With unconscious irony, Jerome further comments</w:t>
      </w:r>
      <w:r w:rsidRPr="00EB266C">
        <w:rPr>
          <w:rFonts w:eastAsiaTheme="minorHAnsi" w:cs="Times New Roman"/>
        </w:rPr>
        <w:t xml:space="preserve"> that</w:t>
      </w:r>
      <w:r>
        <w:rPr>
          <w:rFonts w:eastAsiaTheme="minorHAnsi" w:cs="Times New Roman"/>
        </w:rPr>
        <w:t xml:space="preserve"> in connection with Gabriel’s numbers </w:t>
      </w:r>
      <w:r w:rsidRPr="00EB266C">
        <w:rPr>
          <w:rFonts w:eastAsiaTheme="minorHAnsi" w:cs="Times New Roman"/>
        </w:rPr>
        <w:t>Origen “had no leeway for allegorical interpretation… but was restricted to matters of historical fact.”</w:t>
      </w:r>
      <w:r w:rsidRPr="00EB266C">
        <w:rPr>
          <w:rFonts w:eastAsiaTheme="minorHAnsi" w:cs="Times New Roman"/>
          <w:vertAlign w:val="superscript"/>
        </w:rPr>
        <w:footnoteReference w:id="534"/>
      </w:r>
      <w:r>
        <w:rPr>
          <w:rFonts w:eastAsiaTheme="minorHAnsi" w:cs="Times New Roman"/>
        </w:rPr>
        <w:t xml:space="preserve"> Where is Origen with his symbolic interpretation when you need him?— because t</w:t>
      </w:r>
      <w:r w:rsidRPr="00EB266C">
        <w:rPr>
          <w:rFonts w:eastAsiaTheme="minorHAnsi" w:cs="Times New Roman"/>
        </w:rPr>
        <w:t>he numbers are “symbolical</w:t>
      </w:r>
      <w:r w:rsidR="00400A7B">
        <w:rPr>
          <w:rFonts w:eastAsiaTheme="minorHAnsi" w:cs="Times New Roman"/>
        </w:rPr>
        <w:t xml:space="preserve">,” and </w:t>
      </w:r>
      <w:r w:rsidRPr="00EB266C">
        <w:rPr>
          <w:rFonts w:eastAsiaTheme="minorHAnsi" w:cs="Times New Roman"/>
        </w:rPr>
        <w:t>“it is not warrantable to seek to discover th</w:t>
      </w:r>
      <w:r w:rsidR="00895B1F">
        <w:rPr>
          <w:rFonts w:eastAsiaTheme="minorHAnsi" w:cs="Times New Roman"/>
        </w:rPr>
        <w:t>e precise lengths of the sevens.</w:t>
      </w:r>
      <w:r w:rsidRPr="00EB266C">
        <w:rPr>
          <w:rFonts w:eastAsiaTheme="minorHAnsi" w:cs="Times New Roman"/>
        </w:rPr>
        <w:t>”</w:t>
      </w:r>
      <w:r w:rsidRPr="00EB266C">
        <w:rPr>
          <w:rFonts w:eastAsiaTheme="minorHAnsi" w:cs="Times New Roman"/>
          <w:vertAlign w:val="superscript"/>
        </w:rPr>
        <w:footnoteReference w:id="535"/>
      </w:r>
      <w:r w:rsidR="00895B1F">
        <w:rPr>
          <w:rFonts w:eastAsiaTheme="minorHAnsi" w:cs="Times New Roman"/>
        </w:rPr>
        <w:t xml:space="preserve"> It was</w:t>
      </w:r>
      <w:r w:rsidR="0087489A">
        <w:rPr>
          <w:rFonts w:eastAsiaTheme="minorHAnsi" w:cs="Times New Roman"/>
        </w:rPr>
        <w:t xml:space="preserve"> the appare</w:t>
      </w:r>
      <w:r w:rsidR="00895B1F">
        <w:rPr>
          <w:rFonts w:eastAsiaTheme="minorHAnsi" w:cs="Times New Roman"/>
        </w:rPr>
        <w:t>nt specifity of the numbers,</w:t>
      </w:r>
      <w:r w:rsidR="0087489A">
        <w:rPr>
          <w:rFonts w:eastAsiaTheme="minorHAnsi" w:cs="Times New Roman"/>
        </w:rPr>
        <w:t xml:space="preserve"> the fact that the exile did last seventy years</w:t>
      </w:r>
      <w:r w:rsidR="00895B1F">
        <w:rPr>
          <w:rFonts w:eastAsiaTheme="minorHAnsi" w:cs="Times New Roman"/>
        </w:rPr>
        <w:t>,</w:t>
      </w:r>
      <w:r w:rsidR="0087489A">
        <w:rPr>
          <w:rFonts w:eastAsiaTheme="minorHAnsi" w:cs="Times New Roman"/>
        </w:rPr>
        <w:t xml:space="preserve"> and the human desire for insight about the future </w:t>
      </w:r>
      <w:r w:rsidR="00895B1F">
        <w:rPr>
          <w:rFonts w:eastAsiaTheme="minorHAnsi" w:cs="Times New Roman"/>
        </w:rPr>
        <w:t xml:space="preserve">that </w:t>
      </w:r>
      <w:r w:rsidR="0087489A">
        <w:rPr>
          <w:rFonts w:eastAsiaTheme="minorHAnsi" w:cs="Times New Roman"/>
        </w:rPr>
        <w:t>came to draw interprete</w:t>
      </w:r>
      <w:r w:rsidR="00895B1F">
        <w:rPr>
          <w:rFonts w:eastAsiaTheme="minorHAnsi" w:cs="Times New Roman"/>
        </w:rPr>
        <w:t>rs into treating them as providing</w:t>
      </w:r>
      <w:r w:rsidR="0087489A">
        <w:rPr>
          <w:rFonts w:eastAsiaTheme="minorHAnsi" w:cs="Times New Roman"/>
        </w:rPr>
        <w:t xml:space="preserve"> such information.</w:t>
      </w:r>
      <w:r w:rsidR="0087489A">
        <w:rPr>
          <w:rStyle w:val="FootnoteReference"/>
          <w:rFonts w:eastAsiaTheme="minorHAnsi" w:cs="Times New Roman"/>
        </w:rPr>
        <w:footnoteReference w:id="536"/>
      </w:r>
    </w:p>
    <w:p w:rsidR="003909F2" w:rsidRPr="0066103C" w:rsidRDefault="00F139C5" w:rsidP="003909F2">
      <w:r>
        <w:rPr>
          <w:b/>
        </w:rPr>
        <w:t xml:space="preserve">24 </w:t>
      </w:r>
      <w:r>
        <w:t>Gabriel declares that b</w:t>
      </w:r>
      <w:r w:rsidR="003909F2" w:rsidRPr="0066103C">
        <w:t>y the time the seventy sevens en</w:t>
      </w:r>
      <w:r w:rsidR="00EB266C">
        <w:t>d, six things will</w:t>
      </w:r>
      <w:r w:rsidR="003909F2" w:rsidRPr="0066103C">
        <w:t xml:space="preserve"> </w:t>
      </w:r>
      <w:r w:rsidR="00EB266C">
        <w:t xml:space="preserve">have </w:t>
      </w:r>
      <w:r w:rsidR="003909F2" w:rsidRPr="0066103C">
        <w:t>be</w:t>
      </w:r>
      <w:r w:rsidR="00EB266C">
        <w:t>en</w:t>
      </w:r>
      <w:r w:rsidR="003909F2" w:rsidRPr="0066103C">
        <w:t xml:space="preserve"> ach</w:t>
      </w:r>
      <w:r w:rsidR="00EB266C">
        <w:t xml:space="preserve">ieved for </w:t>
      </w:r>
      <w:r>
        <w:t>people and sacred city; hi</w:t>
      </w:r>
      <w:r w:rsidR="00EB266C">
        <w:t xml:space="preserve">s concern is Israel and Jerusalem, not the world as a whole. </w:t>
      </w:r>
      <w:r w:rsidR="003909F2" w:rsidRPr="0066103C">
        <w:t>The three negatives in v 24 are near-synonyms: wickedness is characterized as rebellion, failure, and waywardness (</w:t>
      </w:r>
      <w:r w:rsidR="003909F2" w:rsidRPr="0066103C">
        <w:rPr>
          <w:rFonts w:ascii="Arial" w:hAnsi="Arial" w:cs="Arial"/>
        </w:rPr>
        <w:t>פשע</w:t>
      </w:r>
      <w:r w:rsidR="003909F2" w:rsidRPr="0066103C">
        <w:t xml:space="preserve">, though with the article; </w:t>
      </w:r>
      <w:r w:rsidR="003909F2" w:rsidRPr="0066103C">
        <w:rPr>
          <w:rFonts w:ascii="Arial" w:hAnsi="Arial" w:cs="Arial"/>
        </w:rPr>
        <w:t>חטאת</w:t>
      </w:r>
      <w:r w:rsidR="003909F2" w:rsidRPr="0066103C">
        <w:t>, though plural in K;</w:t>
      </w:r>
      <w:r>
        <w:t xml:space="preserve"> and</w:t>
      </w:r>
      <w:r w:rsidR="003909F2" w:rsidRPr="0066103C">
        <w:t xml:space="preserve"> </w:t>
      </w:r>
      <w:r w:rsidR="003909F2" w:rsidRPr="0066103C">
        <w:rPr>
          <w:rFonts w:ascii="Arial" w:hAnsi="Arial" w:cs="Arial"/>
        </w:rPr>
        <w:t>עון</w:t>
      </w:r>
      <w:r w:rsidR="003909F2" w:rsidRPr="0066103C">
        <w:t xml:space="preserve">). Daniel’s prayer has used such terms to describe Israel’s wickedness: see </w:t>
      </w:r>
      <w:r w:rsidR="003909F2" w:rsidRPr="0066103C">
        <w:rPr>
          <w:i/>
        </w:rPr>
        <w:t>Comment</w:t>
      </w:r>
      <w:r w:rsidR="003909F2" w:rsidRPr="0066103C">
        <w:t xml:space="preserve"> </w:t>
      </w:r>
      <w:r w:rsidR="00905AC5" w:rsidRPr="0066103C">
        <w:t>(f) on vv 3–23</w:t>
      </w:r>
      <w:r w:rsidR="003909F2" w:rsidRPr="0066103C">
        <w:t>. In speaking of the “wiping away” of waywar</w:t>
      </w:r>
      <w:r w:rsidR="00905AC5" w:rsidRPr="0066103C">
        <w:t xml:space="preserve">dness, v 24 uses the key sacramental </w:t>
      </w:r>
      <w:r w:rsidR="003909F2" w:rsidRPr="0066103C">
        <w:t xml:space="preserve">verb </w:t>
      </w:r>
      <w:r w:rsidR="003909F2" w:rsidRPr="0066103C">
        <w:rPr>
          <w:rFonts w:ascii="Arial" w:hAnsi="Arial" w:cs="Arial"/>
        </w:rPr>
        <w:t>כפר</w:t>
      </w:r>
      <w:r w:rsidR="003909F2" w:rsidRPr="0066103C">
        <w:t>. It presupposes that cleansing is God’s own act of salvation in hi</w:t>
      </w:r>
      <w:r w:rsidR="00905AC5" w:rsidRPr="0066103C">
        <w:t>story rather than a human</w:t>
      </w:r>
      <w:r w:rsidR="003909F2" w:rsidRPr="0066103C">
        <w:t xml:space="preserve"> </w:t>
      </w:r>
      <w:r w:rsidR="00905AC5" w:rsidRPr="0066103C">
        <w:t xml:space="preserve">sacramental </w:t>
      </w:r>
      <w:r w:rsidR="003909F2" w:rsidRPr="0066103C">
        <w:t>act.</w:t>
      </w:r>
      <w:r w:rsidR="00905AC5" w:rsidRPr="0066103C">
        <w:rPr>
          <w:rStyle w:val="FootnoteReference"/>
        </w:rPr>
        <w:footnoteReference w:id="537"/>
      </w:r>
    </w:p>
    <w:p w:rsidR="003909F2" w:rsidRPr="0066103C" w:rsidRDefault="00AE0BA0" w:rsidP="003909F2">
      <w:r>
        <w:t>One might thus</w:t>
      </w:r>
      <w:r w:rsidR="009A5602" w:rsidRPr="0066103C">
        <w:t xml:space="preserve"> understand t</w:t>
      </w:r>
      <w:r w:rsidR="00905AC5" w:rsidRPr="0066103C">
        <w:t>he message</w:t>
      </w:r>
      <w:r w:rsidR="009A5602" w:rsidRPr="0066103C">
        <w:t xml:space="preserve"> as</w:t>
      </w:r>
      <w:r w:rsidR="003909F2" w:rsidRPr="0066103C">
        <w:t xml:space="preserve"> a response to Daniel’s confession of Israel’s sin, promising cleansing and relief from the afflictions that have come as sin’s punishment; it would then parallel Isa 40:1–2</w:t>
      </w:r>
      <w:r w:rsidR="00272B24">
        <w:t xml:space="preserve"> in the Babylonian period</w:t>
      </w:r>
      <w:r w:rsidR="003909F2" w:rsidRPr="0066103C">
        <w:t>.</w:t>
      </w:r>
      <w:r w:rsidR="009A5602" w:rsidRPr="0066103C">
        <w:rPr>
          <w:rStyle w:val="FootnoteReference"/>
        </w:rPr>
        <w:footnoteReference w:id="538"/>
      </w:r>
      <w:r w:rsidR="003909F2" w:rsidRPr="0066103C">
        <w:t xml:space="preserve"> Yet several considerations point against this view. </w:t>
      </w:r>
      <w:r w:rsidR="00400A7B" w:rsidRPr="00400A7B">
        <w:t xml:space="preserve">There is no indication in the </w:t>
      </w:r>
      <w:r w:rsidR="00C11DAA">
        <w:t xml:space="preserve">prayer or the </w:t>
      </w:r>
      <w:r w:rsidR="00400A7B" w:rsidRPr="00400A7B">
        <w:t>message that the whole Second Temple period is seen as a period of wickedness</w:t>
      </w:r>
      <w:r w:rsidR="00C11DAA">
        <w:t>. The prayer</w:t>
      </w:r>
      <w:r w:rsidR="00400A7B" w:rsidRPr="00400A7B">
        <w:t xml:space="preserve"> refers more explicitly to the unfaithfulness of the monarchic period</w:t>
      </w:r>
      <w:r w:rsidR="00C11DAA">
        <w:t>. In the message,</w:t>
      </w:r>
      <w:r w:rsidR="00400A7B" w:rsidRPr="00400A7B">
        <w:t xml:space="preserve"> t</w:t>
      </w:r>
      <w:r w:rsidR="00F139C5">
        <w:t xml:space="preserve">he last “seven” is </w:t>
      </w:r>
      <w:r w:rsidR="00400A7B" w:rsidRPr="00400A7B">
        <w:t>characterized by wickedness, wrath, an</w:t>
      </w:r>
      <w:r w:rsidR="00C11DAA">
        <w:t>d desolation, but</w:t>
      </w:r>
      <w:r w:rsidR="00400A7B" w:rsidRPr="00400A7B">
        <w:t xml:space="preserve"> </w:t>
      </w:r>
      <w:r w:rsidR="003909F2" w:rsidRPr="0066103C">
        <w:t xml:space="preserve">Daniel has not so far pictured the afflictions of the second century </w:t>
      </w:r>
      <w:r w:rsidR="009A5602" w:rsidRPr="0066103C">
        <w:t>as puni</w:t>
      </w:r>
      <w:r>
        <w:t>shment</w:t>
      </w:r>
      <w:r w:rsidR="00F139C5">
        <w:t xml:space="preserve"> for the Jews’ wickedness.</w:t>
      </w:r>
      <w:r w:rsidR="003909F2" w:rsidRPr="0066103C">
        <w:t xml:space="preserve"> Antiochus is </w:t>
      </w:r>
      <w:r w:rsidR="003909F2" w:rsidRPr="0066103C">
        <w:lastRenderedPageBreak/>
        <w:t xml:space="preserve">the desolater rather </w:t>
      </w:r>
      <w:r w:rsidR="009A5602" w:rsidRPr="0066103C">
        <w:t>than the rod of Yahweh’s anger</w:t>
      </w:r>
      <w:r w:rsidR="00F139C5">
        <w:t>,</w:t>
      </w:r>
      <w:r w:rsidR="009A5602" w:rsidRPr="0066103C">
        <w:rPr>
          <w:rStyle w:val="FootnoteReference"/>
        </w:rPr>
        <w:footnoteReference w:id="539"/>
      </w:r>
      <w:r w:rsidR="009A5602" w:rsidRPr="0066103C">
        <w:t xml:space="preserve"> </w:t>
      </w:r>
      <w:r w:rsidR="00F139C5">
        <w:t>and t</w:t>
      </w:r>
      <w:r w:rsidR="00400A7B" w:rsidRPr="00400A7B">
        <w:t>he expression “the</w:t>
      </w:r>
      <w:r w:rsidR="00400A7B">
        <w:t xml:space="preserve"> rebellion” recalls 8:12–14, 23</w:t>
      </w:r>
      <w:r w:rsidR="00400A7B" w:rsidRPr="00400A7B">
        <w:t>,</w:t>
      </w:r>
      <w:r w:rsidR="00400A7B" w:rsidRPr="00400A7B">
        <w:rPr>
          <w:vertAlign w:val="superscript"/>
        </w:rPr>
        <w:footnoteReference w:id="540"/>
      </w:r>
      <w:r w:rsidR="00400A7B" w:rsidRPr="00400A7B">
        <w:t xml:space="preserve"> where the offending acts of Antiochus have at least part of the focus.</w:t>
      </w:r>
      <w:r w:rsidR="00400A7B">
        <w:t xml:space="preserve"> </w:t>
      </w:r>
      <w:r w:rsidR="009A5602" w:rsidRPr="0066103C">
        <w:t>Like Job 38–41, Gabriel’s message</w:t>
      </w:r>
      <w:r>
        <w:t xml:space="preserve"> does not relate very directly to what precedes;</w:t>
      </w:r>
      <w:r w:rsidR="003909F2" w:rsidRPr="0066103C">
        <w:t xml:space="preserve"> it is designed to give a new perspective on issues raised so far.</w:t>
      </w:r>
      <w:r w:rsidR="009A5602" w:rsidRPr="0066103C">
        <w:rPr>
          <w:rStyle w:val="FootnoteReference"/>
        </w:rPr>
        <w:footnoteReference w:id="541"/>
      </w:r>
      <w:r w:rsidR="003909F2" w:rsidRPr="0066103C">
        <w:t xml:space="preserve"> </w:t>
      </w:r>
      <w:r w:rsidR="00400A7B">
        <w:t>The promises in vv 24–27</w:t>
      </w:r>
      <w:r w:rsidR="003909F2" w:rsidRPr="0066103C">
        <w:t xml:space="preserve"> emerge from God’s sovereign will; they are not a response to Israel’s s</w:t>
      </w:r>
      <w:r w:rsidR="00B91A0E" w:rsidRPr="0066103C">
        <w:t xml:space="preserve">in or </w:t>
      </w:r>
      <w:r w:rsidR="00400A7B">
        <w:t xml:space="preserve">to </w:t>
      </w:r>
      <w:r w:rsidR="00B91A0E" w:rsidRPr="0066103C">
        <w:t>Daniel’s confession</w:t>
      </w:r>
      <w:r w:rsidR="003909F2" w:rsidRPr="0066103C">
        <w:t>. Daniel</w:t>
      </w:r>
      <w:r w:rsidR="004A6056" w:rsidRPr="0066103C">
        <w:t xml:space="preserve"> will subsequently make explicit</w:t>
      </w:r>
      <w:r w:rsidR="003909F2" w:rsidRPr="0066103C">
        <w:t xml:space="preserve"> that </w:t>
      </w:r>
      <w:r w:rsidR="00C11DAA">
        <w:t xml:space="preserve">there is </w:t>
      </w:r>
      <w:r w:rsidR="003909F2" w:rsidRPr="0066103C">
        <w:t>a distinction betw</w:t>
      </w:r>
      <w:r w:rsidR="002C2955">
        <w:t xml:space="preserve">een faithfulness </w:t>
      </w:r>
      <w:r w:rsidR="00C11DAA">
        <w:t xml:space="preserve">and wickedness </w:t>
      </w:r>
      <w:r w:rsidR="00F139C5">
        <w:t>that runs</w:t>
      </w:r>
      <w:r w:rsidR="003909F2" w:rsidRPr="0066103C">
        <w:t xml:space="preserve"> within Isra</w:t>
      </w:r>
      <w:r w:rsidR="00C11DAA">
        <w:t>el itself (see 11:30–35; 12:10), and</w:t>
      </w:r>
      <w:r w:rsidR="003909F2" w:rsidRPr="0066103C">
        <w:t xml:space="preserve"> Dan 9 might presuppose this distinction; the innocent identify with the wicked, and God responds to their prayer.</w:t>
      </w:r>
      <w:r w:rsidR="004A6056" w:rsidRPr="0066103C">
        <w:rPr>
          <w:rStyle w:val="FootnoteReference"/>
        </w:rPr>
        <w:footnoteReference w:id="542"/>
      </w:r>
      <w:r w:rsidR="003909F2" w:rsidRPr="0066103C">
        <w:t xml:space="preserve"> But </w:t>
      </w:r>
      <w:r w:rsidR="00C11DAA">
        <w:t xml:space="preserve">the chapter </w:t>
      </w:r>
      <w:r w:rsidR="004A6056" w:rsidRPr="0066103C">
        <w:t>is allusive over the question, as chap. 7 is allusive over the identity of the humanlike figure. Perhaps its allusiveness is</w:t>
      </w:r>
      <w:r w:rsidR="003909F2" w:rsidRPr="0066103C">
        <w:t xml:space="preserve"> to be resol</w:t>
      </w:r>
      <w:r w:rsidR="004A6056" w:rsidRPr="0066103C">
        <w:t>ved by later chapters, as</w:t>
      </w:r>
      <w:r w:rsidR="003909F2" w:rsidRPr="0066103C">
        <w:t xml:space="preserve"> that of chap. 7</w:t>
      </w:r>
      <w:r w:rsidR="004A6056" w:rsidRPr="0066103C">
        <w:t xml:space="preserve"> may be. Or p</w:t>
      </w:r>
      <w:r w:rsidR="003909F2" w:rsidRPr="0066103C">
        <w:t>erhaps, like other instances of ambiguity in the OT, it functions to set questions before the hearer</w:t>
      </w:r>
      <w:r w:rsidR="004A6056" w:rsidRPr="0066103C">
        <w:t>s</w:t>
      </w:r>
      <w:r w:rsidR="003909F2" w:rsidRPr="0066103C">
        <w:t xml:space="preserve">: to drive us to ask what relationship between calamity, confession, and promise </w:t>
      </w:r>
      <w:r w:rsidR="004A6056" w:rsidRPr="0066103C">
        <w:t xml:space="preserve">obtains between us and God. Or perhaps </w:t>
      </w:r>
      <w:r w:rsidR="003909F2" w:rsidRPr="0066103C">
        <w:t>the ambiguity over whether the wrong referred to</w:t>
      </w:r>
      <w:r w:rsidR="004A6056" w:rsidRPr="0066103C">
        <w:t xml:space="preserve"> is Antiochus’s or Israel’s </w:t>
      </w:r>
      <w:r w:rsidR="003909F2" w:rsidRPr="0066103C">
        <w:t>indicate</w:t>
      </w:r>
      <w:r w:rsidR="004A6056" w:rsidRPr="0066103C">
        <w:t>s</w:t>
      </w:r>
      <w:r w:rsidR="003909F2" w:rsidRPr="0066103C">
        <w:t xml:space="preserve"> that the agency or subject of this wrong is not in focus. It is the objective result in the sacrilege of the sanctuary that is Gabriel’s concern.</w:t>
      </w:r>
    </w:p>
    <w:p w:rsidR="003909F2" w:rsidRPr="0066103C" w:rsidRDefault="00C11DAA" w:rsidP="003909F2">
      <w:r>
        <w:t>In v 24, t</w:t>
      </w:r>
      <w:r w:rsidR="003909F2" w:rsidRPr="0066103C">
        <w:t xml:space="preserve">hree positives correspond to the three negatives. </w:t>
      </w:r>
      <w:r w:rsidR="003909F2" w:rsidRPr="0066103C">
        <w:rPr>
          <w:rFonts w:ascii="Arial" w:hAnsi="Arial" w:cs="Arial"/>
        </w:rPr>
        <w:t>צדק</w:t>
      </w:r>
      <w:r w:rsidR="003909F2" w:rsidRPr="0066103C">
        <w:t xml:space="preserve"> “vindication” recalls the </w:t>
      </w:r>
      <w:r w:rsidR="004A6056" w:rsidRPr="0066103C">
        <w:t>prayer’s use</w:t>
      </w:r>
      <w:r w:rsidR="003909F2" w:rsidRPr="0066103C">
        <w:t xml:space="preserve"> of </w:t>
      </w:r>
      <w:r w:rsidR="003909F2" w:rsidRPr="0066103C">
        <w:rPr>
          <w:rFonts w:ascii="Arial" w:hAnsi="Arial" w:cs="Arial"/>
        </w:rPr>
        <w:t>צדיק</w:t>
      </w:r>
      <w:r w:rsidR="003909F2" w:rsidRPr="0066103C">
        <w:t>/</w:t>
      </w:r>
      <w:r w:rsidR="003909F2" w:rsidRPr="0066103C">
        <w:rPr>
          <w:rFonts w:ascii="Arial" w:hAnsi="Arial" w:cs="Arial"/>
        </w:rPr>
        <w:t>צדקה</w:t>
      </w:r>
      <w:r w:rsidR="003909F2" w:rsidRPr="0066103C">
        <w:t xml:space="preserve"> (“right,” vv 7, 14, 16, 18), which denoted the idea that Yahweh was in the right over against Israel. “Br</w:t>
      </w:r>
      <w:r w:rsidR="004A6056" w:rsidRPr="0066103C">
        <w:t xml:space="preserve">inging in </w:t>
      </w:r>
      <w:r w:rsidR="003909F2" w:rsidRPr="0066103C">
        <w:rPr>
          <w:rFonts w:ascii="Arial" w:hAnsi="Arial" w:cs="Arial"/>
        </w:rPr>
        <w:t>צדק</w:t>
      </w:r>
      <w:r w:rsidR="004A6056" w:rsidRPr="0066103C">
        <w:t>”</w:t>
      </w:r>
      <w:r w:rsidR="003909F2" w:rsidRPr="0066103C">
        <w:t xml:space="preserve"> thus suggests causing right to be acknowledged. But it is also natural to connect this “lasting vindication” with the vindicati</w:t>
      </w:r>
      <w:r w:rsidR="004A6056" w:rsidRPr="0066103C">
        <w:t xml:space="preserve">on of the sanctuary in 8:12–14, as </w:t>
      </w:r>
      <w:r w:rsidR="003909F2" w:rsidRPr="0066103C">
        <w:t xml:space="preserve">one facet of the close parallelism between this oracle and the vision in chap. 8. It is less natural to take </w:t>
      </w:r>
      <w:r w:rsidR="003909F2" w:rsidRPr="0066103C">
        <w:rPr>
          <w:rFonts w:ascii="Arial" w:hAnsi="Arial" w:cs="Arial"/>
        </w:rPr>
        <w:t>צדק</w:t>
      </w:r>
      <w:r>
        <w:t xml:space="preserve"> in a Christian theological</w:t>
      </w:r>
      <w:r w:rsidR="003909F2" w:rsidRPr="0066103C">
        <w:t xml:space="preserve"> sense, to refer to the justification of sinners,</w:t>
      </w:r>
      <w:r w:rsidR="004A6056" w:rsidRPr="0066103C">
        <w:rPr>
          <w:rStyle w:val="FootnoteReference"/>
        </w:rPr>
        <w:footnoteReference w:id="543"/>
      </w:r>
      <w:r w:rsidR="003909F2" w:rsidRPr="0066103C">
        <w:t xml:space="preserve"> or in the broader OT sense</w:t>
      </w:r>
      <w:r>
        <w:t xml:space="preserve"> instanced in Isa 45:8, to refer to </w:t>
      </w:r>
      <w:r w:rsidR="00C7092C">
        <w:t>Israel’s deliverance</w:t>
      </w:r>
      <w:r w:rsidR="003909F2" w:rsidRPr="0066103C">
        <w:t>,</w:t>
      </w:r>
      <w:r w:rsidR="004A6056" w:rsidRPr="0066103C">
        <w:rPr>
          <w:rStyle w:val="FootnoteReference"/>
        </w:rPr>
        <w:footnoteReference w:id="544"/>
      </w:r>
      <w:r w:rsidR="003909F2" w:rsidRPr="0066103C">
        <w:t xml:space="preserve"> or in the Qumran sense, to refer to a personified divine attribute.</w:t>
      </w:r>
      <w:r w:rsidR="003349E6" w:rsidRPr="0066103C">
        <w:rPr>
          <w:rStyle w:val="FootnoteReference"/>
        </w:rPr>
        <w:footnoteReference w:id="545"/>
      </w:r>
    </w:p>
    <w:p w:rsidR="003909F2" w:rsidRPr="0066103C" w:rsidRDefault="00C7092C" w:rsidP="003909F2">
      <w:r>
        <w:t>Reference to the sealing of a prophet’s</w:t>
      </w:r>
      <w:r w:rsidR="003909F2" w:rsidRPr="0066103C">
        <w:t xml:space="preserve"> vision recalls 8:26 (for the verb</w:t>
      </w:r>
      <w:r w:rsidR="003349E6" w:rsidRPr="0066103C">
        <w:t>, cf. Dan 12:4, 9; also 6:17 [18</w:t>
      </w:r>
      <w:r w:rsidR="003909F2" w:rsidRPr="0066103C">
        <w:t>]). Yet it is Jeremiah, not Daniel, whom chap. 9 describes as a prophet (v 2). The phrase has been taken to suggest that prophecy is to be sealed up and thus s</w:t>
      </w:r>
      <w:r w:rsidR="003349E6" w:rsidRPr="0066103C">
        <w:t>ilent through this period</w:t>
      </w:r>
      <w:r w:rsidR="003909F2" w:rsidRPr="0066103C">
        <w:t>,</w:t>
      </w:r>
      <w:r w:rsidR="003349E6" w:rsidRPr="0066103C">
        <w:rPr>
          <w:rStyle w:val="FootnoteReference"/>
        </w:rPr>
        <w:footnoteReference w:id="546"/>
      </w:r>
      <w:r w:rsidR="003909F2" w:rsidRPr="0066103C">
        <w:t xml:space="preserve"> but this </w:t>
      </w:r>
      <w:r w:rsidR="00F139C5">
        <w:t xml:space="preserve">inference </w:t>
      </w:r>
      <w:r w:rsidR="003909F2" w:rsidRPr="0066103C">
        <w:t>is a lot to read out of the phrase. Sealing elsewhere suggests authenticating (</w:t>
      </w:r>
      <w:r>
        <w:t>1 Kgs 21:8), which</w:t>
      </w:r>
      <w:r w:rsidR="003909F2" w:rsidRPr="0066103C">
        <w:t xml:space="preserve"> </w:t>
      </w:r>
      <w:r w:rsidR="00F139C5">
        <w:t>fits the present context:</w:t>
      </w:r>
      <w:r w:rsidR="003909F2" w:rsidRPr="0066103C">
        <w:t xml:space="preserve"> the promise is that Jeremiah’s prophecy will be fulfilled and thus confirmed.</w:t>
      </w:r>
    </w:p>
    <w:p w:rsidR="003909F2" w:rsidRPr="0066103C" w:rsidRDefault="003909F2" w:rsidP="003909F2">
      <w:r w:rsidRPr="0066103C">
        <w:t>The anointing of a most sacred place (</w:t>
      </w:r>
      <w:r w:rsidRPr="0066103C">
        <w:rPr>
          <w:rFonts w:ascii="Arial" w:hAnsi="Arial" w:cs="Arial"/>
        </w:rPr>
        <w:t>קדשים</w:t>
      </w:r>
      <w:r w:rsidR="003349E6" w:rsidRPr="0066103C">
        <w:rPr>
          <w:rFonts w:ascii="Arial" w:hAnsi="Arial" w:cs="Arial"/>
        </w:rPr>
        <w:t xml:space="preserve"> קדש</w:t>
      </w:r>
      <w:r w:rsidRPr="0066103C">
        <w:t>: see n. 24.j-j) again recalls the treading down and vindication of the sacred place (</w:t>
      </w:r>
      <w:r w:rsidRPr="0066103C">
        <w:rPr>
          <w:rFonts w:ascii="Arial" w:hAnsi="Arial" w:cs="Arial"/>
        </w:rPr>
        <w:t>קדש</w:t>
      </w:r>
      <w:r w:rsidRPr="0066103C">
        <w:t xml:space="preserve">) in 8:13–14. The </w:t>
      </w:r>
      <w:r w:rsidR="003349E6" w:rsidRPr="0066103C">
        <w:t>meeting tent</w:t>
      </w:r>
      <w:r w:rsidRPr="0066103C">
        <w:t xml:space="preserve">, the altar, and associated objects had been anointed to consecrate them at the beginning (Exod 30:26–29; 40:9–11; cf. also 29:36–37, where </w:t>
      </w:r>
      <w:r w:rsidRPr="0066103C">
        <w:rPr>
          <w:rFonts w:ascii="Arial" w:hAnsi="Arial" w:cs="Arial"/>
        </w:rPr>
        <w:t>כפר</w:t>
      </w:r>
      <w:r w:rsidRPr="0066103C">
        <w:t xml:space="preserve">, </w:t>
      </w:r>
      <w:r w:rsidRPr="0066103C">
        <w:rPr>
          <w:rFonts w:ascii="Arial" w:hAnsi="Arial" w:cs="Arial"/>
        </w:rPr>
        <w:t>משח</w:t>
      </w:r>
      <w:r w:rsidRPr="0066103C">
        <w:t xml:space="preserve">, and </w:t>
      </w:r>
      <w:r w:rsidRPr="0066103C">
        <w:rPr>
          <w:rFonts w:ascii="Arial" w:hAnsi="Arial" w:cs="Arial"/>
        </w:rPr>
        <w:t>קדושים</w:t>
      </w:r>
      <w:r w:rsidRPr="0066103C">
        <w:t xml:space="preserve"> </w:t>
      </w:r>
      <w:r w:rsidR="003349E6" w:rsidRPr="0066103C">
        <w:rPr>
          <w:rFonts w:ascii="Arial" w:hAnsi="Arial" w:cs="Arial"/>
        </w:rPr>
        <w:t>קדש</w:t>
      </w:r>
      <w:r w:rsidR="003349E6" w:rsidRPr="0066103C">
        <w:t xml:space="preserve"> appear together</w:t>
      </w:r>
      <w:r w:rsidRPr="0066103C">
        <w:t>).</w:t>
      </w:r>
      <w:r w:rsidR="003349E6" w:rsidRPr="0066103C">
        <w:rPr>
          <w:rStyle w:val="FootnoteReference"/>
        </w:rPr>
        <w:footnoteReference w:id="547"/>
      </w:r>
      <w:r w:rsidRPr="0066103C">
        <w:t xml:space="preserve"> They are now anointed to reconsecrate them after their defiling (cf. the account in 1 Macc 4:36–59).</w:t>
      </w:r>
      <w:r w:rsidR="004A4997">
        <w:rPr>
          <w:rStyle w:val="FootnoteReference"/>
        </w:rPr>
        <w:footnoteReference w:id="548"/>
      </w:r>
      <w:r w:rsidRPr="0066103C">
        <w:t xml:space="preserve"> </w:t>
      </w:r>
    </w:p>
    <w:p w:rsidR="003909F2" w:rsidRPr="0066103C" w:rsidRDefault="003909F2" w:rsidP="003909F2">
      <w:r w:rsidRPr="0066103C">
        <w:lastRenderedPageBreak/>
        <w:t xml:space="preserve">A coherent understanding of v 24 </w:t>
      </w:r>
      <w:r w:rsidR="00C7092C">
        <w:t>thus emerges</w:t>
      </w:r>
      <w:r w:rsidRPr="0066103C">
        <w:t xml:space="preserve"> if we take it a</w:t>
      </w:r>
      <w:r w:rsidR="00C7092C">
        <w:t>s a restatement of the promises in</w:t>
      </w:r>
      <w:r w:rsidRPr="0066103C">
        <w:t xml:space="preserve"> chap. 8. Like that vision, it looks forward </w:t>
      </w:r>
      <w:r w:rsidR="00C7092C">
        <w:t xml:space="preserve">from the time of Daniel </w:t>
      </w:r>
      <w:r w:rsidRPr="0066103C">
        <w:t>to the Antioch</w:t>
      </w:r>
      <w:r w:rsidR="00C7092C">
        <w:t>ene crisis, and promises God’s restoration.</w:t>
      </w:r>
    </w:p>
    <w:p w:rsidR="003909F2" w:rsidRPr="0066103C" w:rsidRDefault="003909F2" w:rsidP="003909F2">
      <w:r w:rsidRPr="006D09AF">
        <w:rPr>
          <w:b/>
        </w:rPr>
        <w:t xml:space="preserve">25 </w:t>
      </w:r>
      <w:r w:rsidRPr="0066103C">
        <w:t xml:space="preserve">The opening of v 25 (“you must understand and perceive”) repeats the contents of v 23b (“heed the word,” “give </w:t>
      </w:r>
      <w:r w:rsidR="00EF5411">
        <w:t>heed to the revelation”). The</w:t>
      </w:r>
      <w:r w:rsidRPr="0066103C">
        <w:t xml:space="preserve"> resumptive exhortation marks</w:t>
      </w:r>
      <w:r w:rsidR="00C54405" w:rsidRPr="0066103C">
        <w:t xml:space="preserve"> v 25 as a new beginning. Vv</w:t>
      </w:r>
      <w:r w:rsidRPr="0066103C">
        <w:t xml:space="preserve"> 25–27 subdivide the seventy sevens into 7, 62, and 1; vv 26–27 focus on the last. Chronologically, v 24 describes what will have been achieved by the end of vv 25–27; within vv 25–27, matters are </w:t>
      </w:r>
      <w:r w:rsidR="003349E6" w:rsidRPr="0066103C">
        <w:t>treated in chronological order.</w:t>
      </w:r>
      <w:r w:rsidR="003349E6" w:rsidRPr="0066103C">
        <w:rPr>
          <w:rStyle w:val="FootnoteReference"/>
        </w:rPr>
        <w:footnoteReference w:id="549"/>
      </w:r>
    </w:p>
    <w:p w:rsidR="003909F2" w:rsidRPr="0066103C" w:rsidRDefault="00AA2BB4" w:rsidP="003909F2">
      <w:r w:rsidRPr="0066103C">
        <w:t xml:space="preserve">While v 23 has already spoken of a </w:t>
      </w:r>
      <w:r w:rsidR="00EF5411">
        <w:t>“</w:t>
      </w:r>
      <w:r w:rsidRPr="0066103C">
        <w:t>word</w:t>
      </w:r>
      <w:r w:rsidR="00EF5411">
        <w:t>”</w:t>
      </w:r>
      <w:r w:rsidRPr="0066103C">
        <w:t xml:space="preserve"> coming from Yahweh’s mouth, </w:t>
      </w:r>
      <w:r w:rsidR="00EA148F" w:rsidRPr="0066103C">
        <w:t xml:space="preserve">v 25 </w:t>
      </w:r>
      <w:r w:rsidR="00EF5411">
        <w:t>goes on to refer to a different “word,” or to one aspect of that word. The “word” to which v 23 referred</w:t>
      </w:r>
      <w:r w:rsidR="00EA148F" w:rsidRPr="0066103C">
        <w:t xml:space="preserve"> const</w:t>
      </w:r>
      <w:r w:rsidR="00EF5411">
        <w:t>itutes vv 24–27 as a whole. Gabriel</w:t>
      </w:r>
      <w:r w:rsidR="00EA148F" w:rsidRPr="0066103C">
        <w:t xml:space="preserve"> now speaks of </w:t>
      </w:r>
      <w:r w:rsidR="00EF5411">
        <w:t>a word of command,</w:t>
      </w:r>
      <w:r w:rsidR="00EA148F" w:rsidRPr="0066103C">
        <w:t xml:space="preserve"> a commission </w:t>
      </w:r>
      <w:r w:rsidR="00EF5411">
        <w:t>to b</w:t>
      </w:r>
      <w:r w:rsidR="00F139C5">
        <w:t>uild a restored Jerusalem. T</w:t>
      </w:r>
      <w:r w:rsidR="00EA148F" w:rsidRPr="0066103C">
        <w:t xml:space="preserve">he </w:t>
      </w:r>
      <w:r w:rsidR="00EF5411">
        <w:t>“coming forth of a word” again</w:t>
      </w:r>
      <w:r w:rsidR="00EA148F" w:rsidRPr="0066103C">
        <w:t xml:space="preserve"> suggests </w:t>
      </w:r>
      <w:r w:rsidR="00EF5411">
        <w:t>the image of a solemn royal proclamation</w:t>
      </w:r>
      <w:r w:rsidR="00EA148F" w:rsidRPr="0066103C">
        <w:t>, and thus here a solemn proclamation by</w:t>
      </w:r>
      <w:r w:rsidR="00EF5411">
        <w:t xml:space="preserve"> Yahweh</w:t>
      </w:r>
      <w:r w:rsidR="003909F2" w:rsidRPr="0066103C">
        <w:t>. “From the coming forth of a word to build a restored Jerusalem to an anointed, a leader” lasts seven sevens. While these seven sevens must come at the beginn</w:t>
      </w:r>
      <w:r w:rsidR="00272B24">
        <w:t>ing of the period from the Babylonian period</w:t>
      </w:r>
      <w:r w:rsidR="003909F2" w:rsidRPr="0066103C">
        <w:t xml:space="preserve"> to Antiochus, we cannot certainly identify either their beginning or their end. By the proclamation to restore Jerusalem, Gabriel may have meant Jeremiah’s prophe</w:t>
      </w:r>
      <w:r w:rsidR="00EA148F" w:rsidRPr="0066103C">
        <w:t xml:space="preserve">cy referred to in v 2 (605 </w:t>
      </w:r>
      <w:r w:rsidR="003909F2" w:rsidRPr="0066103C">
        <w:t>in</w:t>
      </w:r>
      <w:r w:rsidR="00EA148F" w:rsidRPr="0066103C">
        <w:t xml:space="preserve"> the case of 25:12; 597 </w:t>
      </w:r>
      <w:r w:rsidR="003909F2" w:rsidRPr="0066103C">
        <w:t>in the case of 29:10); or his prophecies recorded in connection with th</w:t>
      </w:r>
      <w:r w:rsidR="00EA148F" w:rsidRPr="0066103C">
        <w:t xml:space="preserve">e fall of Jerusalem in 587 </w:t>
      </w:r>
      <w:r w:rsidR="003909F2" w:rsidRPr="0066103C">
        <w:t>(30:18–22; 31:38–40); or Gabriel’s own words to Daniel (?539); or</w:t>
      </w:r>
      <w:r w:rsidR="00EA148F" w:rsidRPr="0066103C">
        <w:t xml:space="preserve"> the decree of Cyrus in 539</w:t>
      </w:r>
      <w:r w:rsidR="003909F2" w:rsidRPr="0066103C">
        <w:t xml:space="preserve"> (Isa 45:1; Ezra 1:1–4; seen as a rebuilding of </w:t>
      </w:r>
      <w:r w:rsidR="00EA148F" w:rsidRPr="0066103C">
        <w:t xml:space="preserve">the </w:t>
      </w:r>
      <w:r w:rsidR="003909F2" w:rsidRPr="0066103C">
        <w:t xml:space="preserve">city, not just of temple, in 4:12–16); or </w:t>
      </w:r>
      <w:r w:rsidR="00EA148F" w:rsidRPr="0066103C">
        <w:t>the decree of Darius in 521</w:t>
      </w:r>
      <w:r w:rsidR="003909F2" w:rsidRPr="0066103C">
        <w:t xml:space="preserve"> (Ezra 6:1–12; also seen as a rebuilding of </w:t>
      </w:r>
      <w:r w:rsidR="00EA148F" w:rsidRPr="0066103C">
        <w:t xml:space="preserve">the </w:t>
      </w:r>
      <w:r w:rsidR="003909F2" w:rsidRPr="0066103C">
        <w:t>city in anticipation in 4:21); or the decree of Artaxerxes in 458 (Ezra 7:12–26); or the warrant given to Nehemiah in</w:t>
      </w:r>
      <w:r w:rsidR="00EA148F" w:rsidRPr="0066103C">
        <w:t xml:space="preserve"> 445</w:t>
      </w:r>
      <w:r w:rsidR="003909F2" w:rsidRPr="0066103C">
        <w:t xml:space="preserve"> (Neh 1).</w:t>
      </w:r>
      <w:r w:rsidR="005B0675">
        <w:rPr>
          <w:rStyle w:val="FootnoteReference"/>
        </w:rPr>
        <w:footnoteReference w:id="550"/>
      </w:r>
      <w:r w:rsidR="003909F2" w:rsidRPr="0066103C">
        <w:t xml:space="preserve"> “To restore and build” is a rich and suggestive phrase that combines reference to the restoring of the community </w:t>
      </w:r>
      <w:r w:rsidR="00EA148F" w:rsidRPr="0066103C">
        <w:t>and the rebuilding of the city</w:t>
      </w:r>
      <w:r w:rsidR="003909F2" w:rsidRPr="0066103C">
        <w:t>.</w:t>
      </w:r>
      <w:r w:rsidR="00EA148F" w:rsidRPr="0066103C">
        <w:rPr>
          <w:rStyle w:val="FootnoteReference"/>
        </w:rPr>
        <w:footnoteReference w:id="551"/>
      </w:r>
      <w:r w:rsidR="003909F2" w:rsidRPr="0066103C">
        <w:t xml:space="preserve"> It would be wooden to suggest it could only denote one or another of the events </w:t>
      </w:r>
      <w:r w:rsidR="00025368">
        <w:t>envisaged by these passages, all of which were aspects</w:t>
      </w:r>
      <w:r w:rsidR="003909F2" w:rsidRPr="0066103C">
        <w:t xml:space="preserve"> of the restorati</w:t>
      </w:r>
      <w:r w:rsidR="00025368">
        <w:t>on of Zion. “S</w:t>
      </w:r>
      <w:r w:rsidR="003909F2" w:rsidRPr="0066103C">
        <w:t xml:space="preserve">quare and moat” </w:t>
      </w:r>
      <w:r w:rsidR="00025368">
        <w:t>does make</w:t>
      </w:r>
      <w:r w:rsidR="003909F2" w:rsidRPr="0066103C">
        <w:t xml:space="preserve"> clear that the restorati</w:t>
      </w:r>
      <w:r w:rsidR="00025368">
        <w:t>on Gabriel speaks of involves the city’s material renewal; t</w:t>
      </w:r>
      <w:r w:rsidR="003909F2" w:rsidRPr="0066103C">
        <w:t>he phrase perhaps refers to the internal layout of the city and its exter</w:t>
      </w:r>
      <w:r w:rsidR="00EA148F" w:rsidRPr="0066103C">
        <w:t>nal defenses</w:t>
      </w:r>
      <w:r w:rsidR="003909F2" w:rsidRPr="0066103C">
        <w:t>.</w:t>
      </w:r>
      <w:r w:rsidR="00EA148F" w:rsidRPr="0066103C">
        <w:rPr>
          <w:rStyle w:val="FootnoteReference"/>
        </w:rPr>
        <w:footnoteReference w:id="552"/>
      </w:r>
    </w:p>
    <w:p w:rsidR="003909F2" w:rsidRPr="0066103C" w:rsidRDefault="003909F2" w:rsidP="003909F2">
      <w:r w:rsidRPr="0066103C">
        <w:t>“An anointed, a leader” (</w:t>
      </w:r>
      <w:r w:rsidRPr="0066103C">
        <w:rPr>
          <w:rFonts w:ascii="Arial" w:hAnsi="Arial" w:cs="Arial"/>
        </w:rPr>
        <w:t>נגיד</w:t>
      </w:r>
      <w:r w:rsidR="00EA148F" w:rsidRPr="0066103C">
        <w:rPr>
          <w:rFonts w:ascii="Arial" w:hAnsi="Arial" w:cs="Arial"/>
        </w:rPr>
        <w:t xml:space="preserve"> משיח</w:t>
      </w:r>
      <w:r w:rsidR="00025368">
        <w:t>) could conceivably denote</w:t>
      </w:r>
      <w:r w:rsidRPr="0066103C">
        <w:t xml:space="preserve"> a non</w:t>
      </w:r>
      <w:r w:rsidR="00025368">
        <w:t>-</w:t>
      </w:r>
      <w:r w:rsidRPr="0066103C">
        <w:t>Israeli</w:t>
      </w:r>
      <w:r w:rsidR="00025368">
        <w:t>te ruler: the first term refers to</w:t>
      </w:r>
      <w:r w:rsidRPr="0066103C">
        <w:t xml:space="preserve"> Cyrus in Isa 45:1, the second </w:t>
      </w:r>
      <w:r w:rsidR="00025368">
        <w:t xml:space="preserve">to </w:t>
      </w:r>
      <w:r w:rsidRPr="0066103C">
        <w:t xml:space="preserve">the ruler of Tyre in Ezek 28:2. But both </w:t>
      </w:r>
      <w:r w:rsidR="00025368">
        <w:t xml:space="preserve">words </w:t>
      </w:r>
      <w:r w:rsidRPr="0066103C">
        <w:t>are more characteristically used of Israelite leaders, and there is something out-of-the-ordinary about the exc</w:t>
      </w:r>
      <w:r w:rsidR="00EA148F" w:rsidRPr="0066103C">
        <w:t>eptions in Isa 45:1; Ezek 28:2</w:t>
      </w:r>
      <w:r w:rsidRPr="0066103C">
        <w:t>.</w:t>
      </w:r>
      <w:r w:rsidR="00EA148F" w:rsidRPr="0066103C">
        <w:rPr>
          <w:rStyle w:val="FootnoteReference"/>
        </w:rPr>
        <w:footnoteReference w:id="553"/>
      </w:r>
      <w:r w:rsidRPr="0066103C">
        <w:t xml:space="preserve"> A non-Israelite ruler would more naturally be referred to here as</w:t>
      </w:r>
      <w:r w:rsidR="00EA148F" w:rsidRPr="0066103C">
        <w:t xml:space="preserve"> a</w:t>
      </w:r>
      <w:r w:rsidRPr="0066103C">
        <w:t xml:space="preserve"> </w:t>
      </w:r>
      <w:r w:rsidRPr="0066103C">
        <w:rPr>
          <w:rFonts w:ascii="Arial" w:hAnsi="Arial" w:cs="Arial"/>
        </w:rPr>
        <w:t>מלך</w:t>
      </w:r>
      <w:r w:rsidRPr="0066103C">
        <w:t xml:space="preserve">, </w:t>
      </w:r>
      <w:r w:rsidR="00EA148F" w:rsidRPr="0066103C">
        <w:t xml:space="preserve">a king, </w:t>
      </w:r>
      <w:r w:rsidRPr="0066103C">
        <w:t>as commonly in Daniel. In the absence of indication to the contrary, then, “an anointed, a leader,” is more likely an Israelite figur</w:t>
      </w:r>
      <w:r w:rsidR="00025368">
        <w:t xml:space="preserve">e, </w:t>
      </w:r>
      <w:r w:rsidRPr="0066103C">
        <w:t xml:space="preserve">a </w:t>
      </w:r>
      <w:r w:rsidR="00BD2748">
        <w:t>rule</w:t>
      </w:r>
      <w:r w:rsidR="00B13647">
        <w:t>r</w:t>
      </w:r>
      <w:r w:rsidRPr="0066103C">
        <w:t xml:space="preserve"> (e.g., 1 Sam 2:10, 35; 9:16; 10:1) or a (high) priest (e.g., Lev 4:3; 2 Macc 1:10; Jer 20:1; Neh 11:11; cf. Dan 9:26; 11:22). If the seventy sevens commen</w:t>
      </w:r>
      <w:r w:rsidR="00272B24">
        <w:t>ce about the time when the Babylonian oppression</w:t>
      </w:r>
      <w:r w:rsidRPr="0066103C">
        <w:t xml:space="preserve"> begins, and the anointe</w:t>
      </w:r>
      <w:r w:rsidR="00025368">
        <w:t>d leader</w:t>
      </w:r>
      <w:r w:rsidRPr="0066103C">
        <w:t xml:space="preserve"> appears after the first seven sevens, then the term likely refers either to Zerubbabel or Joshua, </w:t>
      </w:r>
      <w:r w:rsidRPr="0066103C">
        <w:rPr>
          <w:rFonts w:ascii="Arial" w:hAnsi="Arial" w:cs="Arial"/>
        </w:rPr>
        <w:t>היצהר</w:t>
      </w:r>
      <w:r w:rsidRPr="0066103C">
        <w:t xml:space="preserve"> </w:t>
      </w:r>
      <w:r w:rsidR="00EA148F" w:rsidRPr="0066103C">
        <w:t xml:space="preserve"> </w:t>
      </w:r>
      <w:r w:rsidR="00EA148F" w:rsidRPr="0066103C">
        <w:rPr>
          <w:rFonts w:ascii="Arial" w:hAnsi="Arial" w:cs="Arial"/>
        </w:rPr>
        <w:t>בני</w:t>
      </w:r>
      <w:r w:rsidR="00EA148F" w:rsidRPr="0066103C">
        <w:t xml:space="preserve"> </w:t>
      </w:r>
      <w:r w:rsidRPr="0066103C">
        <w:t>“sons of oil” according to Zech 4:14</w:t>
      </w:r>
      <w:r w:rsidR="00025368">
        <w:t>.</w:t>
      </w:r>
    </w:p>
    <w:p w:rsidR="003909F2" w:rsidRPr="0066103C" w:rsidRDefault="003909F2" w:rsidP="003909F2">
      <w:r w:rsidRPr="0066103C">
        <w:t>Some of the periods that might be denoted as seven sevens come near to forty-nine calendar years, but the principles about chronography and c</w:t>
      </w:r>
      <w:r w:rsidR="00BD2748">
        <w:t xml:space="preserve">hronology </w:t>
      </w:r>
      <w:r w:rsidR="00167D51" w:rsidRPr="0066103C">
        <w:t>dissuade us from</w:t>
      </w:r>
      <w:r w:rsidRPr="0066103C">
        <w:t xml:space="preserve"> infer</w:t>
      </w:r>
      <w:r w:rsidR="00167D51" w:rsidRPr="0066103C">
        <w:t>ring</w:t>
      </w:r>
      <w:r w:rsidRPr="0066103C">
        <w:t xml:space="preserve"> that the period nearest forty-nine calendar years must be the one</w:t>
      </w:r>
      <w:r w:rsidR="006D09AF">
        <w:t xml:space="preserve"> referred to. Seven sevens</w:t>
      </w:r>
      <w:r w:rsidRPr="0066103C">
        <w:t xml:space="preserve"> </w:t>
      </w:r>
      <w:r w:rsidR="006D09AF">
        <w:t>do constitute</w:t>
      </w:r>
      <w:r w:rsidRPr="0066103C">
        <w:t xml:space="preserve"> one jubilee</w:t>
      </w:r>
      <w:r w:rsidR="00BD2748">
        <w:t xml:space="preserve">, but </w:t>
      </w:r>
      <w:r w:rsidRPr="0066103C">
        <w:t>jubilee them</w:t>
      </w:r>
      <w:r w:rsidR="00BD2748">
        <w:t>es do not explicitly</w:t>
      </w:r>
      <w:r w:rsidR="006D09AF">
        <w:t xml:space="preserve"> feature in vv 24–27 </w:t>
      </w:r>
      <w:r w:rsidR="006D09AF" w:rsidRPr="006D09AF">
        <w:t>(see</w:t>
      </w:r>
      <w:r w:rsidR="006D09AF" w:rsidRPr="006D09AF">
        <w:rPr>
          <w:i/>
        </w:rPr>
        <w:t>Form</w:t>
      </w:r>
      <w:r w:rsidR="006D09AF">
        <w:t xml:space="preserve">). </w:t>
      </w:r>
    </w:p>
    <w:p w:rsidR="003909F2" w:rsidRPr="0066103C" w:rsidRDefault="003909F2" w:rsidP="00BD2748">
      <w:r w:rsidRPr="006D09AF">
        <w:rPr>
          <w:b/>
        </w:rPr>
        <w:lastRenderedPageBreak/>
        <w:t xml:space="preserve">26 </w:t>
      </w:r>
      <w:r w:rsidRPr="0066103C">
        <w:t>The sixty-two seve</w:t>
      </w:r>
      <w:r w:rsidR="00BD2748">
        <w:t xml:space="preserve">ns that follow </w:t>
      </w:r>
      <w:r w:rsidRPr="0066103C">
        <w:t>are</w:t>
      </w:r>
      <w:r w:rsidR="00167D51" w:rsidRPr="0066103C">
        <w:t xml:space="preserve"> characterized by or end in the</w:t>
      </w:r>
      <w:r w:rsidRPr="0066103C">
        <w:t xml:space="preserve"> situation of oppression which especially concerns the seer and his audience, the oppression whose termination v 24 promised. “The pressure of the times” (</w:t>
      </w:r>
      <w:r w:rsidRPr="0066103C">
        <w:rPr>
          <w:rFonts w:ascii="Arial" w:hAnsi="Arial" w:cs="Arial"/>
        </w:rPr>
        <w:t>העתים</w:t>
      </w:r>
      <w:r w:rsidR="00167D51" w:rsidRPr="0066103C">
        <w:rPr>
          <w:rFonts w:ascii="Arial" w:hAnsi="Arial" w:cs="Arial"/>
        </w:rPr>
        <w:t xml:space="preserve"> צוק</w:t>
      </w:r>
      <w:r w:rsidRPr="0066103C">
        <w:t>) contrasts with “the stability of your times” (</w:t>
      </w:r>
      <w:r w:rsidRPr="0066103C">
        <w:rPr>
          <w:rFonts w:ascii="Arial" w:hAnsi="Arial" w:cs="Arial"/>
        </w:rPr>
        <w:t>עתיך</w:t>
      </w:r>
      <w:r w:rsidR="00167D51" w:rsidRPr="0066103C">
        <w:rPr>
          <w:rFonts w:ascii="Arial" w:hAnsi="Arial" w:cs="Arial"/>
        </w:rPr>
        <w:t xml:space="preserve"> אמונת</w:t>
      </w:r>
      <w:r w:rsidRPr="0066103C">
        <w:t>) promised in Isa 33:6.</w:t>
      </w:r>
    </w:p>
    <w:p w:rsidR="003909F2" w:rsidRPr="0066103C" w:rsidRDefault="003909F2" w:rsidP="003909F2">
      <w:r w:rsidRPr="0066103C">
        <w:t>Talk of devastation</w:t>
      </w:r>
      <w:r w:rsidR="00167D51" w:rsidRPr="0066103C">
        <w:t xml:space="preserve">, battle, and desolation </w:t>
      </w:r>
      <w:r w:rsidRPr="0066103C">
        <w:t>reflects the seriousness of the trouble brought to people, city, and temple by the combined force of heathen ruler(s) an</w:t>
      </w:r>
      <w:r w:rsidR="006D09AF">
        <w:t>d usurper priest(s),</w:t>
      </w:r>
      <w:r w:rsidRPr="0066103C">
        <w:t xml:space="preserve"> described at length i</w:t>
      </w:r>
      <w:r w:rsidR="006D09AF">
        <w:t>n 1 Macc 1–4 and 2 Macc 4–5. They</w:t>
      </w:r>
      <w:r w:rsidRPr="0066103C">
        <w:t xml:space="preserve"> are </w:t>
      </w:r>
      <w:r w:rsidR="006D09AF">
        <w:t xml:space="preserve">also </w:t>
      </w:r>
      <w:r w:rsidRPr="0066103C">
        <w:t xml:space="preserve">reflected in the early Maccabean messianic oracle </w:t>
      </w:r>
      <w:r w:rsidRPr="0066103C">
        <w:rPr>
          <w:i/>
        </w:rPr>
        <w:t>Sib. Or.</w:t>
      </w:r>
      <w:r w:rsidR="00BD2748">
        <w:t xml:space="preserve"> 3.265–94; it</w:t>
      </w:r>
      <w:r w:rsidRPr="0066103C">
        <w:t xml:space="preserve"> </w:t>
      </w:r>
      <w:r w:rsidR="00BD2748">
        <w:t xml:space="preserve">refers overtly to </w:t>
      </w:r>
      <w:r w:rsidR="00272B24">
        <w:t xml:space="preserve">events of the Babylonian </w:t>
      </w:r>
      <w:r w:rsidRPr="0066103C">
        <w:t xml:space="preserve">period, including the destruction of the temple, </w:t>
      </w:r>
      <w:r w:rsidR="00BD2748">
        <w:t xml:space="preserve">but covertly </w:t>
      </w:r>
      <w:r w:rsidR="00167D51" w:rsidRPr="0066103C">
        <w:t>to the Antiochene crisis</w:t>
      </w:r>
      <w:r w:rsidRPr="0066103C">
        <w:t>.</w:t>
      </w:r>
      <w:r w:rsidR="00167D51" w:rsidRPr="0066103C">
        <w:rPr>
          <w:rStyle w:val="FootnoteReference"/>
        </w:rPr>
        <w:footnoteReference w:id="554"/>
      </w:r>
      <w:r w:rsidR="00167D51" w:rsidRPr="0066103C">
        <w:t xml:space="preserve"> The sufferings of this crisis</w:t>
      </w:r>
      <w:r w:rsidRPr="0066103C">
        <w:t xml:space="preserve"> are not to be minimized, as they are by writers who seek to dissociate Dan 9:24</w:t>
      </w:r>
      <w:r w:rsidR="00167D51" w:rsidRPr="0066103C">
        <w:t>–27 from the second century</w:t>
      </w:r>
      <w:r w:rsidRPr="0066103C">
        <w:t>.</w:t>
      </w:r>
      <w:r w:rsidR="00167D51" w:rsidRPr="0066103C">
        <w:rPr>
          <w:rStyle w:val="FootnoteReference"/>
        </w:rPr>
        <w:footnoteReference w:id="555"/>
      </w:r>
      <w:r w:rsidRPr="0066103C">
        <w:t xml:space="preserve"> At the same time, one may grant that the terms used to describe these troubles are theologically freighted. The crisis is an anticipatory embodiment of the last great battle, </w:t>
      </w:r>
      <w:r w:rsidR="00167D51" w:rsidRPr="0066103C">
        <w:t xml:space="preserve">and also </w:t>
      </w:r>
      <w:r w:rsidRPr="0066103C">
        <w:t>a historical embodiment of the first great battle between the forces of chaos and the fo</w:t>
      </w:r>
      <w:r w:rsidR="00167D51" w:rsidRPr="0066103C">
        <w:t>rces of order (cf.</w:t>
      </w:r>
      <w:r w:rsidRPr="0066103C">
        <w:t xml:space="preserve"> Ezek 38–39 and 1QM</w:t>
      </w:r>
      <w:r w:rsidR="00167D51" w:rsidRPr="0066103C">
        <w:t>)</w:t>
      </w:r>
      <w:r w:rsidRPr="0066103C">
        <w:t>.</w:t>
      </w:r>
      <w:r w:rsidR="00167D51" w:rsidRPr="0066103C">
        <w:rPr>
          <w:rStyle w:val="FootnoteReference"/>
        </w:rPr>
        <w:footnoteReference w:id="556"/>
      </w:r>
    </w:p>
    <w:p w:rsidR="003909F2" w:rsidRPr="0066103C" w:rsidRDefault="003909F2" w:rsidP="003909F2">
      <w:r w:rsidRPr="0066103C">
        <w:t>Thus after the seven plus sixty-two sevens “an anointed is to be cut off” (</w:t>
      </w:r>
      <w:r w:rsidRPr="0066103C">
        <w:rPr>
          <w:rFonts w:ascii="Arial" w:hAnsi="Arial" w:cs="Arial"/>
        </w:rPr>
        <w:t>משיח</w:t>
      </w:r>
      <w:r w:rsidR="00DE2FEE" w:rsidRPr="0066103C">
        <w:rPr>
          <w:rFonts w:ascii="Arial" w:hAnsi="Arial" w:cs="Arial"/>
        </w:rPr>
        <w:t xml:space="preserve"> יכרת</w:t>
      </w:r>
      <w:r w:rsidR="00DE2FEE" w:rsidRPr="0066103C">
        <w:t>)</w:t>
      </w:r>
      <w:r w:rsidR="000256C6">
        <w:t>. It is impossible to argue that this</w:t>
      </w:r>
      <w:r w:rsidRPr="0066103C">
        <w:t xml:space="preserve"> </w:t>
      </w:r>
      <w:r w:rsidR="000256C6">
        <w:t>“</w:t>
      </w:r>
      <w:r w:rsidRPr="0066103C">
        <w:t>anointed</w:t>
      </w:r>
      <w:r w:rsidR="000256C6">
        <w:t xml:space="preserve">” must be the same “anointed” as </w:t>
      </w:r>
      <w:r w:rsidR="00DE2FEE" w:rsidRPr="0066103C">
        <w:t>in v 25</w:t>
      </w:r>
      <w:r w:rsidR="00DE2FEE" w:rsidRPr="0066103C">
        <w:rPr>
          <w:rStyle w:val="FootnoteReference"/>
        </w:rPr>
        <w:footnoteReference w:id="557"/>
      </w:r>
      <w:r w:rsidRPr="0066103C">
        <w:t xml:space="preserve"> or that he must be a different </w:t>
      </w:r>
      <w:r w:rsidR="00DE2FEE" w:rsidRPr="0066103C">
        <w:t>one</w:t>
      </w:r>
      <w:r w:rsidR="006D09AF">
        <w:t>;</w:t>
      </w:r>
      <w:r w:rsidR="00DE2FEE" w:rsidRPr="0066103C">
        <w:rPr>
          <w:rStyle w:val="FootnoteReference"/>
        </w:rPr>
        <w:footnoteReference w:id="558"/>
      </w:r>
      <w:r w:rsidR="006D09AF" w:rsidRPr="006D09AF">
        <w:t xml:space="preserve"> </w:t>
      </w:r>
      <w:r w:rsidR="006D09AF">
        <w:t xml:space="preserve">likewise </w:t>
      </w:r>
      <w:r w:rsidR="006D09AF" w:rsidRPr="006D09AF">
        <w:t>the suggestion that vv 24–27 refer to the expectation of two messiahs known from other Jewish writings</w:t>
      </w:r>
      <w:r w:rsidR="006D09AF" w:rsidRPr="006D09AF">
        <w:rPr>
          <w:vertAlign w:val="superscript"/>
        </w:rPr>
        <w:footnoteReference w:id="559"/>
      </w:r>
      <w:r w:rsidR="006D09AF" w:rsidRPr="006D09AF">
        <w:t xml:space="preserve"> builds too much on an allusive text.</w:t>
      </w:r>
      <w:r w:rsidR="00E26DEF">
        <w:t xml:space="preserve"> </w:t>
      </w:r>
      <w:r w:rsidRPr="0066103C">
        <w:t>Nouns in Daniel’s visions are commonly anarthrous (e.g., a vision, a prophet, a most sacred place [v 24]; a word, an anointed, a leader, a square, a moat [v 25]; an anointed, a leader, a people [v 26]; a covenant, a wing, an abomination, a conclusion, a desolate one [v 27]). The</w:t>
      </w:r>
      <w:r w:rsidR="00DE2FEE" w:rsidRPr="0066103C">
        <w:t xml:space="preserve"> effect is to contribute to the</w:t>
      </w:r>
      <w:r w:rsidRPr="0066103C">
        <w:t xml:space="preserve"> allusiveness appropriate to a vision, which cannot be resolved from within c</w:t>
      </w:r>
      <w:r w:rsidR="00E26DEF">
        <w:t>hap. 9 itself. In</w:t>
      </w:r>
      <w:r w:rsidRPr="0066103C">
        <w:t xml:space="preserve"> the </w:t>
      </w:r>
      <w:r w:rsidR="00E26DEF">
        <w:t xml:space="preserve">context of the </w:t>
      </w:r>
      <w:r w:rsidRPr="0066103C">
        <w:t>Antio</w:t>
      </w:r>
      <w:r w:rsidR="00DE2FEE" w:rsidRPr="0066103C">
        <w:t xml:space="preserve">chene crisis, </w:t>
      </w:r>
      <w:r w:rsidRPr="0066103C">
        <w:t xml:space="preserve">this </w:t>
      </w:r>
      <w:r w:rsidR="006F3830">
        <w:t xml:space="preserve">“anointed” will </w:t>
      </w:r>
      <w:r w:rsidR="00DE2FEE" w:rsidRPr="0066103C">
        <w:t>be</w:t>
      </w:r>
      <w:r w:rsidRPr="0066103C">
        <w:t xml:space="preserve"> the </w:t>
      </w:r>
      <w:r w:rsidR="006F3830">
        <w:t>high priest Onias III,</w:t>
      </w:r>
      <w:r w:rsidR="000256C6">
        <w:t xml:space="preserve"> </w:t>
      </w:r>
      <w:r w:rsidR="00DE2FEE" w:rsidRPr="0066103C">
        <w:t>also</w:t>
      </w:r>
      <w:r w:rsidR="006F3830">
        <w:t xml:space="preserve"> </w:t>
      </w:r>
      <w:r w:rsidRPr="0066103C">
        <w:t xml:space="preserve">referred to as “a covenant </w:t>
      </w:r>
      <w:r w:rsidR="00B13647">
        <w:t>leader</w:t>
      </w:r>
      <w:r w:rsidRPr="0066103C">
        <w:t>” in 11:22. On the ac</w:t>
      </w:r>
      <w:r w:rsidR="00DE2FEE" w:rsidRPr="0066103C">
        <w:t>cession of Antiochus in 175</w:t>
      </w:r>
      <w:r w:rsidRPr="0066103C">
        <w:t>, Onias was displaced as high priest b</w:t>
      </w:r>
      <w:r w:rsidR="00DE2FEE" w:rsidRPr="0066103C">
        <w:t>y his brother Jason, in 172</w:t>
      </w:r>
      <w:r w:rsidRPr="0066103C">
        <w:t xml:space="preserve"> Jason in turn was displaced by Menelaus, brother </w:t>
      </w:r>
      <w:r w:rsidR="00DE2FEE" w:rsidRPr="0066103C">
        <w:t>of another of Onias’s opponents, and</w:t>
      </w:r>
      <w:r w:rsidRPr="0066103C">
        <w:t xml:space="preserve"> </w:t>
      </w:r>
      <w:r w:rsidR="006F3830" w:rsidRPr="006F3830">
        <w:t>if we may believe 2 Macc 4</w:t>
      </w:r>
      <w:r w:rsidR="006F3830">
        <w:t xml:space="preserve">, </w:t>
      </w:r>
      <w:r w:rsidRPr="0066103C">
        <w:t>in 17</w:t>
      </w:r>
      <w:r w:rsidR="000256C6">
        <w:t>1 Menelaus had Onias killed</w:t>
      </w:r>
      <w:r w:rsidRPr="0066103C">
        <w:t>.</w:t>
      </w:r>
      <w:r w:rsidR="00E26DEF">
        <w:rPr>
          <w:rStyle w:val="FootnoteReference"/>
        </w:rPr>
        <w:footnoteReference w:id="560"/>
      </w:r>
      <w:r w:rsidR="000256C6">
        <w:t xml:space="preserve"> Being “cut off” could signify </w:t>
      </w:r>
      <w:r w:rsidRPr="0066103C">
        <w:t>displaceme</w:t>
      </w:r>
      <w:r w:rsidR="000256C6">
        <w:t xml:space="preserve">nt or disappearance or </w:t>
      </w:r>
      <w:r w:rsidR="00DE2FEE" w:rsidRPr="0066103C">
        <w:t>death</w:t>
      </w:r>
      <w:r w:rsidRPr="0066103C">
        <w:t>.</w:t>
      </w:r>
      <w:r w:rsidR="00DE2FEE" w:rsidRPr="0066103C">
        <w:rPr>
          <w:rStyle w:val="FootnoteReference"/>
        </w:rPr>
        <w:footnoteReference w:id="561"/>
      </w:r>
      <w:r w:rsidR="000256C6">
        <w:t xml:space="preserve"> Lo</w:t>
      </w:r>
      <w:r w:rsidRPr="0066103C">
        <w:t>sing city and sanctuary sounds like a reference to his displacement and withdrawal for safety to Daphne, near Antioch (2 Macc 4:33); b</w:t>
      </w:r>
      <w:r w:rsidR="00DE2FEE" w:rsidRPr="0066103C">
        <w:t xml:space="preserve">ut his death in 171 </w:t>
      </w:r>
      <w:r w:rsidR="006F3830">
        <w:t>would mark</w:t>
      </w:r>
      <w:r w:rsidRPr="0066103C">
        <w:t xml:space="preserve"> the beginning of the seven years of trouble.</w:t>
      </w:r>
    </w:p>
    <w:p w:rsidR="003909F2" w:rsidRPr="0066103C" w:rsidRDefault="003909F2" w:rsidP="003909F2">
      <w:r w:rsidRPr="0066103C">
        <w:t>Presumably the “leader to come” (</w:t>
      </w:r>
      <w:r w:rsidRPr="0066103C">
        <w:rPr>
          <w:rFonts w:ascii="Arial" w:hAnsi="Arial" w:cs="Arial"/>
        </w:rPr>
        <w:t>הבא</w:t>
      </w:r>
      <w:r w:rsidR="00DE2FEE" w:rsidRPr="0066103C">
        <w:rPr>
          <w:rFonts w:ascii="Arial" w:hAnsi="Arial" w:cs="Arial"/>
        </w:rPr>
        <w:t xml:space="preserve"> נגיד</w:t>
      </w:r>
      <w:r w:rsidRPr="0066103C">
        <w:t xml:space="preserve">) is also a representative of the high-priestly line, one who follows Onias. </w:t>
      </w:r>
      <w:r w:rsidR="00DE2FEE" w:rsidRPr="0066103C">
        <w:t>Onias’s successor Jason</w:t>
      </w:r>
      <w:r w:rsidR="00DE2FEE" w:rsidRPr="0066103C">
        <w:rPr>
          <w:rStyle w:val="FootnoteReference"/>
        </w:rPr>
        <w:footnoteReference w:id="562"/>
      </w:r>
      <w:r w:rsidR="000256C6">
        <w:t xml:space="preserve"> </w:t>
      </w:r>
      <w:r w:rsidRPr="0066103C">
        <w:t xml:space="preserve">both corrupted and devastated—the two possible senses of </w:t>
      </w:r>
      <w:r w:rsidRPr="0066103C">
        <w:rPr>
          <w:rFonts w:ascii="Arial" w:hAnsi="Arial" w:cs="Arial"/>
        </w:rPr>
        <w:t>ישחית</w:t>
      </w:r>
      <w:r w:rsidRPr="0066103C">
        <w:t>—the people of Jerusalem (see 2 Macc 4–5). The hosti</w:t>
      </w:r>
      <w:r w:rsidR="00DE2FEE" w:rsidRPr="0066103C">
        <w:t xml:space="preserve">lity of Jason’s action may </w:t>
      </w:r>
      <w:r w:rsidRPr="0066103C">
        <w:t xml:space="preserve">be </w:t>
      </w:r>
      <w:r w:rsidR="000256C6">
        <w:t>indicated by the verb “come,”</w:t>
      </w:r>
      <w:r w:rsidRPr="0066103C">
        <w:t xml:space="preserve"> </w:t>
      </w:r>
      <w:r w:rsidR="000256C6">
        <w:t>which frequently denotes</w:t>
      </w:r>
      <w:r w:rsidRPr="0066103C">
        <w:t xml:space="preserve"> an aggressive “coming” in chap. 11 (e.g., v 10, with the term “flood” [</w:t>
      </w:r>
      <w:r w:rsidRPr="0066103C">
        <w:rPr>
          <w:rFonts w:ascii="Arial" w:hAnsi="Arial" w:cs="Arial"/>
        </w:rPr>
        <w:t>שטף</w:t>
      </w:r>
      <w:r w:rsidR="00DE2FEE" w:rsidRPr="0066103C">
        <w:t>] as here</w:t>
      </w:r>
      <w:r w:rsidRPr="0066103C">
        <w:t>). “His end” and “the end” are closely related.</w:t>
      </w:r>
    </w:p>
    <w:p w:rsidR="003909F2" w:rsidRPr="0066103C" w:rsidRDefault="003909F2" w:rsidP="003909F2">
      <w:r w:rsidRPr="006F3830">
        <w:rPr>
          <w:b/>
        </w:rPr>
        <w:t xml:space="preserve">27 </w:t>
      </w:r>
      <w:r w:rsidRPr="0066103C">
        <w:t xml:space="preserve">The </w:t>
      </w:r>
      <w:r w:rsidR="006F3830" w:rsidRPr="006F3830">
        <w:rPr>
          <w:rFonts w:ascii="Arial" w:hAnsi="Arial" w:cs="Arial"/>
        </w:rPr>
        <w:t>ברית</w:t>
      </w:r>
      <w:r w:rsidR="006F3830" w:rsidRPr="006F3830">
        <w:t xml:space="preserve"> </w:t>
      </w:r>
      <w:r w:rsidR="006F3830">
        <w:t>(</w:t>
      </w:r>
      <w:r w:rsidRPr="0066103C">
        <w:t>covenant</w:t>
      </w:r>
      <w:r w:rsidR="006F3830">
        <w:t>)</w:t>
      </w:r>
      <w:r w:rsidRPr="0066103C">
        <w:t xml:space="preserve"> prevailing for the body of the Jews fo</w:t>
      </w:r>
      <w:r w:rsidR="000256C6">
        <w:t>r the final seven could akkude to</w:t>
      </w:r>
      <w:r w:rsidRPr="0066103C">
        <w:t xml:space="preserve"> the covenant between God and Israel referred to in 9:4; 11:22, 28, 30, 32. The words </w:t>
      </w:r>
      <w:r w:rsidR="006F3830">
        <w:t xml:space="preserve">could </w:t>
      </w:r>
      <w:r w:rsidRPr="0066103C">
        <w:t xml:space="preserve">then denote either the faithfulness of conservative Jews despite the pressure placed on them (cf. 1 Macc 1:62–63), or </w:t>
      </w:r>
      <w:r w:rsidRPr="0066103C">
        <w:lastRenderedPageBreak/>
        <w:t>the faithfulness of God (cf. Lev 26:42).</w:t>
      </w:r>
      <w:r w:rsidR="00DE2FEE" w:rsidRPr="0066103C">
        <w:rPr>
          <w:rStyle w:val="FootnoteReference"/>
        </w:rPr>
        <w:footnoteReference w:id="563"/>
      </w:r>
      <w:r w:rsidR="006F3830">
        <w:t xml:space="preserve"> But the verse goes on</w:t>
      </w:r>
      <w:r w:rsidRPr="0066103C">
        <w:t xml:space="preserve"> to describe aspects of the sacrilege of</w:t>
      </w:r>
      <w:r w:rsidR="00DE2FEE" w:rsidRPr="0066103C">
        <w:t xml:space="preserve"> the Antiochene crisis, which</w:t>
      </w:r>
      <w:r w:rsidRPr="0066103C">
        <w:t xml:space="preserve"> suggests that </w:t>
      </w:r>
      <w:r w:rsidRPr="0066103C">
        <w:rPr>
          <w:rFonts w:ascii="Arial" w:hAnsi="Arial" w:cs="Arial"/>
        </w:rPr>
        <w:t>ברית</w:t>
      </w:r>
      <w:r w:rsidRPr="0066103C">
        <w:t xml:space="preserve"> in v 27a has negative connotations. </w:t>
      </w:r>
      <w:r w:rsidR="00DE2FEE" w:rsidRPr="0066103C">
        <w:t xml:space="preserve">It might be </w:t>
      </w:r>
      <w:r w:rsidRPr="0066103C">
        <w:t>an Aramaism for an edict imposed by Antiochus</w:t>
      </w:r>
      <w:r w:rsidR="00DE2FEE" w:rsidRPr="0066103C">
        <w:t>;</w:t>
      </w:r>
      <w:r w:rsidR="00DE2FEE" w:rsidRPr="0066103C">
        <w:rPr>
          <w:rStyle w:val="FootnoteReference"/>
        </w:rPr>
        <w:footnoteReference w:id="564"/>
      </w:r>
      <w:r w:rsidR="00DE2FEE" w:rsidRPr="0066103C">
        <w:t xml:space="preserve"> more likely it denotes</w:t>
      </w:r>
      <w:r w:rsidRPr="0066103C">
        <w:t xml:space="preserve"> the covenant between reformist Jews and Gentiles reported in 1 Macc 1:11. The multitude is presumably still the bo</w:t>
      </w:r>
      <w:r w:rsidR="00DE2FEE" w:rsidRPr="0066103C">
        <w:t xml:space="preserve">dy of (faithful) Jews (see n. </w:t>
      </w:r>
      <w:r w:rsidRPr="0066103C">
        <w:t xml:space="preserve">27.b). If so, the idea of the clause is that the covenant made between the reformist Jews and the Greeks will last for seven years, to the hurt of the conservative Jews. 1 Macc 1:11 implicitly associates this covenant with the beginning </w:t>
      </w:r>
      <w:r w:rsidR="00DE2FEE" w:rsidRPr="0066103C">
        <w:t>of Antiochus’s reign in 175</w:t>
      </w:r>
      <w:r w:rsidRPr="0066103C">
        <w:t>, but it is hazardous to infer that the seventieth seven is the period that begins then, so that the events of the actual cr</w:t>
      </w:r>
      <w:r w:rsidR="00DE2FEE" w:rsidRPr="0066103C">
        <w:t>isis belong to a further seven</w:t>
      </w:r>
      <w:r w:rsidRPr="0066103C">
        <w:t>.</w:t>
      </w:r>
      <w:r w:rsidR="00DE2FEE" w:rsidRPr="0066103C">
        <w:rPr>
          <w:rStyle w:val="FootnoteReference"/>
        </w:rPr>
        <w:footnoteReference w:id="565"/>
      </w:r>
    </w:p>
    <w:p w:rsidR="003909F2" w:rsidRPr="0066103C" w:rsidRDefault="003909F2" w:rsidP="003909F2">
      <w:r w:rsidRPr="0066103C">
        <w:t>Halfway through this final seven the worship prescr</w:t>
      </w:r>
      <w:r w:rsidR="00627ADC" w:rsidRPr="0066103C">
        <w:t>ibed by the Torah will cease, to</w:t>
      </w:r>
      <w:r w:rsidRPr="0066103C">
        <w:t xml:space="preserve"> be replaced by a repellent alternative (cf. 1 Macc 1:41–59). Sacrifice and offering c</w:t>
      </w:r>
      <w:r w:rsidR="006F3830">
        <w:t xml:space="preserve">overs </w:t>
      </w:r>
      <w:r w:rsidR="00627ADC" w:rsidRPr="0066103C">
        <w:t>the blood</w:t>
      </w:r>
      <w:r w:rsidRPr="0066103C">
        <w:t xml:space="preserve"> sacrifices involving the </w:t>
      </w:r>
      <w:r w:rsidR="006F3830">
        <w:t>death of an animal and</w:t>
      </w:r>
      <w:r w:rsidRPr="0066103C">
        <w:t xml:space="preserve"> the offering of grain, oil, and wine, and thus </w:t>
      </w:r>
      <w:r w:rsidR="006F3830">
        <w:t xml:space="preserve">between them they cover </w:t>
      </w:r>
      <w:r w:rsidRPr="0066103C">
        <w:t>the total system of sacrifice and offering. To describe its replacement, Gabriel uses a v</w:t>
      </w:r>
      <w:r w:rsidR="006F3830">
        <w:t>ariant on the term “</w:t>
      </w:r>
      <w:r w:rsidR="006F3830" w:rsidRPr="006F3830">
        <w:t>the desolating rebellion</w:t>
      </w:r>
      <w:r w:rsidR="006F3830">
        <w:t>”</w:t>
      </w:r>
      <w:r w:rsidR="006F3830" w:rsidRPr="006F3830">
        <w:t xml:space="preserve"> (</w:t>
      </w:r>
      <w:r w:rsidR="006F3830" w:rsidRPr="006F3830">
        <w:rPr>
          <w:rFonts w:ascii="Arial" w:hAnsi="Arial" w:cs="Arial"/>
        </w:rPr>
        <w:t>שמם</w:t>
      </w:r>
      <w:r w:rsidR="006F3830" w:rsidRPr="006F3830">
        <w:t xml:space="preserve"> </w:t>
      </w:r>
      <w:r w:rsidR="006F3830" w:rsidRPr="006F3830">
        <w:rPr>
          <w:rFonts w:ascii="Arial" w:hAnsi="Arial" w:cs="Arial"/>
        </w:rPr>
        <w:t>הפשע</w:t>
      </w:r>
      <w:r w:rsidR="000256C6">
        <w:rPr>
          <w:rFonts w:ascii="Arial" w:hAnsi="Arial" w:cs="Arial"/>
        </w:rPr>
        <w:t xml:space="preserve">) </w:t>
      </w:r>
      <w:r w:rsidR="006F3830">
        <w:t>in 8:13</w:t>
      </w:r>
      <w:r w:rsidRPr="0066103C">
        <w:t>. Here the expression is “a desolating abomination” (</w:t>
      </w:r>
      <w:r w:rsidRPr="0066103C">
        <w:rPr>
          <w:rFonts w:ascii="Arial" w:hAnsi="Arial" w:cs="Arial"/>
        </w:rPr>
        <w:t>משמם</w:t>
      </w:r>
      <w:r w:rsidR="00627ADC" w:rsidRPr="0066103C">
        <w:rPr>
          <w:rFonts w:ascii="Arial" w:hAnsi="Arial" w:cs="Arial"/>
        </w:rPr>
        <w:t xml:space="preserve"> שקוצים</w:t>
      </w:r>
      <w:r w:rsidRPr="0066103C">
        <w:t xml:space="preserve">: see n. 27.f). </w:t>
      </w:r>
      <w:r w:rsidRPr="0066103C">
        <w:rPr>
          <w:rFonts w:ascii="Arial" w:hAnsi="Arial" w:cs="Arial"/>
        </w:rPr>
        <w:t>שקץ</w:t>
      </w:r>
      <w:r w:rsidRPr="0066103C">
        <w:t xml:space="preserve"> replaces </w:t>
      </w:r>
      <w:r w:rsidRPr="0066103C">
        <w:rPr>
          <w:rFonts w:ascii="Arial" w:hAnsi="Arial" w:cs="Arial"/>
        </w:rPr>
        <w:t>פשע</w:t>
      </w:r>
      <w:r w:rsidR="00627ADC" w:rsidRPr="0066103C">
        <w:t xml:space="preserve">, perhaps because its </w:t>
      </w:r>
      <w:r w:rsidRPr="0066103C">
        <w:t>numerical value is 490,</w:t>
      </w:r>
      <w:r w:rsidR="00627ADC" w:rsidRPr="0066103C">
        <w:rPr>
          <w:rStyle w:val="FootnoteReference"/>
        </w:rPr>
        <w:footnoteReference w:id="566"/>
      </w:r>
      <w:r w:rsidRPr="0066103C">
        <w:t xml:space="preserve"> perhaps because of the association of </w:t>
      </w:r>
      <w:r w:rsidRPr="0066103C">
        <w:rPr>
          <w:rFonts w:ascii="Arial" w:hAnsi="Arial" w:cs="Arial"/>
        </w:rPr>
        <w:t>שקץ</w:t>
      </w:r>
      <w:r w:rsidRPr="0066103C">
        <w:t xml:space="preserve"> and </w:t>
      </w:r>
      <w:r w:rsidRPr="0066103C">
        <w:rPr>
          <w:rFonts w:ascii="Arial" w:hAnsi="Arial" w:cs="Arial"/>
        </w:rPr>
        <w:t>שמם</w:t>
      </w:r>
      <w:r w:rsidRPr="0066103C">
        <w:t xml:space="preserve"> in passages such as Jer 4; 7; 44; Ezek 5; 6; 7.</w:t>
      </w:r>
      <w:r w:rsidR="00627ADC" w:rsidRPr="0066103C">
        <w:rPr>
          <w:rStyle w:val="FootnoteReference"/>
        </w:rPr>
        <w:footnoteReference w:id="567"/>
      </w:r>
      <w:r w:rsidRPr="0066103C">
        <w:t xml:space="preserve"> It is plural, if we accept MT, perhaps because it substitutes for the quasi-plural noun </w:t>
      </w:r>
      <w:r w:rsidRPr="0066103C">
        <w:rPr>
          <w:rFonts w:ascii="Arial" w:hAnsi="Arial" w:cs="Arial"/>
        </w:rPr>
        <w:t>אלהים</w:t>
      </w:r>
      <w:r w:rsidR="00627ADC" w:rsidRPr="0066103C">
        <w:t xml:space="preserve"> “God</w:t>
      </w:r>
      <w:r w:rsidRPr="0066103C">
        <w:t>.</w:t>
      </w:r>
      <w:r w:rsidR="00627ADC" w:rsidRPr="0066103C">
        <w:t>”</w:t>
      </w:r>
      <w:r w:rsidR="00627ADC" w:rsidRPr="0066103C">
        <w:rPr>
          <w:rStyle w:val="FootnoteReference"/>
        </w:rPr>
        <w:footnoteReference w:id="568"/>
      </w:r>
      <w:r w:rsidRPr="0066103C">
        <w:t xml:space="preserve"> The desolating abomination will appear “on a wing” (</w:t>
      </w:r>
      <w:r w:rsidRPr="0066103C">
        <w:rPr>
          <w:rFonts w:ascii="Arial" w:hAnsi="Arial" w:cs="Arial"/>
        </w:rPr>
        <w:t>כנף</w:t>
      </w:r>
      <w:r w:rsidR="00627ADC" w:rsidRPr="0066103C">
        <w:t>). G and Vg take</w:t>
      </w:r>
      <w:r w:rsidRPr="0066103C">
        <w:t xml:space="preserve"> the “wing” to be the winglike top corner of the temple, the “pinnacle” of Matt 4:5. But the desolating sacrilege lay not on the temple pinnacle, but on the altar </w:t>
      </w:r>
      <w:r w:rsidR="000256C6">
        <w:t>within the temple, which had winglike</w:t>
      </w:r>
      <w:r w:rsidR="006F3830">
        <w:t xml:space="preserve"> top corners that are</w:t>
      </w:r>
      <w:r w:rsidRPr="0066103C">
        <w:t xml:space="preserve"> usually described as horns. Perhaps Gabriel speaks of wings rather than horns because “winged one” (</w:t>
      </w:r>
      <w:r w:rsidRPr="0066103C">
        <w:rPr>
          <w:rFonts w:ascii="Arial" w:hAnsi="Arial" w:cs="Arial"/>
        </w:rPr>
        <w:t>כנף</w:t>
      </w:r>
      <w:r w:rsidR="00627ADC" w:rsidRPr="0066103C">
        <w:rPr>
          <w:rFonts w:ascii="Arial" w:hAnsi="Arial" w:cs="Arial"/>
        </w:rPr>
        <w:t xml:space="preserve"> בעל</w:t>
      </w:r>
      <w:r w:rsidRPr="0066103C">
        <w:t>, “lord of wing” or “w</w:t>
      </w:r>
      <w:r w:rsidR="00627ADC" w:rsidRPr="0066103C">
        <w:t xml:space="preserve">inged one”) is a title of </w:t>
      </w:r>
      <w:r w:rsidR="00E70E66">
        <w:t>Ba’al</w:t>
      </w:r>
      <w:r w:rsidRPr="0066103C">
        <w:t>.</w:t>
      </w:r>
      <w:r w:rsidR="00627ADC" w:rsidRPr="0066103C">
        <w:rPr>
          <w:rStyle w:val="FootnoteReference"/>
        </w:rPr>
        <w:footnoteReference w:id="569"/>
      </w:r>
    </w:p>
    <w:p w:rsidR="003909F2" w:rsidRPr="0066103C" w:rsidRDefault="003909F2" w:rsidP="003909F2">
      <w:r w:rsidRPr="0066103C">
        <w:t>Devastation will continue to overwhelm desolate Jerusalem until what God</w:t>
      </w:r>
      <w:r w:rsidR="006F3830">
        <w:t xml:space="preserve"> has decreed is exhausted. W</w:t>
      </w:r>
      <w:r w:rsidRPr="0066103C">
        <w:t xml:space="preserve">ithin the gloom are </w:t>
      </w:r>
      <w:r w:rsidR="006F3830">
        <w:t xml:space="preserve">thus </w:t>
      </w:r>
      <w:r w:rsidRPr="0066103C">
        <w:t>gleams of light. The calamity fulfills the prophecy of Isa 10:22–23: so it is not meaningless. And i</w:t>
      </w:r>
      <w:r w:rsidR="00627ADC" w:rsidRPr="0066103C">
        <w:t xml:space="preserve">t is de-termined, not endless. </w:t>
      </w:r>
      <w:r w:rsidRPr="0066103C">
        <w:t xml:space="preserve">If </w:t>
      </w:r>
      <w:r w:rsidRPr="0066103C">
        <w:rPr>
          <w:rFonts w:ascii="Arial" w:hAnsi="Arial" w:cs="Arial"/>
        </w:rPr>
        <w:t>שמם</w:t>
      </w:r>
      <w:r w:rsidRPr="0066103C">
        <w:t xml:space="preserve"> really means “desolater,” not “desolate one” [see n. 27.h]</w:t>
      </w:r>
      <w:r w:rsidR="003D4629">
        <w:t>,</w:t>
      </w:r>
      <w:r w:rsidRPr="0066103C">
        <w:t xml:space="preserve"> or </w:t>
      </w:r>
      <w:r w:rsidR="00627ADC" w:rsidRPr="0066103C">
        <w:t xml:space="preserve">if the desolate one is </w:t>
      </w:r>
      <w:r w:rsidRPr="0066103C">
        <w:t>Antiochus himself as his end comes, the gleam of li</w:t>
      </w:r>
      <w:r w:rsidR="00627ADC" w:rsidRPr="0066103C">
        <w:t>ght is an explicit beam.</w:t>
      </w:r>
    </w:p>
    <w:p w:rsidR="003909F2" w:rsidRPr="00CC1756" w:rsidRDefault="003909F2" w:rsidP="00CC1756">
      <w:pPr>
        <w:pStyle w:val="Heading2"/>
      </w:pPr>
      <w:r w:rsidRPr="00CC1756">
        <w:t>Explanation</w:t>
      </w:r>
    </w:p>
    <w:p w:rsidR="003909F2" w:rsidRPr="0066103C" w:rsidRDefault="003909F2" w:rsidP="003909F2">
      <w:r w:rsidRPr="006A2FA9">
        <w:rPr>
          <w:b/>
        </w:rPr>
        <w:t>1–2</w:t>
      </w:r>
      <w:r w:rsidRPr="0066103C">
        <w:t xml:space="preserve"> We move on</w:t>
      </w:r>
      <w:r w:rsidR="003D4629">
        <w:t xml:space="preserve"> once more to the year when</w:t>
      </w:r>
      <w:r w:rsidRPr="0066103C">
        <w:t xml:space="preserve"> the Babylonians lost control of Babylon. In previous chapt</w:t>
      </w:r>
      <w:r w:rsidR="00953419" w:rsidRPr="0066103C">
        <w:t xml:space="preserve">ers, </w:t>
      </w:r>
      <w:r w:rsidRPr="0066103C">
        <w:t xml:space="preserve">many </w:t>
      </w:r>
      <w:r w:rsidR="00A84751" w:rsidRPr="0066103C">
        <w:t xml:space="preserve">scriptural passages </w:t>
      </w:r>
      <w:r w:rsidRPr="0066103C">
        <w:t>have co</w:t>
      </w:r>
      <w:r w:rsidR="00953419" w:rsidRPr="0066103C">
        <w:t>ntributed subtly to the shaping of th</w:t>
      </w:r>
      <w:r w:rsidRPr="0066103C">
        <w:t>e stories and visions which we have been invited to take as clues</w:t>
      </w:r>
      <w:r w:rsidR="00953419" w:rsidRPr="0066103C">
        <w:t xml:space="preserve"> to understanding what God was doing in</w:t>
      </w:r>
      <w:r w:rsidRPr="0066103C">
        <w:t xml:space="preserve"> the Babylonian, Persian, and Greek periods. But the stories and visions stood in their own right. Thei</w:t>
      </w:r>
      <w:r w:rsidR="00953419" w:rsidRPr="0066103C">
        <w:t>r scriptural allusions could have remained unnoticed. The stories and visions</w:t>
      </w:r>
      <w:r w:rsidRPr="0066103C">
        <w:t xml:space="preserve"> commended themselves to us on the basis of the experience and insight they embodied. Here, in contrast, insight eme</w:t>
      </w:r>
      <w:r w:rsidR="00A84751" w:rsidRPr="0066103C">
        <w:t xml:space="preserve">rges overtly </w:t>
      </w:r>
      <w:r w:rsidR="00CC5D3F">
        <w:t>in connection with</w:t>
      </w:r>
      <w:r w:rsidR="00A84751" w:rsidRPr="0066103C">
        <w:t xml:space="preserve"> the s</w:t>
      </w:r>
      <w:r w:rsidRPr="0066103C">
        <w:t>cripture</w:t>
      </w:r>
      <w:r w:rsidR="00A84751" w:rsidRPr="0066103C">
        <w:t>s</w:t>
      </w:r>
      <w:r w:rsidRPr="0066103C">
        <w:t>. Babylon is now ruled by a k</w:t>
      </w:r>
      <w:r w:rsidR="00CC5D3F">
        <w:t>ing of Median birth, as Jer 51:28</w:t>
      </w:r>
      <w:r w:rsidRPr="0066103C">
        <w:t xml:space="preserve"> promi</w:t>
      </w:r>
      <w:r w:rsidR="00CC5D3F">
        <w:t xml:space="preserve">sed. The punishment </w:t>
      </w:r>
      <w:r w:rsidR="00CC5D3F" w:rsidRPr="00CC5D3F">
        <w:t>threatened</w:t>
      </w:r>
      <w:r w:rsidR="00CC5D3F">
        <w:t xml:space="preserve"> in</w:t>
      </w:r>
      <w:r w:rsidRPr="0066103C">
        <w:t xml:space="preserve"> Jer 25:12–14 </w:t>
      </w:r>
      <w:r w:rsidR="00CC5D3F">
        <w:t>has begun. T</w:t>
      </w:r>
      <w:r w:rsidRPr="0066103C">
        <w:t xml:space="preserve">he restoration of the exiles that Jer 29:10 </w:t>
      </w:r>
      <w:r w:rsidRPr="0066103C">
        <w:lastRenderedPageBreak/>
        <w:t>associates with that same moment, and the restoration of Jerusalem that prophecies in Isaiah and Ezekiel promise</w:t>
      </w:r>
      <w:r w:rsidR="003D4629">
        <w:t>d</w:t>
      </w:r>
      <w:r w:rsidRPr="0066103C">
        <w:t>, ought therefore to be imminent.</w:t>
      </w:r>
    </w:p>
    <w:p w:rsidR="00CC5D3F" w:rsidRPr="00CC5D3F" w:rsidRDefault="00CC5D3F" w:rsidP="00CC5D3F">
      <w:pPr>
        <w:rPr>
          <w:iCs/>
        </w:rPr>
      </w:pPr>
      <w:r>
        <w:t xml:space="preserve">It is easy </w:t>
      </w:r>
      <w:r w:rsidR="003909F2" w:rsidRPr="0066103C">
        <w:t>to imagine an exilic Daniel noting the passages in Jer 25/29 that spoke of a seventy-year exile and wondering about their fulfillment; Zechariah, after all,</w:t>
      </w:r>
      <w:r>
        <w:t xml:space="preserve"> did so. It is also easy </w:t>
      </w:r>
      <w:r w:rsidR="003909F2" w:rsidRPr="0066103C">
        <w:t>t</w:t>
      </w:r>
      <w:r w:rsidR="00953419" w:rsidRPr="0066103C">
        <w:t xml:space="preserve">o imagine a second-century </w:t>
      </w:r>
      <w:r>
        <w:t>“Daniel” doing the same thing.</w:t>
      </w:r>
      <w:r w:rsidR="003909F2" w:rsidRPr="0066103C">
        <w:t xml:space="preserve"> </w:t>
      </w:r>
      <w:r w:rsidR="003D4629">
        <w:t>Whether or not we should universalize the declaration that when Yahweh acts, he always</w:t>
      </w:r>
      <w:r w:rsidR="003909F2" w:rsidRPr="0066103C">
        <w:t xml:space="preserve"> reveal</w:t>
      </w:r>
      <w:r w:rsidR="003D4629">
        <w:t>s</w:t>
      </w:r>
      <w:r w:rsidR="00953419" w:rsidRPr="0066103C">
        <w:t xml:space="preserve"> his purpose to his servants</w:t>
      </w:r>
      <w:r w:rsidR="003D4629">
        <w:t xml:space="preserve"> the prophets (Amos 3:7), </w:t>
      </w:r>
      <w:r w:rsidR="003909F2" w:rsidRPr="0066103C">
        <w:t xml:space="preserve">the existence of the more-or-less collected prophetic scriptures </w:t>
      </w:r>
      <w:r w:rsidR="00953419" w:rsidRPr="0066103C">
        <w:t xml:space="preserve">in the second century </w:t>
      </w:r>
      <w:r w:rsidR="003909F2" w:rsidRPr="0066103C">
        <w:t>will have encouraged people to look there for some explanation even of the devastating experi</w:t>
      </w:r>
      <w:r w:rsidR="003D4629">
        <w:t>ences of this</w:t>
      </w:r>
      <w:r w:rsidR="00953419" w:rsidRPr="0066103C">
        <w:t xml:space="preserve"> time.</w:t>
      </w:r>
      <w:r w:rsidR="00953419" w:rsidRPr="0066103C">
        <w:rPr>
          <w:rStyle w:val="FootnoteReference"/>
        </w:rPr>
        <w:footnoteReference w:id="570"/>
      </w:r>
      <w:r w:rsidR="003D4629">
        <w:t xml:space="preserve"> </w:t>
      </w:r>
      <w:r w:rsidR="00953419" w:rsidRPr="0066103C">
        <w:t>God</w:t>
      </w:r>
      <w:r>
        <w:t>’s having</w:t>
      </w:r>
      <w:r w:rsidR="00953419" w:rsidRPr="0066103C">
        <w:t xml:space="preserve"> spoke</w:t>
      </w:r>
      <w:r>
        <w:t>n</w:t>
      </w:r>
      <w:r w:rsidR="003909F2" w:rsidRPr="0066103C">
        <w:t xml:space="preserve"> through the prophets does no</w:t>
      </w:r>
      <w:r w:rsidR="00953419" w:rsidRPr="0066103C">
        <w:t>t mean that all the faithful</w:t>
      </w:r>
      <w:r w:rsidR="003909F2" w:rsidRPr="0066103C">
        <w:t xml:space="preserve"> </w:t>
      </w:r>
      <w:r w:rsidR="00953419" w:rsidRPr="0066103C">
        <w:t>have to do</w:t>
      </w:r>
      <w:r w:rsidR="003909F2" w:rsidRPr="0066103C">
        <w:t xml:space="preserve"> is sit, newspaper in hand, await</w:t>
      </w:r>
      <w:r>
        <w:t xml:space="preserve">ing the outcome. </w:t>
      </w:r>
      <w:r w:rsidRPr="00CC5D3F">
        <w:rPr>
          <w:iCs/>
        </w:rPr>
        <w:t xml:space="preserve">“The faithful do not so acquiesce </w:t>
      </w:r>
      <w:r w:rsidRPr="00CC5D3F">
        <w:t>in the promises of God as to grow torpid, and become idle and slothful through the certainty of their persuasion that God will perform his promises, but are rather stimulated to prayer.”</w:t>
      </w:r>
      <w:r w:rsidRPr="00CC5D3F">
        <w:rPr>
          <w:vertAlign w:val="superscript"/>
        </w:rPr>
        <w:footnoteReference w:id="571"/>
      </w:r>
      <w:r w:rsidRPr="00CC5D3F">
        <w:t xml:space="preserve"> </w:t>
      </w:r>
    </w:p>
    <w:p w:rsidR="003B39BB" w:rsidRPr="001A0E86" w:rsidRDefault="003909F2" w:rsidP="003B39BB">
      <w:r w:rsidRPr="00CC5D3F">
        <w:rPr>
          <w:b/>
        </w:rPr>
        <w:t xml:space="preserve">3–19 </w:t>
      </w:r>
      <w:r w:rsidR="00B12400" w:rsidRPr="00B12400">
        <w:t>Daniel’</w:t>
      </w:r>
      <w:r w:rsidR="00B12400">
        <w:t xml:space="preserve">s prayer complements his other prayer in 2:20-23; </w:t>
      </w:r>
      <w:r w:rsidR="00B12400">
        <w:rPr>
          <w:rFonts w:eastAsiaTheme="minorHAnsi" w:cs="TimesNewRomanPSMT"/>
        </w:rPr>
        <w:t>“t</w:t>
      </w:r>
      <w:r w:rsidR="00B12400" w:rsidRPr="00B12400">
        <w:rPr>
          <w:rFonts w:eastAsiaTheme="minorHAnsi" w:cs="TimesNewRomanPSMT"/>
        </w:rPr>
        <w:t xml:space="preserve">o Daniel, prayer was praise </w:t>
      </w:r>
      <w:r w:rsidR="00B12400" w:rsidRPr="00B12400">
        <w:rPr>
          <w:rFonts w:eastAsiaTheme="minorHAnsi" w:cs="TimesNewRomanPS-ItalicMT"/>
          <w:i/>
          <w:iCs/>
        </w:rPr>
        <w:t xml:space="preserve">and </w:t>
      </w:r>
      <w:r w:rsidR="00B12400" w:rsidRPr="00B12400">
        <w:rPr>
          <w:rFonts w:eastAsiaTheme="minorHAnsi" w:cs="TimesNewRomanPSMT"/>
        </w:rPr>
        <w:t xml:space="preserve">lament, thanksgiving </w:t>
      </w:r>
      <w:r w:rsidR="00B12400" w:rsidRPr="00B12400">
        <w:rPr>
          <w:rFonts w:eastAsiaTheme="minorHAnsi" w:cs="TimesNewRomanPS-ItalicMT"/>
          <w:i/>
          <w:iCs/>
        </w:rPr>
        <w:t xml:space="preserve">and </w:t>
      </w:r>
      <w:r w:rsidR="00B12400" w:rsidRPr="00B12400">
        <w:rPr>
          <w:rFonts w:eastAsiaTheme="minorHAnsi" w:cs="TimesNewRomanPSMT"/>
        </w:rPr>
        <w:t>confession</w:t>
      </w:r>
      <w:r w:rsidR="00B12400">
        <w:rPr>
          <w:rFonts w:eastAsiaTheme="minorHAnsi" w:cs="TimesNewRomanPSMT"/>
        </w:rPr>
        <w:t>.”</w:t>
      </w:r>
      <w:r w:rsidR="00B12400">
        <w:rPr>
          <w:rStyle w:val="FootnoteReference"/>
          <w:rFonts w:eastAsiaTheme="minorHAnsi" w:cs="TimesNewRomanPSMT"/>
        </w:rPr>
        <w:footnoteReference w:id="572"/>
      </w:r>
      <w:r w:rsidR="00B12400" w:rsidRPr="00B12400">
        <w:rPr>
          <w:b/>
        </w:rPr>
        <w:t xml:space="preserve"> </w:t>
      </w:r>
      <w:r w:rsidRPr="0066103C">
        <w:t>Th</w:t>
      </w:r>
      <w:r w:rsidR="00953419" w:rsidRPr="0066103C">
        <w:t xml:space="preserve">ere is a form of prayer </w:t>
      </w:r>
      <w:r w:rsidRPr="0066103C">
        <w:t xml:space="preserve">appropriate to every day, the prayer Daniel prayed in chap. 6. There is </w:t>
      </w:r>
      <w:r w:rsidR="003D4629">
        <w:t xml:space="preserve">also </w:t>
      </w:r>
      <w:r w:rsidRPr="0066103C">
        <w:t xml:space="preserve">a form of prayer that arises in extraordinary situations, the prayer Daniel prays here. </w:t>
      </w:r>
      <w:r w:rsidR="003B39BB">
        <w:rPr>
          <w:rFonts w:eastAsiaTheme="minorHAnsi" w:cs="Times New Roman"/>
        </w:rPr>
        <w:t>“</w:t>
      </w:r>
      <w:r w:rsidR="003B39BB" w:rsidRPr="001A0E86">
        <w:rPr>
          <w:rFonts w:eastAsiaTheme="minorHAnsi" w:cs="Times New Roman"/>
        </w:rPr>
        <w:t>In the prayer of ch. 9 Daniel</w:t>
      </w:r>
      <w:r w:rsidR="003B39BB">
        <w:t xml:space="preserve"> </w:t>
      </w:r>
      <w:r w:rsidR="003B39BB" w:rsidRPr="001A0E86">
        <w:rPr>
          <w:rFonts w:eastAsiaTheme="minorHAnsi" w:cs="Times New Roman"/>
        </w:rPr>
        <w:t>uses</w:t>
      </w:r>
      <w:r w:rsidR="003B39BB">
        <w:rPr>
          <w:rFonts w:eastAsiaTheme="minorHAnsi" w:cs="Times New Roman"/>
        </w:rPr>
        <w:t xml:space="preserve"> every device he can muster to ‘</w:t>
      </w:r>
      <w:r w:rsidR="003B39BB" w:rsidRPr="001A0E86">
        <w:rPr>
          <w:rFonts w:eastAsiaTheme="minorHAnsi" w:cs="Times New Roman"/>
        </w:rPr>
        <w:t>move the heart of God from wrath to</w:t>
      </w:r>
      <w:r w:rsidR="003B39BB">
        <w:rPr>
          <w:rFonts w:eastAsiaTheme="minorHAnsi" w:cs="Times New Roman"/>
        </w:rPr>
        <w:t xml:space="preserve"> pity’</w:t>
      </w:r>
      <w:r w:rsidR="003B39BB" w:rsidRPr="001A0E86">
        <w:rPr>
          <w:rFonts w:eastAsiaTheme="minorHAnsi" w:cs="Times New Roman"/>
        </w:rPr>
        <w:t>; confession of sin, complaint, petitions, historical reviews, declarations</w:t>
      </w:r>
      <w:r w:rsidR="003B39BB">
        <w:rPr>
          <w:rFonts w:eastAsiaTheme="minorHAnsi" w:cs="Times New Roman"/>
        </w:rPr>
        <w:t xml:space="preserve"> </w:t>
      </w:r>
      <w:r w:rsidR="003B39BB" w:rsidRPr="001A0E86">
        <w:rPr>
          <w:rFonts w:eastAsiaTheme="minorHAnsi" w:cs="Times New Roman"/>
        </w:rPr>
        <w:t>of the attributes of God, covenantal reminders, and the language of</w:t>
      </w:r>
      <w:r w:rsidR="003B39BB">
        <w:rPr>
          <w:rFonts w:eastAsiaTheme="minorHAnsi" w:cs="Times New Roman"/>
        </w:rPr>
        <w:t xml:space="preserve"> shame and honor.”</w:t>
      </w:r>
      <w:r w:rsidR="003B39BB">
        <w:rPr>
          <w:rStyle w:val="FootnoteReference"/>
          <w:rFonts w:eastAsiaTheme="minorHAnsi" w:cs="Times New Roman"/>
        </w:rPr>
        <w:footnoteReference w:id="573"/>
      </w:r>
    </w:p>
    <w:p w:rsidR="003909F2" w:rsidRDefault="003909F2" w:rsidP="003909F2">
      <w:r w:rsidRPr="0066103C">
        <w:t>Or pe</w:t>
      </w:r>
      <w:r w:rsidR="00953419" w:rsidRPr="0066103C">
        <w:t>rhaps both prayers are the same and Dan 9 was</w:t>
      </w:r>
      <w:r w:rsidRPr="0066103C">
        <w:t xml:space="preserve"> a way people </w:t>
      </w:r>
      <w:r w:rsidR="00953419" w:rsidRPr="0066103C">
        <w:t>prayed throughout the Second Temple</w:t>
      </w:r>
      <w:r w:rsidRPr="0066103C">
        <w:t xml:space="preserve"> perio</w:t>
      </w:r>
      <w:r w:rsidR="00953419" w:rsidRPr="0066103C">
        <w:t>d. A particular prayer may be prayed every day but</w:t>
      </w:r>
      <w:r w:rsidRPr="0066103C">
        <w:t xml:space="preserve"> with new signific</w:t>
      </w:r>
      <w:r w:rsidR="00953419" w:rsidRPr="0066103C">
        <w:t>ance in different</w:t>
      </w:r>
      <w:r w:rsidRPr="0066103C">
        <w:t xml:space="preserve"> situations—</w:t>
      </w:r>
      <w:r w:rsidR="00953419" w:rsidRPr="0066103C">
        <w:t>e</w:t>
      </w:r>
      <w:r w:rsidRPr="0066103C">
        <w:t>specially when it com</w:t>
      </w:r>
      <w:r w:rsidR="00A84751" w:rsidRPr="0066103C">
        <w:t>es to be newly juxtaposed with the scriptures</w:t>
      </w:r>
      <w:r w:rsidR="00953419" w:rsidRPr="0066103C">
        <w:t xml:space="preserve">. There is </w:t>
      </w:r>
      <w:r w:rsidR="00A84751" w:rsidRPr="0066103C">
        <w:t>interplay between the words of the s</w:t>
      </w:r>
      <w:r w:rsidRPr="0066103C">
        <w:t>cripture</w:t>
      </w:r>
      <w:r w:rsidR="00A84751" w:rsidRPr="0066103C">
        <w:t>s and the words of prayer. The s</w:t>
      </w:r>
      <w:r w:rsidRPr="0066103C">
        <w:t>cripture</w:t>
      </w:r>
      <w:r w:rsidR="00A84751" w:rsidRPr="0066103C">
        <w:t>s stimulate</w:t>
      </w:r>
      <w:r w:rsidRPr="0066103C">
        <w:t xml:space="preserve"> prayer. Prayer constitut</w:t>
      </w:r>
      <w:r w:rsidR="00A84751" w:rsidRPr="0066103C">
        <w:t>es the appropriate response to the s</w:t>
      </w:r>
      <w:r w:rsidRPr="0066103C">
        <w:t>cripture</w:t>
      </w:r>
      <w:r w:rsidR="00A84751" w:rsidRPr="0066103C">
        <w:t>s. Prayer naturally reflects the s</w:t>
      </w:r>
      <w:r w:rsidRPr="0066103C">
        <w:t>cripture</w:t>
      </w:r>
      <w:r w:rsidR="00A84751" w:rsidRPr="0066103C">
        <w:t>s</w:t>
      </w:r>
      <w:r w:rsidRPr="0066103C">
        <w:t>. At the same time, it naturally reflects the traditional liturgical prayer of the believin</w:t>
      </w:r>
      <w:r w:rsidR="00953419" w:rsidRPr="0066103C">
        <w:t xml:space="preserve">g community. The </w:t>
      </w:r>
      <w:r w:rsidRPr="0066103C">
        <w:t xml:space="preserve">individual’s experience of life and of God keeps the prayer of the ongoing community alive and real. The tradition of the community’s prayer over the centuries gives the individual’s prayer its means of expression and its context in the prayer of the whole community of faith. So Daniel prays, and perhaps says, “When you pray, </w:t>
      </w:r>
      <w:r w:rsidR="007D68DD">
        <w:t>say….”</w:t>
      </w:r>
    </w:p>
    <w:p w:rsidR="003D4629" w:rsidRPr="0066103C" w:rsidRDefault="003D4629" w:rsidP="003909F2"/>
    <w:p w:rsidR="003909F2" w:rsidRPr="0066103C" w:rsidRDefault="003909F2" w:rsidP="003D4629">
      <w:pPr>
        <w:pStyle w:val="Quote"/>
      </w:pPr>
      <w:r w:rsidRPr="0066103C">
        <w:t>Lord, you are our God. You have committed yourself to us. And you are my God, because in your sovereignty you have chosen to work through me, and through me to reveal your purpose to your people. You have proved your commitment to me, and I come to ask you to do so again in response to my prayer for your people.</w:t>
      </w:r>
    </w:p>
    <w:p w:rsidR="00CC5D3F" w:rsidRPr="00CC5D3F" w:rsidRDefault="003D4629" w:rsidP="003D4629">
      <w:pPr>
        <w:pStyle w:val="Quote"/>
      </w:pPr>
      <w:r>
        <w:tab/>
      </w:r>
      <w:r w:rsidR="003909F2" w:rsidRPr="0066103C">
        <w:t>You revealed your name to us, but I hesitate to use it lest I do so wrongly, perhaps falling into overfamiliarity. For you are the great</w:t>
      </w:r>
      <w:r w:rsidR="00953419" w:rsidRPr="0066103C">
        <w:t xml:space="preserve"> and awesome God, and I will</w:t>
      </w:r>
      <w:r w:rsidR="00CC5D3F">
        <w:t xml:space="preserve"> </w:t>
      </w:r>
      <w:r w:rsidR="003909F2" w:rsidRPr="0066103C">
        <w:t xml:space="preserve">have to acknowledge that we have not often treated you as such. </w:t>
      </w:r>
      <w:r w:rsidR="00CC5D3F">
        <w:t xml:space="preserve">My visions have pictured the empires as faithless and implied that </w:t>
      </w:r>
      <w:r w:rsidR="00CC5D3F" w:rsidRPr="00CC5D3F">
        <w:t>the p</w:t>
      </w:r>
      <w:r w:rsidR="00CC5D3F">
        <w:t>eople of God are</w:t>
      </w:r>
      <w:r w:rsidR="00CC5D3F" w:rsidRPr="00CC5D3F">
        <w:t xml:space="preserve"> the faithful </w:t>
      </w:r>
      <w:r w:rsidR="006A2FA9">
        <w:t>, but I know that we must identify with the empires and acknowledge our own faithlessness as the people of God</w:t>
      </w:r>
      <w:r w:rsidR="00CC5D3F" w:rsidRPr="00CC5D3F">
        <w:t xml:space="preserve"> rather than pretending to be otherwise.</w:t>
      </w:r>
      <w:r w:rsidR="00CC5D3F" w:rsidRPr="00CC5D3F">
        <w:rPr>
          <w:vertAlign w:val="superscript"/>
        </w:rPr>
        <w:footnoteReference w:id="574"/>
      </w:r>
    </w:p>
    <w:p w:rsidR="003909F2" w:rsidRPr="0066103C" w:rsidRDefault="003D4629" w:rsidP="003D4629">
      <w:pPr>
        <w:pStyle w:val="Quote"/>
      </w:pPr>
      <w:r>
        <w:tab/>
      </w:r>
      <w:r w:rsidR="003909F2" w:rsidRPr="0066103C">
        <w:t xml:space="preserve">Yet no sooner do I recall your greatness and awesomeness than I also find myself affirming your loving compassion. At Sinai and before, you committed yourself to us as your people, in the way that mighty powers like Assyria would commit themselves to the protection </w:t>
      </w:r>
      <w:r w:rsidR="003909F2" w:rsidRPr="0066103C">
        <w:lastRenderedPageBreak/>
        <w:t>of lesser powers. But the great powers were always clear about what they would get out of the relationship. Your commi</w:t>
      </w:r>
      <w:r w:rsidR="00953419" w:rsidRPr="0066103C">
        <w:t xml:space="preserve">tment to us was less </w:t>
      </w:r>
      <w:r w:rsidR="00364EEF" w:rsidRPr="0066103C">
        <w:t>hardnosed</w:t>
      </w:r>
      <w:r w:rsidR="006A2FA9">
        <w:t>; and you have always kept your</w:t>
      </w:r>
      <w:r w:rsidR="003909F2" w:rsidRPr="0066103C">
        <w:t xml:space="preserve"> commitment. When we pray, as we do now, out of desolation and affliction, we know that such desolation and affliction does not stem from your failure to keep your commitment. You are the God who is by nature reliable and faithful, true to his word and constant in his protection. If you and we should find ourselves in court, you would win any case that the court considered. You are in the right. There is nothing on your side to cause a breakdown in the relationship between us and yo</w:t>
      </w:r>
      <w:r w:rsidR="00364EEF" w:rsidRPr="0066103C">
        <w:t xml:space="preserve">u. Part of the evidence </w:t>
      </w:r>
      <w:r w:rsidR="003909F2" w:rsidRPr="0066103C">
        <w:t>is that you have always been concerned to do what was right for us, you wanted the best for us. It goes back to the exodus again, when you showed yourself concerned for the rights of a people afflicted by opp</w:t>
      </w:r>
      <w:r w:rsidR="003B39BB">
        <w:t xml:space="preserve">ressors, and you have been </w:t>
      </w:r>
      <w:r w:rsidR="003909F2" w:rsidRPr="0066103C">
        <w:t xml:space="preserve">that </w:t>
      </w:r>
      <w:r w:rsidR="003B39BB">
        <w:t xml:space="preserve">way </w:t>
      </w:r>
      <w:r w:rsidR="003909F2" w:rsidRPr="0066103C">
        <w:t>in your relationship with us and in your acts on our behalf ever since. In other words, you have been a compassionate God, caring about us with the deep feeling of love that we associate with family life. You make allowances for us, like a king being merciful to his servants when they fail him.</w:t>
      </w:r>
    </w:p>
    <w:p w:rsidR="003909F2" w:rsidRPr="0066103C" w:rsidRDefault="003B39BB" w:rsidP="003D4629">
      <w:pPr>
        <w:pStyle w:val="Quote"/>
      </w:pPr>
      <w:r>
        <w:tab/>
      </w:r>
      <w:r w:rsidR="003909F2" w:rsidRPr="0066103C">
        <w:t xml:space="preserve">We know that the basis of our relationship with you is not what we do for you; it is what you have done for us. Yet we know </w:t>
      </w:r>
      <w:r w:rsidR="00364EEF" w:rsidRPr="0066103C">
        <w:t xml:space="preserve">that </w:t>
      </w:r>
      <w:r w:rsidR="003909F2" w:rsidRPr="0066103C">
        <w:t>we are called to respond to what you have done for us. You have issued to us commands to be obeyed, authoritative declarations regarding the deeds you approve, directions regarding how we are to live ou</w:t>
      </w:r>
      <w:r w:rsidR="00364EEF" w:rsidRPr="0066103C">
        <w:t>r lives. We have heard them</w:t>
      </w:r>
      <w:r w:rsidR="003909F2" w:rsidRPr="0066103C">
        <w:t xml:space="preserve"> through your prophets who spoke to us as your representatives, </w:t>
      </w:r>
      <w:r w:rsidR="00364EEF" w:rsidRPr="0066103C">
        <w:t>making</w:t>
      </w:r>
      <w:r w:rsidR="003909F2" w:rsidRPr="0066103C">
        <w:t xml:space="preserve"> your voice audible, and we have read the warnings of Moses about the consequences of ignoring them. Although the covenant did not stem from our initiative, we know that it demands our obedience, and that disobedience imperils it.</w:t>
      </w:r>
    </w:p>
    <w:p w:rsidR="003909F2" w:rsidRPr="0066103C" w:rsidRDefault="003D4629" w:rsidP="003D4629">
      <w:pPr>
        <w:pStyle w:val="Quote"/>
      </w:pPr>
      <w:r>
        <w:tab/>
      </w:r>
      <w:r w:rsidR="003909F2" w:rsidRPr="0066103C">
        <w:t xml:space="preserve">Your word came directly to those who have exercised leadership among us over the generations, kings and </w:t>
      </w:r>
      <w:r w:rsidR="00364EEF" w:rsidRPr="0066103C">
        <w:t xml:space="preserve">other </w:t>
      </w:r>
      <w:r w:rsidR="003909F2" w:rsidRPr="0066103C">
        <w:t xml:space="preserve">people who have authority in the community. But it relates to the whole people for whom I am concerned to pray and whom I long to commend to you on the basis of your regarding me with </w:t>
      </w:r>
      <w:r w:rsidR="00364EEF" w:rsidRPr="0066103C">
        <w:t>your favor, that people of Judah</w:t>
      </w:r>
      <w:r w:rsidR="003909F2" w:rsidRPr="0066103C">
        <w:t xml:space="preserve"> which has a certain self-awareness as a political entity within the empire that governs it, but which more importantly is the remnant of the people of Israel that you have preserved and to which your covenant commitment still applies. It relates to that city, Jerusalem, which is</w:t>
      </w:r>
      <w:r w:rsidR="00364EEF" w:rsidRPr="0066103C">
        <w:t xml:space="preserve"> the focus of Judah</w:t>
      </w:r>
      <w:r w:rsidR="003909F2" w:rsidRPr="0066103C">
        <w:t xml:space="preserve"> politically and religiously—because it is the city that you made your own. It relates to that sanctuary where you are worshiped.</w:t>
      </w:r>
    </w:p>
    <w:p w:rsidR="003E0ED1" w:rsidRDefault="003D4629" w:rsidP="003D4629">
      <w:pPr>
        <w:pStyle w:val="Quote"/>
      </w:pPr>
      <w:r>
        <w:tab/>
      </w:r>
      <w:r w:rsidR="003909F2" w:rsidRPr="0066103C">
        <w:t xml:space="preserve">So your word came to us; and you expected from us a response that was </w:t>
      </w:r>
      <w:r w:rsidR="00E97B14" w:rsidRPr="0066103C">
        <w:t xml:space="preserve">behavioral at least as much </w:t>
      </w:r>
      <w:r w:rsidR="003909F2" w:rsidRPr="0066103C">
        <w:t>as emotional. You expected us to heed your words and live by them. Your design was that we would then be in the right with you, as you are with us, in a position to cast ourselves on you in need because our relationship with you was right. Not that we would never fail—but when we did</w:t>
      </w:r>
      <w:r w:rsidR="00E97B14" w:rsidRPr="0066103C">
        <w:t xml:space="preserve"> fail</w:t>
      </w:r>
      <w:r w:rsidR="003909F2" w:rsidRPr="0066103C">
        <w:t>, it was our task to turn from wrongdoing, reflecting wisely on your faithfulness in the past and giving you that respect and homage which prepares the w</w:t>
      </w:r>
      <w:r w:rsidR="006A2FA9">
        <w:t xml:space="preserve">ay for renewed prayer. </w:t>
      </w:r>
    </w:p>
    <w:p w:rsidR="003909F2" w:rsidRPr="0066103C" w:rsidRDefault="003E0ED1" w:rsidP="003D4629">
      <w:pPr>
        <w:pStyle w:val="Quote"/>
      </w:pPr>
      <w:r>
        <w:tab/>
      </w:r>
      <w:r w:rsidR="006A2FA9">
        <w:t>What actually happened wa</w:t>
      </w:r>
      <w:r w:rsidR="003909F2" w:rsidRPr="0066103C">
        <w:t>s that leaders an</w:t>
      </w:r>
      <w:r w:rsidR="006A2FA9">
        <w:t>d people did not listen to you or live by your teachings or turn from our wrongdoings or pay</w:t>
      </w:r>
      <w:r w:rsidR="003909F2" w:rsidRPr="0066103C">
        <w:t xml:space="preserve"> hee</w:t>
      </w:r>
      <w:r w:rsidR="006A2FA9">
        <w:t>d to your faithfulness or seek</w:t>
      </w:r>
      <w:r w:rsidR="003909F2" w:rsidRPr="0066103C">
        <w:t xml:space="preserve"> your favor. We are not in the right with you. We have failed, willfully, to live in accordance with your expectations. We have avoided the path you laid before us. We have contravened the enactments of the covenant. We have put ourselves in the wrong in relation to you. We have rebelled against your authority. We have turned our backs on your commands. We have been unfaithful to our relationship with you.</w:t>
      </w:r>
    </w:p>
    <w:p w:rsidR="003909F2" w:rsidRPr="0066103C" w:rsidRDefault="003D4629" w:rsidP="003D4629">
      <w:pPr>
        <w:pStyle w:val="Quote"/>
      </w:pPr>
      <w:r>
        <w:tab/>
      </w:r>
      <w:r w:rsidR="003909F2" w:rsidRPr="0066103C">
        <w:t>As the people of God, we accept responsibility for our actions and neglects. We are not fatalistic. Our history has not been out of our control, imposed on us by you. Your dealings with us are not predetermined to unfold in a sequence uninfluenced by human acts. We recognize them as a response to</w:t>
      </w:r>
      <w:r w:rsidR="00E97B14" w:rsidRPr="0066103C">
        <w:t xml:space="preserve"> our acts. We know that our </w:t>
      </w:r>
      <w:r w:rsidR="003909F2" w:rsidRPr="0066103C">
        <w:t xml:space="preserve">acts affect history as it subsequently unfolds. </w:t>
      </w:r>
      <w:r w:rsidR="003909F2" w:rsidRPr="0066103C">
        <w:lastRenderedPageBreak/>
        <w:t xml:space="preserve">It is because we are in the wrong in relation to you that we </w:t>
      </w:r>
      <w:r w:rsidR="006A2FA9">
        <w:t>have fou</w:t>
      </w:r>
      <w:r w:rsidR="003909F2" w:rsidRPr="0066103C">
        <w:t>nd ourselves overcome by unimagined calamity. City and s</w:t>
      </w:r>
      <w:r w:rsidR="006A2FA9">
        <w:t>anctuary beca</w:t>
      </w:r>
      <w:r w:rsidR="00E97B14" w:rsidRPr="0066103C">
        <w:t xml:space="preserve">me wastes: </w:t>
      </w:r>
      <w:r w:rsidR="003909F2" w:rsidRPr="0066103C">
        <w:t>buil</w:t>
      </w:r>
      <w:r w:rsidR="00E97B14" w:rsidRPr="0066103C">
        <w:t xml:space="preserve">dings devastated and ruined, </w:t>
      </w:r>
      <w:r w:rsidR="003909F2" w:rsidRPr="0066103C">
        <w:t>habitations emptied because their people are banished. We feel the contumely and contempt of people whose wrongdoing has been e</w:t>
      </w:r>
      <w:r w:rsidR="006A2FA9">
        <w:t>xposed. It is as if we were</w:t>
      </w:r>
      <w:r w:rsidR="003909F2" w:rsidRPr="0066103C">
        <w:t xml:space="preserve"> overwhelmed by a curse—the solemn curse written into the covenant as a legal document, designed to protect the relationship between you and us, but inevitably bringing harm to us a</w:t>
      </w:r>
      <w:r w:rsidR="00E97B14" w:rsidRPr="0066103C">
        <w:t xml:space="preserve">s the price of being </w:t>
      </w:r>
      <w:r w:rsidR="003909F2" w:rsidRPr="0066103C">
        <w:t>protective in other circumstances. You yourself saw to it that the curse fell. It was your premedita</w:t>
      </w:r>
      <w:r w:rsidR="00E97B14" w:rsidRPr="0066103C">
        <w:t>ted, carefully considered act. It was c</w:t>
      </w:r>
      <w:r w:rsidR="003909F2" w:rsidRPr="0066103C">
        <w:t xml:space="preserve">alculated, but not cold: it expressed the burning fury that accompanies your warm compassion and commitment, both </w:t>
      </w:r>
      <w:r w:rsidR="006A2FA9">
        <w:t>of</w:t>
      </w:r>
      <w:r w:rsidR="00E97B14" w:rsidRPr="0066103C">
        <w:t xml:space="preserve"> them </w:t>
      </w:r>
      <w:r w:rsidR="003909F2" w:rsidRPr="0066103C">
        <w:t>aspects of your being a real person.</w:t>
      </w:r>
    </w:p>
    <w:p w:rsidR="001A0E86" w:rsidRDefault="003D4629" w:rsidP="003D4629">
      <w:pPr>
        <w:pStyle w:val="Quote"/>
      </w:pPr>
      <w:r>
        <w:tab/>
      </w:r>
      <w:r w:rsidR="00E97B14" w:rsidRPr="0066103C">
        <w:t xml:space="preserve">It is because this </w:t>
      </w:r>
      <w:r w:rsidR="003909F2" w:rsidRPr="0066103C">
        <w:t xml:space="preserve">situation </w:t>
      </w:r>
      <w:r w:rsidR="00E97B14" w:rsidRPr="0066103C">
        <w:t xml:space="preserve">is the position </w:t>
      </w:r>
      <w:r w:rsidR="003909F2" w:rsidRPr="0066103C">
        <w:t>of my people that I come to you determined to gain your atten</w:t>
      </w:r>
      <w:r w:rsidR="00E97B14" w:rsidRPr="0066103C">
        <w:t xml:space="preserve">tion for myself and </w:t>
      </w:r>
      <w:r w:rsidR="003E0ED1">
        <w:t xml:space="preserve">for </w:t>
      </w:r>
      <w:r w:rsidR="00E97B14" w:rsidRPr="0066103C">
        <w:t xml:space="preserve">my prayers. I am </w:t>
      </w:r>
      <w:r w:rsidR="003909F2" w:rsidRPr="0066103C">
        <w:t xml:space="preserve">casting myself on your grace, that instinct of yours to show favor when none is deserved. By that grace I have sought to stand firm in my commitment to you, but I also stand firm in my commitment to my people in their waywardness and their affliction, and I dare to ask you to look on them in mercy because of your love for me, because you are my God. I began my confession by acknowledging that you are the awesome yet loving God of Israel. But the goal of my confession was to acknowledge that we are in the wrong in relation to you. You are in the right. I start there; but on the basis of starting there, I believe </w:t>
      </w:r>
      <w:r w:rsidR="003E0ED1">
        <w:t xml:space="preserve">that </w:t>
      </w:r>
      <w:r w:rsidR="003909F2" w:rsidRPr="0066103C">
        <w:t xml:space="preserve">I can plead with you for mercy upon these </w:t>
      </w:r>
      <w:r w:rsidR="003E0ED1">
        <w:t xml:space="preserve">people </w:t>
      </w:r>
      <w:r w:rsidR="003909F2" w:rsidRPr="0066103C">
        <w:t xml:space="preserve">who have justly experienced disaster from your hand. I turn aside from concern with </w:t>
      </w:r>
      <w:r w:rsidR="00E97B14" w:rsidRPr="0066103C">
        <w:t xml:space="preserve">food or </w:t>
      </w:r>
      <w:r w:rsidR="006A2FA9">
        <w:t xml:space="preserve">with </w:t>
      </w:r>
      <w:r w:rsidR="00E97B14" w:rsidRPr="0066103C">
        <w:t>my appearance: I come with</w:t>
      </w:r>
      <w:r w:rsidR="003909F2" w:rsidRPr="0066103C">
        <w:t xml:space="preserve"> an inner gloominess which expresses itself in a gloominess of appearance. </w:t>
      </w:r>
      <w:r w:rsidR="00E97B14" w:rsidRPr="0066103C">
        <w:t xml:space="preserve">I long for you to reveal and </w:t>
      </w:r>
      <w:r w:rsidR="003909F2" w:rsidRPr="0066103C">
        <w:t>implement your purpos</w:t>
      </w:r>
      <w:r w:rsidR="006A2FA9">
        <w:t>e for your people. You ar</w:t>
      </w:r>
      <w:r w:rsidR="003909F2" w:rsidRPr="0066103C">
        <w:t>e ignoring our plight and our prayer, as you have the right to do. Lord, listen</w:t>
      </w:r>
      <w:r w:rsidR="003E0ED1">
        <w:t>. You seem to be holding our wrongdoing</w:t>
      </w:r>
      <w:r w:rsidR="003909F2" w:rsidRPr="0066103C">
        <w:t xml:space="preserve"> against us, as you have the right to do. Lord, pardon, let your anger dissipate itse</w:t>
      </w:r>
      <w:r w:rsidR="006A2FA9">
        <w:t>lf somewhere else. You ar</w:t>
      </w:r>
      <w:r w:rsidR="003909F2" w:rsidRPr="0066103C">
        <w:t>e refusing to give us that blessing you promised through Aaron, as you have the right to do. Lord, look on us with the bright sm</w:t>
      </w:r>
      <w:r w:rsidR="006A2FA9">
        <w:t>ile of your love. You behave as if</w:t>
      </w:r>
      <w:r w:rsidR="003909F2" w:rsidRPr="0066103C">
        <w:t xml:space="preserve"> intent on doing noth</w:t>
      </w:r>
      <w:r w:rsidR="006A2FA9">
        <w:t>ing in our lives. Lord, act. I</w:t>
      </w:r>
      <w:r w:rsidR="003909F2" w:rsidRPr="0066103C">
        <w:t>t is wha</w:t>
      </w:r>
      <w:r w:rsidR="006A2FA9">
        <w:t>t you have done in the past. It is what we need now. I</w:t>
      </w:r>
      <w:r w:rsidR="003909F2" w:rsidRPr="0066103C">
        <w:t>t is what will bring you honor.’”</w:t>
      </w:r>
    </w:p>
    <w:p w:rsidR="003D4629" w:rsidRPr="003D4629" w:rsidRDefault="003D4629" w:rsidP="003D4629">
      <w:pPr>
        <w:rPr>
          <w:lang w:bidi="he-IL"/>
        </w:rPr>
      </w:pPr>
    </w:p>
    <w:p w:rsidR="003909F2" w:rsidRPr="0066103C" w:rsidRDefault="003909F2" w:rsidP="003909F2">
      <w:r w:rsidRPr="0066103C">
        <w:t>If this is indeed how people prayed in those days, we can see how they came through the storms and stresses of that terrible time.</w:t>
      </w:r>
      <w:r w:rsidR="00E97B14" w:rsidRPr="0066103C">
        <w:rPr>
          <w:rStyle w:val="FootnoteReference"/>
        </w:rPr>
        <w:footnoteReference w:id="575"/>
      </w:r>
    </w:p>
    <w:p w:rsidR="003909F2" w:rsidRPr="0066103C" w:rsidRDefault="003909F2" w:rsidP="003909F2">
      <w:r w:rsidRPr="006A2FA9">
        <w:rPr>
          <w:b/>
        </w:rPr>
        <w:t>20–23</w:t>
      </w:r>
      <w:r w:rsidRPr="0066103C">
        <w:t xml:space="preserve"> It is to be expected that prayers meet with answers, and so it is with Daniel. The answer indicates that communication between earth and heaven goes on, even though the sacrificial system may be interrupted.</w:t>
      </w:r>
      <w:r w:rsidR="00DD6374">
        <w:t xml:space="preserve"> The content of the answer </w:t>
      </w:r>
      <w:r w:rsidRPr="0066103C">
        <w:t>corres</w:t>
      </w:r>
      <w:r w:rsidR="00E97B14" w:rsidRPr="0066103C">
        <w:t>pond</w:t>
      </w:r>
      <w:r w:rsidR="00DD6374">
        <w:t>s</w:t>
      </w:r>
      <w:r w:rsidR="00E97B14" w:rsidRPr="0066103C">
        <w:t xml:space="preserve"> to the content of the protes</w:t>
      </w:r>
      <w:r w:rsidRPr="0066103C">
        <w:t>t, as the prayer has offered the response to God’s prophetic word that makes the fulfillment of that word possible. The promise of fulfillment issues when Daniel turns to God, yet it issues be</w:t>
      </w:r>
      <w:r w:rsidR="006A2FA9">
        <w:t>fore he</w:t>
      </w:r>
      <w:r w:rsidR="00E97B14" w:rsidRPr="0066103C">
        <w:t xml:space="preserve"> prays his prayer</w:t>
      </w:r>
      <w:r w:rsidRPr="0066103C">
        <w:t>, so the story affirms not only the importance of prayer and the place it plays in the outworking of God’s purpose (it is in response to prayer that God acts) but also the importance of God’s sovereignty (prayer is a means of God’s own good will being put into effect). One person’s prayer brings about the restoration of the people of God; but it is a matter of releasing that restoration which God already purposed.</w:t>
      </w:r>
      <w:r w:rsidR="00516145">
        <w:rPr>
          <w:rStyle w:val="FootnoteReference"/>
        </w:rPr>
        <w:footnoteReference w:id="576"/>
      </w:r>
      <w:r w:rsidRPr="0066103C">
        <w:t xml:space="preserve"> The dynamics of the interrelationship of prayer and divine act here may be compared with those in Gen 18:17–33.</w:t>
      </w:r>
    </w:p>
    <w:p w:rsidR="00E95752" w:rsidRPr="00B145AA" w:rsidRDefault="00BD5DEE" w:rsidP="00E95752">
      <w:pPr>
        <w:autoSpaceDE w:val="0"/>
        <w:autoSpaceDN w:val="0"/>
        <w:adjustRightInd w:val="0"/>
        <w:ind w:firstLine="0"/>
        <w:rPr>
          <w:rStyle w:val="st"/>
          <w:rFonts w:eastAsiaTheme="minorHAnsi" w:cs="MinionPro-Regular"/>
        </w:rPr>
      </w:pPr>
      <w:r>
        <w:t>While</w:t>
      </w:r>
      <w:r w:rsidR="006A2FA9">
        <w:t xml:space="preserve"> the significance of Jeremiah</w:t>
      </w:r>
      <w:r>
        <w:t>’s words might have been clear for their original hea</w:t>
      </w:r>
      <w:r w:rsidR="006A2FA9">
        <w:t>rers, their significance in a later context is not. A general theol</w:t>
      </w:r>
      <w:r>
        <w:t>o</w:t>
      </w:r>
      <w:r w:rsidR="006A2FA9">
        <w:t>g</w:t>
      </w:r>
      <w:r>
        <w:t>ica</w:t>
      </w:r>
      <w:r w:rsidR="006A2FA9">
        <w:t>l</w:t>
      </w:r>
      <w:r>
        <w:t xml:space="preserve"> principle is implied: t</w:t>
      </w:r>
      <w:r w:rsidRPr="0066103C">
        <w:t xml:space="preserve">he </w:t>
      </w:r>
      <w:r w:rsidR="001C67A7">
        <w:t xml:space="preserve">subsequent </w:t>
      </w:r>
      <w:r w:rsidRPr="0066103C">
        <w:t xml:space="preserve">significance of this passage </w:t>
      </w:r>
      <w:r w:rsidR="001C67A7">
        <w:t xml:space="preserve">from Jeremiah </w:t>
      </w:r>
      <w:r w:rsidRPr="0066103C">
        <w:t xml:space="preserve">cannot be discerned by ordinary human study. It can only be </w:t>
      </w:r>
      <w:r w:rsidRPr="0066103C">
        <w:lastRenderedPageBreak/>
        <w:t xml:space="preserve">received by revelation, like the original prophecy, or like visions such as those that come elsewhere to Daniel. To understand the </w:t>
      </w:r>
      <w:r>
        <w:t xml:space="preserve">significance of </w:t>
      </w:r>
      <w:r w:rsidRPr="0066103C">
        <w:t xml:space="preserve">prophecies </w:t>
      </w:r>
      <w:r w:rsidR="00DD6374">
        <w:t xml:space="preserve">(or other scriptures) </w:t>
      </w:r>
      <w:r w:rsidRPr="0066103C">
        <w:t>one needs the same divine inspiration that the prophet himself had received.</w:t>
      </w:r>
      <w:r w:rsidRPr="0066103C">
        <w:rPr>
          <w:rStyle w:val="FootnoteReference"/>
        </w:rPr>
        <w:footnoteReference w:id="577"/>
      </w:r>
      <w:r>
        <w:t xml:space="preserve"> </w:t>
      </w:r>
      <w:r w:rsidR="00E95752">
        <w:rPr>
          <w:rFonts w:eastAsiaTheme="minorHAnsi" w:cs="MinionPro-Regular"/>
        </w:rPr>
        <w:t>One might add that the key to hermeneutics is character. “T</w:t>
      </w:r>
      <w:r w:rsidR="00E95752" w:rsidRPr="00B145AA">
        <w:rPr>
          <w:rFonts w:eastAsiaTheme="minorHAnsi" w:cs="MinionPro-Regular"/>
        </w:rPr>
        <w:t>o become the ki</w:t>
      </w:r>
      <w:r w:rsidR="00E95752">
        <w:rPr>
          <w:rFonts w:eastAsiaTheme="minorHAnsi" w:cs="MinionPro-Regular"/>
        </w:rPr>
        <w:t xml:space="preserve">nd of person open to repentance </w:t>
      </w:r>
      <w:r w:rsidR="00E95752" w:rsidRPr="00B145AA">
        <w:rPr>
          <w:rFonts w:eastAsiaTheme="minorHAnsi" w:cs="MinionPro-Regular"/>
        </w:rPr>
        <w:t>and prayer in the manner of Daniel in chapter 9 is to become the kind of</w:t>
      </w:r>
      <w:r w:rsidR="00E95752">
        <w:rPr>
          <w:rFonts w:eastAsiaTheme="minorHAnsi" w:cs="MinionPro-Regular"/>
        </w:rPr>
        <w:t xml:space="preserve"> </w:t>
      </w:r>
      <w:r w:rsidR="00E95752" w:rsidRPr="00B145AA">
        <w:rPr>
          <w:rFonts w:eastAsiaTheme="minorHAnsi" w:cs="MinionPro-Regular"/>
        </w:rPr>
        <w:t>person well suited to “perceiving in the books” w</w:t>
      </w:r>
      <w:r w:rsidR="00E95752">
        <w:rPr>
          <w:rFonts w:eastAsiaTheme="minorHAnsi" w:cs="MinionPro-Regular"/>
        </w:rPr>
        <w:t xml:space="preserve">hat is significant or pertinent </w:t>
      </w:r>
      <w:r w:rsidR="00E95752" w:rsidRPr="00B145AA">
        <w:rPr>
          <w:rFonts w:eastAsiaTheme="minorHAnsi" w:cs="MinionPro-Regular"/>
        </w:rPr>
        <w:t>to the life of faith.</w:t>
      </w:r>
      <w:r w:rsidR="00E95752">
        <w:rPr>
          <w:rFonts w:eastAsiaTheme="minorHAnsi" w:cs="MinionPro-Regular"/>
        </w:rPr>
        <w:t xml:space="preserve">” Thus </w:t>
      </w:r>
      <w:r w:rsidR="00E95752" w:rsidRPr="005029FB">
        <w:rPr>
          <w:rFonts w:eastAsiaTheme="minorHAnsi" w:cs="MinionPro-Regular"/>
        </w:rPr>
        <w:t>“If you want to become a better exegete, become a deeper person,</w:t>
      </w:r>
      <w:r w:rsidR="00E95752">
        <w:rPr>
          <w:rFonts w:eastAsiaTheme="minorHAnsi" w:cs="MinionPro-Regular"/>
        </w:rPr>
        <w:t xml:space="preserve"> as Brevard Childs is reported to have said.</w:t>
      </w:r>
      <w:r w:rsidR="00E95752" w:rsidRPr="005029FB">
        <w:rPr>
          <w:rFonts w:eastAsiaTheme="minorHAnsi" w:cs="MinionPro-Regular"/>
        </w:rPr>
        <w:t>”</w:t>
      </w:r>
      <w:r w:rsidR="00E95752" w:rsidRPr="005029FB">
        <w:rPr>
          <w:rStyle w:val="FootnoteReference"/>
          <w:rFonts w:eastAsiaTheme="minorHAnsi" w:cs="MinionPro-Regular"/>
        </w:rPr>
        <w:footnoteReference w:id="578"/>
      </w:r>
    </w:p>
    <w:p w:rsidR="00BD5DEE" w:rsidRDefault="00BD5DEE" w:rsidP="00BD5DEE">
      <w:r>
        <w:t>Yet historically, the interpretation</w:t>
      </w:r>
      <w:r w:rsidRPr="0066103C">
        <w:t xml:space="preserve"> emerges from a situational context, in the second century BC</w:t>
      </w:r>
      <w:r>
        <w:t>;</w:t>
      </w:r>
      <w:r w:rsidRPr="0066103C">
        <w:t xml:space="preserve"> </w:t>
      </w:r>
      <w:r>
        <w:t xml:space="preserve">it is </w:t>
      </w:r>
      <w:r w:rsidRPr="0066103C">
        <w:t>in light</w:t>
      </w:r>
      <w:r>
        <w:t xml:space="preserve"> of this context</w:t>
      </w:r>
      <w:r w:rsidRPr="0066103C">
        <w:t xml:space="preserve"> </w:t>
      </w:r>
      <w:r>
        <w:t xml:space="preserve">that </w:t>
      </w:r>
      <w:r w:rsidRPr="0066103C">
        <w:t xml:space="preserve">the scriptures are studied and enabled to become newly </w:t>
      </w:r>
      <w:r>
        <w:t>illuminating. H</w:t>
      </w:r>
      <w:r w:rsidRPr="0066103C">
        <w:t xml:space="preserve">istory </w:t>
      </w:r>
      <w:r>
        <w:t xml:space="preserve">itself </w:t>
      </w:r>
      <w:r w:rsidRPr="0066103C">
        <w:t xml:space="preserve">is </w:t>
      </w:r>
      <w:r w:rsidR="001C67A7">
        <w:t xml:space="preserve">not </w:t>
      </w:r>
      <w:r w:rsidR="006E658C">
        <w:t xml:space="preserve">inherently </w:t>
      </w:r>
      <w:r w:rsidRPr="0066103C">
        <w:t xml:space="preserve">revelatory, but history poses questions about the meaning of the scriptures to which </w:t>
      </w:r>
      <w:r w:rsidR="006E658C">
        <w:t xml:space="preserve">revelation provides the answers, and thus history plays a part in revelation. </w:t>
      </w:r>
    </w:p>
    <w:p w:rsidR="003909F2" w:rsidRPr="0066103C" w:rsidRDefault="003909F2" w:rsidP="003909F2">
      <w:r w:rsidRPr="001C67A7">
        <w:rPr>
          <w:b/>
        </w:rPr>
        <w:t>24–27</w:t>
      </w:r>
      <w:r w:rsidR="00E97B14" w:rsidRPr="0066103C">
        <w:t xml:space="preserve"> Jeremiah had spoken of seventy </w:t>
      </w:r>
      <w:r w:rsidRPr="0066103C">
        <w:t>years’ desolation f</w:t>
      </w:r>
      <w:r w:rsidR="009D4C48" w:rsidRPr="0066103C">
        <w:t xml:space="preserve">or Jerusalem, but the desolation was </w:t>
      </w:r>
      <w:r w:rsidRPr="0066103C">
        <w:t>to</w:t>
      </w:r>
      <w:r w:rsidR="009D4C48" w:rsidRPr="0066103C">
        <w:t xml:space="preserve"> l</w:t>
      </w:r>
      <w:r w:rsidR="001C67A7">
        <w:t>ast centuries longer</w:t>
      </w:r>
      <w:r w:rsidRPr="0066103C">
        <w:t>. God is free to exact whateve</w:t>
      </w:r>
      <w:r w:rsidR="009D31B2">
        <w:t>r chastisement he chooses. T</w:t>
      </w:r>
      <w:r w:rsidRPr="0066103C">
        <w:t>he message’s good news is that it is not chastisement without end. The number 490 is not an arithmetical calculation to be pressed to yield chronological information. It is a figure that puts together two symbolic figures, the seventy years (a lifetime) of Jer 25:11/29:10 and the sevenfold chastisement of Lev 26:28. The result is a doubly symbolic figure extending from the beginn</w:t>
      </w:r>
      <w:r w:rsidR="00272B24">
        <w:t>ing of chastisement</w:t>
      </w:r>
      <w:r w:rsidR="009D31B2">
        <w:t xml:space="preserve"> to whenever it ends</w:t>
      </w:r>
      <w:r w:rsidRPr="0066103C">
        <w:t>. The description of th</w:t>
      </w:r>
      <w:r w:rsidR="009D4C48" w:rsidRPr="0066103C">
        <w:t>e end in vv 24–27 is allusive, b</w:t>
      </w:r>
      <w:r w:rsidRPr="0066103C">
        <w:t>ut fortunately we are in a position to move from the known to the unknown. The climax to which chap. 8 looks lies in the crisis in the s</w:t>
      </w:r>
      <w:r w:rsidR="009D4C48" w:rsidRPr="0066103C">
        <w:t>econd century BC</w:t>
      </w:r>
      <w:r w:rsidRPr="0066103C">
        <w:t xml:space="preserve">, when God delivered his people and his sanctuary from the combined threat of Antiochus Epiphanes and reformist Judaism. The same crisis is </w:t>
      </w:r>
      <w:r w:rsidR="009D4C48" w:rsidRPr="0066103C">
        <w:t>the focus of chaps.</w:t>
      </w:r>
      <w:r w:rsidR="009D31B2">
        <w:t xml:space="preserve"> 10–12. The implication is</w:t>
      </w:r>
      <w:r w:rsidRPr="0066103C">
        <w:t xml:space="preserve"> that chap. 9 has in mind the same events, and the details of </w:t>
      </w:r>
      <w:r w:rsidR="001C67A7">
        <w:t>vv 24–27 support that inference, as do OG’s translation and the way 1 Maccabees tells the story of the Antiochene crisis.</w:t>
      </w:r>
    </w:p>
    <w:p w:rsidR="003909F2" w:rsidRPr="0066103C" w:rsidRDefault="009D31B2" w:rsidP="003909F2">
      <w:r>
        <w:t>The time</w:t>
      </w:r>
      <w:r w:rsidR="003909F2" w:rsidRPr="0066103C">
        <w:t xml:space="preserve"> between the two desolat</w:t>
      </w:r>
      <w:r w:rsidR="001C67A7">
        <w:t xml:space="preserve">ions of Jerusalem </w:t>
      </w:r>
      <w:r w:rsidR="009D4C48" w:rsidRPr="0066103C">
        <w:t>divide</w:t>
      </w:r>
      <w:r w:rsidR="001C67A7">
        <w:t>s</w:t>
      </w:r>
      <w:r w:rsidR="009D4C48" w:rsidRPr="0066103C">
        <w:t xml:space="preserve"> into </w:t>
      </w:r>
      <w:r w:rsidR="001C67A7">
        <w:t xml:space="preserve">two. The first </w:t>
      </w:r>
      <w:r>
        <w:t xml:space="preserve">period </w:t>
      </w:r>
      <w:r w:rsidR="001C67A7">
        <w:t xml:space="preserve">is </w:t>
      </w:r>
      <w:r>
        <w:t>the years</w:t>
      </w:r>
      <w:r w:rsidR="009D4C48" w:rsidRPr="0066103C">
        <w:t xml:space="preserve"> of Babylonian domination</w:t>
      </w:r>
      <w:r w:rsidR="003909F2" w:rsidRPr="0066103C">
        <w:t>, which began with a promise o</w:t>
      </w:r>
      <w:r w:rsidR="009D4C48" w:rsidRPr="0066103C">
        <w:t xml:space="preserve">f restoration from that domination </w:t>
      </w:r>
      <w:r>
        <w:t xml:space="preserve">at the beginning of the sixth century </w:t>
      </w:r>
      <w:r w:rsidR="009D4C48" w:rsidRPr="0066103C">
        <w:t>and ended with the</w:t>
      </w:r>
      <w:r w:rsidR="003909F2" w:rsidRPr="0066103C">
        <w:t xml:space="preserve"> fulfillment</w:t>
      </w:r>
      <w:r w:rsidR="009D4C48" w:rsidRPr="0066103C">
        <w:t xml:space="preserve"> of that promise</w:t>
      </w:r>
      <w:r w:rsidR="001C67A7">
        <w:t xml:space="preserve"> when Judahites were free to return to Jerusalem and rebuld temple, city, and community</w:t>
      </w:r>
      <w:r>
        <w:t xml:space="preserve"> at the end of the sixth century and during the fifth</w:t>
      </w:r>
      <w:r w:rsidR="001C67A7">
        <w:t xml:space="preserve">. The second </w:t>
      </w:r>
      <w:r>
        <w:t xml:space="preserve">period </w:t>
      </w:r>
      <w:r w:rsidR="001C67A7">
        <w:t>is</w:t>
      </w:r>
      <w:r w:rsidR="00403126">
        <w:t xml:space="preserve"> the long </w:t>
      </w:r>
      <w:r>
        <w:t>years</w:t>
      </w:r>
      <w:r w:rsidR="003909F2" w:rsidRPr="0066103C">
        <w:t xml:space="preserve"> from </w:t>
      </w:r>
      <w:r>
        <w:t xml:space="preserve">that time of rebuilding </w:t>
      </w:r>
      <w:r w:rsidR="009D4C48" w:rsidRPr="0066103C">
        <w:t xml:space="preserve">to </w:t>
      </w:r>
      <w:r>
        <w:t>the second century</w:t>
      </w:r>
      <w:r w:rsidR="003909F2" w:rsidRPr="0066103C">
        <w:t>, the period of Jerusalem rebuilt (v 25)</w:t>
      </w:r>
      <w:r>
        <w:t xml:space="preserve">, </w:t>
      </w:r>
      <w:r w:rsidR="001C67A7">
        <w:t>when the city is</w:t>
      </w:r>
      <w:r w:rsidR="001C67A7" w:rsidRPr="001C67A7">
        <w:t xml:space="preserve"> nevertheless still under foreign domination</w:t>
      </w:r>
      <w:r w:rsidR="003909F2" w:rsidRPr="0066103C">
        <w:t xml:space="preserve">. The Antiochene crisis is heralded by the </w:t>
      </w:r>
      <w:r w:rsidR="001C67A7">
        <w:t>deposing</w:t>
      </w:r>
      <w:r w:rsidR="003909F2" w:rsidRPr="0066103C">
        <w:t xml:space="preserve"> of one high priest and the wickedness of another (v 26). It brings </w:t>
      </w:r>
      <w:r w:rsidR="001C67A7">
        <w:t>a period of unholy alliance, of</w:t>
      </w:r>
      <w:r w:rsidR="003909F2" w:rsidRPr="0066103C">
        <w:t xml:space="preserve"> disruption of temple worship, </w:t>
      </w:r>
      <w:r w:rsidR="001C67A7">
        <w:t xml:space="preserve">of </w:t>
      </w:r>
      <w:r w:rsidR="003909F2" w:rsidRPr="0066103C">
        <w:t xml:space="preserve">its replacement by an apostate alternative, and </w:t>
      </w:r>
      <w:r w:rsidR="001C67A7">
        <w:t xml:space="preserve">of </w:t>
      </w:r>
      <w:r w:rsidR="003909F2" w:rsidRPr="0066103C">
        <w:t xml:space="preserve">a devastation that will continue to overwhelm desolate Jerusalem until </w:t>
      </w:r>
      <w:r w:rsidR="009D4C48" w:rsidRPr="0066103C">
        <w:t xml:space="preserve">the exhausting of </w:t>
      </w:r>
      <w:r w:rsidR="003909F2" w:rsidRPr="0066103C">
        <w:t>wh</w:t>
      </w:r>
      <w:r>
        <w:t>at God had decreed (v 27). T</w:t>
      </w:r>
      <w:r w:rsidR="003909F2" w:rsidRPr="0066103C">
        <w:t>his gloomy prospect is set in the context of a promise that by the end of the seventy sevens God will ha</w:t>
      </w:r>
      <w:r>
        <w:t>ve purged people and city of wrongdoing—Greek wrongdoing and Jewish wrongdoing</w:t>
      </w:r>
      <w:r w:rsidR="003909F2" w:rsidRPr="0066103C">
        <w:t xml:space="preserve"> alike, perhaps—and vindicated the sanctuary and the prophecy of Jeremiah from which we started (v 24). The fulfillment of God’s promise is described in 1 Macc 4:42–61; what Gabriel pictures as a divine work, 1 Maccabees relates as an achievement involving human initiative and activity.</w:t>
      </w:r>
    </w:p>
    <w:p w:rsidR="003909F2" w:rsidRDefault="003909F2" w:rsidP="003909F2">
      <w:r w:rsidRPr="0066103C">
        <w:t xml:space="preserve">To speak of God determining history over 490 years </w:t>
      </w:r>
      <w:r w:rsidR="00737A8E">
        <w:t xml:space="preserve">may </w:t>
      </w:r>
      <w:r w:rsidRPr="0066103C">
        <w:t>suggest a “radically deistic” view of God’s activity; time is now autonomous and unalterable, an</w:t>
      </w:r>
      <w:r w:rsidR="009D4C48" w:rsidRPr="0066103C">
        <w:t>d even God has to wait upon it</w:t>
      </w:r>
      <w:r w:rsidRPr="0066103C">
        <w:t>.</w:t>
      </w:r>
      <w:r w:rsidR="009D4C48" w:rsidRPr="0066103C">
        <w:rPr>
          <w:rStyle w:val="FootnoteReference"/>
        </w:rPr>
        <w:footnoteReference w:id="579"/>
      </w:r>
      <w:r w:rsidR="00F44D89">
        <w:t xml:space="preserve"> </w:t>
      </w:r>
      <w:r w:rsidR="00737A8E">
        <w:t xml:space="preserve">Yet </w:t>
      </w:r>
      <w:r w:rsidR="00F44D89" w:rsidRPr="00F44D89">
        <w:t>“</w:t>
      </w:r>
      <w:r w:rsidR="00737A8E">
        <w:t>t</w:t>
      </w:r>
      <w:r w:rsidR="00F44D89" w:rsidRPr="00F44D89">
        <w:t xml:space="preserve">he </w:t>
      </w:r>
      <w:r w:rsidR="00F44D89" w:rsidRPr="00F44D89">
        <w:lastRenderedPageBreak/>
        <w:t>author of Dan 9 seems to have been able to hold to both apocalyptic determinism and conditional cov</w:t>
      </w:r>
      <w:r w:rsidR="00737A8E">
        <w:t>enant theology at the same time.</w:t>
      </w:r>
      <w:r w:rsidR="00F44D89" w:rsidRPr="00F44D89">
        <w:t>”</w:t>
      </w:r>
      <w:r w:rsidR="00F44D89" w:rsidRPr="00F44D89">
        <w:rPr>
          <w:vertAlign w:val="superscript"/>
        </w:rPr>
        <w:footnoteReference w:id="580"/>
      </w:r>
      <w:r w:rsidR="00F44D89" w:rsidRPr="00F44D89">
        <w:t xml:space="preserve"> </w:t>
      </w:r>
    </w:p>
    <w:p w:rsidR="00F561A6" w:rsidRDefault="00F561A6" w:rsidP="003909F2"/>
    <w:p w:rsidR="00F561A6" w:rsidRDefault="00F561A6" w:rsidP="00F561A6">
      <w:pPr>
        <w:pStyle w:val="Quote"/>
      </w:pPr>
      <w:r>
        <w:t>Parallel sets of causation, one human, the othe supernatural, neither of which renders the other inoperative, are as much a feature of Greek thinking about accountability as they are of their storytelling from Homer onwards…. The function of supernatural causation is not, as we might hink, to replace or override empirical cause and effect…. Nor is it the function of a theory of supernatural causation to remove moral responsibility, to make men and women no longer accountable for their actions.</w:t>
      </w:r>
      <w:r>
        <w:rPr>
          <w:rStyle w:val="FootnoteReference"/>
        </w:rPr>
        <w:footnoteReference w:id="581"/>
      </w:r>
    </w:p>
    <w:p w:rsidR="00737A8E" w:rsidRDefault="00737A8E" w:rsidP="003909F2"/>
    <w:p w:rsidR="00F561A6" w:rsidRPr="0066103C" w:rsidRDefault="00737A8E" w:rsidP="003909F2">
      <w:r>
        <w:t xml:space="preserve">Further, we must recall that Gabriel’s </w:t>
      </w:r>
      <w:r w:rsidRPr="0066103C">
        <w:t>way of speaking belongs at the end of the 49</w:t>
      </w:r>
      <w:r>
        <w:t>0 years; only retrospectively does he affirm</w:t>
      </w:r>
      <w:r w:rsidRPr="0066103C">
        <w:t xml:space="preserve"> God’s “contr</w:t>
      </w:r>
      <w:r>
        <w:t>ol</w:t>
      </w:r>
      <w:r w:rsidRPr="0066103C">
        <w:t>.</w:t>
      </w:r>
      <w:r>
        <w:t>” The 490 years</w:t>
      </w:r>
      <w:r w:rsidRPr="0066103C">
        <w:t xml:space="preserve"> unfolded in the ordinary way that history does</w:t>
      </w:r>
      <w:r>
        <w:t xml:space="preserve"> (as chap. 11 will show in detail)</w:t>
      </w:r>
      <w:r w:rsidRPr="0066103C">
        <w:t>. If Gabriel’s quasi-prediction were actual prediction, a deistic view might be implied; but it is not</w:t>
      </w:r>
      <w:r>
        <w:t>. Further, t</w:t>
      </w:r>
      <w:r w:rsidRPr="0066103C">
        <w:t>he quasi-prediction</w:t>
      </w:r>
      <w:r>
        <w:t xml:space="preserve"> says nothing of God</w:t>
      </w:r>
      <w:r w:rsidRPr="0066103C">
        <w:t xml:space="preserve"> being positively involved in the hist</w:t>
      </w:r>
      <w:r>
        <w:t xml:space="preserve">orical events of the Babylonian and Second Temple periods, </w:t>
      </w:r>
      <w:r w:rsidRPr="0066103C">
        <w:t>because its real focus lies on the events of the 160s rather than</w:t>
      </w:r>
      <w:r>
        <w:t xml:space="preserve"> because God was </w:t>
      </w:r>
      <w:r w:rsidRPr="0066103C">
        <w:t>assumed to be absent.</w:t>
      </w:r>
    </w:p>
    <w:p w:rsidR="00C90077" w:rsidRDefault="003909F2" w:rsidP="003909F2">
      <w:r w:rsidRPr="0066103C">
        <w:t>In Jewish and Christian tradition, Gabriel’s pro</w:t>
      </w:r>
      <w:r w:rsidR="00C90077">
        <w:t>mise</w:t>
      </w:r>
      <w:r w:rsidR="00737A8E">
        <w:t>s have</w:t>
      </w:r>
      <w:r w:rsidR="00C90077">
        <w:t xml:space="preserve"> been applied to later events: the birth of the M</w:t>
      </w:r>
      <w:r w:rsidRPr="0066103C">
        <w:t xml:space="preserve">essiah, </w:t>
      </w:r>
      <w:r w:rsidR="00EF2BBD">
        <w:t>Jesus’</w:t>
      </w:r>
      <w:r w:rsidRPr="0066103C">
        <w:t xml:space="preserve"> death and resurrection, the fall of Jerusalem, various subsequent historical events, and the s</w:t>
      </w:r>
      <w:r w:rsidR="00C90077">
        <w:t>till-future manifesting of the M</w:t>
      </w:r>
      <w:r w:rsidRPr="0066103C">
        <w:t xml:space="preserve">essiah. </w:t>
      </w:r>
      <w:r w:rsidR="00737A8E">
        <w:t>The prom</w:t>
      </w:r>
      <w:r w:rsidR="00C90077">
        <w:t>i</w:t>
      </w:r>
      <w:r w:rsidR="00737A8E">
        <w:t>s</w:t>
      </w:r>
      <w:r w:rsidR="00C90077">
        <w:t>es do not apply directly to these events</w:t>
      </w:r>
      <w:r w:rsidRPr="0066103C">
        <w:t>. The detail of vv 24–</w:t>
      </w:r>
      <w:r w:rsidR="009D4C48" w:rsidRPr="0066103C">
        <w:t xml:space="preserve">27 fits the second-century </w:t>
      </w:r>
      <w:r w:rsidRPr="0066103C">
        <w:t xml:space="preserve">crisis and agrees with allusions to this crisis elsewhere in Daniel. The verses do not indicate that they are looking centuries or millennia beyond the period to which chaps. 8 and 10–12 refer. They do not suggest that the cleansing and renewal of which v 24 speaks is the cleansing and renewal of the world: it is the cleansing and renewal of Jerusalem. The passage refers to the Antiochene crisis. </w:t>
      </w:r>
    </w:p>
    <w:p w:rsidR="001B2F78" w:rsidRDefault="003909F2" w:rsidP="00CC74E2">
      <w:r w:rsidRPr="0066103C">
        <w:t xml:space="preserve">Yet its allusiveness </w:t>
      </w:r>
      <w:r w:rsidR="00C90077">
        <w:t xml:space="preserve">and the incompletemess of its fulfillment in the second century BC </w:t>
      </w:r>
      <w:r w:rsidRPr="0066103C">
        <w:t xml:space="preserve">justifies </w:t>
      </w:r>
      <w:r w:rsidR="00C90077">
        <w:t>its reapplication in later contexts</w:t>
      </w:r>
      <w:r w:rsidRPr="0066103C">
        <w:t>, as is</w:t>
      </w:r>
      <w:r w:rsidR="001B2F78">
        <w:t xml:space="preserve"> the case with previous visions</w:t>
      </w:r>
      <w:r w:rsidR="009D4C48" w:rsidRPr="0066103C">
        <w:t>. I</w:t>
      </w:r>
      <w:r w:rsidR="001B2F78">
        <w:t>ndeed, i</w:t>
      </w:r>
      <w:r w:rsidR="009D4C48" w:rsidRPr="0066103C">
        <w:t xml:space="preserve">t </w:t>
      </w:r>
      <w:r w:rsidR="00C90077">
        <w:t xml:space="preserve">directly encourages such reaaplication </w:t>
      </w:r>
      <w:r w:rsidR="009D4C48" w:rsidRPr="0066103C">
        <w:t xml:space="preserve">by </w:t>
      </w:r>
      <w:r w:rsidR="00C90077">
        <w:t xml:space="preserve">its </w:t>
      </w:r>
      <w:r w:rsidRPr="0066103C">
        <w:t>not refer</w:t>
      </w:r>
      <w:r w:rsidR="009D4C48" w:rsidRPr="0066103C">
        <w:t xml:space="preserve">ring </w:t>
      </w:r>
      <w:r w:rsidRPr="0066103C">
        <w:t>to concre</w:t>
      </w:r>
      <w:r w:rsidR="009D4C48" w:rsidRPr="0066103C">
        <w:t>te persons and events in the manner</w:t>
      </w:r>
      <w:r w:rsidRPr="0066103C">
        <w:t xml:space="preserve"> of </w:t>
      </w:r>
      <w:r w:rsidR="009D4C48" w:rsidRPr="0066103C">
        <w:t xml:space="preserve">a </w:t>
      </w:r>
      <w:r w:rsidRPr="0066103C">
        <w:t>historical narrative su</w:t>
      </w:r>
      <w:r w:rsidR="00C90077">
        <w:t>ch as 1 Maccabees. It speaks</w:t>
      </w:r>
      <w:r w:rsidR="001B2F78">
        <w:t xml:space="preserve"> in terms of symbols of</w:t>
      </w:r>
      <w:r w:rsidRPr="0066103C">
        <w:t xml:space="preserve"> what those persons and even</w:t>
      </w:r>
      <w:r w:rsidR="001B2F78">
        <w:t>ts embodied, symbols such as wrongdoing</w:t>
      </w:r>
      <w:r w:rsidRPr="0066103C">
        <w:t xml:space="preserve">, justice, an anointed </w:t>
      </w:r>
      <w:r w:rsidR="00B13647">
        <w:t>leader</w:t>
      </w:r>
      <w:r w:rsidRPr="0066103C">
        <w:t xml:space="preserve">, a flood, an abomination. </w:t>
      </w:r>
      <w:r w:rsidR="00C90077">
        <w:t>It invites people to understand c</w:t>
      </w:r>
      <w:r w:rsidRPr="0066103C">
        <w:t>oncrete ev</w:t>
      </w:r>
      <w:r w:rsidR="00C90077">
        <w:t xml:space="preserve">ents and persons </w:t>
      </w:r>
      <w:r w:rsidR="006234C4" w:rsidRPr="0066103C">
        <w:t>in light</w:t>
      </w:r>
      <w:r w:rsidRPr="0066103C">
        <w:t xml:space="preserve"> of such symbols, but the symbols transcend them. They are not limited in their reference to these particular concrete realities. Th</w:t>
      </w:r>
      <w:r w:rsidR="00C90077">
        <w:t>e symbols</w:t>
      </w:r>
      <w:r w:rsidR="009D4C48" w:rsidRPr="0066103C">
        <w:t xml:space="preserve"> have other embodiments. </w:t>
      </w:r>
    </w:p>
    <w:p w:rsidR="001B2F78" w:rsidRDefault="009D4C48" w:rsidP="00CC74E2">
      <w:r w:rsidRPr="0066103C">
        <w:t xml:space="preserve">The identification of these other embodiments </w:t>
      </w:r>
      <w:r w:rsidR="003909F2" w:rsidRPr="0066103C">
        <w:t>is a matter of theological, not exegetical, judgment—a matter of faith, not of sci</w:t>
      </w:r>
      <w:r w:rsidR="00C90077">
        <w:t xml:space="preserve">ence. But if </w:t>
      </w:r>
      <w:r w:rsidR="003909F2" w:rsidRPr="0066103C">
        <w:t>Je</w:t>
      </w:r>
      <w:r w:rsidR="00C90077">
        <w:t xml:space="preserve">sus is God’s anointed, and </w:t>
      </w:r>
      <w:r w:rsidR="003909F2" w:rsidRPr="0066103C">
        <w:t xml:space="preserve">his birth, ministry, death, resurrection, and appearing are God’s ultimate means of revealing himself and achieving his purpose in the world, </w:t>
      </w:r>
      <w:r w:rsidR="00C90077">
        <w:t>then these realities are also God’</w:t>
      </w:r>
      <w:r w:rsidR="003909F2" w:rsidRPr="0066103C">
        <w:t xml:space="preserve">s means of ultimately achieving what the symbols in vv 24–27 speak of. </w:t>
      </w:r>
      <w:r w:rsidR="00F44D89">
        <w:t>It is in this sense that “a</w:t>
      </w:r>
      <w:r w:rsidR="00F44D89" w:rsidRPr="00F44D89">
        <w:t>lthough every chapter</w:t>
      </w:r>
      <w:r w:rsidR="00F44D89" w:rsidRPr="00F44D89">
        <w:rPr>
          <w:i/>
        </w:rPr>
        <w:t xml:space="preserve"> </w:t>
      </w:r>
      <w:r w:rsidR="00F44D89">
        <w:t xml:space="preserve">[of Daniel] </w:t>
      </w:r>
      <w:r w:rsidR="00F44D89" w:rsidRPr="00F44D89">
        <w:rPr>
          <w:iCs/>
        </w:rPr>
        <w:t>contains an abundance</w:t>
      </w:r>
      <w:r w:rsidR="00F44D89" w:rsidRPr="00F44D89">
        <w:rPr>
          <w:i/>
        </w:rPr>
        <w:t xml:space="preserve"> </w:t>
      </w:r>
      <w:r w:rsidR="00F44D89" w:rsidRPr="00F44D89">
        <w:t xml:space="preserve">of doctrine, nevertheless this chapter by far exceeds the others. Daniel hands down the </w:t>
      </w:r>
      <w:r w:rsidR="00F44D89" w:rsidRPr="00F44D89">
        <w:rPr>
          <w:i/>
          <w:iCs/>
        </w:rPr>
        <w:t>clear</w:t>
      </w:r>
      <w:r w:rsidR="00F44D89" w:rsidRPr="00F44D89">
        <w:t xml:space="preserve"> testimony concerning the advent of Christ, the death of Christ, the righteousness of the New Testament and the destruction of the Jewish state. He includes the doctrine of penance in a prayer, he rightly assess es the value of his own righteousness, and he shows the righteousness of faith.”</w:t>
      </w:r>
      <w:r w:rsidR="00F44D89" w:rsidRPr="00F44D89">
        <w:rPr>
          <w:vertAlign w:val="superscript"/>
        </w:rPr>
        <w:footnoteReference w:id="582"/>
      </w:r>
      <w:r w:rsidR="001B2F78">
        <w:t xml:space="preserve"> </w:t>
      </w:r>
    </w:p>
    <w:p w:rsidR="00CC74E2" w:rsidRPr="00CC74E2" w:rsidRDefault="001B2F78" w:rsidP="00CC74E2">
      <w:r>
        <w:lastRenderedPageBreak/>
        <w:t>I</w:t>
      </w:r>
      <w:r w:rsidR="003909F2" w:rsidRPr="0066103C">
        <w:t>t is th</w:t>
      </w:r>
      <w:r>
        <w:t>is point that is made by talk in terms</w:t>
      </w:r>
      <w:r w:rsidR="003909F2" w:rsidRPr="0066103C">
        <w:t xml:space="preserve"> of a typol</w:t>
      </w:r>
      <w:r>
        <w:t xml:space="preserve">ogical relationship between </w:t>
      </w:r>
      <w:r w:rsidR="003909F2" w:rsidRPr="0066103C">
        <w:t>events and people of the Antiochene crisis and deliveran</w:t>
      </w:r>
      <w:r w:rsidR="009F7672" w:rsidRPr="0066103C">
        <w:t>ce</w:t>
      </w:r>
      <w:r>
        <w:t>,</w:t>
      </w:r>
      <w:r w:rsidR="009F7672" w:rsidRPr="0066103C">
        <w:t xml:space="preserve"> and those of </w:t>
      </w:r>
      <w:r w:rsidR="00EF2BBD">
        <w:t>Jesus’</w:t>
      </w:r>
      <w:r w:rsidR="009F7672" w:rsidRPr="0066103C">
        <w:t xml:space="preserve"> time</w:t>
      </w:r>
      <w:r w:rsidR="003909F2" w:rsidRPr="0066103C">
        <w:t xml:space="preserve"> and </w:t>
      </w:r>
      <w:r w:rsidR="009F7672" w:rsidRPr="0066103C">
        <w:t xml:space="preserve">of </w:t>
      </w:r>
      <w:r w:rsidR="003909F2" w:rsidRPr="0066103C">
        <w:t>the End we still await.</w:t>
      </w:r>
      <w:r w:rsidR="00C90077">
        <w:rPr>
          <w:rStyle w:val="FootnoteReference"/>
        </w:rPr>
        <w:footnoteReference w:id="583"/>
      </w:r>
      <w:r w:rsidR="00CC74E2">
        <w:t xml:space="preserve"> And it i</w:t>
      </w:r>
      <w:r>
        <w:t>s in this sense that we can affirm</w:t>
      </w:r>
      <w:r w:rsidR="00CC74E2">
        <w:t xml:space="preserve"> the comment Pascal adds to an observation </w:t>
      </w:r>
      <w:r w:rsidR="00CC74E2" w:rsidRPr="00CC74E2">
        <w:t>on the equivocal nature of the seventy weeks prop</w:t>
      </w:r>
      <w:r w:rsidR="00CC74E2">
        <w:t>hecy</w:t>
      </w:r>
      <w:r w:rsidR="00CC74E2" w:rsidRPr="00CC74E2">
        <w:t xml:space="preserve">, </w:t>
      </w:r>
      <w:r w:rsidR="00CC74E2">
        <w:t xml:space="preserve">that </w:t>
      </w:r>
      <w:r w:rsidR="00CC74E2" w:rsidRPr="00CC74E2">
        <w:t>“we understand the prophecies only when we see the events happen.”</w:t>
      </w:r>
      <w:r w:rsidR="00CC74E2" w:rsidRPr="00CC74E2">
        <w:rPr>
          <w:vertAlign w:val="superscript"/>
        </w:rPr>
        <w:footnoteReference w:id="584"/>
      </w:r>
    </w:p>
    <w:p w:rsidR="00CC74E2" w:rsidRPr="00CC74E2" w:rsidRDefault="001B2F78" w:rsidP="00CC74E2">
      <w:r>
        <w:t>Gabriel’s allusiveness</w:t>
      </w:r>
      <w:r w:rsidR="003909F2" w:rsidRPr="0066103C">
        <w:t xml:space="preserve"> accompanies an inclin</w:t>
      </w:r>
      <w:r w:rsidR="00A84751" w:rsidRPr="0066103C">
        <w:t>ation to speak in the words of the s</w:t>
      </w:r>
      <w:r w:rsidR="003909F2" w:rsidRPr="0066103C">
        <w:t>cripture</w:t>
      </w:r>
      <w:r w:rsidR="00A84751" w:rsidRPr="0066103C">
        <w:t>s</w:t>
      </w:r>
      <w:r w:rsidR="003909F2" w:rsidRPr="0066103C">
        <w:t xml:space="preserve"> reapplied. </w:t>
      </w:r>
      <w:r>
        <w:t>Gerard Manley Hopkin</w:t>
      </w:r>
      <w:r w:rsidR="00F44D89" w:rsidRPr="00F44D89">
        <w:t xml:space="preserve">s observed that “the world is charged with the </w:t>
      </w:r>
      <w:r w:rsidR="00F44D89" w:rsidRPr="00F44D89">
        <w:rPr>
          <w:iCs/>
        </w:rPr>
        <w:t>grandeur of God”; Daniel recognizes that the same is true of the scriptures, with “a prodigious energy.”</w:t>
      </w:r>
      <w:r w:rsidR="00F44D89" w:rsidRPr="00F44D89">
        <w:rPr>
          <w:iCs/>
          <w:vertAlign w:val="superscript"/>
        </w:rPr>
        <w:footnoteReference w:id="585"/>
      </w:r>
      <w:r w:rsidR="00F44D89">
        <w:rPr>
          <w:iCs/>
        </w:rPr>
        <w:t xml:space="preserve"> </w:t>
      </w:r>
      <w:r w:rsidR="003909F2" w:rsidRPr="0066103C">
        <w:t>Daniel is doing with Isaiah what subsequent exegetes do with Daniel. This</w:t>
      </w:r>
      <w:r w:rsidR="00F44D89">
        <w:t xml:space="preserve"> mode of interpretation</w:t>
      </w:r>
      <w:r w:rsidR="003909F2" w:rsidRPr="0066103C">
        <w:t>, too, reflects the fact that the author speaks “wit</w:t>
      </w:r>
      <w:r w:rsidR="009F7672" w:rsidRPr="0066103C">
        <w:t>h faith rather than knowledge</w:t>
      </w:r>
      <w:r w:rsidR="003909F2" w:rsidRPr="0066103C">
        <w:t>.</w:t>
      </w:r>
      <w:r w:rsidR="009F7672" w:rsidRPr="0066103C">
        <w:t>”</w:t>
      </w:r>
      <w:r w:rsidR="009F7672" w:rsidRPr="0066103C">
        <w:rPr>
          <w:rStyle w:val="FootnoteReference"/>
        </w:rPr>
        <w:footnoteReference w:id="586"/>
      </w:r>
      <w:r w:rsidR="003909F2" w:rsidRPr="0066103C">
        <w:t xml:space="preserve"> The period of deepest oppression did last about 3 1/2 years,</w:t>
      </w:r>
      <w:r w:rsidR="00F44D89">
        <w:t xml:space="preserve"> but that is not the point. Gabriel’s message</w:t>
      </w:r>
      <w:r w:rsidR="003909F2" w:rsidRPr="0066103C">
        <w:t xml:space="preserve"> is not prognostication or prediction. It is promise.</w:t>
      </w:r>
      <w:r w:rsidR="00F44D89">
        <w:t xml:space="preserve"> </w:t>
      </w:r>
      <w:r w:rsidR="00F44D89">
        <w:rPr>
          <w:iCs/>
        </w:rPr>
        <w:t>“The issue here…</w:t>
      </w:r>
      <w:r w:rsidR="00F44D89" w:rsidRPr="00F44D89">
        <w:rPr>
          <w:i/>
        </w:rPr>
        <w:t xml:space="preserve"> </w:t>
      </w:r>
      <w:r w:rsidR="00F44D89" w:rsidRPr="00F44D89">
        <w:t xml:space="preserve">is not the mathematical conundrum of determining what date in history the prediction of Jeremiah should forecast. Rather, to judge by the </w:t>
      </w:r>
      <w:r w:rsidR="00F44D89" w:rsidRPr="00F44D89">
        <w:rPr>
          <w:iCs/>
        </w:rPr>
        <w:t>prayer</w:t>
      </w:r>
      <w:r w:rsidR="00F44D89" w:rsidRPr="00F44D89">
        <w:t xml:space="preserve"> that follows, the problem is a theological one: </w:t>
      </w:r>
      <w:r w:rsidR="00272B24">
        <w:t>what is the meaning of the desolation of Jerusalem</w:t>
      </w:r>
      <w:r w:rsidR="00F44D89" w:rsidRPr="00F44D89">
        <w:t>, why does it last, and when will it really end?”</w:t>
      </w:r>
      <w:r w:rsidR="00F44D89" w:rsidRPr="00F44D89">
        <w:rPr>
          <w:vertAlign w:val="superscript"/>
        </w:rPr>
        <w:footnoteReference w:id="587"/>
      </w:r>
      <w:r w:rsidR="00CC74E2">
        <w:t xml:space="preserve"> But “t</w:t>
      </w:r>
      <w:r w:rsidR="00CC74E2" w:rsidRPr="00CC74E2">
        <w:t>he prayer embodies the theology implicit at the beginning of the book. Daniel knows that his God has given Jerusalem over to it</w:t>
      </w:r>
      <w:r w:rsidR="00CC74E2">
        <w:t>s enemies,”</w:t>
      </w:r>
      <w:r w:rsidR="00CC74E2" w:rsidRPr="00CC74E2">
        <w:rPr>
          <w:vertAlign w:val="superscript"/>
        </w:rPr>
        <w:footnoteReference w:id="588"/>
      </w:r>
      <w:r w:rsidR="00CC74E2">
        <w:t xml:space="preserve"> but that same fa</w:t>
      </w:r>
      <w:r w:rsidR="00E95752">
        <w:t>ct means</w:t>
      </w:r>
      <w:r w:rsidR="00CC74E2">
        <w:t xml:space="preserve"> that God can take it back again.</w:t>
      </w:r>
    </w:p>
    <w:p w:rsidR="001546FE" w:rsidRDefault="00F44D89" w:rsidP="001546FE">
      <w:r>
        <w:t>Gabriel’s message</w:t>
      </w:r>
      <w:r w:rsidR="00EB266C" w:rsidRPr="0066103C">
        <w:t xml:space="preserve"> does not </w:t>
      </w:r>
      <w:r w:rsidR="00EB266C">
        <w:t>have a worldwide perspective;</w:t>
      </w:r>
      <w:r>
        <w:t xml:space="preserve"> </w:t>
      </w:r>
      <w:r w:rsidR="00EB266C">
        <w:t>he</w:t>
      </w:r>
      <w:r w:rsidR="00EB266C" w:rsidRPr="0066103C">
        <w:t xml:space="preserve"> is not speaking of the end of all history, or of th</w:t>
      </w:r>
      <w:r w:rsidR="00EB266C">
        <w:t>e sin of the whole world. Dan 9</w:t>
      </w:r>
      <w:r w:rsidR="00EB266C" w:rsidRPr="0066103C">
        <w:t xml:space="preserve"> is returning to “salvation history” from the secular history that dominated chaps. 7–8 and</w:t>
      </w:r>
      <w:r w:rsidR="00EB266C">
        <w:t xml:space="preserve"> will dominate chaps. 10–12. The book’s</w:t>
      </w:r>
      <w:r w:rsidR="00EB266C" w:rsidRPr="0066103C">
        <w:t xml:space="preserve"> moving between these two </w:t>
      </w:r>
      <w:r w:rsidR="00EB266C">
        <w:t xml:space="preserve">foci </w:t>
      </w:r>
      <w:r w:rsidR="00E95752">
        <w:t>suggests</w:t>
      </w:r>
      <w:r w:rsidR="00EB266C" w:rsidRPr="0066103C">
        <w:t xml:space="preserve"> that both are of God. God is the God of all history, but nature and grace are not identical; there are special</w:t>
      </w:r>
      <w:r w:rsidR="00E95752">
        <w:t xml:space="preserve"> purposes he is achieving in Israel’s</w:t>
      </w:r>
      <w:r w:rsidR="00EB266C" w:rsidRPr="0066103C">
        <w:t xml:space="preserve"> histor</w:t>
      </w:r>
      <w:r w:rsidR="00E95752">
        <w:t>y</w:t>
      </w:r>
      <w:r w:rsidR="00EB266C" w:rsidRPr="0066103C">
        <w:t>. On the other hand, while God is the God of Israel’s history, nature and grace are not to be sundered; he purposes to reign in all history.</w:t>
      </w:r>
      <w:r w:rsidR="00EB266C" w:rsidRPr="0066103C">
        <w:rPr>
          <w:rStyle w:val="FootnoteReference"/>
        </w:rPr>
        <w:footnoteReference w:id="589"/>
      </w:r>
      <w:r w:rsidR="00E95752">
        <w:t xml:space="preserve"> Gabr</w:t>
      </w:r>
      <w:r>
        <w:t xml:space="preserve">iel’s message </w:t>
      </w:r>
      <w:r w:rsidR="003909F2" w:rsidRPr="0066103C">
        <w:t xml:space="preserve">is </w:t>
      </w:r>
      <w:r w:rsidR="00E95752">
        <w:t xml:space="preserve">a </w:t>
      </w:r>
      <w:r w:rsidR="003909F2" w:rsidRPr="0066103C">
        <w:t>promise given from the midst of a life and death crisis—life and death for human beings and for Jewish faith. It contains no exhortation to action. It is not concerned to urge people to obedience or resis</w:t>
      </w:r>
      <w:r w:rsidR="00A84751" w:rsidRPr="0066103C">
        <w:t>tance, but to offer them hope. The scripture</w:t>
      </w:r>
      <w:r w:rsidR="003909F2" w:rsidRPr="0066103C">
        <w:t xml:space="preserve">s </w:t>
      </w:r>
      <w:r w:rsidR="00A84751" w:rsidRPr="0066103C">
        <w:t xml:space="preserve">are </w:t>
      </w:r>
      <w:r w:rsidR="00E95752">
        <w:t>often content to do so</w:t>
      </w:r>
      <w:r w:rsidR="001546FE">
        <w:t>.</w:t>
      </w:r>
      <w:r w:rsidR="00CC74E2">
        <w:t xml:space="preserve"> </w:t>
      </w:r>
    </w:p>
    <w:p w:rsidR="00E95752" w:rsidRDefault="00FB57E8" w:rsidP="00E95752">
      <w:pPr>
        <w:rPr>
          <w:rStyle w:val="st"/>
        </w:rPr>
      </w:pPr>
      <w:r>
        <w:rPr>
          <w:rStyle w:val="st"/>
        </w:rPr>
        <w:t xml:space="preserve">In contrast to the preceding chapters, Dan 9 fails to tell us Daniel’s reaction to the revelation. </w:t>
      </w:r>
      <w:r w:rsidR="001317ED">
        <w:rPr>
          <w:rStyle w:val="st"/>
        </w:rPr>
        <w:t>As is the case with other texts that close with a question or something puzzling (e.g., Jonah; Mark), the effect is to ask how the reader is going to react.</w:t>
      </w:r>
      <w:r w:rsidR="001317ED">
        <w:rPr>
          <w:rStyle w:val="FootnoteReference"/>
        </w:rPr>
        <w:footnoteReference w:id="590"/>
      </w:r>
    </w:p>
    <w:p w:rsidR="00E95752" w:rsidRDefault="00E95752" w:rsidP="00E95752">
      <w:pPr>
        <w:rPr>
          <w:rStyle w:val="st"/>
        </w:rPr>
      </w:pPr>
      <w:r>
        <w:rPr>
          <w:rStyle w:val="st"/>
        </w:rPr>
        <w:br w:type="page"/>
      </w:r>
    </w:p>
    <w:p w:rsidR="002B376E" w:rsidRPr="002B376E" w:rsidRDefault="002B376E" w:rsidP="00E75AC8">
      <w:pPr>
        <w:pStyle w:val="Heading1"/>
      </w:pPr>
      <w:r w:rsidRPr="002B376E">
        <w:lastRenderedPageBreak/>
        <w:t>A Celestial Figure Reveals to Daniel What Will Happen to His People at the End of the Era (10:1–12:13)</w:t>
      </w:r>
    </w:p>
    <w:p w:rsidR="002B376E" w:rsidRPr="002B376E" w:rsidRDefault="002B376E" w:rsidP="002B376E">
      <w:pPr>
        <w:pStyle w:val="Heading2"/>
      </w:pPr>
      <w:r w:rsidRPr="002B376E">
        <w:t>Pericope Bibliography</w:t>
      </w:r>
    </w:p>
    <w:p w:rsidR="006F7BC1" w:rsidRPr="00E07E4C" w:rsidRDefault="002B376E" w:rsidP="002B376E">
      <w:pPr>
        <w:ind w:firstLine="0"/>
        <w:rPr>
          <w:i/>
          <w:iCs/>
        </w:rPr>
      </w:pPr>
      <w:r w:rsidRPr="002B376E">
        <w:rPr>
          <w:b/>
        </w:rPr>
        <w:t>Abel, F.-M.</w:t>
      </w:r>
      <w:r w:rsidRPr="002B376E">
        <w:t xml:space="preserve"> “A</w:t>
      </w:r>
      <w:r w:rsidR="000232A9">
        <w:t xml:space="preserve">ntiochus Épiphane.” </w:t>
      </w:r>
      <w:r w:rsidRPr="002B376E">
        <w:rPr>
          <w:b/>
        </w:rPr>
        <w:t>Alfrink, B. J.</w:t>
      </w:r>
      <w:r w:rsidRPr="002B376E">
        <w:t xml:space="preserve"> “L’idée de résurrection d’aprè</w:t>
      </w:r>
      <w:r w:rsidR="000232A9">
        <w:t xml:space="preserve">s Dan xii, 1–2.” </w:t>
      </w:r>
      <w:r w:rsidR="000232A9">
        <w:rPr>
          <w:b/>
        </w:rPr>
        <w:t>Allen, L. C</w:t>
      </w:r>
      <w:r w:rsidRPr="002B376E">
        <w:rPr>
          <w:b/>
        </w:rPr>
        <w:t>.</w:t>
      </w:r>
      <w:r w:rsidRPr="002B376E">
        <w:t xml:space="preserve"> “Isaiah 1iii. 11 and Its Echoes.”</w:t>
      </w:r>
      <w:r w:rsidR="00704101">
        <w:t xml:space="preserve"> </w:t>
      </w:r>
      <w:r w:rsidR="00244C94" w:rsidRPr="00244C94">
        <w:rPr>
          <w:rStyle w:val="b"/>
          <w:color w:val="auto"/>
          <w:sz w:val="22"/>
          <w:szCs w:val="22"/>
        </w:rPr>
        <w:t>Anderson, R. B.</w:t>
      </w:r>
      <w:r w:rsidR="00244C94" w:rsidRPr="00244C94">
        <w:rPr>
          <w:b/>
        </w:rPr>
        <w:t xml:space="preserve"> </w:t>
      </w:r>
      <w:r w:rsidR="00244C94" w:rsidRPr="00244C94">
        <w:t xml:space="preserve">“A </w:t>
      </w:r>
      <w:r w:rsidR="00244C94">
        <w:t xml:space="preserve">Touch of the Holy.” </w:t>
      </w:r>
      <w:r w:rsidR="00704101">
        <w:rPr>
          <w:b/>
        </w:rPr>
        <w:t>Anon.</w:t>
      </w:r>
      <w:r w:rsidRPr="002B376E">
        <w:t xml:space="preserve"> A New Interpretation of Danie</w:t>
      </w:r>
      <w:r w:rsidR="00704101">
        <w:t>l xi.</w:t>
      </w:r>
      <w:r w:rsidR="00945C8C">
        <w:t xml:space="preserve"> </w:t>
      </w:r>
      <w:r w:rsidRPr="002B376E">
        <w:rPr>
          <w:b/>
        </w:rPr>
        <w:t>Armerding, C.</w:t>
      </w:r>
      <w:r w:rsidRPr="002B376E">
        <w:t xml:space="preserve"> </w:t>
      </w:r>
      <w:r w:rsidR="00704101">
        <w:t>“Dan 12, 1–3.”</w:t>
      </w:r>
      <w:r w:rsidR="00704101" w:rsidRPr="00704101">
        <w:t xml:space="preserve"> ———. </w:t>
      </w:r>
      <w:r w:rsidRPr="002B376E">
        <w:t>“Russia and the King of the</w:t>
      </w:r>
      <w:r w:rsidR="00704101">
        <w:t xml:space="preserve"> North.” </w:t>
      </w:r>
      <w:r w:rsidR="00521669" w:rsidRPr="00F23F2C">
        <w:rPr>
          <w:rFonts w:eastAsiaTheme="minorHAnsi"/>
          <w:b/>
        </w:rPr>
        <w:t>Bailey, D.</w:t>
      </w:r>
      <w:r w:rsidR="00521669" w:rsidRPr="00F23F2C">
        <w:rPr>
          <w:rFonts w:eastAsiaTheme="minorHAnsi" w:cs="Times New Roman"/>
          <w:b/>
        </w:rPr>
        <w:t xml:space="preserve"> P.</w:t>
      </w:r>
      <w:r w:rsidR="00521669" w:rsidRPr="00F23F2C">
        <w:rPr>
          <w:rFonts w:eastAsiaTheme="minorHAnsi" w:cs="Times New Roman"/>
        </w:rPr>
        <w:t xml:space="preserve"> "The Intertextual Relationship of Daniel 12:2 and Isaiah 26:19</w:t>
      </w:r>
      <w:r w:rsidR="00521669">
        <w:rPr>
          <w:rFonts w:eastAsiaTheme="minorHAnsi" w:cs="Times New Roman"/>
        </w:rPr>
        <w:t>.</w:t>
      </w:r>
      <w:r w:rsidR="00880986">
        <w:rPr>
          <w:rFonts w:eastAsiaTheme="minorHAnsi" w:cs="Times New Roman"/>
        </w:rPr>
        <w:t>”</w:t>
      </w:r>
      <w:r w:rsidR="00521669">
        <w:t xml:space="preserve"> </w:t>
      </w:r>
      <w:r w:rsidRPr="00572FF9">
        <w:rPr>
          <w:b/>
        </w:rPr>
        <w:t>Bampfylde, G.</w:t>
      </w:r>
      <w:r w:rsidRPr="002B376E">
        <w:t xml:space="preserve"> “The Prince of the Host in the Book of Daniel and the Dead Sea </w:t>
      </w:r>
      <w:r w:rsidR="00704101">
        <w:t xml:space="preserve">Scrolls.” </w:t>
      </w:r>
      <w:r w:rsidRPr="00572FF9">
        <w:rPr>
          <w:b/>
        </w:rPr>
        <w:t>Barrett, D. S.</w:t>
      </w:r>
      <w:r w:rsidRPr="002B376E">
        <w:t xml:space="preserve"> “Patterns of Jewish Submission in th</w:t>
      </w:r>
      <w:r w:rsidR="00704101">
        <w:t xml:space="preserve">e Hellenistic-Roman World.” </w:t>
      </w:r>
      <w:r w:rsidRPr="00572FF9">
        <w:rPr>
          <w:b/>
        </w:rPr>
        <w:t>Bauckham, R. J.</w:t>
      </w:r>
      <w:r w:rsidRPr="002B376E">
        <w:t xml:space="preserve"> “The Delay of the </w:t>
      </w:r>
      <w:r w:rsidR="00704101">
        <w:t xml:space="preserve">Parousia.” </w:t>
      </w:r>
      <w:r w:rsidRPr="00572FF9">
        <w:rPr>
          <w:b/>
        </w:rPr>
        <w:t>Beckwith, R. T.</w:t>
      </w:r>
      <w:r w:rsidRPr="002B376E">
        <w:t xml:space="preserve"> “The Earliest Enoch Literature and Its Calend</w:t>
      </w:r>
      <w:r w:rsidR="00704101">
        <w:t xml:space="preserve">ar.” </w:t>
      </w:r>
      <w:r w:rsidRPr="00572FF9">
        <w:rPr>
          <w:b/>
        </w:rPr>
        <w:t>Bertholet, A.</w:t>
      </w:r>
      <w:r w:rsidR="00704101">
        <w:t xml:space="preserve"> “Der</w:t>
      </w:r>
      <w:r w:rsidR="00554D37">
        <w:t xml:space="preserve"> Schutzengel Persiens.” </w:t>
      </w:r>
      <w:r w:rsidRPr="00572FF9">
        <w:rPr>
          <w:b/>
        </w:rPr>
        <w:t>Bevan, E. R.</w:t>
      </w:r>
      <w:r w:rsidRPr="002B376E">
        <w:t xml:space="preserve"> </w:t>
      </w:r>
      <w:r w:rsidRPr="00554D37">
        <w:rPr>
          <w:i/>
        </w:rPr>
        <w:t>The House of Seleucus</w:t>
      </w:r>
      <w:r w:rsidR="00554D37">
        <w:t xml:space="preserve">. </w:t>
      </w:r>
      <w:r w:rsidRPr="00A05C21">
        <w:rPr>
          <w:b/>
        </w:rPr>
        <w:t>Birkeland, H.</w:t>
      </w:r>
      <w:r w:rsidRPr="002B376E">
        <w:t xml:space="preserve"> “The Belief in the Resurr</w:t>
      </w:r>
      <w:r w:rsidR="00A14A6D">
        <w:t>ection of the Dead in the OT</w:t>
      </w:r>
      <w:r w:rsidR="00554D37">
        <w:t xml:space="preserve">.” </w:t>
      </w:r>
      <w:r w:rsidR="00F3262F" w:rsidRPr="00447912">
        <w:rPr>
          <w:rFonts w:eastAsia="Times-Roman" w:cs="Times-Roman"/>
          <w:b/>
        </w:rPr>
        <w:t xml:space="preserve">Boccaccini, G. </w:t>
      </w:r>
      <w:r w:rsidR="00F3262F" w:rsidRPr="00447912">
        <w:rPr>
          <w:rFonts w:eastAsia="Times-Roman" w:cs="Times-Roman"/>
        </w:rPr>
        <w:t>“The Sola</w:t>
      </w:r>
      <w:r w:rsidR="00F3262F">
        <w:rPr>
          <w:rFonts w:eastAsia="Times-Roman" w:cs="Times-Roman"/>
        </w:rPr>
        <w:t>r Calendars of Daniel and Enoch,</w:t>
      </w:r>
      <w:r w:rsidR="00F3262F" w:rsidRPr="00447912">
        <w:rPr>
          <w:rFonts w:eastAsia="Times-Roman" w:cs="Times-Roman"/>
        </w:rPr>
        <w:t xml:space="preserve">” </w:t>
      </w:r>
      <w:r w:rsidR="00F3262F">
        <w:rPr>
          <w:rFonts w:eastAsia="Times-Roman" w:cs="Times-Roman"/>
        </w:rPr>
        <w:t>i</w:t>
      </w:r>
      <w:r w:rsidR="00F3262F" w:rsidRPr="00447912">
        <w:rPr>
          <w:rFonts w:eastAsia="Times-Roman" w:cs="Times-Roman"/>
        </w:rPr>
        <w:t xml:space="preserve">n </w:t>
      </w:r>
      <w:r w:rsidR="00F3262F" w:rsidRPr="00447912">
        <w:rPr>
          <w:rFonts w:eastAsia="Times-Roman" w:cs="Times-Roman"/>
          <w:bCs/>
        </w:rPr>
        <w:t xml:space="preserve">Collins/Flint (eds.), </w:t>
      </w:r>
      <w:r w:rsidR="00F3262F" w:rsidRPr="00447912">
        <w:rPr>
          <w:rFonts w:eastAsia="Times-Roman" w:cs="Times-Roman"/>
          <w:bCs/>
          <w:i/>
        </w:rPr>
        <w:t>The Book of Daniel</w:t>
      </w:r>
      <w:r w:rsidR="00F3262F" w:rsidRPr="00447912">
        <w:rPr>
          <w:rFonts w:eastAsia="Times-Roman" w:cs="Times-Roman"/>
          <w:bCs/>
        </w:rPr>
        <w:t xml:space="preserve"> 2:311-28.</w:t>
      </w:r>
      <w:r w:rsidR="00F3262F">
        <w:t xml:space="preserve"> </w:t>
      </w:r>
      <w:r w:rsidRPr="00A05C21">
        <w:rPr>
          <w:b/>
        </w:rPr>
        <w:t>Bonora, A.</w:t>
      </w:r>
      <w:r w:rsidRPr="002B376E">
        <w:t xml:space="preserve"> “Il linguaggio di risurrezione in </w:t>
      </w:r>
      <w:r w:rsidR="009C773E">
        <w:t>Dan. 12,1–3.”</w:t>
      </w:r>
      <w:r w:rsidRPr="002B376E">
        <w:t xml:space="preserve"> </w:t>
      </w:r>
      <w:r w:rsidRPr="00A05C21">
        <w:rPr>
          <w:b/>
        </w:rPr>
        <w:t>Botterweck, G. J.</w:t>
      </w:r>
      <w:r w:rsidRPr="002B376E">
        <w:t xml:space="preserve"> “Marginalien zum atl. Aufer</w:t>
      </w:r>
      <w:r w:rsidR="009C773E">
        <w:t>stehungsglauben.”</w:t>
      </w:r>
      <w:r w:rsidR="00945C8C">
        <w:t xml:space="preserve"> </w:t>
      </w:r>
      <w:r w:rsidRPr="00A05C21">
        <w:rPr>
          <w:b/>
        </w:rPr>
        <w:t>Brightman, T.</w:t>
      </w:r>
      <w:r w:rsidRPr="002B376E">
        <w:t xml:space="preserve"> </w:t>
      </w:r>
      <w:r w:rsidRPr="009C773E">
        <w:rPr>
          <w:i/>
        </w:rPr>
        <w:t>A Most Comfortable Exposition of the Last and Most Difficult Pa</w:t>
      </w:r>
      <w:r w:rsidR="009C773E" w:rsidRPr="009C773E">
        <w:rPr>
          <w:i/>
        </w:rPr>
        <w:t>rt of the Prophecie of Daniel</w:t>
      </w:r>
      <w:r w:rsidR="009C773E">
        <w:t xml:space="preserve">. </w:t>
      </w:r>
      <w:r w:rsidRPr="009C773E">
        <w:rPr>
          <w:b/>
        </w:rPr>
        <w:t>Bringmann, K.</w:t>
      </w:r>
      <w:r w:rsidRPr="002B376E">
        <w:t xml:space="preserve"> </w:t>
      </w:r>
      <w:r w:rsidRPr="00FB576E">
        <w:rPr>
          <w:i/>
        </w:rPr>
        <w:t>Hellenistische Reform und Religionsverfolgung in Judäa</w:t>
      </w:r>
      <w:r w:rsidR="00856FCE" w:rsidRPr="00FB576E">
        <w:rPr>
          <w:i/>
        </w:rPr>
        <w:t>.</w:t>
      </w:r>
      <w:r w:rsidR="00856FCE">
        <w:t xml:space="preserve"> </w:t>
      </w:r>
      <w:r w:rsidRPr="00856FCE">
        <w:rPr>
          <w:b/>
        </w:rPr>
        <w:t>Bunge, J. G.</w:t>
      </w:r>
      <w:r w:rsidRPr="002B376E">
        <w:t xml:space="preserve"> “Der ‘Gott der Festungen’ und der ‘Liebling de</w:t>
      </w:r>
      <w:r w:rsidR="00856FCE">
        <w:t xml:space="preserve">r Frauen.’” </w:t>
      </w:r>
      <w:r w:rsidRPr="002B376E">
        <w:t>———. “Die sogenannte Religionsverfolgung Antiochus IV. Epiphanes und die griechischen</w:t>
      </w:r>
      <w:r w:rsidR="00856FCE">
        <w:t xml:space="preserve"> Städte.” </w:t>
      </w:r>
      <w:r w:rsidR="00856FCE" w:rsidRPr="00856FCE">
        <w:t>———. “‘Theos Epiphan</w:t>
      </w:r>
      <w:r w:rsidR="00856FCE">
        <w:t xml:space="preserve">es.’” </w:t>
      </w:r>
      <w:r w:rsidRPr="00856FCE">
        <w:rPr>
          <w:b/>
        </w:rPr>
        <w:t>Campbell, J.</w:t>
      </w:r>
      <w:r w:rsidRPr="002B376E">
        <w:t xml:space="preserve"> </w:t>
      </w:r>
      <w:r w:rsidRPr="00FB576E">
        <w:rPr>
          <w:i/>
        </w:rPr>
        <w:t xml:space="preserve">An Exposition </w:t>
      </w:r>
      <w:r w:rsidR="00856FCE" w:rsidRPr="00FB576E">
        <w:rPr>
          <w:i/>
        </w:rPr>
        <w:t>of Daniel xii. 5, 6, 7.</w:t>
      </w:r>
      <w:r w:rsidR="00856FCE">
        <w:t xml:space="preserve"> </w:t>
      </w:r>
      <w:r w:rsidRPr="00856FCE">
        <w:rPr>
          <w:b/>
        </w:rPr>
        <w:t>Carroll, R. P.</w:t>
      </w:r>
      <w:r w:rsidRPr="002B376E">
        <w:t xml:space="preserve"> </w:t>
      </w:r>
      <w:r w:rsidR="00856FCE" w:rsidRPr="00856FCE">
        <w:t>“Prophecy and Dis</w:t>
      </w:r>
      <w:r w:rsidR="00856FCE">
        <w:t xml:space="preserve">sonance.” </w:t>
      </w:r>
      <w:r w:rsidR="00856FCE" w:rsidRPr="00856FCE">
        <w:t>———.</w:t>
      </w:r>
      <w:r w:rsidRPr="00856FCE">
        <w:rPr>
          <w:i/>
        </w:rPr>
        <w:t>When Prophecy Failed</w:t>
      </w:r>
      <w:r w:rsidR="00856FCE">
        <w:t xml:space="preserve">. </w:t>
      </w:r>
      <w:r w:rsidRPr="00856FCE">
        <w:rPr>
          <w:b/>
        </w:rPr>
        <w:t>Cavallin, H. C. C.</w:t>
      </w:r>
      <w:r w:rsidRPr="002B376E">
        <w:t xml:space="preserve"> </w:t>
      </w:r>
      <w:r w:rsidRPr="00856FCE">
        <w:rPr>
          <w:i/>
        </w:rPr>
        <w:t>Life after Death</w:t>
      </w:r>
      <w:r w:rsidR="00856FCE">
        <w:t xml:space="preserve">. </w:t>
      </w:r>
      <w:r w:rsidRPr="002B376E">
        <w:t>———. “De visa lärarnas död och uppstȧndel</w:t>
      </w:r>
      <w:r w:rsidR="00856FCE">
        <w:t xml:space="preserve">se.” </w:t>
      </w:r>
      <w:r w:rsidRPr="002B376E">
        <w:t>———. “Leben nach dem Tode im Spätjudentum.</w:t>
      </w:r>
      <w:r w:rsidR="00856FCE">
        <w:t xml:space="preserve">” </w:t>
      </w:r>
      <w:r w:rsidRPr="005E06B2">
        <w:rPr>
          <w:b/>
        </w:rPr>
        <w:t>Clifford, R. J.</w:t>
      </w:r>
      <w:r w:rsidRPr="002B376E">
        <w:t xml:space="preserve"> “History and Myth in Daniel 10–1</w:t>
      </w:r>
      <w:r w:rsidR="005E06B2">
        <w:t xml:space="preserve">2.” </w:t>
      </w:r>
      <w:r w:rsidRPr="005E06B2">
        <w:rPr>
          <w:b/>
        </w:rPr>
        <w:t>Collins, J. J.</w:t>
      </w:r>
      <w:r w:rsidR="008A68B5">
        <w:t xml:space="preserve"> </w:t>
      </w:r>
      <w:r w:rsidR="008A68B5" w:rsidRPr="008A68B5">
        <w:t xml:space="preserve">“Apocalyptic Eschatology as the Transcendence of Death.” </w:t>
      </w:r>
      <w:r w:rsidR="00796F35" w:rsidRPr="00856FCE">
        <w:t xml:space="preserve">———. </w:t>
      </w:r>
      <w:r w:rsidR="00796F35" w:rsidRPr="00B740B4">
        <w:rPr>
          <w:i/>
        </w:rPr>
        <w:t>Jewish Cult and Hellen</w:t>
      </w:r>
      <w:r w:rsidR="00796F35">
        <w:rPr>
          <w:i/>
        </w:rPr>
        <w:t>i</w:t>
      </w:r>
      <w:r w:rsidR="00796F35" w:rsidRPr="00B740B4">
        <w:rPr>
          <w:i/>
        </w:rPr>
        <w:t>stic Culture</w:t>
      </w:r>
      <w:r w:rsidR="00E25277">
        <w:rPr>
          <w:b/>
        </w:rPr>
        <w:t xml:space="preserve">. ——— </w:t>
      </w:r>
      <w:r w:rsidR="00E25277" w:rsidRPr="00E25277">
        <w:t>and</w:t>
      </w:r>
      <w:r w:rsidR="00E25277">
        <w:rPr>
          <w:b/>
        </w:rPr>
        <w:t xml:space="preserve"> </w:t>
      </w:r>
      <w:r w:rsidR="00E25277" w:rsidRPr="00E25277">
        <w:rPr>
          <w:b/>
        </w:rPr>
        <w:t>Manning, J. G. (</w:t>
      </w:r>
      <w:r w:rsidR="00E25277" w:rsidRPr="00E25277">
        <w:t>eds</w:t>
      </w:r>
      <w:r w:rsidR="00E25277" w:rsidRPr="00E25277">
        <w:rPr>
          <w:b/>
        </w:rPr>
        <w:t xml:space="preserve">.). </w:t>
      </w:r>
      <w:r w:rsidR="00E25277" w:rsidRPr="00E25277">
        <w:rPr>
          <w:i/>
        </w:rPr>
        <w:t>Revolt and Resistance in the Ancient Classical World and the Near East</w:t>
      </w:r>
      <w:r w:rsidR="00E25277">
        <w:t>.</w:t>
      </w:r>
      <w:r w:rsidR="00E25277" w:rsidRPr="00E25277">
        <w:t xml:space="preserve"> </w:t>
      </w:r>
      <w:r w:rsidRPr="005E06B2">
        <w:rPr>
          <w:b/>
        </w:rPr>
        <w:t>Conrad, D</w:t>
      </w:r>
      <w:r w:rsidRPr="002B376E">
        <w:t xml:space="preserve">. “On </w:t>
      </w:r>
      <w:r w:rsidRPr="002B376E">
        <w:rPr>
          <w:rFonts w:ascii="Arial" w:hAnsi="Arial" w:cs="Arial"/>
        </w:rPr>
        <w:t>זְרוֹעַ</w:t>
      </w:r>
      <w:r w:rsidRPr="002B376E">
        <w:t xml:space="preserve"> = ‘Forces, Troops, Army’ in Biblic</w:t>
      </w:r>
      <w:r w:rsidR="008A68B5">
        <w:t xml:space="preserve">al Hebrew.” </w:t>
      </w:r>
      <w:r w:rsidR="003D3E05" w:rsidRPr="003D3E05">
        <w:rPr>
          <w:rFonts w:eastAsia="Times New Roman" w:cs="Times New Roman"/>
          <w:b/>
        </w:rPr>
        <w:t>David, P.</w:t>
      </w:r>
      <w:r w:rsidR="003D3E05" w:rsidRPr="003D3E05">
        <w:rPr>
          <w:rFonts w:eastAsia="Times New Roman" w:cs="Times New Roman"/>
        </w:rPr>
        <w:t xml:space="preserve"> “</w:t>
      </w:r>
      <w:r w:rsidR="003D3E05">
        <w:rPr>
          <w:rFonts w:eastAsia="Times New Roman" w:cs="Times New Roman"/>
        </w:rPr>
        <w:t>Daniel 11,1,</w:t>
      </w:r>
      <w:r w:rsidR="003D3E05" w:rsidRPr="003D3E05">
        <w:rPr>
          <w:rFonts w:eastAsia="Times New Roman" w:cs="Times New Roman"/>
        </w:rPr>
        <w:t>”</w:t>
      </w:r>
      <w:r w:rsidR="003D3E05">
        <w:rPr>
          <w:rFonts w:eastAsia="Times New Roman" w:cs="Times New Roman"/>
        </w:rPr>
        <w:t xml:space="preserve"> i</w:t>
      </w:r>
      <w:r w:rsidR="003D3E05" w:rsidRPr="003D3E05">
        <w:rPr>
          <w:rFonts w:eastAsia="Times New Roman" w:cs="Times New Roman"/>
        </w:rPr>
        <w:t xml:space="preserve">n van der Woude </w:t>
      </w:r>
      <w:r w:rsidR="003D3E05" w:rsidRPr="003D3E05">
        <w:rPr>
          <w:rFonts w:eastAsia="Times New Roman" w:cs="Times New Roman"/>
          <w:b/>
        </w:rPr>
        <w:t>(</w:t>
      </w:r>
      <w:r w:rsidR="003D3E05" w:rsidRPr="003D3E05">
        <w:rPr>
          <w:rFonts w:eastAsia="Times New Roman" w:cs="Times New Roman"/>
        </w:rPr>
        <w:t>ed</w:t>
      </w:r>
      <w:r w:rsidR="003D3E05" w:rsidRPr="003D3E05">
        <w:rPr>
          <w:rFonts w:eastAsia="Times New Roman" w:cs="Times New Roman"/>
          <w:b/>
        </w:rPr>
        <w:t xml:space="preserve">.), </w:t>
      </w:r>
      <w:r w:rsidR="003D3E05" w:rsidRPr="003D3E05">
        <w:rPr>
          <w:rFonts w:eastAsia="Times New Roman" w:cs="Times New Roman"/>
          <w:i/>
        </w:rPr>
        <w:t>The Book of Daniel</w:t>
      </w:r>
      <w:r w:rsidR="003D3E05" w:rsidRPr="003D3E05">
        <w:rPr>
          <w:rFonts w:eastAsia="Times New Roman" w:cs="Times New Roman"/>
        </w:rPr>
        <w:t>, 505-14.</w:t>
      </w:r>
      <w:r w:rsidR="00796F35">
        <w:rPr>
          <w:rFonts w:eastAsia="Times New Roman" w:cs="Times New Roman"/>
        </w:rPr>
        <w:t xml:space="preserve"> </w:t>
      </w:r>
      <w:r w:rsidRPr="005E06B2">
        <w:rPr>
          <w:b/>
        </w:rPr>
        <w:t>Davies, P. R.</w:t>
      </w:r>
      <w:r w:rsidR="008A68B5">
        <w:t xml:space="preserve"> </w:t>
      </w:r>
      <w:r w:rsidR="008A68B5" w:rsidRPr="008A68B5">
        <w:t>“</w:t>
      </w:r>
      <w:r w:rsidR="008A68B5" w:rsidRPr="008A68B5">
        <w:rPr>
          <w:i/>
        </w:rPr>
        <w:t>Ḥasidim</w:t>
      </w:r>
      <w:r w:rsidR="008A68B5" w:rsidRPr="008A68B5">
        <w:t xml:space="preserve"> in the Maccabaean Period.” </w:t>
      </w:r>
      <w:r w:rsidRPr="005E06B2">
        <w:rPr>
          <w:b/>
        </w:rPr>
        <w:t xml:space="preserve">Day, J. </w:t>
      </w:r>
      <w:r w:rsidRPr="002B376E">
        <w:t>“Da˓at ‘Humi</w:t>
      </w:r>
      <w:r w:rsidR="008A68B5">
        <w:t xml:space="preserve">liation.’” </w:t>
      </w:r>
      <w:r w:rsidR="00723051" w:rsidRPr="00723051">
        <w:t>———.</w:t>
      </w:r>
      <w:r w:rsidR="00723051">
        <w:t xml:space="preserve"> </w:t>
      </w:r>
      <w:r w:rsidR="00723051" w:rsidRPr="00DE3E3D">
        <w:t>“The Development of Belief in Life afte</w:t>
      </w:r>
      <w:r w:rsidR="00723051">
        <w:t xml:space="preserve">r Death in Ancient Israel.” </w:t>
      </w:r>
      <w:r w:rsidR="00723051" w:rsidRPr="00723051">
        <w:t>———.</w:t>
      </w:r>
      <w:r w:rsidR="00723051">
        <w:t xml:space="preserve"> “Resurrection Imagery from Baal to the Book of Daniel.” </w:t>
      </w:r>
      <w:r w:rsidR="0098682B" w:rsidRPr="00B740B4">
        <w:rPr>
          <w:b/>
          <w:iCs/>
        </w:rPr>
        <w:t>Delcor</w:t>
      </w:r>
      <w:r w:rsidR="0098682B" w:rsidRPr="00B740B4">
        <w:rPr>
          <w:b/>
          <w:i/>
          <w:iCs/>
        </w:rPr>
        <w:t>,</w:t>
      </w:r>
      <w:r w:rsidR="0098682B" w:rsidRPr="00B740B4">
        <w:rPr>
          <w:b/>
        </w:rPr>
        <w:t xml:space="preserve"> M</w:t>
      </w:r>
      <w:r w:rsidR="0098682B" w:rsidRPr="00B740B4">
        <w:t>. “L</w:t>
      </w:r>
      <w:r w:rsidR="0098682B" w:rsidRPr="00B740B4">
        <w:rPr>
          <w:rFonts w:cs="Calibri"/>
        </w:rPr>
        <w:t>’</w:t>
      </w:r>
      <w:r w:rsidR="0098682B" w:rsidRPr="00B740B4">
        <w:t>hi</w:t>
      </w:r>
      <w:r w:rsidR="0098682B">
        <w:t>stoire selon le livre de Daniel,</w:t>
      </w:r>
      <w:r w:rsidR="0098682B" w:rsidRPr="00B740B4">
        <w:t>”</w:t>
      </w:r>
      <w:r w:rsidR="0098682B">
        <w:t xml:space="preserve"> i</w:t>
      </w:r>
      <w:r w:rsidR="0098682B" w:rsidRPr="00B740B4">
        <w:t xml:space="preserve">n van der Woude </w:t>
      </w:r>
      <w:r w:rsidR="0098682B" w:rsidRPr="00B740B4">
        <w:rPr>
          <w:b/>
        </w:rPr>
        <w:t>(</w:t>
      </w:r>
      <w:r w:rsidR="0098682B" w:rsidRPr="00B740B4">
        <w:t>ed</w:t>
      </w:r>
      <w:r w:rsidR="0098682B" w:rsidRPr="00B740B4">
        <w:rPr>
          <w:b/>
        </w:rPr>
        <w:t xml:space="preserve">.), </w:t>
      </w:r>
      <w:r w:rsidR="0098682B" w:rsidRPr="00B740B4">
        <w:rPr>
          <w:i/>
        </w:rPr>
        <w:t>The Book of Daniel</w:t>
      </w:r>
      <w:r w:rsidR="0098682B" w:rsidRPr="00B740B4">
        <w:t>, 365-386.</w:t>
      </w:r>
      <w:r w:rsidR="0098682B">
        <w:t xml:space="preserve"> </w:t>
      </w:r>
      <w:r w:rsidRPr="006566A9">
        <w:rPr>
          <w:b/>
        </w:rPr>
        <w:t>Del Medico, H. E.</w:t>
      </w:r>
      <w:r w:rsidRPr="002B376E">
        <w:t xml:space="preserve"> “L’identification des Kittim avec les </w:t>
      </w:r>
      <w:r w:rsidR="006566A9">
        <w:t xml:space="preserve">Romains.” </w:t>
      </w:r>
      <w:r w:rsidR="00813765" w:rsidRPr="00B740B4">
        <w:rPr>
          <w:rFonts w:eastAsiaTheme="minorHAnsi" w:cs="Arial"/>
          <w:b/>
          <w:iCs/>
        </w:rPr>
        <w:t>Doukhan</w:t>
      </w:r>
      <w:r w:rsidR="00813765" w:rsidRPr="00B740B4">
        <w:rPr>
          <w:rFonts w:eastAsiaTheme="minorHAnsi" w:cs="Arial"/>
          <w:b/>
        </w:rPr>
        <w:t xml:space="preserve">, </w:t>
      </w:r>
      <w:r w:rsidR="00813765" w:rsidRPr="00B740B4">
        <w:rPr>
          <w:rFonts w:eastAsiaTheme="minorHAnsi" w:cs="Arial"/>
          <w:b/>
          <w:iCs/>
        </w:rPr>
        <w:t>J. B</w:t>
      </w:r>
      <w:r w:rsidR="00813765" w:rsidRPr="00B740B4">
        <w:rPr>
          <w:rFonts w:eastAsiaTheme="minorHAnsi" w:cs="Arial"/>
          <w:iCs/>
        </w:rPr>
        <w:t>.</w:t>
      </w:r>
      <w:r w:rsidR="00813765" w:rsidRPr="00B740B4">
        <w:rPr>
          <w:rFonts w:eastAsiaTheme="minorHAnsi" w:cs="Arial"/>
          <w:i/>
          <w:iCs/>
        </w:rPr>
        <w:t xml:space="preserve"> </w:t>
      </w:r>
      <w:r w:rsidR="00813765" w:rsidRPr="00813765">
        <w:rPr>
          <w:rFonts w:eastAsiaTheme="minorHAnsi" w:cs="Arial"/>
          <w:iCs/>
        </w:rPr>
        <w:t>“From Dust to Stars.”</w:t>
      </w:r>
      <w:r w:rsidR="00813765">
        <w:rPr>
          <w:rFonts w:eastAsiaTheme="minorHAnsi" w:cs="Arial"/>
          <w:b/>
          <w:i/>
          <w:iCs/>
        </w:rPr>
        <w:t xml:space="preserve"> </w:t>
      </w:r>
      <w:r w:rsidRPr="006566A9">
        <w:rPr>
          <w:b/>
        </w:rPr>
        <w:t>Dubarle, A.-M.</w:t>
      </w:r>
      <w:r w:rsidRPr="002B376E">
        <w:t xml:space="preserve"> “Belief in </w:t>
      </w:r>
      <w:r w:rsidR="00CF2C01">
        <w:t>Immortality in the OT</w:t>
      </w:r>
      <w:r w:rsidRPr="002B376E">
        <w:t xml:space="preserve"> an</w:t>
      </w:r>
      <w:r w:rsidR="006566A9">
        <w:t xml:space="preserve">d Judaism.” </w:t>
      </w:r>
      <w:r w:rsidRPr="006566A9">
        <w:rPr>
          <w:b/>
        </w:rPr>
        <w:t>Emerton, J. A.</w:t>
      </w:r>
      <w:r w:rsidRPr="002B376E">
        <w:t xml:space="preserve"> “A Consideration of Some Alleged Meanings of </w:t>
      </w:r>
      <w:r w:rsidRPr="002B376E">
        <w:rPr>
          <w:rFonts w:ascii="Arial" w:hAnsi="Arial" w:cs="Arial"/>
        </w:rPr>
        <w:t>ידע</w:t>
      </w:r>
      <w:r w:rsidR="006566A9">
        <w:t xml:space="preserve"> in Hebrew.” </w:t>
      </w:r>
      <w:r w:rsidRPr="006566A9">
        <w:rPr>
          <w:b/>
        </w:rPr>
        <w:t>Erling, B.</w:t>
      </w:r>
      <w:r w:rsidRPr="002B376E">
        <w:t xml:space="preserve"> “Ezekiel 38–39 and the Origin</w:t>
      </w:r>
      <w:r w:rsidR="006566A9">
        <w:t xml:space="preserve">s of Jewish Apocalyptic.” </w:t>
      </w:r>
      <w:r w:rsidRPr="006566A9">
        <w:rPr>
          <w:b/>
        </w:rPr>
        <w:t>Festinger, L.,</w:t>
      </w:r>
      <w:r w:rsidR="00CF2C01">
        <w:t xml:space="preserve"> et al.</w:t>
      </w:r>
      <w:r w:rsidRPr="002B376E">
        <w:t xml:space="preserve"> </w:t>
      </w:r>
      <w:r w:rsidRPr="006566A9">
        <w:rPr>
          <w:i/>
        </w:rPr>
        <w:t>When Prophe</w:t>
      </w:r>
      <w:r w:rsidR="006566A9" w:rsidRPr="006566A9">
        <w:rPr>
          <w:i/>
        </w:rPr>
        <w:t>cy Fails</w:t>
      </w:r>
      <w:r w:rsidR="006566A9">
        <w:t xml:space="preserve">. </w:t>
      </w:r>
      <w:r w:rsidRPr="006566A9">
        <w:rPr>
          <w:b/>
        </w:rPr>
        <w:t>Fischer, T.</w:t>
      </w:r>
      <w:r w:rsidRPr="002B376E">
        <w:t xml:space="preserve"> </w:t>
      </w:r>
      <w:r w:rsidRPr="00B94827">
        <w:rPr>
          <w:i/>
        </w:rPr>
        <w:t>Seleukiden und Makka</w:t>
      </w:r>
      <w:r w:rsidR="001C7607" w:rsidRPr="00B94827">
        <w:rPr>
          <w:i/>
        </w:rPr>
        <w:t>bäer</w:t>
      </w:r>
      <w:r w:rsidR="001C7607">
        <w:t xml:space="preserve">. </w:t>
      </w:r>
      <w:r w:rsidR="00D0235D" w:rsidRPr="00D0235D">
        <w:rPr>
          <w:b/>
          <w:bCs/>
        </w:rPr>
        <w:t>Garber</w:t>
      </w:r>
      <w:r w:rsidR="00D0235D" w:rsidRPr="00D0235D">
        <w:rPr>
          <w:b/>
        </w:rPr>
        <w:t xml:space="preserve">, D. G. </w:t>
      </w:r>
      <w:r w:rsidR="00D0235D" w:rsidRPr="00D0235D">
        <w:t>“Resisting Daniel.”</w:t>
      </w:r>
      <w:r w:rsidR="00D0235D" w:rsidRPr="00D0235D">
        <w:rPr>
          <w:b/>
        </w:rPr>
        <w:t xml:space="preserve"> </w:t>
      </w:r>
      <w:r w:rsidR="0002094C" w:rsidRPr="0002094C">
        <w:rPr>
          <w:b/>
        </w:rPr>
        <w:t>Gardner, A. E.</w:t>
      </w:r>
      <w:r w:rsidR="0002094C">
        <w:t xml:space="preserve"> </w:t>
      </w:r>
      <w:r w:rsidR="0002094C" w:rsidRPr="009A3556">
        <w:rPr>
          <w:rFonts w:eastAsia="Times New Roman" w:cs="Times New Roman"/>
        </w:rPr>
        <w:t>“The Way to Eternal Life in Dan 12:1e-2.”</w:t>
      </w:r>
      <w:r w:rsidR="0002094C">
        <w:rPr>
          <w:rFonts w:eastAsia="Times New Roman" w:cs="Times New Roman"/>
        </w:rPr>
        <w:t xml:space="preserve"> </w:t>
      </w:r>
      <w:r w:rsidRPr="001C7607">
        <w:rPr>
          <w:b/>
        </w:rPr>
        <w:t>Gese, H.</w:t>
      </w:r>
      <w:r w:rsidR="001C7607">
        <w:t xml:space="preserve"> “Der Tod im AT.” </w:t>
      </w:r>
      <w:r w:rsidR="001C7607" w:rsidRPr="001C7607">
        <w:t xml:space="preserve">———. </w:t>
      </w:r>
      <w:r w:rsidRPr="002B376E">
        <w:t>“Das Geschichtsbild des Danielsbuch</w:t>
      </w:r>
      <w:r w:rsidR="001C7607">
        <w:t xml:space="preserve">es und Ägypten.” </w:t>
      </w:r>
      <w:r w:rsidRPr="001C7607">
        <w:rPr>
          <w:b/>
        </w:rPr>
        <w:t>Gibbs, G. L.</w:t>
      </w:r>
      <w:r w:rsidRPr="002B376E">
        <w:t xml:space="preserve"> </w:t>
      </w:r>
      <w:r w:rsidRPr="001C7607">
        <w:rPr>
          <w:i/>
        </w:rPr>
        <w:t>Daniel’s Last Vision</w:t>
      </w:r>
      <w:r w:rsidR="001C7607">
        <w:t xml:space="preserve">. </w:t>
      </w:r>
      <w:r w:rsidRPr="001C7607">
        <w:rPr>
          <w:b/>
        </w:rPr>
        <w:t>Ginsberg, H. L.</w:t>
      </w:r>
      <w:r w:rsidRPr="002B376E">
        <w:t xml:space="preserve"> “The Oldest Interpretation of the Suffering</w:t>
      </w:r>
      <w:r w:rsidR="001C7607">
        <w:t xml:space="preserve"> Servant.” </w:t>
      </w:r>
      <w:r w:rsidR="000E5135" w:rsidRPr="00B740B4">
        <w:rPr>
          <w:b/>
        </w:rPr>
        <w:t>Goswell</w:t>
      </w:r>
      <w:r w:rsidR="000E5135">
        <w:rPr>
          <w:b/>
        </w:rPr>
        <w:t xml:space="preserve">, G. </w:t>
      </w:r>
      <w:r w:rsidR="000E5135">
        <w:t xml:space="preserve">“Resurrection in the Book of Daniel.” </w:t>
      </w:r>
      <w:r w:rsidR="00B64057">
        <w:rPr>
          <w:b/>
        </w:rPr>
        <w:t xml:space="preserve">Grabbe, L. L. </w:t>
      </w:r>
      <w:r w:rsidR="00B64057" w:rsidRPr="00833544">
        <w:t>“The Hellenistic City of Jerusalem.”</w:t>
      </w:r>
      <w:r w:rsidR="00B64057">
        <w:t xml:space="preserve"> </w:t>
      </w:r>
      <w:r w:rsidR="00EE3CAD">
        <w:rPr>
          <w:rFonts w:eastAsiaTheme="minorHAnsi"/>
          <w:b/>
        </w:rPr>
        <w:t xml:space="preserve">Grainger, J. D. </w:t>
      </w:r>
      <w:r w:rsidR="00EE3CAD">
        <w:rPr>
          <w:rFonts w:eastAsiaTheme="minorHAnsi"/>
          <w:i/>
        </w:rPr>
        <w:t>The Syrian Wars</w:t>
      </w:r>
      <w:r w:rsidR="00EE3CAD">
        <w:rPr>
          <w:rFonts w:eastAsiaTheme="minorHAnsi"/>
        </w:rPr>
        <w:t xml:space="preserve">. </w:t>
      </w:r>
      <w:r w:rsidRPr="001C7607">
        <w:rPr>
          <w:b/>
        </w:rPr>
        <w:t>Granot, M.</w:t>
      </w:r>
      <w:r w:rsidRPr="002B376E">
        <w:t xml:space="preserve"> “</w:t>
      </w:r>
      <w:r w:rsidRPr="002B376E">
        <w:rPr>
          <w:rFonts w:ascii="Arial" w:hAnsi="Arial" w:cs="Arial"/>
        </w:rPr>
        <w:t>הימין</w:t>
      </w:r>
      <w:r w:rsidR="00CF2C01">
        <w:t xml:space="preserve">  </w:t>
      </w:r>
      <w:r w:rsidR="00CF2C01" w:rsidRPr="00CF2C01">
        <w:rPr>
          <w:rFonts w:ascii="Arial" w:hAnsi="Arial" w:cs="Arial"/>
        </w:rPr>
        <w:t>לקץ לגרלך</w:t>
      </w:r>
      <w:r w:rsidR="00CF2C01">
        <w:rPr>
          <w:rFonts w:ascii="Arial" w:hAnsi="Arial" w:cs="Arial"/>
        </w:rPr>
        <w:t xml:space="preserve"> </w:t>
      </w:r>
      <w:r w:rsidR="00CF2C01" w:rsidRPr="00CF2C01">
        <w:rPr>
          <w:rFonts w:ascii="Arial" w:hAnsi="Arial" w:cs="Arial"/>
        </w:rPr>
        <w:t>ותעמד</w:t>
      </w:r>
      <w:r w:rsidR="001C7607">
        <w:t xml:space="preserve">” </w:t>
      </w:r>
      <w:r w:rsidRPr="000310CF">
        <w:rPr>
          <w:b/>
        </w:rPr>
        <w:t xml:space="preserve">Greenspoon, L. J. </w:t>
      </w:r>
      <w:r w:rsidRPr="002B376E">
        <w:t>“The Origin of the Idea of Resurrection</w:t>
      </w:r>
      <w:r w:rsidR="000310CF">
        <w:t xml:space="preserve">.” </w:t>
      </w:r>
      <w:r w:rsidRPr="000310CF">
        <w:rPr>
          <w:b/>
        </w:rPr>
        <w:t>Grelot, P.</w:t>
      </w:r>
      <w:r w:rsidRPr="002B376E">
        <w:t xml:space="preserve"> “La promise de la résurrection et de l</w:t>
      </w:r>
      <w:r w:rsidR="000310CF">
        <w:t>a vie</w:t>
      </w:r>
      <w:r w:rsidR="00CF2C01">
        <w:t xml:space="preserve"> </w:t>
      </w:r>
      <w:r w:rsidR="000310CF">
        <w:t>éternelle, Dn 12 1–3.”</w:t>
      </w:r>
      <w:r w:rsidRPr="002B376E">
        <w:t xml:space="preserve"> </w:t>
      </w:r>
      <w:r w:rsidRPr="000310CF">
        <w:rPr>
          <w:b/>
        </w:rPr>
        <w:t>Griffiths, J. G.</w:t>
      </w:r>
      <w:r w:rsidRPr="002B376E">
        <w:t xml:space="preserve"> “Apocalyptic in th</w:t>
      </w:r>
      <w:r w:rsidR="00ED1C62">
        <w:t>e Hellenistic Era,” i</w:t>
      </w:r>
      <w:r w:rsidRPr="002B376E">
        <w:t xml:space="preserve">n </w:t>
      </w:r>
      <w:r w:rsidR="00ED1C62" w:rsidRPr="00ED1C62">
        <w:t xml:space="preserve">Hellholm </w:t>
      </w:r>
      <w:r w:rsidR="00ED1C62">
        <w:t xml:space="preserve">(ed.), </w:t>
      </w:r>
      <w:r w:rsidRPr="00ED1C62">
        <w:rPr>
          <w:i/>
        </w:rPr>
        <w:t>Apocalypticism</w:t>
      </w:r>
      <w:r w:rsidRPr="002B376E">
        <w:t xml:space="preserve">, 273–93. </w:t>
      </w:r>
      <w:r w:rsidR="00A36D30">
        <w:rPr>
          <w:rFonts w:eastAsiaTheme="minorHAnsi"/>
          <w:b/>
        </w:rPr>
        <w:t xml:space="preserve">Gruen, E. S. </w:t>
      </w:r>
      <w:r w:rsidR="00A36D30">
        <w:rPr>
          <w:rFonts w:eastAsiaTheme="minorHAnsi"/>
        </w:rPr>
        <w:t xml:space="preserve">“Hellenism and Persecution.” </w:t>
      </w:r>
      <w:r w:rsidR="00AD07CC" w:rsidRPr="00AD07CC">
        <w:rPr>
          <w:b/>
        </w:rPr>
        <w:t>Haag, E.</w:t>
      </w:r>
      <w:r w:rsidR="00AD07CC">
        <w:t xml:space="preserve"> </w:t>
      </w:r>
      <w:r w:rsidR="004479D6" w:rsidRPr="00621673">
        <w:rPr>
          <w:rFonts w:eastAsia="Times New Roman" w:cs="Times New Roman"/>
        </w:rPr>
        <w:t>“Daniel 12</w:t>
      </w:r>
      <w:r w:rsidR="004479D6">
        <w:t xml:space="preserve"> und die Auferstehung der Toten,</w:t>
      </w:r>
      <w:r w:rsidR="004479D6" w:rsidRPr="00621673">
        <w:rPr>
          <w:rFonts w:eastAsia="Times New Roman" w:cs="Times New Roman"/>
        </w:rPr>
        <w:t>”</w:t>
      </w:r>
      <w:r w:rsidR="004479D6">
        <w:t xml:space="preserve"> i</w:t>
      </w:r>
      <w:r w:rsidR="004479D6" w:rsidRPr="00621673">
        <w:rPr>
          <w:rFonts w:eastAsia="Times New Roman" w:cs="Times New Roman"/>
        </w:rPr>
        <w:t xml:space="preserve">n </w:t>
      </w:r>
      <w:r w:rsidR="004479D6" w:rsidRPr="00621673">
        <w:rPr>
          <w:rFonts w:eastAsia="Times New Roman" w:cs="Times New Roman"/>
          <w:bCs/>
        </w:rPr>
        <w:t xml:space="preserve">Collins/Flint (eds.), </w:t>
      </w:r>
      <w:r w:rsidR="004479D6" w:rsidRPr="00621673">
        <w:rPr>
          <w:rFonts w:eastAsia="Times New Roman" w:cs="Times New Roman"/>
          <w:bCs/>
          <w:i/>
        </w:rPr>
        <w:t>The Book of Daniel</w:t>
      </w:r>
      <w:r w:rsidR="004479D6" w:rsidRPr="00621673">
        <w:rPr>
          <w:rFonts w:eastAsia="Times New Roman" w:cs="Times New Roman"/>
          <w:bCs/>
        </w:rPr>
        <w:t xml:space="preserve"> 1:</w:t>
      </w:r>
      <w:r w:rsidR="004479D6">
        <w:rPr>
          <w:bCs/>
        </w:rPr>
        <w:t>132-48.</w:t>
      </w:r>
      <w:r w:rsidR="004479D6">
        <w:t xml:space="preserve"> </w:t>
      </w:r>
      <w:r w:rsidR="004479D6" w:rsidRPr="00B740B4">
        <w:t>———.</w:t>
      </w:r>
      <w:r w:rsidR="004479D6">
        <w:t xml:space="preserve"> </w:t>
      </w:r>
      <w:r w:rsidR="00AD07CC">
        <w:t xml:space="preserve">“Der Kampf der Engelmächte in Daniel 10—12.” </w:t>
      </w:r>
      <w:r w:rsidRPr="00C80F17">
        <w:rPr>
          <w:b/>
        </w:rPr>
        <w:t>Hanhart, R.</w:t>
      </w:r>
      <w:r w:rsidRPr="002B376E">
        <w:t xml:space="preserve"> “Die Übersetzungstechnik der Septuaginta als Interpretation (Daniel 11, 29 und die Aegyptenzüge des Antiochu</w:t>
      </w:r>
      <w:r w:rsidR="00C80F17">
        <w:t xml:space="preserve">s Epiphanes).” </w:t>
      </w:r>
      <w:r w:rsidR="00E07E4C">
        <w:rPr>
          <w:b/>
        </w:rPr>
        <w:t xml:space="preserve">Harton, G. M. </w:t>
      </w:r>
      <w:r w:rsidR="00E07E4C">
        <w:t xml:space="preserve">“An Interpretation of Daniel 11:36-45.” </w:t>
      </w:r>
      <w:r w:rsidRPr="00C80F17">
        <w:rPr>
          <w:b/>
        </w:rPr>
        <w:t>Hasel, G. F.</w:t>
      </w:r>
      <w:r w:rsidRPr="002B376E">
        <w:t xml:space="preserve"> “Resurrection </w:t>
      </w:r>
      <w:r w:rsidR="00C80F17">
        <w:t>in the Theology of OT</w:t>
      </w:r>
      <w:r w:rsidRPr="002B376E">
        <w:t xml:space="preserve"> Apoc</w:t>
      </w:r>
      <w:r w:rsidR="00C80F17">
        <w:t xml:space="preserve">alyptic.” </w:t>
      </w:r>
      <w:r w:rsidRPr="00C80F17">
        <w:rPr>
          <w:b/>
        </w:rPr>
        <w:t>Hasslberger B.</w:t>
      </w:r>
      <w:r w:rsidRPr="002B376E">
        <w:t xml:space="preserve"> </w:t>
      </w:r>
      <w:r w:rsidRPr="00C80F17">
        <w:rPr>
          <w:i/>
        </w:rPr>
        <w:t>Hoffnung in der Bedrängnis: Eine formkritische Unt</w:t>
      </w:r>
      <w:r w:rsidR="00242A17">
        <w:rPr>
          <w:i/>
        </w:rPr>
        <w:t>ersuchung zu Daniel 8 und 10–12,</w:t>
      </w:r>
      <w:r w:rsidRPr="002B376E">
        <w:t xml:space="preserve"> 111–374. </w:t>
      </w:r>
      <w:r w:rsidRPr="00242A17">
        <w:rPr>
          <w:b/>
        </w:rPr>
        <w:t>Heard, W. J.</w:t>
      </w:r>
      <w:r w:rsidRPr="002B376E">
        <w:t xml:space="preserve"> “The Maccabean Martyrs’ Contribution to Ho</w:t>
      </w:r>
      <w:r w:rsidR="00242A17">
        <w:t xml:space="preserve">ly War.” </w:t>
      </w:r>
      <w:r w:rsidRPr="00242A17">
        <w:rPr>
          <w:b/>
        </w:rPr>
        <w:t>Herrmann, W.</w:t>
      </w:r>
      <w:r w:rsidRPr="002B376E">
        <w:t xml:space="preserve"> “Das Buch des Lebens.” </w:t>
      </w:r>
      <w:r w:rsidR="00F3262F" w:rsidRPr="00B740B4">
        <w:rPr>
          <w:b/>
        </w:rPr>
        <w:t>Hobbins, J.</w:t>
      </w:r>
      <w:r w:rsidR="00F3262F" w:rsidRPr="00B740B4">
        <w:t xml:space="preserve"> </w:t>
      </w:r>
      <w:r w:rsidR="00F3262F" w:rsidRPr="00FB576E">
        <w:rPr>
          <w:b/>
        </w:rPr>
        <w:t>F.</w:t>
      </w:r>
      <w:r w:rsidR="00F3262F" w:rsidRPr="00B740B4">
        <w:t xml:space="preserve"> “Resurrection in the Daniel Traditi</w:t>
      </w:r>
      <w:r w:rsidR="00F3262F">
        <w:t>on and Other Writings at Qumran,</w:t>
      </w:r>
      <w:r w:rsidR="00F3262F" w:rsidRPr="00B740B4">
        <w:t>”</w:t>
      </w:r>
      <w:r w:rsidR="00F3262F">
        <w:t xml:space="preserve"> i</w:t>
      </w:r>
      <w:r w:rsidR="00F3262F" w:rsidRPr="00B740B4">
        <w:t xml:space="preserve">n </w:t>
      </w:r>
      <w:r w:rsidR="00F3262F" w:rsidRPr="00B740B4">
        <w:rPr>
          <w:bCs/>
        </w:rPr>
        <w:t xml:space="preserve">Collins/Flint (eds.), </w:t>
      </w:r>
      <w:r w:rsidR="00F3262F" w:rsidRPr="00B740B4">
        <w:rPr>
          <w:bCs/>
          <w:i/>
        </w:rPr>
        <w:t>The Book of Daniel</w:t>
      </w:r>
      <w:r w:rsidR="00F3262F" w:rsidRPr="00B740B4">
        <w:rPr>
          <w:bCs/>
        </w:rPr>
        <w:t xml:space="preserve"> 2:395-420.</w:t>
      </w:r>
      <w:r w:rsidR="003A4B1E">
        <w:t xml:space="preserve"> </w:t>
      </w:r>
      <w:r w:rsidRPr="00242A17">
        <w:rPr>
          <w:b/>
        </w:rPr>
        <w:t>Hunt, B.</w:t>
      </w:r>
      <w:r w:rsidRPr="002B376E">
        <w:t xml:space="preserve"> “A Short Note on Daniel 12:11–12.” </w:t>
      </w:r>
      <w:r w:rsidRPr="00242A17">
        <w:rPr>
          <w:b/>
        </w:rPr>
        <w:t>Itō, G</w:t>
      </w:r>
      <w:r w:rsidRPr="002B376E">
        <w:t xml:space="preserve">. </w:t>
      </w:r>
      <w:r w:rsidR="00242A17">
        <w:t>“Old Persian a pa da a na</w:t>
      </w:r>
      <w:r w:rsidR="00242A17" w:rsidRPr="00242A17">
        <w:rPr>
          <w:b/>
        </w:rPr>
        <w:t xml:space="preserve">.” </w:t>
      </w:r>
      <w:r w:rsidRPr="00242A17">
        <w:rPr>
          <w:b/>
        </w:rPr>
        <w:t>Jaubert, A.</w:t>
      </w:r>
      <w:r w:rsidR="00242A17">
        <w:t xml:space="preserve"> “Fiches de </w:t>
      </w:r>
      <w:r w:rsidR="00242A17">
        <w:lastRenderedPageBreak/>
        <w:t xml:space="preserve">calendrier.” </w:t>
      </w:r>
      <w:r w:rsidRPr="00242A17">
        <w:rPr>
          <w:b/>
        </w:rPr>
        <w:t>Jones, B. W.</w:t>
      </w:r>
      <w:r w:rsidRPr="002B376E">
        <w:t xml:space="preserve"> “Antiochus Epiphanes and the Pe</w:t>
      </w:r>
      <w:r w:rsidR="00242A17">
        <w:t xml:space="preserve">rsecution of the Jews.” </w:t>
      </w:r>
      <w:r w:rsidRPr="00242A17">
        <w:rPr>
          <w:b/>
        </w:rPr>
        <w:t xml:space="preserve">Kaiser, O., </w:t>
      </w:r>
      <w:r w:rsidRPr="00FB576E">
        <w:t>and</w:t>
      </w:r>
      <w:r w:rsidRPr="00242A17">
        <w:rPr>
          <w:b/>
        </w:rPr>
        <w:t xml:space="preserve"> Lohse, E.</w:t>
      </w:r>
      <w:r w:rsidRPr="002B376E">
        <w:t xml:space="preserve"> </w:t>
      </w:r>
      <w:r w:rsidRPr="00242A17">
        <w:rPr>
          <w:i/>
        </w:rPr>
        <w:t>Tod und Leben</w:t>
      </w:r>
      <w:r w:rsidR="00242A17">
        <w:t>.</w:t>
      </w:r>
      <w:r w:rsidRPr="002B376E">
        <w:t xml:space="preserve"> </w:t>
      </w:r>
      <w:r w:rsidRPr="00D67B0E">
        <w:rPr>
          <w:b/>
        </w:rPr>
        <w:t>Keil, V.</w:t>
      </w:r>
      <w:r w:rsidRPr="002B376E">
        <w:t xml:space="preserve"> “Onias III.” </w:t>
      </w:r>
      <w:r w:rsidRPr="00D67B0E">
        <w:rPr>
          <w:b/>
        </w:rPr>
        <w:t>Kellermann, U.</w:t>
      </w:r>
      <w:r w:rsidRPr="002B376E">
        <w:t xml:space="preserve"> “Überwindung des Todesgeschicks in der altte</w:t>
      </w:r>
      <w:r w:rsidR="00D67B0E">
        <w:t xml:space="preserve">stamentlichen Frömmigkeit.” </w:t>
      </w:r>
      <w:r w:rsidRPr="00D67B0E">
        <w:rPr>
          <w:b/>
        </w:rPr>
        <w:t>Kleinknecht, K. T.</w:t>
      </w:r>
      <w:r w:rsidRPr="002B376E">
        <w:t xml:space="preserve"> </w:t>
      </w:r>
      <w:r w:rsidRPr="00D67B0E">
        <w:rPr>
          <w:i/>
        </w:rPr>
        <w:t>Der leidende Gerechtfertigte</w:t>
      </w:r>
      <w:r w:rsidR="00D67B0E">
        <w:t xml:space="preserve">, 75–78. </w:t>
      </w:r>
      <w:r w:rsidR="00A1268F" w:rsidRPr="00B740B4">
        <w:rPr>
          <w:rFonts w:eastAsia="Times-Roman" w:cs="Times-Roman"/>
          <w:b/>
        </w:rPr>
        <w:t xml:space="preserve">Knox, Z. </w:t>
      </w:r>
      <w:r w:rsidR="00A1268F" w:rsidRPr="00B740B4">
        <w:rPr>
          <w:rFonts w:eastAsia="Times-Roman" w:cs="Times-Roman"/>
        </w:rPr>
        <w:t xml:space="preserve">“The Watch Tower Society and the End of the Cold War.” </w:t>
      </w:r>
      <w:r w:rsidRPr="00D67B0E">
        <w:rPr>
          <w:b/>
        </w:rPr>
        <w:t>Kosmala, H.</w:t>
      </w:r>
      <w:r w:rsidRPr="002B376E">
        <w:t xml:space="preserve"> “M</w:t>
      </w:r>
      <w:r w:rsidR="006C65EF">
        <w:t>aśkîl.”</w:t>
      </w:r>
      <w:r w:rsidRPr="002B376E">
        <w:t xml:space="preserve"> </w:t>
      </w:r>
      <w:r w:rsidRPr="006C65EF">
        <w:rPr>
          <w:b/>
        </w:rPr>
        <w:t>Kossen, H. B.</w:t>
      </w:r>
      <w:r w:rsidRPr="002B376E">
        <w:t xml:space="preserve"> “De oorsprong van de Voorstelling der opstandin</w:t>
      </w:r>
      <w:r w:rsidR="006C65EF">
        <w:t xml:space="preserve">g uit de doden in Dan. 12:2.” </w:t>
      </w:r>
      <w:r w:rsidR="00722C8A">
        <w:rPr>
          <w:b/>
        </w:rPr>
        <w:t xml:space="preserve">Levenson, J. D. </w:t>
      </w:r>
      <w:r w:rsidR="00722C8A">
        <w:rPr>
          <w:i/>
        </w:rPr>
        <w:t>Resurrection and the Restoration of Israel</w:t>
      </w:r>
      <w:r w:rsidR="00CE7378">
        <w:t>, 181-200</w:t>
      </w:r>
      <w:r w:rsidR="003A4B1E">
        <w:t>.</w:t>
      </w:r>
      <w:r w:rsidR="00722C8A">
        <w:t xml:space="preserve"> </w:t>
      </w:r>
      <w:r w:rsidRPr="006C65EF">
        <w:rPr>
          <w:b/>
        </w:rPr>
        <w:t>Lindenberger, J. M.</w:t>
      </w:r>
      <w:r w:rsidRPr="002B376E">
        <w:t xml:space="preserve"> “Danie</w:t>
      </w:r>
      <w:r w:rsidR="006C65EF">
        <w:t>l 12:1–4.”</w:t>
      </w:r>
      <w:r w:rsidRPr="002B376E">
        <w:t xml:space="preserve"> </w:t>
      </w:r>
      <w:r w:rsidR="00453D24" w:rsidRPr="0083728F">
        <w:rPr>
          <w:rFonts w:eastAsiaTheme="minorHAnsi" w:cs="TimesNewRoman"/>
          <w:b/>
        </w:rPr>
        <w:t>M</w:t>
      </w:r>
      <w:r w:rsidR="00453D24" w:rsidRPr="00B740B4">
        <w:rPr>
          <w:rFonts w:eastAsiaTheme="minorHAnsi" w:cs="TimesNewRoman"/>
          <w:b/>
        </w:rPr>
        <w:t>cGarry, E.P</w:t>
      </w:r>
      <w:r w:rsidR="00453D24" w:rsidRPr="00B740B4">
        <w:rPr>
          <w:rFonts w:eastAsiaTheme="minorHAnsi" w:cs="TimesNewRoman"/>
        </w:rPr>
        <w:t>. “The Ambidextrous Angel (Daniel 12:7 and Deu</w:t>
      </w:r>
      <w:r w:rsidR="00453D24">
        <w:rPr>
          <w:rFonts w:eastAsiaTheme="minorHAnsi" w:cs="TimesNewRoman"/>
        </w:rPr>
        <w:t>teronomy 32:40).</w:t>
      </w:r>
      <w:r w:rsidR="00453D24" w:rsidRPr="00B740B4">
        <w:rPr>
          <w:rFonts w:eastAsiaTheme="minorHAnsi" w:cs="TimesNewRoman"/>
        </w:rPr>
        <w:t xml:space="preserve">” </w:t>
      </w:r>
      <w:r w:rsidRPr="006C65EF">
        <w:rPr>
          <w:b/>
        </w:rPr>
        <w:t>McHardy, W. D.</w:t>
      </w:r>
      <w:r w:rsidRPr="002B376E">
        <w:t xml:space="preserve"> “The Peshitta Text of Dani</w:t>
      </w:r>
      <w:r w:rsidR="006C65EF">
        <w:t xml:space="preserve">el xi. 4.” </w:t>
      </w:r>
      <w:r w:rsidRPr="006C65EF">
        <w:rPr>
          <w:b/>
        </w:rPr>
        <w:t>Martin-Achard, R.</w:t>
      </w:r>
      <w:r w:rsidRPr="002B376E">
        <w:t xml:space="preserve"> </w:t>
      </w:r>
      <w:r w:rsidRPr="006C65EF">
        <w:rPr>
          <w:i/>
        </w:rPr>
        <w:t>De la mort</w:t>
      </w:r>
      <w:r w:rsidR="00FB576E">
        <w:rPr>
          <w:i/>
        </w:rPr>
        <w:t xml:space="preserve"> </w:t>
      </w:r>
      <w:r w:rsidRPr="006C65EF">
        <w:rPr>
          <w:i/>
        </w:rPr>
        <w:t>á la résurrect</w:t>
      </w:r>
      <w:r w:rsidR="003A4B1E">
        <w:rPr>
          <w:i/>
        </w:rPr>
        <w:t>ion d’après l’AT</w:t>
      </w:r>
      <w:r w:rsidRPr="002B376E">
        <w:t>. ———. “L’espérance des croyants d’Israël face à la mort selon Esäie 65, 16c–25 et selo</w:t>
      </w:r>
      <w:r w:rsidR="006C65EF">
        <w:t>n Daniel 12, 1–4.”</w:t>
      </w:r>
      <w:r w:rsidRPr="002B376E">
        <w:t xml:space="preserve"> ———. “Trois remarques sur la rèsurrecti</w:t>
      </w:r>
      <w:r w:rsidR="006C65EF">
        <w:t xml:space="preserve">on des morts dans l’AT.” </w:t>
      </w:r>
      <w:r w:rsidR="00C57FD4">
        <w:rPr>
          <w:b/>
          <w:iCs/>
        </w:rPr>
        <w:t>Mathews, S</w:t>
      </w:r>
      <w:r w:rsidR="00C57FD4" w:rsidRPr="00C57FD4">
        <w:rPr>
          <w:b/>
          <w:iCs/>
        </w:rPr>
        <w:t xml:space="preserve">. F. </w:t>
      </w:r>
      <w:r w:rsidR="00C57FD4" w:rsidRPr="00C57FD4">
        <w:rPr>
          <w:iCs/>
        </w:rPr>
        <w:t>“The Numbers in Daniel 12:11-12.”</w:t>
      </w:r>
      <w:r w:rsidR="003A4B1E">
        <w:rPr>
          <w:iCs/>
        </w:rPr>
        <w:t xml:space="preserve"> </w:t>
      </w:r>
      <w:r w:rsidR="00A0324C" w:rsidRPr="00A0324C">
        <w:rPr>
          <w:b/>
        </w:rPr>
        <w:t>Meadowcroft, T. J.</w:t>
      </w:r>
      <w:r w:rsidR="00A0324C">
        <w:t xml:space="preserve"> </w:t>
      </w:r>
      <w:r w:rsidR="00A0324C" w:rsidRPr="00A0324C">
        <w:t>“History and Eschat</w:t>
      </w:r>
      <w:r w:rsidR="00A0324C">
        <w:t xml:space="preserve">ology in Tension.” </w:t>
      </w:r>
      <w:r w:rsidR="00F64844" w:rsidRPr="00F64844">
        <w:t xml:space="preserve">———. </w:t>
      </w:r>
      <w:r w:rsidR="00F64844" w:rsidRPr="00B740B4">
        <w:rPr>
          <w:rFonts w:eastAsiaTheme="minorHAnsi" w:cs="TimesNewRoman"/>
        </w:rPr>
        <w:t xml:space="preserve">“Who are the Princes </w:t>
      </w:r>
      <w:r w:rsidR="00FB576E">
        <w:rPr>
          <w:rFonts w:eastAsiaTheme="minorHAnsi" w:cs="TimesNewRoman"/>
        </w:rPr>
        <w:t>of Persia and Greece</w:t>
      </w:r>
      <w:r w:rsidR="00F64844" w:rsidRPr="00B740B4">
        <w:rPr>
          <w:rFonts w:eastAsiaTheme="minorHAnsi" w:cs="TimesNewRoman"/>
        </w:rPr>
        <w:t xml:space="preserve">?” </w:t>
      </w:r>
      <w:r w:rsidR="0098682B" w:rsidRPr="00B740B4">
        <w:rPr>
          <w:rFonts w:eastAsiaTheme="minorHAnsi" w:cs="TimesNewRoman"/>
          <w:b/>
        </w:rPr>
        <w:t>Mercer, M.</w:t>
      </w:r>
      <w:r w:rsidR="0098682B" w:rsidRPr="00B740B4">
        <w:rPr>
          <w:rFonts w:eastAsiaTheme="minorHAnsi" w:cs="TimesNewRoman"/>
        </w:rPr>
        <w:t xml:space="preserve"> “The Benefactions of Antiochus IV Ephiphanes</w:t>
      </w:r>
      <w:r w:rsidR="0098682B">
        <w:rPr>
          <w:rFonts w:eastAsiaTheme="minorHAnsi" w:cs="TimesNewRoman"/>
        </w:rPr>
        <w:t xml:space="preserve"> and Dan 11:37-38.</w:t>
      </w:r>
      <w:r w:rsidR="0098682B" w:rsidRPr="00B740B4">
        <w:rPr>
          <w:rFonts w:eastAsiaTheme="minorHAnsi" w:cs="TimesNewRoman"/>
        </w:rPr>
        <w:t xml:space="preserve">” </w:t>
      </w:r>
      <w:r w:rsidRPr="006C65EF">
        <w:rPr>
          <w:b/>
        </w:rPr>
        <w:t>Moore, M. S.</w:t>
      </w:r>
      <w:r w:rsidRPr="002B376E">
        <w:t xml:space="preserve"> “Resu</w:t>
      </w:r>
      <w:r w:rsidR="00FB576E">
        <w:t>rrection and Immortality</w:t>
      </w:r>
      <w:r w:rsidR="006C65EF">
        <w:t xml:space="preserve">.” </w:t>
      </w:r>
      <w:r w:rsidRPr="006C65EF">
        <w:rPr>
          <w:b/>
        </w:rPr>
        <w:t>Morgenstern, J.</w:t>
      </w:r>
      <w:r w:rsidRPr="002B376E">
        <w:t xml:space="preserve"> “The King-God among the Western Semites and the Meaning of E</w:t>
      </w:r>
      <w:r w:rsidR="00EB4EFC">
        <w:t xml:space="preserve">piphanes.” </w:t>
      </w:r>
      <w:r w:rsidRPr="00EB4EFC">
        <w:rPr>
          <w:b/>
        </w:rPr>
        <w:t>Myers, T. A</w:t>
      </w:r>
      <w:r w:rsidR="00EB4EFC">
        <w:t>.</w:t>
      </w:r>
      <w:r w:rsidRPr="002B376E">
        <w:t xml:space="preserve"> </w:t>
      </w:r>
      <w:r w:rsidRPr="00EB4EFC">
        <w:rPr>
          <w:i/>
        </w:rPr>
        <w:t xml:space="preserve">Translation of the Prophecies </w:t>
      </w:r>
      <w:r w:rsidR="00EB4EFC" w:rsidRPr="00EB4EFC">
        <w:rPr>
          <w:i/>
        </w:rPr>
        <w:t>of Daniel</w:t>
      </w:r>
      <w:r w:rsidR="00EB4EFC">
        <w:t xml:space="preserve">. </w:t>
      </w:r>
      <w:r w:rsidRPr="00EB4EFC">
        <w:rPr>
          <w:b/>
        </w:rPr>
        <w:t>Nickelsburg, G. W. E.</w:t>
      </w:r>
      <w:r w:rsidRPr="002B376E">
        <w:t xml:space="preserve"> </w:t>
      </w:r>
      <w:r w:rsidRPr="00E80CCC">
        <w:rPr>
          <w:i/>
        </w:rPr>
        <w:t>Resurrection, Immortality, and Eternal Life in Intertestamental Judaism</w:t>
      </w:r>
      <w:r w:rsidR="00EB4EFC">
        <w:t xml:space="preserve">. </w:t>
      </w:r>
      <w:r w:rsidRPr="00EB4EFC">
        <w:rPr>
          <w:b/>
        </w:rPr>
        <w:t>Nikolainen, A. T.</w:t>
      </w:r>
      <w:r w:rsidRPr="002B376E">
        <w:t xml:space="preserve"> </w:t>
      </w:r>
      <w:r w:rsidRPr="00EB4EFC">
        <w:rPr>
          <w:i/>
        </w:rPr>
        <w:t>Der Auferstehungsglaube in der Bibel und ihrer Umwelt</w:t>
      </w:r>
      <w:r w:rsidR="00EB4EFC">
        <w:t xml:space="preserve">. </w:t>
      </w:r>
      <w:r w:rsidR="00B56108" w:rsidRPr="00B740B4">
        <w:rPr>
          <w:rFonts w:eastAsia="Times-Roman" w:cs="Times-Roman"/>
          <w:b/>
        </w:rPr>
        <w:t xml:space="preserve">Niskanen, P. </w:t>
      </w:r>
      <w:r w:rsidR="00B56108" w:rsidRPr="00B740B4">
        <w:rPr>
          <w:rFonts w:eastAsiaTheme="minorHAnsi"/>
        </w:rPr>
        <w:t xml:space="preserve">“Daniel‘s Portrait of Antiochus IV.” </w:t>
      </w:r>
      <w:r w:rsidRPr="00EB4EFC">
        <w:rPr>
          <w:b/>
        </w:rPr>
        <w:t>Nötscher, F.</w:t>
      </w:r>
      <w:r w:rsidRPr="002B376E">
        <w:t xml:space="preserve"> Altorientalischer und alttestamentli</w:t>
      </w:r>
      <w:r w:rsidR="00EB4EFC">
        <w:t xml:space="preserve">cher Auferstehungsglauben. </w:t>
      </w:r>
      <w:r w:rsidRPr="00EB4EFC">
        <w:rPr>
          <w:b/>
        </w:rPr>
        <w:t>Owen, J.</w:t>
      </w:r>
      <w:r w:rsidRPr="002B376E">
        <w:t xml:space="preserve"> “The Labouring Saint’s Dism</w:t>
      </w:r>
      <w:r w:rsidR="00EB4EFC">
        <w:t xml:space="preserve">ission to Rest.” </w:t>
      </w:r>
      <w:r w:rsidR="00CC3F3E" w:rsidRPr="00B740B4">
        <w:rPr>
          <w:b/>
        </w:rPr>
        <w:t xml:space="preserve">Parry, J. T. </w:t>
      </w:r>
      <w:r w:rsidR="00CC3F3E" w:rsidRPr="00B740B4">
        <w:t>“Desolation of the Temple and Messianic Enthronement in Daniel 11:36—12:</w:t>
      </w:r>
      <w:r w:rsidR="003A4B1E">
        <w:t>3.</w:t>
      </w:r>
      <w:r w:rsidR="00CC3F3E" w:rsidRPr="00B740B4">
        <w:t xml:space="preserve">” </w:t>
      </w:r>
      <w:r w:rsidRPr="00EB4EFC">
        <w:rPr>
          <w:b/>
        </w:rPr>
        <w:t>Paul, S.</w:t>
      </w:r>
      <w:r w:rsidRPr="002B376E">
        <w:t xml:space="preserve"> </w:t>
      </w:r>
      <w:r w:rsidR="00282B9F" w:rsidRPr="00282B9F">
        <w:t xml:space="preserve">“Daniel 12:9.” </w:t>
      </w:r>
      <w:r w:rsidR="00282B9F" w:rsidRPr="00282B9F">
        <w:rPr>
          <w:iCs/>
        </w:rPr>
        <w:t xml:space="preserve">———. </w:t>
      </w:r>
      <w:r w:rsidRPr="002B376E">
        <w:t xml:space="preserve">“Heavenly Tablets and the Book of </w:t>
      </w:r>
      <w:r w:rsidR="00EB4EFC">
        <w:t xml:space="preserve">Life.” </w:t>
      </w:r>
      <w:r w:rsidRPr="00885C49">
        <w:rPr>
          <w:b/>
        </w:rPr>
        <w:t>Pfeiffer, R. H.</w:t>
      </w:r>
      <w:r w:rsidRPr="002B376E">
        <w:t xml:space="preserve"> “Wisdom</w:t>
      </w:r>
      <w:r w:rsidR="00885C49">
        <w:t xml:space="preserve"> and Vision in the OT.” </w:t>
      </w:r>
      <w:r w:rsidRPr="00885C49">
        <w:rPr>
          <w:b/>
        </w:rPr>
        <w:t xml:space="preserve">Preuss, H. D. </w:t>
      </w:r>
      <w:r w:rsidRPr="002B376E">
        <w:t>“‘Auferstehung’ in Texten alttestament</w:t>
      </w:r>
      <w:r w:rsidR="00885C49">
        <w:t xml:space="preserve">licher Apokalyptik.” </w:t>
      </w:r>
      <w:r w:rsidR="00985B92" w:rsidRPr="00985B92">
        <w:rPr>
          <w:rFonts w:ascii="Calibri" w:eastAsia="Times-Roman" w:hAnsi="Calibri" w:cs="Times-Roman"/>
          <w:b/>
          <w:iCs/>
          <w:szCs w:val="20"/>
        </w:rPr>
        <w:t xml:space="preserve">Rappaport, U. </w:t>
      </w:r>
      <w:r w:rsidR="00985B92" w:rsidRPr="00985B92">
        <w:rPr>
          <w:rFonts w:ascii="Calibri" w:eastAsia="Times-Roman" w:hAnsi="Calibri" w:cs="Times-Roman"/>
          <w:iCs/>
          <w:szCs w:val="20"/>
        </w:rPr>
        <w:t xml:space="preserve">“Apocalyptic Vision and Preservation of Historical Memory.” </w:t>
      </w:r>
      <w:r w:rsidR="004A03E2" w:rsidRPr="00B740B4">
        <w:rPr>
          <w:b/>
          <w:iCs/>
        </w:rPr>
        <w:t>Raurell</w:t>
      </w:r>
      <w:r w:rsidR="004A03E2" w:rsidRPr="00B740B4">
        <w:rPr>
          <w:b/>
        </w:rPr>
        <w:t>, F.</w:t>
      </w:r>
      <w:r w:rsidR="004A03E2" w:rsidRPr="00B740B4">
        <w:t xml:space="preserve"> “The </w:t>
      </w:r>
      <w:r w:rsidR="004A03E2" w:rsidRPr="00813A9A">
        <w:rPr>
          <w:i/>
        </w:rPr>
        <w:t>Doxa</w:t>
      </w:r>
      <w:r w:rsidR="004A03E2">
        <w:t xml:space="preserve"> of the Seer in Dan-LXX 12,13,</w:t>
      </w:r>
      <w:r w:rsidR="004A03E2" w:rsidRPr="00B740B4">
        <w:t>”</w:t>
      </w:r>
      <w:r w:rsidR="004A03E2">
        <w:t xml:space="preserve"> i</w:t>
      </w:r>
      <w:r w:rsidR="004A03E2" w:rsidRPr="00B740B4">
        <w:t xml:space="preserve">n van der Woude </w:t>
      </w:r>
      <w:r w:rsidR="004A03E2" w:rsidRPr="00B740B4">
        <w:rPr>
          <w:b/>
        </w:rPr>
        <w:t>(</w:t>
      </w:r>
      <w:r w:rsidR="004A03E2" w:rsidRPr="00B740B4">
        <w:t>ed</w:t>
      </w:r>
      <w:r w:rsidR="004A03E2" w:rsidRPr="00B740B4">
        <w:rPr>
          <w:b/>
        </w:rPr>
        <w:t xml:space="preserve">.), </w:t>
      </w:r>
      <w:r w:rsidR="004A03E2" w:rsidRPr="00B740B4">
        <w:rPr>
          <w:i/>
        </w:rPr>
        <w:t>The Book of Daniel</w:t>
      </w:r>
      <w:r w:rsidR="004A03E2" w:rsidRPr="00B740B4">
        <w:t>, 520-532.</w:t>
      </w:r>
      <w:r w:rsidR="004A03E2">
        <w:rPr>
          <w:rFonts w:ascii="Calibri" w:eastAsia="Times-Roman" w:hAnsi="Calibri" w:cs="Times-Roman"/>
          <w:iCs/>
          <w:szCs w:val="20"/>
        </w:rPr>
        <w:t xml:space="preserve"> </w:t>
      </w:r>
      <w:r w:rsidR="009C68D2" w:rsidRPr="009C68D2">
        <w:rPr>
          <w:rFonts w:ascii="Calibri" w:eastAsia="Times-Roman" w:hAnsi="Calibri" w:cs="Times-Roman"/>
          <w:b/>
          <w:iCs/>
          <w:szCs w:val="20"/>
        </w:rPr>
        <w:t>Redditt, P. L.</w:t>
      </w:r>
      <w:r w:rsidR="009C68D2">
        <w:rPr>
          <w:rFonts w:ascii="Calibri" w:eastAsia="Times-Roman" w:hAnsi="Calibri" w:cs="Times-Roman"/>
          <w:iCs/>
          <w:szCs w:val="20"/>
        </w:rPr>
        <w:t xml:space="preserve"> </w:t>
      </w:r>
      <w:r w:rsidR="006F7BC1" w:rsidRPr="006F7BC1">
        <w:rPr>
          <w:rFonts w:ascii="Calibri" w:eastAsia="Times-Roman" w:hAnsi="Calibri" w:cs="Times-Roman"/>
          <w:iCs/>
          <w:szCs w:val="20"/>
        </w:rPr>
        <w:t>“Calculat</w:t>
      </w:r>
      <w:r w:rsidR="006F7BC1">
        <w:rPr>
          <w:rFonts w:ascii="Calibri" w:eastAsia="Times-Roman" w:hAnsi="Calibri" w:cs="Times-Roman"/>
          <w:iCs/>
          <w:szCs w:val="20"/>
        </w:rPr>
        <w:t>ing the 'Times': Daniel 12:5-13.</w:t>
      </w:r>
      <w:r w:rsidR="006F7BC1" w:rsidRPr="006F7BC1">
        <w:rPr>
          <w:rFonts w:ascii="Calibri" w:eastAsia="Times-Roman" w:hAnsi="Calibri" w:cs="Times-Roman"/>
          <w:iCs/>
          <w:szCs w:val="20"/>
        </w:rPr>
        <w:t xml:space="preserve">” ———. </w:t>
      </w:r>
      <w:r w:rsidR="009C68D2" w:rsidRPr="009C68D2">
        <w:rPr>
          <w:rFonts w:ascii="Calibri" w:eastAsia="Times-Roman" w:hAnsi="Calibri" w:cs="Times-Roman"/>
          <w:iCs/>
          <w:szCs w:val="20"/>
        </w:rPr>
        <w:t>“Daniel 11 and the Sociohistorical Setting of the Book of Daniel.”</w:t>
      </w:r>
      <w:r w:rsidR="009C68D2">
        <w:rPr>
          <w:rFonts w:ascii="Calibri" w:eastAsia="Times-Roman" w:hAnsi="Calibri" w:cs="Times-Roman"/>
          <w:iCs/>
          <w:szCs w:val="20"/>
        </w:rPr>
        <w:t xml:space="preserve"> </w:t>
      </w:r>
      <w:r w:rsidR="00E80CCC" w:rsidRPr="00F51754">
        <w:rPr>
          <w:b/>
          <w:bCs/>
        </w:rPr>
        <w:t xml:space="preserve">Rost, L. </w:t>
      </w:r>
      <w:r w:rsidR="00E80CCC" w:rsidRPr="00F51754">
        <w:t>"Alttestamentliche Wurze</w:t>
      </w:r>
      <w:r w:rsidR="00885C49">
        <w:t xml:space="preserve">ln der ersten Auferstehung." </w:t>
      </w:r>
      <w:r w:rsidR="00E80CCC" w:rsidRPr="00F51754">
        <w:rPr>
          <w:b/>
          <w:bCs/>
        </w:rPr>
        <w:t xml:space="preserve">Rowley, H. H. </w:t>
      </w:r>
      <w:r w:rsidR="00E80CCC" w:rsidRPr="00F51754">
        <w:t xml:space="preserve">"The 'Prince of the Covenant' in Daniel xi. 22." </w:t>
      </w:r>
      <w:r w:rsidR="00E80CCC" w:rsidRPr="003E081C">
        <w:rPr>
          <w:b/>
        </w:rPr>
        <w:t>Sawyer, J. F. A.</w:t>
      </w:r>
      <w:r w:rsidR="00E80CCC" w:rsidRPr="00F51754">
        <w:t xml:space="preserve"> "Hebrew Words for the Resurrection of the Dead." </w:t>
      </w:r>
      <w:r w:rsidR="00C013FC">
        <w:rPr>
          <w:b/>
          <w:bCs/>
        </w:rPr>
        <w:t>Schä</w:t>
      </w:r>
      <w:r w:rsidR="00E80CCC" w:rsidRPr="00F51754">
        <w:rPr>
          <w:b/>
          <w:bCs/>
        </w:rPr>
        <w:t xml:space="preserve">fer, P. </w:t>
      </w:r>
      <w:r w:rsidR="00E80CCC" w:rsidRPr="00F51754">
        <w:t>"The Hellenistic and Maccabaean Pe</w:t>
      </w:r>
      <w:r w:rsidR="003E081C">
        <w:t xml:space="preserve">riods." </w:t>
      </w:r>
      <w:r w:rsidR="00E80CCC" w:rsidRPr="00F51754">
        <w:rPr>
          <w:b/>
          <w:bCs/>
        </w:rPr>
        <w:t xml:space="preserve">Schedl, C. </w:t>
      </w:r>
      <w:r w:rsidR="00E80CCC" w:rsidRPr="00F51754">
        <w:t xml:space="preserve">"Mystische Arithmetik oder geschichtliche Zahlen?" </w:t>
      </w:r>
      <w:r w:rsidR="00E80CCC" w:rsidRPr="00F51754">
        <w:rPr>
          <w:b/>
          <w:bCs/>
        </w:rPr>
        <w:t xml:space="preserve">Schlatter, A. </w:t>
      </w:r>
      <w:r w:rsidR="003A4B1E">
        <w:t>"Die B</w:t>
      </w:r>
      <w:r w:rsidR="003A4B1E">
        <w:rPr>
          <w:vertAlign w:val="superscript"/>
        </w:rPr>
        <w:t>e</w:t>
      </w:r>
      <w:r w:rsidR="00E80CCC" w:rsidRPr="00F51754">
        <w:t xml:space="preserve">ne parisim bei Daniel: 11, 14." </w:t>
      </w:r>
      <w:r w:rsidR="00E80CCC" w:rsidRPr="00F51754">
        <w:rPr>
          <w:b/>
          <w:bCs/>
        </w:rPr>
        <w:t xml:space="preserve">Schubert, K. </w:t>
      </w:r>
      <w:r w:rsidR="00E80CCC" w:rsidRPr="00F51754">
        <w:t>"Die Entwicklung der Auferstehungslehre von der nachexilischen b</w:t>
      </w:r>
      <w:r w:rsidR="003A4B1E">
        <w:t>is zur frü</w:t>
      </w:r>
      <w:r w:rsidR="003E081C">
        <w:t xml:space="preserve">hrabbinischen Zeit.” </w:t>
      </w:r>
      <w:r w:rsidR="00BA2F02">
        <w:rPr>
          <w:b/>
          <w:bCs/>
        </w:rPr>
        <w:t>Scolnic, B.,</w:t>
      </w:r>
      <w:r w:rsidR="00BA2F02" w:rsidRPr="00BA2F02">
        <w:rPr>
          <w:b/>
          <w:bCs/>
        </w:rPr>
        <w:t xml:space="preserve"> </w:t>
      </w:r>
      <w:r w:rsidR="00BA2F02" w:rsidRPr="00FB576E">
        <w:rPr>
          <w:bCs/>
        </w:rPr>
        <w:t>and</w:t>
      </w:r>
      <w:r w:rsidR="00BA2F02" w:rsidRPr="00BA2F02">
        <w:rPr>
          <w:b/>
          <w:bCs/>
        </w:rPr>
        <w:t xml:space="preserve"> Davis, T. “</w:t>
      </w:r>
      <w:r w:rsidR="00BA2F02" w:rsidRPr="00BA2F02">
        <w:rPr>
          <w:bCs/>
        </w:rPr>
        <w:t xml:space="preserve">How </w:t>
      </w:r>
      <w:r w:rsidR="00BA2F02" w:rsidRPr="00BA2F02">
        <w:rPr>
          <w:bCs/>
          <w:i/>
          <w:iCs/>
        </w:rPr>
        <w:t xml:space="preserve">Kittim </w:t>
      </w:r>
      <w:r w:rsidR="00BA2F02" w:rsidRPr="00BA2F02">
        <w:rPr>
          <w:bCs/>
        </w:rPr>
        <w:t>Became ‘Rome</w:t>
      </w:r>
      <w:r w:rsidR="00BA2F02">
        <w:rPr>
          <w:bCs/>
        </w:rPr>
        <w:t>.</w:t>
      </w:r>
      <w:r w:rsidR="00BA2F02" w:rsidRPr="00BA2F02">
        <w:rPr>
          <w:bCs/>
        </w:rPr>
        <w:t>’</w:t>
      </w:r>
      <w:r w:rsidR="00BA2F02">
        <w:rPr>
          <w:bCs/>
        </w:rPr>
        <w:t xml:space="preserve">” </w:t>
      </w:r>
      <w:r w:rsidR="00E80CCC" w:rsidRPr="00F51754">
        <w:rPr>
          <w:b/>
          <w:bCs/>
        </w:rPr>
        <w:t xml:space="preserve">Shea, W. H. </w:t>
      </w:r>
      <w:r w:rsidR="00E80CCC" w:rsidRPr="00F51754">
        <w:t>"Wrestl</w:t>
      </w:r>
      <w:r w:rsidR="003E081C">
        <w:t>ing with the Prince of Persia."</w:t>
      </w:r>
      <w:r w:rsidR="00945C8C">
        <w:t xml:space="preserve"> </w:t>
      </w:r>
      <w:r w:rsidR="00E80CCC" w:rsidRPr="00F51754">
        <w:rPr>
          <w:b/>
          <w:bCs/>
        </w:rPr>
        <w:t xml:space="preserve">Sparkes, </w:t>
      </w:r>
      <w:r w:rsidR="00E80CCC" w:rsidRPr="003A4B1E">
        <w:rPr>
          <w:b/>
        </w:rPr>
        <w:t>S</w:t>
      </w:r>
      <w:r w:rsidR="00E80CCC" w:rsidRPr="00F51754">
        <w:t xml:space="preserve">. A </w:t>
      </w:r>
      <w:r w:rsidR="00E80CCC" w:rsidRPr="00F51754">
        <w:rPr>
          <w:i/>
          <w:iCs/>
        </w:rPr>
        <w:t xml:space="preserve">Historical Commentary on the Eleventh Chapter of Daniel. </w:t>
      </w:r>
      <w:r w:rsidR="00E80CCC" w:rsidRPr="00F51754">
        <w:rPr>
          <w:b/>
          <w:bCs/>
        </w:rPr>
        <w:t>Spronk,</w:t>
      </w:r>
      <w:r w:rsidR="00E80CCC">
        <w:t xml:space="preserve"> </w:t>
      </w:r>
      <w:r w:rsidR="00E80CCC" w:rsidRPr="00E80CCC">
        <w:rPr>
          <w:b/>
        </w:rPr>
        <w:t>B.</w:t>
      </w:r>
      <w:r w:rsidR="00E80CCC">
        <w:t xml:space="preserve"> </w:t>
      </w:r>
      <w:r w:rsidR="00E80CCC" w:rsidRPr="00F51754">
        <w:rPr>
          <w:i/>
          <w:iCs/>
        </w:rPr>
        <w:t xml:space="preserve">Beatific Afterlife in Ancient Israel and the Ancient Near East. </w:t>
      </w:r>
      <w:r w:rsidR="00E07E4C" w:rsidRPr="00E07E4C">
        <w:rPr>
          <w:rFonts w:eastAsiaTheme="minorHAnsi"/>
          <w:b/>
        </w:rPr>
        <w:t xml:space="preserve">Steinmann, A. </w:t>
      </w:r>
      <w:r w:rsidR="00E07E4C">
        <w:rPr>
          <w:rFonts w:eastAsiaTheme="minorHAnsi"/>
          <w:b/>
        </w:rPr>
        <w:t xml:space="preserve">E. </w:t>
      </w:r>
      <w:r w:rsidR="00E07E4C" w:rsidRPr="00E07E4C">
        <w:rPr>
          <w:rFonts w:eastAsiaTheme="minorHAnsi"/>
        </w:rPr>
        <w:t>“Is the Antichrist in Daniel 11?"</w:t>
      </w:r>
      <w:r w:rsidR="00E07E4C" w:rsidRPr="00E07E4C">
        <w:rPr>
          <w:rFonts w:eastAsiaTheme="minorHAnsi"/>
          <w:b/>
        </w:rPr>
        <w:t xml:space="preserve"> </w:t>
      </w:r>
      <w:r w:rsidR="00856187">
        <w:rPr>
          <w:rFonts w:eastAsiaTheme="minorHAnsi"/>
          <w:b/>
        </w:rPr>
        <w:t xml:space="preserve">Stele, A. A. </w:t>
      </w:r>
      <w:r w:rsidR="00856187">
        <w:rPr>
          <w:rFonts w:eastAsiaTheme="minorHAnsi"/>
          <w:i/>
        </w:rPr>
        <w:t>Resurrection in Daniel 12</w:t>
      </w:r>
      <w:r w:rsidR="00856187">
        <w:rPr>
          <w:rFonts w:eastAsiaTheme="minorHAnsi"/>
        </w:rPr>
        <w:t>.</w:t>
      </w:r>
      <w:r w:rsidR="00856187">
        <w:rPr>
          <w:rFonts w:eastAsiaTheme="minorHAnsi"/>
          <w:i/>
        </w:rPr>
        <w:t xml:space="preserve"> </w:t>
      </w:r>
      <w:r w:rsidR="00A14A6D" w:rsidRPr="00A14A6D">
        <w:rPr>
          <w:b/>
          <w:bCs/>
        </w:rPr>
        <w:t>Stember</w:t>
      </w:r>
      <w:r w:rsidR="00E80CCC" w:rsidRPr="00A14A6D">
        <w:rPr>
          <w:b/>
        </w:rPr>
        <w:t>ger</w:t>
      </w:r>
      <w:r w:rsidR="00E80CCC" w:rsidRPr="00F51754">
        <w:t xml:space="preserve">, </w:t>
      </w:r>
      <w:r w:rsidR="00E80CCC" w:rsidRPr="00F51754">
        <w:rPr>
          <w:b/>
          <w:bCs/>
        </w:rPr>
        <w:t xml:space="preserve">G. </w:t>
      </w:r>
      <w:r w:rsidR="00E80CCC" w:rsidRPr="00F51754">
        <w:t>"Das Problem der</w:t>
      </w:r>
      <w:r w:rsidR="00A14A6D">
        <w:t xml:space="preserve"> Auferstehung im AT</w:t>
      </w:r>
      <w:r w:rsidR="00EE4629">
        <w:t xml:space="preserve">." </w:t>
      </w:r>
      <w:r w:rsidR="00EE4629" w:rsidRPr="00A95538">
        <w:rPr>
          <w:b/>
        </w:rPr>
        <w:t xml:space="preserve">Stevens, D. E. </w:t>
      </w:r>
      <w:r w:rsidR="00EE4629" w:rsidRPr="00A95538">
        <w:rPr>
          <w:rFonts w:eastAsiaTheme="minorHAnsi"/>
          <w:color w:val="000000"/>
        </w:rPr>
        <w:t>“Daniel 10 and the Notion of Territorial Spirits</w:t>
      </w:r>
      <w:r w:rsidR="00EE4629">
        <w:rPr>
          <w:rFonts w:eastAsiaTheme="minorHAnsi"/>
        </w:rPr>
        <w:t>.”</w:t>
      </w:r>
      <w:r w:rsidR="00EE4629" w:rsidRPr="00A95538">
        <w:rPr>
          <w:rFonts w:eastAsiaTheme="minorHAnsi"/>
          <w:color w:val="000000"/>
        </w:rPr>
        <w:t xml:space="preserve"> </w:t>
      </w:r>
      <w:r w:rsidR="00E80CCC" w:rsidRPr="00F51754">
        <w:rPr>
          <w:b/>
          <w:bCs/>
        </w:rPr>
        <w:t xml:space="preserve">Sutcliffe, E. F. </w:t>
      </w:r>
      <w:r w:rsidR="003A4B1E">
        <w:rPr>
          <w:i/>
          <w:iCs/>
        </w:rPr>
        <w:t xml:space="preserve">The OT </w:t>
      </w:r>
      <w:r w:rsidR="00E80CCC" w:rsidRPr="00F51754">
        <w:rPr>
          <w:i/>
          <w:iCs/>
        </w:rPr>
        <w:t xml:space="preserve">and the Future Life. </w:t>
      </w:r>
      <w:r w:rsidR="00E80CCC" w:rsidRPr="00F51754">
        <w:rPr>
          <w:b/>
          <w:bCs/>
        </w:rPr>
        <w:t xml:space="preserve">Swain, J. W. </w:t>
      </w:r>
      <w:r w:rsidR="00E80CCC" w:rsidRPr="00F51754">
        <w:t xml:space="preserve">"Antiochus Epiphanes and Egypt." </w:t>
      </w:r>
      <w:r w:rsidR="00E80CCC">
        <w:rPr>
          <w:b/>
          <w:bCs/>
        </w:rPr>
        <w:t>Szold, B.</w:t>
      </w:r>
      <w:r w:rsidR="00E80CCC" w:rsidRPr="00F51754">
        <w:t>"The Eleventh Cha</w:t>
      </w:r>
      <w:r w:rsidR="00BE6A0D">
        <w:t xml:space="preserve">pter of the Book of Daniel." </w:t>
      </w:r>
      <w:r w:rsidR="000B55C0" w:rsidRPr="00B740B4">
        <w:rPr>
          <w:rFonts w:eastAsiaTheme="minorHAnsi" w:cs="TimesNewRomanPS-BoldMT"/>
          <w:b/>
          <w:bCs/>
        </w:rPr>
        <w:t xml:space="preserve">Tanner, J. P. </w:t>
      </w:r>
      <w:r w:rsidR="000B55C0" w:rsidRPr="00C4582B">
        <w:rPr>
          <w:rFonts w:eastAsiaTheme="minorHAnsi" w:cs="TimesNewRomanPS-BoldMT"/>
          <w:bCs/>
        </w:rPr>
        <w:t>“</w:t>
      </w:r>
      <w:r w:rsidR="000B55C0">
        <w:rPr>
          <w:rFonts w:eastAsiaTheme="minorHAnsi" w:cs="TimesNewRomanPS-BoldMT"/>
          <w:bCs/>
        </w:rPr>
        <w:t>Daniel’s ‘King of the North</w:t>
      </w:r>
      <w:r w:rsidR="003A4B1E">
        <w:rPr>
          <w:rFonts w:eastAsiaTheme="minorHAnsi" w:cs="TimesNewRomanPS-BoldMT"/>
          <w:bCs/>
        </w:rPr>
        <w:t>.</w:t>
      </w:r>
      <w:r w:rsidR="000B55C0">
        <w:rPr>
          <w:rFonts w:eastAsiaTheme="minorHAnsi" w:cs="TimesNewRomanPS-BoldMT"/>
          <w:bCs/>
        </w:rPr>
        <w:t>’</w:t>
      </w:r>
      <w:r w:rsidR="000B55C0" w:rsidRPr="00C4582B">
        <w:rPr>
          <w:rFonts w:eastAsiaTheme="minorHAnsi" w:cs="TimesNewRomanPS-BoldMT"/>
          <w:bCs/>
        </w:rPr>
        <w:t xml:space="preserve">” </w:t>
      </w:r>
      <w:r w:rsidR="00E80CCC">
        <w:rPr>
          <w:b/>
          <w:bCs/>
        </w:rPr>
        <w:t>Tä</w:t>
      </w:r>
      <w:r w:rsidR="00E80CCC" w:rsidRPr="00F51754">
        <w:rPr>
          <w:b/>
          <w:bCs/>
        </w:rPr>
        <w:t xml:space="preserve">ubler, E. </w:t>
      </w:r>
      <w:r w:rsidR="00E80CCC">
        <w:t xml:space="preserve">"Jerusalem 201 to 199 </w:t>
      </w:r>
      <w:r w:rsidR="003A4B1E">
        <w:t>B.C.E</w:t>
      </w:r>
      <w:r w:rsidR="00E80CCC" w:rsidRPr="00F51754">
        <w:t xml:space="preserve">.: On the History of a Messianic Movement." </w:t>
      </w:r>
      <w:r w:rsidR="009438FB" w:rsidRPr="009438FB">
        <w:rPr>
          <w:rFonts w:eastAsia="Times-Roman" w:cs="Times-Roman"/>
          <w:b/>
        </w:rPr>
        <w:t xml:space="preserve">Teeter, A. </w:t>
      </w:r>
      <w:r w:rsidR="009438FB" w:rsidRPr="009438FB">
        <w:rPr>
          <w:rFonts w:eastAsia="Times-Roman" w:cs="Times-Roman"/>
        </w:rPr>
        <w:t>“Isaiah and the King of As/Syria</w:t>
      </w:r>
      <w:r w:rsidR="009438FB">
        <w:rPr>
          <w:rFonts w:eastAsia="Times-Roman" w:cs="Times-Roman"/>
        </w:rPr>
        <w:t xml:space="preserve"> in Daniel’s Final Vision,</w:t>
      </w:r>
      <w:r w:rsidR="009438FB" w:rsidRPr="009438FB">
        <w:rPr>
          <w:rFonts w:eastAsia="Times-Roman" w:cs="Times-Roman"/>
        </w:rPr>
        <w:t>”</w:t>
      </w:r>
      <w:r w:rsidR="009438FB">
        <w:rPr>
          <w:rFonts w:eastAsia="Times-Roman" w:cs="Times-Roman"/>
        </w:rPr>
        <w:t xml:space="preserve"> i</w:t>
      </w:r>
      <w:r w:rsidR="009438FB" w:rsidRPr="009438FB">
        <w:rPr>
          <w:rFonts w:eastAsia="Times-Roman" w:cs="Times-Roman"/>
        </w:rPr>
        <w:t xml:space="preserve">n Mason et al. (eds.), </w:t>
      </w:r>
      <w:r w:rsidR="009438FB" w:rsidRPr="009438FB">
        <w:rPr>
          <w:rFonts w:eastAsia="Times-Roman" w:cs="Times-Roman"/>
          <w:i/>
        </w:rPr>
        <w:t xml:space="preserve">A Teacher for All Generations </w:t>
      </w:r>
      <w:r w:rsidR="009438FB" w:rsidRPr="009438FB">
        <w:rPr>
          <w:rFonts w:eastAsia="Times-Roman" w:cs="Times-Roman"/>
        </w:rPr>
        <w:t xml:space="preserve">1:169-99. </w:t>
      </w:r>
      <w:r w:rsidRPr="00BE6A0D">
        <w:rPr>
          <w:b/>
        </w:rPr>
        <w:t>Thomas, D. W.</w:t>
      </w:r>
      <w:r w:rsidRPr="002B376E">
        <w:t xml:space="preserve"> “Note on </w:t>
      </w:r>
      <w:r w:rsidRPr="002B376E">
        <w:rPr>
          <w:rFonts w:ascii="Arial" w:hAnsi="Arial" w:cs="Arial"/>
        </w:rPr>
        <w:t>הדעת</w:t>
      </w:r>
      <w:r w:rsidRPr="002B376E">
        <w:t xml:space="preserve"> in D</w:t>
      </w:r>
      <w:r w:rsidR="00BE6A0D">
        <w:t xml:space="preserve">aniel xii.4.” </w:t>
      </w:r>
      <w:r w:rsidRPr="00BE6A0D">
        <w:rPr>
          <w:b/>
        </w:rPr>
        <w:t>Thomson, H. C.</w:t>
      </w:r>
      <w:r w:rsidR="00BE6A0D">
        <w:t xml:space="preserve"> “OT</w:t>
      </w:r>
      <w:r w:rsidRPr="002B376E">
        <w:t xml:space="preserve"> Ideas on Life after De</w:t>
      </w:r>
      <w:r w:rsidR="00BE6A0D">
        <w:t xml:space="preserve">ath.” </w:t>
      </w:r>
      <w:r w:rsidRPr="00BE6A0D">
        <w:rPr>
          <w:b/>
        </w:rPr>
        <w:t>Toll, C.</w:t>
      </w:r>
      <w:r w:rsidRPr="002B376E">
        <w:t xml:space="preserve"> “Die Wurzel prṣ im Hebräi</w:t>
      </w:r>
      <w:r w:rsidR="00BE6A0D">
        <w:t xml:space="preserve">schen.” </w:t>
      </w:r>
      <w:r w:rsidRPr="00BE6A0D">
        <w:rPr>
          <w:b/>
        </w:rPr>
        <w:t>Torrey, C. C.</w:t>
      </w:r>
      <w:r w:rsidRPr="002B376E">
        <w:t xml:space="preserve"> “‘Yāwān’ and ‘Hellas’ as Designations of the Seleucid </w:t>
      </w:r>
      <w:r w:rsidR="00BE6A0D">
        <w:t xml:space="preserve">Empire.” </w:t>
      </w:r>
      <w:r w:rsidRPr="00BE6A0D">
        <w:rPr>
          <w:b/>
        </w:rPr>
        <w:t>Tsafrir, Y.</w:t>
      </w:r>
      <w:r w:rsidRPr="002B376E">
        <w:t xml:space="preserve"> “The Location of the Seleucid Akra in </w:t>
      </w:r>
      <w:r w:rsidR="00586625">
        <w:t>Jerusalem.”</w:t>
      </w:r>
      <w:r w:rsidR="00945C8C">
        <w:t xml:space="preserve"> </w:t>
      </w:r>
      <w:r w:rsidR="003A4B1E">
        <w:rPr>
          <w:rFonts w:eastAsia="Times-Roman" w:cs="Times-Roman"/>
          <w:b/>
        </w:rPr>
        <w:t>V</w:t>
      </w:r>
      <w:r w:rsidR="003A4B1E" w:rsidRPr="003A4B1E">
        <w:rPr>
          <w:rFonts w:eastAsia="Times-Roman" w:cs="Times-Roman"/>
          <w:b/>
        </w:rPr>
        <w:t xml:space="preserve">an der </w:t>
      </w:r>
      <w:r w:rsidR="003A4B1E">
        <w:rPr>
          <w:b/>
        </w:rPr>
        <w:t>Kooij, A</w:t>
      </w:r>
      <w:r w:rsidR="003A4B1E" w:rsidRPr="002B376E">
        <w:t>. “A Case of R</w:t>
      </w:r>
      <w:r w:rsidR="003A4B1E">
        <w:t>einterpretation in the OG</w:t>
      </w:r>
      <w:r w:rsidR="003A4B1E" w:rsidRPr="002B376E">
        <w:t xml:space="preserve"> of Daniel 11.</w:t>
      </w:r>
      <w:r w:rsidR="003A4B1E">
        <w:t xml:space="preserve">” </w:t>
      </w:r>
      <w:r w:rsidR="003A4B1E" w:rsidRPr="003A4B1E">
        <w:t xml:space="preserve">———. </w:t>
      </w:r>
      <w:r w:rsidR="00794537" w:rsidRPr="00B740B4">
        <w:t>“The Concept of Covenan</w:t>
      </w:r>
      <w:r w:rsidR="00794537">
        <w:t>t (</w:t>
      </w:r>
      <w:r w:rsidR="00794537" w:rsidRPr="00794537">
        <w:rPr>
          <w:i/>
        </w:rPr>
        <w:t>berît</w:t>
      </w:r>
      <w:r w:rsidR="00794537">
        <w:t>) in the Book of Daniel,</w:t>
      </w:r>
      <w:r w:rsidR="00794537" w:rsidRPr="00B740B4">
        <w:t>”</w:t>
      </w:r>
      <w:r w:rsidR="00794537">
        <w:t xml:space="preserve"> i</w:t>
      </w:r>
      <w:r w:rsidR="00794537" w:rsidRPr="00B740B4">
        <w:t xml:space="preserve">n van der Woude </w:t>
      </w:r>
      <w:r w:rsidR="00794537" w:rsidRPr="00B740B4">
        <w:rPr>
          <w:b/>
        </w:rPr>
        <w:t>(</w:t>
      </w:r>
      <w:r w:rsidR="00794537" w:rsidRPr="00B740B4">
        <w:t>ed</w:t>
      </w:r>
      <w:r w:rsidR="00794537" w:rsidRPr="00B740B4">
        <w:rPr>
          <w:b/>
        </w:rPr>
        <w:t xml:space="preserve">.), </w:t>
      </w:r>
      <w:r w:rsidR="00794537" w:rsidRPr="00B740B4">
        <w:rPr>
          <w:i/>
        </w:rPr>
        <w:t>The Book of Daniel</w:t>
      </w:r>
      <w:r w:rsidR="00794537" w:rsidRPr="00B740B4">
        <w:t>, 495-501.</w:t>
      </w:r>
      <w:r w:rsidR="00794537">
        <w:t xml:space="preserve"> </w:t>
      </w:r>
      <w:r w:rsidR="003A4B1E">
        <w:rPr>
          <w:b/>
        </w:rPr>
        <w:t xml:space="preserve">Van der Woude, A. </w:t>
      </w:r>
      <w:r w:rsidR="003A4B1E" w:rsidRPr="00023021">
        <w:rPr>
          <w:rFonts w:ascii="Calibri" w:eastAsiaTheme="minorHAnsi" w:hAnsi="Calibri" w:cs="Times New Roman"/>
          <w:szCs w:val="20"/>
        </w:rPr>
        <w:t xml:space="preserve">“Prophetic Prediction, Political Prognostication, and Firm Belief.” </w:t>
      </w:r>
      <w:r w:rsidR="00E6099A">
        <w:rPr>
          <w:b/>
          <w:iCs/>
        </w:rPr>
        <w:t>V</w:t>
      </w:r>
      <w:r w:rsidR="00E6099A" w:rsidRPr="00B740B4">
        <w:rPr>
          <w:b/>
          <w:iCs/>
        </w:rPr>
        <w:t>an Goudoever</w:t>
      </w:r>
      <w:r w:rsidR="00E6099A" w:rsidRPr="00B740B4">
        <w:t xml:space="preserve">, </w:t>
      </w:r>
      <w:r w:rsidR="00E6099A" w:rsidRPr="00B740B4">
        <w:rPr>
          <w:b/>
        </w:rPr>
        <w:t>J.</w:t>
      </w:r>
      <w:r w:rsidR="00E6099A" w:rsidRPr="00B740B4">
        <w:t xml:space="preserve"> “Time Indications in Daniel that Reflect the Usage of the Ancient Theoretical So-ca</w:t>
      </w:r>
      <w:r w:rsidR="00E6099A">
        <w:t>lled Zadokite Calendar,</w:t>
      </w:r>
      <w:r w:rsidR="00E6099A" w:rsidRPr="00B740B4">
        <w:t>”</w:t>
      </w:r>
      <w:r w:rsidR="00E6099A">
        <w:t xml:space="preserve"> i</w:t>
      </w:r>
      <w:r w:rsidR="00E6099A" w:rsidRPr="00B740B4">
        <w:t xml:space="preserve">n van der Woude </w:t>
      </w:r>
      <w:r w:rsidR="00E6099A" w:rsidRPr="00FB576E">
        <w:t xml:space="preserve">(ed.), </w:t>
      </w:r>
      <w:r w:rsidR="00E6099A" w:rsidRPr="00FB576E">
        <w:rPr>
          <w:i/>
        </w:rPr>
        <w:t>The</w:t>
      </w:r>
      <w:r w:rsidR="00E6099A" w:rsidRPr="00B740B4">
        <w:rPr>
          <w:i/>
        </w:rPr>
        <w:t xml:space="preserve"> Book of Daniel</w:t>
      </w:r>
      <w:r w:rsidR="00E6099A" w:rsidRPr="00B740B4">
        <w:t>, 533-538.</w:t>
      </w:r>
      <w:r w:rsidR="00E6099A">
        <w:t xml:space="preserve"> </w:t>
      </w:r>
      <w:r w:rsidRPr="00586625">
        <w:rPr>
          <w:b/>
        </w:rPr>
        <w:t>Wacholder, B. Z.</w:t>
      </w:r>
      <w:r w:rsidRPr="002B376E">
        <w:t xml:space="preserve"> “The Beginning of the Seleucid Era and the Chronology </w:t>
      </w:r>
      <w:r w:rsidR="00586625">
        <w:t xml:space="preserve">of the Diadochoi.” </w:t>
      </w:r>
      <w:r w:rsidR="00FB576E">
        <w:rPr>
          <w:b/>
        </w:rPr>
        <w:t>Walb</w:t>
      </w:r>
      <w:r w:rsidRPr="00586625">
        <w:rPr>
          <w:b/>
        </w:rPr>
        <w:t>ank, F. W.,</w:t>
      </w:r>
      <w:r w:rsidRPr="002B376E">
        <w:t xml:space="preserve"> et a</w:t>
      </w:r>
      <w:r w:rsidR="00586625">
        <w:t>l. (ed</w:t>
      </w:r>
      <w:r w:rsidR="00FB576E">
        <w:t>s.</w:t>
      </w:r>
      <w:r w:rsidR="00586625">
        <w:t>)</w:t>
      </w:r>
      <w:r w:rsidRPr="002B376E">
        <w:t xml:space="preserve">. </w:t>
      </w:r>
      <w:r w:rsidR="00586625">
        <w:rPr>
          <w:i/>
        </w:rPr>
        <w:t xml:space="preserve">The Hellenistic World. </w:t>
      </w:r>
      <w:r w:rsidR="008E5D88" w:rsidRPr="00B740B4">
        <w:rPr>
          <w:rFonts w:eastAsia="Times-Roman" w:cs="Times-Roman"/>
          <w:b/>
        </w:rPr>
        <w:t xml:space="preserve">Wildgruber, R. </w:t>
      </w:r>
      <w:r w:rsidR="008E5D88" w:rsidRPr="00B740B4">
        <w:rPr>
          <w:rFonts w:eastAsia="Times-Roman" w:cs="Times-Roman"/>
          <w:i/>
        </w:rPr>
        <w:t>Daniel 10—12 als Schlüssel zum Buch</w:t>
      </w:r>
      <w:r w:rsidR="008E5D88" w:rsidRPr="00B740B4">
        <w:rPr>
          <w:rFonts w:eastAsia="Times-Roman" w:cs="Times-Roman"/>
        </w:rPr>
        <w:t xml:space="preserve">. </w:t>
      </w:r>
      <w:r w:rsidRPr="0008090B">
        <w:rPr>
          <w:b/>
        </w:rPr>
        <w:t>Wilson, R. D.</w:t>
      </w:r>
      <w:r w:rsidRPr="002B376E">
        <w:t xml:space="preserve"> “The Title ‘King of Persia’ in the Scriptures.</w:t>
      </w:r>
      <w:r w:rsidR="00586625">
        <w:t xml:space="preserve">” </w:t>
      </w:r>
      <w:r w:rsidR="00BF13A7" w:rsidRPr="00BF13A7">
        <w:rPr>
          <w:b/>
        </w:rPr>
        <w:t>Wolters, A.</w:t>
      </w:r>
      <w:r w:rsidR="00BF13A7">
        <w:t xml:space="preserve"> </w:t>
      </w:r>
      <w:r w:rsidR="00BF13A7" w:rsidRPr="00BF13A7">
        <w:rPr>
          <w:bCs/>
        </w:rPr>
        <w:t>“Zōhar Hārāqîa‘ (Daniel 12.3) and Halley's Comet.”</w:t>
      </w:r>
      <w:r w:rsidR="00BF13A7" w:rsidRPr="00BF13A7">
        <w:rPr>
          <w:b/>
          <w:bCs/>
        </w:rPr>
        <w:t xml:space="preserve"> </w:t>
      </w:r>
      <w:r w:rsidRPr="00586625">
        <w:rPr>
          <w:b/>
        </w:rPr>
        <w:t>Yarbro Collins, A</w:t>
      </w:r>
      <w:r w:rsidRPr="002B376E">
        <w:t>. “The Political Perspective of the Revelation</w:t>
      </w:r>
      <w:r w:rsidR="00586625">
        <w:t xml:space="preserve"> to John.” </w:t>
      </w:r>
      <w:r w:rsidR="006F7BC1" w:rsidRPr="006F7BC1">
        <w:rPr>
          <w:b/>
        </w:rPr>
        <w:t>Zamora, P.</w:t>
      </w:r>
      <w:r w:rsidR="00945C8C">
        <w:rPr>
          <w:b/>
        </w:rPr>
        <w:t xml:space="preserve"> </w:t>
      </w:r>
      <w:r w:rsidR="006F7BC1" w:rsidRPr="006F7BC1">
        <w:t>“The Daniel and Qohelet Epilogues.”</w:t>
      </w:r>
    </w:p>
    <w:p w:rsidR="002B376E" w:rsidRPr="002B376E" w:rsidRDefault="002B376E" w:rsidP="002B376E">
      <w:pPr>
        <w:pStyle w:val="Heading2"/>
      </w:pPr>
      <w:r w:rsidRPr="002B376E">
        <w:lastRenderedPageBreak/>
        <w:t>Translation</w:t>
      </w:r>
    </w:p>
    <w:p w:rsidR="002B376E" w:rsidRPr="000952DE" w:rsidRDefault="002B376E" w:rsidP="002B376E">
      <w:pPr>
        <w:rPr>
          <w:i/>
          <w:vertAlign w:val="superscript"/>
        </w:rPr>
      </w:pPr>
      <w:r w:rsidRPr="000952DE">
        <w:rPr>
          <w:i/>
          <w:vertAlign w:val="superscript"/>
        </w:rPr>
        <w:t>10:1</w:t>
      </w:r>
      <w:r w:rsidRPr="000952DE">
        <w:rPr>
          <w:i/>
        </w:rPr>
        <w:t>In the third</w:t>
      </w:r>
      <w:r w:rsidRPr="000952DE">
        <w:rPr>
          <w:i/>
          <w:vertAlign w:val="superscript"/>
        </w:rPr>
        <w:t>a</w:t>
      </w:r>
      <w:r w:rsidR="000952DE" w:rsidRPr="000952DE">
        <w:rPr>
          <w:i/>
        </w:rPr>
        <w:t xml:space="preserve"> year of </w:t>
      </w:r>
      <w:r w:rsidR="00F9269E" w:rsidRPr="00F9269E">
        <w:rPr>
          <w:i/>
        </w:rPr>
        <w:t>Koreš</w:t>
      </w:r>
      <w:r w:rsidRPr="000952DE">
        <w:rPr>
          <w:i/>
        </w:rPr>
        <w:t xml:space="preserve"> </w:t>
      </w:r>
      <w:r w:rsidRPr="000952DE">
        <w:rPr>
          <w:i/>
          <w:vertAlign w:val="superscript"/>
        </w:rPr>
        <w:t>b</w:t>
      </w:r>
      <w:r w:rsidR="00F9269E">
        <w:rPr>
          <w:i/>
        </w:rPr>
        <w:t>king of Paras</w:t>
      </w:r>
      <w:r w:rsidRPr="000952DE">
        <w:rPr>
          <w:i/>
        </w:rPr>
        <w:t>,</w:t>
      </w:r>
      <w:r w:rsidRPr="000952DE">
        <w:rPr>
          <w:i/>
          <w:vertAlign w:val="superscript"/>
        </w:rPr>
        <w:t>b</w:t>
      </w:r>
      <w:r w:rsidRPr="000952DE">
        <w:rPr>
          <w:i/>
        </w:rPr>
        <w:t xml:space="preserve"> a message was revealed</w:t>
      </w:r>
      <w:r w:rsidRPr="000952DE">
        <w:rPr>
          <w:i/>
          <w:vertAlign w:val="superscript"/>
        </w:rPr>
        <w:t>c</w:t>
      </w:r>
      <w:r w:rsidRPr="000952DE">
        <w:rPr>
          <w:i/>
        </w:rPr>
        <w:t xml:space="preserve"> to</w:t>
      </w:r>
      <w:r w:rsidR="000952DE">
        <w:rPr>
          <w:i/>
        </w:rPr>
        <w:t xml:space="preserve"> </w:t>
      </w:r>
      <w:r w:rsidR="00A15831">
        <w:rPr>
          <w:i/>
        </w:rPr>
        <w:t xml:space="preserve">Daniyye’l, </w:t>
      </w:r>
      <w:r w:rsidR="000952DE" w:rsidRPr="000952DE">
        <w:rPr>
          <w:i/>
        </w:rPr>
        <w:t>who had been named Bel</w:t>
      </w:r>
      <w:r w:rsidR="000952DE">
        <w:rPr>
          <w:i/>
        </w:rPr>
        <w:t>ṭe</w:t>
      </w:r>
      <w:r w:rsidR="000952DE" w:rsidRPr="000952DE">
        <w:rPr>
          <w:i/>
        </w:rPr>
        <w:t>ša</w:t>
      </w:r>
      <w:r w:rsidR="000952DE">
        <w:rPr>
          <w:i/>
        </w:rPr>
        <w:t>’</w:t>
      </w:r>
      <w:r w:rsidR="000952DE" w:rsidRPr="000952DE">
        <w:rPr>
          <w:i/>
        </w:rPr>
        <w:t>ṣṣar</w:t>
      </w:r>
      <w:r w:rsidR="00A15831">
        <w:rPr>
          <w:i/>
        </w:rPr>
        <w:t>. The message was trustworthy;</w:t>
      </w:r>
      <w:r w:rsidRPr="000952DE">
        <w:rPr>
          <w:i/>
        </w:rPr>
        <w:t xml:space="preserve"> </w:t>
      </w:r>
      <w:r w:rsidR="00A15831">
        <w:rPr>
          <w:i/>
        </w:rPr>
        <w:t xml:space="preserve">it </w:t>
      </w:r>
      <w:r w:rsidRPr="000952DE">
        <w:rPr>
          <w:i/>
        </w:rPr>
        <w:t>concerned a great war.</w:t>
      </w:r>
      <w:r w:rsidRPr="000952DE">
        <w:rPr>
          <w:i/>
          <w:vertAlign w:val="superscript"/>
        </w:rPr>
        <w:t>d</w:t>
      </w:r>
      <w:r w:rsidR="00C55E12">
        <w:rPr>
          <w:i/>
        </w:rPr>
        <w:t xml:space="preserve"> He understood</w:t>
      </w:r>
      <w:r w:rsidRPr="000952DE">
        <w:rPr>
          <w:i/>
          <w:vertAlign w:val="superscript"/>
        </w:rPr>
        <w:t>e</w:t>
      </w:r>
      <w:r w:rsidR="00C55E12">
        <w:rPr>
          <w:i/>
        </w:rPr>
        <w:t xml:space="preserve"> the message; understanding came to him through</w:t>
      </w:r>
      <w:r w:rsidRPr="000952DE">
        <w:rPr>
          <w:i/>
        </w:rPr>
        <w:t xml:space="preserve"> the vision.</w:t>
      </w:r>
      <w:r w:rsidRPr="000952DE">
        <w:rPr>
          <w:i/>
          <w:vertAlign w:val="superscript"/>
        </w:rPr>
        <w:t>f</w:t>
      </w:r>
    </w:p>
    <w:p w:rsidR="008A68B5" w:rsidRPr="000952DE" w:rsidRDefault="008A68B5" w:rsidP="002B376E">
      <w:pPr>
        <w:rPr>
          <w:i/>
        </w:rPr>
      </w:pPr>
    </w:p>
    <w:p w:rsidR="007F1400" w:rsidRDefault="002B376E" w:rsidP="002B376E">
      <w:pPr>
        <w:rPr>
          <w:i/>
        </w:rPr>
      </w:pPr>
      <w:r w:rsidRPr="000952DE">
        <w:rPr>
          <w:i/>
          <w:vertAlign w:val="superscript"/>
        </w:rPr>
        <w:t>2</w:t>
      </w:r>
      <w:r w:rsidRPr="000952DE">
        <w:rPr>
          <w:i/>
        </w:rPr>
        <w:t>“During that time I, Dani</w:t>
      </w:r>
      <w:r w:rsidR="00F9269E">
        <w:rPr>
          <w:i/>
        </w:rPr>
        <w:t>yy</w:t>
      </w:r>
      <w:r w:rsidRPr="000952DE">
        <w:rPr>
          <w:i/>
        </w:rPr>
        <w:t>e</w:t>
      </w:r>
      <w:r w:rsidR="00F9269E">
        <w:rPr>
          <w:i/>
        </w:rPr>
        <w:t>’</w:t>
      </w:r>
      <w:r w:rsidRPr="000952DE">
        <w:rPr>
          <w:i/>
        </w:rPr>
        <w:t xml:space="preserve">l, was mourning for </w:t>
      </w:r>
      <w:r w:rsidRPr="00F9269E">
        <w:rPr>
          <w:i/>
          <w:vertAlign w:val="superscript"/>
        </w:rPr>
        <w:t>a</w:t>
      </w:r>
      <w:r w:rsidRPr="000952DE">
        <w:rPr>
          <w:i/>
        </w:rPr>
        <w:t>a period of three weeks.</w:t>
      </w:r>
      <w:r w:rsidRPr="000952DE">
        <w:rPr>
          <w:i/>
          <w:vertAlign w:val="superscript"/>
        </w:rPr>
        <w:t>a</w:t>
      </w:r>
      <w:r w:rsidRPr="000952DE">
        <w:rPr>
          <w:i/>
        </w:rPr>
        <w:t xml:space="preserve"> </w:t>
      </w:r>
      <w:r w:rsidRPr="000952DE">
        <w:rPr>
          <w:i/>
          <w:vertAlign w:val="superscript"/>
        </w:rPr>
        <w:t>3</w:t>
      </w:r>
      <w:r w:rsidRPr="000952DE">
        <w:rPr>
          <w:i/>
        </w:rPr>
        <w:t>I ate no rich food, no meat or wine passed my lips, and I did not anoint myself at all,</w:t>
      </w:r>
      <w:r w:rsidRPr="000952DE">
        <w:rPr>
          <w:i/>
          <w:vertAlign w:val="superscript"/>
        </w:rPr>
        <w:t>a</w:t>
      </w:r>
      <w:r w:rsidRPr="000952DE">
        <w:rPr>
          <w:i/>
        </w:rPr>
        <w:t xml:space="preserve"> until the period of three weeks was completed. </w:t>
      </w:r>
      <w:r w:rsidRPr="000952DE">
        <w:rPr>
          <w:i/>
          <w:vertAlign w:val="superscript"/>
        </w:rPr>
        <w:t>4</w:t>
      </w:r>
      <w:r w:rsidRPr="000952DE">
        <w:rPr>
          <w:i/>
        </w:rPr>
        <w:t>Then on the twenty-fourth day of the first month, when I was by the bank of the Great River, the Tigris,</w:t>
      </w:r>
      <w:r w:rsidRPr="000952DE">
        <w:rPr>
          <w:i/>
          <w:vertAlign w:val="superscript"/>
        </w:rPr>
        <w:t>a</w:t>
      </w:r>
      <w:r w:rsidRPr="000952DE">
        <w:rPr>
          <w:i/>
        </w:rPr>
        <w:t xml:space="preserve"> </w:t>
      </w:r>
      <w:r w:rsidRPr="000952DE">
        <w:rPr>
          <w:i/>
          <w:vertAlign w:val="superscript"/>
        </w:rPr>
        <w:t>5</w:t>
      </w:r>
      <w:r w:rsidRPr="000952DE">
        <w:rPr>
          <w:i/>
        </w:rPr>
        <w:t xml:space="preserve">I </w:t>
      </w:r>
      <w:r w:rsidR="00A15831">
        <w:rPr>
          <w:i/>
        </w:rPr>
        <w:t>lifted my eyes</w:t>
      </w:r>
      <w:r w:rsidRPr="000952DE">
        <w:rPr>
          <w:i/>
          <w:vertAlign w:val="superscript"/>
        </w:rPr>
        <w:t>a</w:t>
      </w:r>
      <w:r w:rsidRPr="000952DE">
        <w:rPr>
          <w:i/>
        </w:rPr>
        <w:t xml:space="preserve"> and </w:t>
      </w:r>
      <w:r w:rsidR="00A15831">
        <w:rPr>
          <w:i/>
        </w:rPr>
        <w:t xml:space="preserve">looked, and </w:t>
      </w:r>
      <w:r w:rsidRPr="000952DE">
        <w:rPr>
          <w:i/>
        </w:rPr>
        <w:t>there</w:t>
      </w:r>
      <w:r w:rsidR="00A15831">
        <w:rPr>
          <w:i/>
        </w:rPr>
        <w:t xml:space="preserve">: </w:t>
      </w:r>
      <w:r w:rsidRPr="000952DE">
        <w:rPr>
          <w:i/>
        </w:rPr>
        <w:t>a man dressed in linen, his waist belted with pure</w:t>
      </w:r>
      <w:r w:rsidRPr="00F9269E">
        <w:rPr>
          <w:i/>
          <w:vertAlign w:val="superscript"/>
        </w:rPr>
        <w:t>b</w:t>
      </w:r>
      <w:r w:rsidRPr="000952DE">
        <w:rPr>
          <w:i/>
        </w:rPr>
        <w:t xml:space="preserve"> gold, </w:t>
      </w:r>
      <w:r w:rsidRPr="000952DE">
        <w:rPr>
          <w:i/>
          <w:vertAlign w:val="superscript"/>
        </w:rPr>
        <w:t>6</w:t>
      </w:r>
      <w:r w:rsidRPr="000952DE">
        <w:rPr>
          <w:i/>
        </w:rPr>
        <w:t>his body like topaz,</w:t>
      </w:r>
      <w:r w:rsidRPr="00A15831">
        <w:rPr>
          <w:i/>
          <w:vertAlign w:val="superscript"/>
        </w:rPr>
        <w:t>a</w:t>
      </w:r>
      <w:r w:rsidRPr="000952DE">
        <w:rPr>
          <w:i/>
        </w:rPr>
        <w:t xml:space="preserve"> his face with the brightness of lightning, his eyes like flaming torches, his arms and feet with the gleam of polished brass, the sound of his words like the sound of thundering.</w:t>
      </w:r>
      <w:r w:rsidRPr="000952DE">
        <w:rPr>
          <w:i/>
          <w:vertAlign w:val="superscript"/>
        </w:rPr>
        <w:t>b</w:t>
      </w:r>
      <w:r w:rsidRPr="000952DE">
        <w:rPr>
          <w:i/>
        </w:rPr>
        <w:t xml:space="preserve"> </w:t>
      </w:r>
    </w:p>
    <w:p w:rsidR="00A15831" w:rsidRDefault="002B376E" w:rsidP="002B376E">
      <w:pPr>
        <w:rPr>
          <w:i/>
        </w:rPr>
      </w:pPr>
      <w:r w:rsidRPr="000952DE">
        <w:rPr>
          <w:i/>
          <w:vertAlign w:val="superscript"/>
        </w:rPr>
        <w:t>7a</w:t>
      </w:r>
      <w:r w:rsidRPr="000952DE">
        <w:rPr>
          <w:i/>
        </w:rPr>
        <w:t>Now I, Dani</w:t>
      </w:r>
      <w:r w:rsidR="00F9269E">
        <w:rPr>
          <w:i/>
        </w:rPr>
        <w:t>yy</w:t>
      </w:r>
      <w:r w:rsidRPr="000952DE">
        <w:rPr>
          <w:i/>
        </w:rPr>
        <w:t>e</w:t>
      </w:r>
      <w:r w:rsidR="00F9269E">
        <w:rPr>
          <w:i/>
        </w:rPr>
        <w:t>’</w:t>
      </w:r>
      <w:r w:rsidRPr="000952DE">
        <w:rPr>
          <w:i/>
        </w:rPr>
        <w:t>l, alone saw this sight</w:t>
      </w:r>
      <w:r w:rsidR="00F9269E">
        <w:rPr>
          <w:i/>
        </w:rPr>
        <w:t>;</w:t>
      </w:r>
      <w:r w:rsidR="008A68B5" w:rsidRPr="000952DE">
        <w:rPr>
          <w:i/>
        </w:rPr>
        <w:t xml:space="preserve"> </w:t>
      </w:r>
      <w:r w:rsidRPr="000952DE">
        <w:rPr>
          <w:i/>
          <w:vertAlign w:val="superscript"/>
        </w:rPr>
        <w:t>b</w:t>
      </w:r>
      <w:r w:rsidR="00F9269E">
        <w:rPr>
          <w:i/>
        </w:rPr>
        <w:t>t</w:t>
      </w:r>
      <w:r w:rsidRPr="000952DE">
        <w:rPr>
          <w:i/>
        </w:rPr>
        <w:t>he men who were with me did not see the sight</w:t>
      </w:r>
      <w:r w:rsidR="00F9269E">
        <w:rPr>
          <w:i/>
        </w:rPr>
        <w:t>.</w:t>
      </w:r>
      <w:r w:rsidRPr="000952DE">
        <w:rPr>
          <w:i/>
          <w:vertAlign w:val="superscript"/>
        </w:rPr>
        <w:t>b</w:t>
      </w:r>
      <w:r w:rsidR="00F9269E">
        <w:rPr>
          <w:i/>
        </w:rPr>
        <w:t xml:space="preserve"> N</w:t>
      </w:r>
      <w:r w:rsidRPr="000952DE">
        <w:rPr>
          <w:i/>
        </w:rPr>
        <w:t>evertheless, such terror came over them that they fled into</w:t>
      </w:r>
      <w:r w:rsidRPr="008E7E55">
        <w:rPr>
          <w:i/>
          <w:vertAlign w:val="superscript"/>
        </w:rPr>
        <w:t xml:space="preserve">c </w:t>
      </w:r>
      <w:r w:rsidRPr="000952DE">
        <w:rPr>
          <w:i/>
        </w:rPr>
        <w:t xml:space="preserve">hiding. </w:t>
      </w:r>
      <w:r w:rsidRPr="000952DE">
        <w:rPr>
          <w:i/>
          <w:vertAlign w:val="superscript"/>
        </w:rPr>
        <w:t>8</w:t>
      </w:r>
      <w:r w:rsidRPr="000952DE">
        <w:rPr>
          <w:i/>
        </w:rPr>
        <w:t>So I myself remained alone. I looked at this great sight, and no strength remained in me; my vigor</w:t>
      </w:r>
      <w:r w:rsidRPr="000952DE">
        <w:rPr>
          <w:i/>
          <w:vertAlign w:val="superscript"/>
        </w:rPr>
        <w:t>a</w:t>
      </w:r>
      <w:r w:rsidRPr="000952DE">
        <w:rPr>
          <w:i/>
        </w:rPr>
        <w:t xml:space="preserve"> dissolved into confusion </w:t>
      </w:r>
      <w:r w:rsidRPr="000952DE">
        <w:rPr>
          <w:i/>
          <w:vertAlign w:val="superscript"/>
        </w:rPr>
        <w:t>b</w:t>
      </w:r>
      <w:r w:rsidRPr="000952DE">
        <w:rPr>
          <w:i/>
        </w:rPr>
        <w:t>and I had no strength left.</w:t>
      </w:r>
      <w:r w:rsidRPr="000952DE">
        <w:rPr>
          <w:i/>
          <w:vertAlign w:val="superscript"/>
        </w:rPr>
        <w:t>b</w:t>
      </w:r>
      <w:r w:rsidRPr="000952DE">
        <w:rPr>
          <w:i/>
        </w:rPr>
        <w:t xml:space="preserve"> </w:t>
      </w:r>
      <w:r w:rsidRPr="000952DE">
        <w:rPr>
          <w:i/>
          <w:vertAlign w:val="superscript"/>
        </w:rPr>
        <w:t>9a</w:t>
      </w:r>
      <w:r w:rsidRPr="000952DE">
        <w:rPr>
          <w:i/>
        </w:rPr>
        <w:t>Then</w:t>
      </w:r>
      <w:r w:rsidR="008E7E55">
        <w:rPr>
          <w:i/>
        </w:rPr>
        <w:t xml:space="preserve"> I heard the sound of his words.</w:t>
      </w:r>
      <w:r w:rsidRPr="000952DE">
        <w:rPr>
          <w:i/>
        </w:rPr>
        <w:t xml:space="preserve"> When</w:t>
      </w:r>
      <w:r w:rsidRPr="000952DE">
        <w:rPr>
          <w:i/>
          <w:vertAlign w:val="superscript"/>
        </w:rPr>
        <w:t>b</w:t>
      </w:r>
      <w:r w:rsidRPr="000952DE">
        <w:rPr>
          <w:i/>
        </w:rPr>
        <w:t xml:space="preserve"> I heard the sound of his words,</w:t>
      </w:r>
      <w:r w:rsidR="008E7E55">
        <w:rPr>
          <w:i/>
          <w:vertAlign w:val="superscript"/>
        </w:rPr>
        <w:t>a</w:t>
      </w:r>
      <w:r w:rsidRPr="000952DE">
        <w:rPr>
          <w:i/>
        </w:rPr>
        <w:t xml:space="preserve"> </w:t>
      </w:r>
      <w:r w:rsidRPr="000952DE">
        <w:rPr>
          <w:i/>
          <w:vertAlign w:val="superscript"/>
        </w:rPr>
        <w:t>c</w:t>
      </w:r>
      <w:r w:rsidRPr="000952DE">
        <w:rPr>
          <w:i/>
        </w:rPr>
        <w:t>I was falling in a trance,</w:t>
      </w:r>
      <w:r w:rsidRPr="000952DE">
        <w:rPr>
          <w:i/>
          <w:vertAlign w:val="superscript"/>
        </w:rPr>
        <w:t>c</w:t>
      </w:r>
      <w:r w:rsidRPr="000952DE">
        <w:rPr>
          <w:i/>
        </w:rPr>
        <w:t xml:space="preserve"> </w:t>
      </w:r>
      <w:r w:rsidRPr="00F9269E">
        <w:rPr>
          <w:i/>
          <w:vertAlign w:val="superscript"/>
        </w:rPr>
        <w:t>d</w:t>
      </w:r>
      <w:r w:rsidR="00077C62">
        <w:rPr>
          <w:i/>
        </w:rPr>
        <w:t>on my face, w</w:t>
      </w:r>
      <w:r w:rsidRPr="000952DE">
        <w:rPr>
          <w:i/>
        </w:rPr>
        <w:t>ith my face</w:t>
      </w:r>
      <w:r w:rsidRPr="000952DE">
        <w:rPr>
          <w:i/>
          <w:vertAlign w:val="superscript"/>
        </w:rPr>
        <w:t>d</w:t>
      </w:r>
      <w:r w:rsidRPr="000952DE">
        <w:rPr>
          <w:i/>
        </w:rPr>
        <w:t xml:space="preserve"> to the ground. </w:t>
      </w:r>
      <w:r w:rsidRPr="00F23C08">
        <w:rPr>
          <w:i/>
          <w:vertAlign w:val="superscript"/>
        </w:rPr>
        <w:t>10</w:t>
      </w:r>
      <w:r w:rsidR="00A15831">
        <w:rPr>
          <w:i/>
        </w:rPr>
        <w:t>And t</w:t>
      </w:r>
      <w:r w:rsidR="00F23C08" w:rsidRPr="00F23C08">
        <w:rPr>
          <w:i/>
        </w:rPr>
        <w:t>here</w:t>
      </w:r>
      <w:r w:rsidR="00A15831">
        <w:rPr>
          <w:i/>
        </w:rPr>
        <w:t>:</w:t>
      </w:r>
      <w:r w:rsidRPr="00F23C08">
        <w:rPr>
          <w:i/>
          <w:vertAlign w:val="superscript"/>
        </w:rPr>
        <w:t>a</w:t>
      </w:r>
      <w:r w:rsidRPr="000952DE">
        <w:rPr>
          <w:i/>
        </w:rPr>
        <w:t xml:space="preserve"> a hand touched</w:t>
      </w:r>
      <w:r w:rsidRPr="000952DE">
        <w:rPr>
          <w:i/>
          <w:vertAlign w:val="superscript"/>
        </w:rPr>
        <w:t>b</w:t>
      </w:r>
      <w:r w:rsidRPr="000952DE">
        <w:rPr>
          <w:i/>
        </w:rPr>
        <w:t xml:space="preserve"> me and shook me</w:t>
      </w:r>
      <w:r w:rsidRPr="000952DE">
        <w:rPr>
          <w:i/>
          <w:vertAlign w:val="superscript"/>
        </w:rPr>
        <w:t xml:space="preserve">c </w:t>
      </w:r>
      <w:r w:rsidRPr="000952DE">
        <w:rPr>
          <w:i/>
        </w:rPr>
        <w:t xml:space="preserve">onto </w:t>
      </w:r>
      <w:r w:rsidRPr="000952DE">
        <w:rPr>
          <w:i/>
          <w:vertAlign w:val="superscript"/>
        </w:rPr>
        <w:t>d</w:t>
      </w:r>
      <w:r w:rsidRPr="000952DE">
        <w:rPr>
          <w:i/>
        </w:rPr>
        <w:t>my hands and knees.</w:t>
      </w:r>
      <w:r w:rsidRPr="000952DE">
        <w:rPr>
          <w:i/>
          <w:vertAlign w:val="superscript"/>
        </w:rPr>
        <w:t>d</w:t>
      </w:r>
      <w:r w:rsidRPr="000952DE">
        <w:rPr>
          <w:i/>
        </w:rPr>
        <w:t xml:space="preserve"> </w:t>
      </w:r>
    </w:p>
    <w:p w:rsidR="002B376E" w:rsidRPr="000952DE" w:rsidRDefault="002B376E" w:rsidP="002B376E">
      <w:pPr>
        <w:rPr>
          <w:i/>
        </w:rPr>
      </w:pPr>
      <w:r w:rsidRPr="000952DE">
        <w:rPr>
          <w:i/>
          <w:vertAlign w:val="superscript"/>
        </w:rPr>
        <w:t>11</w:t>
      </w:r>
      <w:r w:rsidRPr="000952DE">
        <w:rPr>
          <w:i/>
        </w:rPr>
        <w:t>He said to me, ‘Dani</w:t>
      </w:r>
      <w:r w:rsidR="00F9269E">
        <w:rPr>
          <w:i/>
        </w:rPr>
        <w:t>yy</w:t>
      </w:r>
      <w:r w:rsidRPr="000952DE">
        <w:rPr>
          <w:i/>
        </w:rPr>
        <w:t>e</w:t>
      </w:r>
      <w:r w:rsidR="00F9269E">
        <w:rPr>
          <w:i/>
        </w:rPr>
        <w:t xml:space="preserve">’l, </w:t>
      </w:r>
      <w:r w:rsidRPr="000952DE">
        <w:rPr>
          <w:i/>
        </w:rPr>
        <w:t>man held in high regard</w:t>
      </w:r>
      <w:r w:rsidR="00E22BC7">
        <w:rPr>
          <w:i/>
          <w:vertAlign w:val="superscript"/>
        </w:rPr>
        <w:t>a</w:t>
      </w:r>
      <w:r w:rsidRPr="000952DE">
        <w:rPr>
          <w:i/>
        </w:rPr>
        <w:t xml:space="preserve">, attend to the words which I am about to speak to you, and stand up in your place, because I have now been sent to you.’ As he told me this, I stood up, trembling. </w:t>
      </w:r>
      <w:r w:rsidRPr="000952DE">
        <w:rPr>
          <w:i/>
          <w:vertAlign w:val="superscript"/>
        </w:rPr>
        <w:t>12</w:t>
      </w:r>
      <w:r w:rsidR="001963B3">
        <w:rPr>
          <w:i/>
        </w:rPr>
        <w:t>H</w:t>
      </w:r>
      <w:r w:rsidR="008A68B5" w:rsidRPr="000952DE">
        <w:rPr>
          <w:i/>
        </w:rPr>
        <w:t>e said to me, ‘Don’</w:t>
      </w:r>
      <w:r w:rsidRPr="000952DE">
        <w:rPr>
          <w:i/>
        </w:rPr>
        <w:t>t be afraid, Daniel, because from the first day you set your mind to understand</w:t>
      </w:r>
      <w:r w:rsidR="001963B3">
        <w:rPr>
          <w:i/>
        </w:rPr>
        <w:t>,</w:t>
      </w:r>
      <w:r w:rsidRPr="000952DE">
        <w:rPr>
          <w:i/>
        </w:rPr>
        <w:t xml:space="preserve"> by humbling yourself before your God, your words were heard—I have come because of your words. </w:t>
      </w:r>
      <w:r w:rsidRPr="000952DE">
        <w:rPr>
          <w:i/>
          <w:vertAlign w:val="superscript"/>
        </w:rPr>
        <w:t>13</w:t>
      </w:r>
      <w:r w:rsidRPr="000952DE">
        <w:rPr>
          <w:i/>
        </w:rPr>
        <w:t>The</w:t>
      </w:r>
      <w:r w:rsidR="00F9269E">
        <w:rPr>
          <w:i/>
        </w:rPr>
        <w:t xml:space="preserve"> leader of the kingdom of Paras</w:t>
      </w:r>
      <w:r w:rsidRPr="000952DE">
        <w:rPr>
          <w:i/>
        </w:rPr>
        <w:t xml:space="preserve"> was opposing </w:t>
      </w:r>
      <w:r w:rsidR="00F23C08">
        <w:rPr>
          <w:i/>
        </w:rPr>
        <w:t>me for twenty-one days, but there:</w:t>
      </w:r>
      <w:r w:rsidRPr="000952DE">
        <w:rPr>
          <w:i/>
          <w:vertAlign w:val="superscript"/>
        </w:rPr>
        <w:t>a</w:t>
      </w:r>
      <w:r w:rsidR="00F9269E">
        <w:rPr>
          <w:i/>
        </w:rPr>
        <w:t xml:space="preserve"> Mik</w:t>
      </w:r>
      <w:r w:rsidRPr="000952DE">
        <w:rPr>
          <w:i/>
        </w:rPr>
        <w:t>a</w:t>
      </w:r>
      <w:r w:rsidR="00F9269E">
        <w:rPr>
          <w:i/>
        </w:rPr>
        <w:t>’</w:t>
      </w:r>
      <w:r w:rsidRPr="000952DE">
        <w:rPr>
          <w:i/>
        </w:rPr>
        <w:t xml:space="preserve">el, one of the supreme leaders, came to help me, when </w:t>
      </w:r>
      <w:r w:rsidRPr="000952DE">
        <w:rPr>
          <w:i/>
          <w:vertAlign w:val="superscript"/>
        </w:rPr>
        <w:t>b</w:t>
      </w:r>
      <w:r w:rsidRPr="000952DE">
        <w:rPr>
          <w:i/>
        </w:rPr>
        <w:t>I was left alone</w:t>
      </w:r>
      <w:r w:rsidRPr="000952DE">
        <w:rPr>
          <w:i/>
          <w:vertAlign w:val="superscript"/>
        </w:rPr>
        <w:t>b</w:t>
      </w:r>
      <w:r w:rsidRPr="000952DE">
        <w:rPr>
          <w:i/>
        </w:rPr>
        <w:t xml:space="preserve"> there with </w:t>
      </w:r>
      <w:r w:rsidRPr="000952DE">
        <w:rPr>
          <w:i/>
          <w:vertAlign w:val="superscript"/>
        </w:rPr>
        <w:t>c</w:t>
      </w:r>
      <w:r w:rsidRPr="000952DE">
        <w:rPr>
          <w:i/>
        </w:rPr>
        <w:t>the kings of</w:t>
      </w:r>
      <w:r w:rsidRPr="000952DE">
        <w:rPr>
          <w:i/>
          <w:vertAlign w:val="superscript"/>
        </w:rPr>
        <w:t>c</w:t>
      </w:r>
      <w:r w:rsidR="00F9269E">
        <w:rPr>
          <w:i/>
        </w:rPr>
        <w:t xml:space="preserve"> Paras</w:t>
      </w:r>
      <w:r w:rsidRPr="000952DE">
        <w:rPr>
          <w:i/>
        </w:rPr>
        <w:t xml:space="preserve">. </w:t>
      </w:r>
      <w:r w:rsidRPr="000952DE">
        <w:rPr>
          <w:i/>
          <w:vertAlign w:val="superscript"/>
        </w:rPr>
        <w:t>14</w:t>
      </w:r>
      <w:r w:rsidRPr="000952DE">
        <w:rPr>
          <w:i/>
        </w:rPr>
        <w:t>I have come to explain to you what will happen</w:t>
      </w:r>
      <w:r w:rsidRPr="000952DE">
        <w:rPr>
          <w:i/>
          <w:vertAlign w:val="superscript"/>
        </w:rPr>
        <w:t>a</w:t>
      </w:r>
      <w:r w:rsidRPr="000952DE">
        <w:rPr>
          <w:i/>
        </w:rPr>
        <w:t xml:space="preserve"> to your people at the end of the era,</w:t>
      </w:r>
      <w:r w:rsidRPr="000952DE">
        <w:rPr>
          <w:i/>
          <w:vertAlign w:val="superscript"/>
        </w:rPr>
        <w:t xml:space="preserve">b </w:t>
      </w:r>
      <w:r w:rsidRPr="000952DE">
        <w:rPr>
          <w:i/>
        </w:rPr>
        <w:t xml:space="preserve">because </w:t>
      </w:r>
      <w:r w:rsidRPr="000952DE">
        <w:rPr>
          <w:i/>
          <w:vertAlign w:val="superscript"/>
        </w:rPr>
        <w:t>c</w:t>
      </w:r>
      <w:r w:rsidRPr="000952DE">
        <w:rPr>
          <w:i/>
        </w:rPr>
        <w:t>there is yet a vision concerning that era.’</w:t>
      </w:r>
      <w:r w:rsidRPr="000952DE">
        <w:rPr>
          <w:i/>
          <w:vertAlign w:val="superscript"/>
        </w:rPr>
        <w:t>c</w:t>
      </w:r>
    </w:p>
    <w:p w:rsidR="001963B3" w:rsidRDefault="002B376E" w:rsidP="002B376E">
      <w:pPr>
        <w:rPr>
          <w:i/>
        </w:rPr>
      </w:pPr>
      <w:r w:rsidRPr="000952DE">
        <w:rPr>
          <w:i/>
          <w:vertAlign w:val="superscript"/>
        </w:rPr>
        <w:t>15</w:t>
      </w:r>
      <w:r w:rsidRPr="000952DE">
        <w:rPr>
          <w:i/>
        </w:rPr>
        <w:t>“While he spoke these words to me, I bowed my face</w:t>
      </w:r>
      <w:r w:rsidRPr="000952DE">
        <w:rPr>
          <w:i/>
          <w:vertAlign w:val="superscript"/>
        </w:rPr>
        <w:t>a</w:t>
      </w:r>
      <w:r w:rsidRPr="000952DE">
        <w:rPr>
          <w:i/>
        </w:rPr>
        <w:t xml:space="preserve"> to the ground and kept silence. </w:t>
      </w:r>
      <w:r w:rsidRPr="000952DE">
        <w:rPr>
          <w:i/>
          <w:vertAlign w:val="superscript"/>
        </w:rPr>
        <w:t>16</w:t>
      </w:r>
      <w:r w:rsidR="00BF2F97">
        <w:rPr>
          <w:i/>
        </w:rPr>
        <w:t>And there:</w:t>
      </w:r>
      <w:r w:rsidRPr="000952DE">
        <w:rPr>
          <w:i/>
          <w:vertAlign w:val="superscript"/>
        </w:rPr>
        <w:t>a</w:t>
      </w:r>
      <w:r w:rsidRPr="000952DE">
        <w:rPr>
          <w:i/>
        </w:rPr>
        <w:t xml:space="preserve"> </w:t>
      </w:r>
      <w:r w:rsidRPr="000952DE">
        <w:rPr>
          <w:i/>
          <w:vertAlign w:val="superscript"/>
        </w:rPr>
        <w:t>b</w:t>
      </w:r>
      <w:r w:rsidRPr="000952DE">
        <w:rPr>
          <w:i/>
        </w:rPr>
        <w:t>someone of human form</w:t>
      </w:r>
      <w:r w:rsidRPr="000952DE">
        <w:rPr>
          <w:i/>
          <w:vertAlign w:val="superscript"/>
        </w:rPr>
        <w:t>b</w:t>
      </w:r>
      <w:r w:rsidRPr="000952DE">
        <w:rPr>
          <w:i/>
        </w:rPr>
        <w:t xml:space="preserve"> touched my lips, and I opened my mouth and spoke. I said to the one who stood before me: ‘My lord, at this sight turmoil</w:t>
      </w:r>
      <w:r w:rsidRPr="000952DE">
        <w:rPr>
          <w:i/>
          <w:vertAlign w:val="superscript"/>
        </w:rPr>
        <w:t>c</w:t>
      </w:r>
      <w:r w:rsidRPr="000952DE">
        <w:rPr>
          <w:i/>
        </w:rPr>
        <w:t xml:space="preserve"> has convulsed me, I have no strength left. </w:t>
      </w:r>
      <w:r w:rsidRPr="000952DE">
        <w:rPr>
          <w:i/>
          <w:vertAlign w:val="superscript"/>
        </w:rPr>
        <w:t>17</w:t>
      </w:r>
      <w:r w:rsidRPr="000952DE">
        <w:rPr>
          <w:i/>
        </w:rPr>
        <w:t xml:space="preserve">And how can my lord’s mere </w:t>
      </w:r>
      <w:r w:rsidRPr="000952DE">
        <w:rPr>
          <w:i/>
          <w:vertAlign w:val="superscript"/>
        </w:rPr>
        <w:t>a</w:t>
      </w:r>
      <w:r w:rsidRPr="000952DE">
        <w:rPr>
          <w:i/>
        </w:rPr>
        <w:t>servant speak with such as</w:t>
      </w:r>
      <w:r w:rsidRPr="000952DE">
        <w:rPr>
          <w:i/>
          <w:vertAlign w:val="superscript"/>
        </w:rPr>
        <w:t>a</w:t>
      </w:r>
      <w:r w:rsidRPr="000952DE">
        <w:rPr>
          <w:i/>
        </w:rPr>
        <w:t xml:space="preserve"> my lord? Now,</w:t>
      </w:r>
      <w:r w:rsidRPr="000952DE">
        <w:rPr>
          <w:i/>
          <w:vertAlign w:val="superscript"/>
        </w:rPr>
        <w:t>b</w:t>
      </w:r>
      <w:r w:rsidRPr="000952DE">
        <w:rPr>
          <w:i/>
        </w:rPr>
        <w:t xml:space="preserve"> I have no strength left in me. There is no breath in me anymore.’ </w:t>
      </w:r>
    </w:p>
    <w:p w:rsidR="002B376E" w:rsidRPr="000952DE" w:rsidRDefault="002B376E" w:rsidP="002B376E">
      <w:pPr>
        <w:rPr>
          <w:i/>
        </w:rPr>
      </w:pPr>
      <w:r w:rsidRPr="000952DE">
        <w:rPr>
          <w:i/>
          <w:vertAlign w:val="superscript"/>
        </w:rPr>
        <w:t>18</w:t>
      </w:r>
      <w:r w:rsidRPr="000952DE">
        <w:rPr>
          <w:i/>
        </w:rPr>
        <w:t xml:space="preserve">Again one of human appearance touched me and encouraged me, </w:t>
      </w:r>
      <w:r w:rsidRPr="000952DE">
        <w:rPr>
          <w:i/>
          <w:vertAlign w:val="superscript"/>
        </w:rPr>
        <w:t>19</w:t>
      </w:r>
      <w:r w:rsidR="000952DE" w:rsidRPr="000952DE">
        <w:rPr>
          <w:i/>
        </w:rPr>
        <w:t>saying ‘Don’</w:t>
      </w:r>
      <w:r w:rsidRPr="000952DE">
        <w:rPr>
          <w:i/>
        </w:rPr>
        <w:t>t be afraid, man held in high regard. All will be well with you.</w:t>
      </w:r>
      <w:r w:rsidRPr="000952DE">
        <w:rPr>
          <w:i/>
          <w:vertAlign w:val="superscript"/>
        </w:rPr>
        <w:t xml:space="preserve">a </w:t>
      </w:r>
      <w:r w:rsidRPr="000952DE">
        <w:rPr>
          <w:i/>
        </w:rPr>
        <w:t>Take courage, take courage.’</w:t>
      </w:r>
      <w:r w:rsidRPr="000952DE">
        <w:rPr>
          <w:i/>
          <w:vertAlign w:val="superscript"/>
        </w:rPr>
        <w:t>b</w:t>
      </w:r>
      <w:r w:rsidRPr="000952DE">
        <w:rPr>
          <w:i/>
        </w:rPr>
        <w:t xml:space="preserve"> When</w:t>
      </w:r>
      <w:r w:rsidRPr="000952DE">
        <w:rPr>
          <w:i/>
          <w:vertAlign w:val="superscript"/>
        </w:rPr>
        <w:t>c</w:t>
      </w:r>
      <w:r w:rsidRPr="000952DE">
        <w:rPr>
          <w:i/>
        </w:rPr>
        <w:t xml:space="preserve"> he spoke to me, I took courage and said ‘My lord may speak, for you have encouraged me.’ </w:t>
      </w:r>
      <w:r w:rsidRPr="00F9269E">
        <w:rPr>
          <w:i/>
          <w:vertAlign w:val="superscript"/>
        </w:rPr>
        <w:t>20</w:t>
      </w:r>
      <w:r w:rsidRPr="000952DE">
        <w:rPr>
          <w:i/>
          <w:vertAlign w:val="superscript"/>
        </w:rPr>
        <w:t>a</w:t>
      </w:r>
      <w:r w:rsidRPr="000952DE">
        <w:rPr>
          <w:i/>
        </w:rPr>
        <w:t>Then he said, ‘Have you realized</w:t>
      </w:r>
      <w:r w:rsidRPr="00F9269E">
        <w:rPr>
          <w:i/>
          <w:vertAlign w:val="superscript"/>
        </w:rPr>
        <w:t>b</w:t>
      </w:r>
      <w:r w:rsidRPr="000952DE">
        <w:rPr>
          <w:i/>
        </w:rPr>
        <w:t xml:space="preserve"> why I have come to you? But now,</w:t>
      </w:r>
      <w:r w:rsidRPr="000952DE">
        <w:rPr>
          <w:i/>
          <w:vertAlign w:val="superscript"/>
        </w:rPr>
        <w:t>c</w:t>
      </w:r>
      <w:r w:rsidRPr="000952DE">
        <w:rPr>
          <w:i/>
        </w:rPr>
        <w:t xml:space="preserve"> I must return to fight with the leader of </w:t>
      </w:r>
      <w:r w:rsidR="00F9269E">
        <w:rPr>
          <w:i/>
        </w:rPr>
        <w:t>Paras</w:t>
      </w:r>
      <w:r w:rsidRPr="000952DE">
        <w:rPr>
          <w:i/>
        </w:rPr>
        <w:t>, though when I go,</w:t>
      </w:r>
      <w:r w:rsidRPr="000952DE">
        <w:rPr>
          <w:i/>
          <w:vertAlign w:val="superscript"/>
        </w:rPr>
        <w:t>d</w:t>
      </w:r>
      <w:r w:rsidR="00BF2F97">
        <w:rPr>
          <w:i/>
        </w:rPr>
        <w:t xml:space="preserve"> there:</w:t>
      </w:r>
      <w:r w:rsidRPr="000952DE">
        <w:rPr>
          <w:i/>
          <w:vertAlign w:val="superscript"/>
        </w:rPr>
        <w:t>e</w:t>
      </w:r>
      <w:r w:rsidR="00F9269E">
        <w:rPr>
          <w:i/>
        </w:rPr>
        <w:t xml:space="preserve"> the leader of Yawan will be coming</w:t>
      </w:r>
      <w:r w:rsidRPr="000952DE">
        <w:rPr>
          <w:i/>
        </w:rPr>
        <w:t xml:space="preserve">. </w:t>
      </w:r>
      <w:r w:rsidRPr="000952DE">
        <w:rPr>
          <w:i/>
          <w:vertAlign w:val="superscript"/>
        </w:rPr>
        <w:t>21</w:t>
      </w:r>
      <w:r w:rsidRPr="000952DE">
        <w:rPr>
          <w:i/>
        </w:rPr>
        <w:t>Nevertheless, I will tell you</w:t>
      </w:r>
      <w:r w:rsidR="00F9269E">
        <w:rPr>
          <w:i/>
        </w:rPr>
        <w:t xml:space="preserve"> what is inscribed in a trustworthy</w:t>
      </w:r>
      <w:r w:rsidRPr="000952DE">
        <w:rPr>
          <w:i/>
        </w:rPr>
        <w:t xml:space="preserve"> book.</w:t>
      </w:r>
      <w:r w:rsidRPr="000952DE">
        <w:rPr>
          <w:i/>
          <w:vertAlign w:val="superscript"/>
        </w:rPr>
        <w:t>a</w:t>
      </w:r>
      <w:r w:rsidRPr="000952DE">
        <w:rPr>
          <w:i/>
        </w:rPr>
        <w:t xml:space="preserve"> No one suppor</w:t>
      </w:r>
      <w:r w:rsidR="00F9269E">
        <w:rPr>
          <w:i/>
        </w:rPr>
        <w:t>ts me against these, except Mik</w:t>
      </w:r>
      <w:r w:rsidRPr="000952DE">
        <w:rPr>
          <w:i/>
        </w:rPr>
        <w:t>a</w:t>
      </w:r>
      <w:r w:rsidR="00F9269E">
        <w:rPr>
          <w:i/>
        </w:rPr>
        <w:t>’</w:t>
      </w:r>
      <w:r w:rsidRPr="000952DE">
        <w:rPr>
          <w:i/>
        </w:rPr>
        <w:t xml:space="preserve">el, your leader. </w:t>
      </w:r>
      <w:r w:rsidRPr="000952DE">
        <w:rPr>
          <w:i/>
          <w:vertAlign w:val="superscript"/>
        </w:rPr>
        <w:t>11:1</w:t>
      </w:r>
      <w:r w:rsidRPr="000952DE">
        <w:rPr>
          <w:i/>
        </w:rPr>
        <w:t xml:space="preserve">And </w:t>
      </w:r>
      <w:r w:rsidR="00B77FB8">
        <w:rPr>
          <w:i/>
        </w:rPr>
        <w:t>I</w:t>
      </w:r>
      <w:r w:rsidR="00355BDA">
        <w:rPr>
          <w:i/>
        </w:rPr>
        <w:t xml:space="preserve">, </w:t>
      </w:r>
      <w:r w:rsidRPr="000952DE">
        <w:rPr>
          <w:i/>
          <w:vertAlign w:val="superscript"/>
        </w:rPr>
        <w:t>a</w:t>
      </w:r>
      <w:r w:rsidR="00F9269E">
        <w:rPr>
          <w:i/>
        </w:rPr>
        <w:t xml:space="preserve">in the first year of </w:t>
      </w:r>
      <w:r w:rsidR="00F9269E" w:rsidRPr="00F9269E">
        <w:rPr>
          <w:i/>
        </w:rPr>
        <w:t>Dareyaweš</w:t>
      </w:r>
      <w:r w:rsidR="00F91A0D">
        <w:rPr>
          <w:i/>
        </w:rPr>
        <w:t xml:space="preserve"> the Medite</w:t>
      </w:r>
      <w:r w:rsidR="00B77FB8">
        <w:rPr>
          <w:i/>
        </w:rPr>
        <w:t>:</w:t>
      </w:r>
      <w:r w:rsidR="00355BDA">
        <w:rPr>
          <w:i/>
        </w:rPr>
        <w:t xml:space="preserve"> </w:t>
      </w:r>
      <w:r w:rsidR="00B77FB8">
        <w:rPr>
          <w:i/>
        </w:rPr>
        <w:t xml:space="preserve">I </w:t>
      </w:r>
      <w:r w:rsidRPr="000952DE">
        <w:rPr>
          <w:i/>
        </w:rPr>
        <w:t>took my stand</w:t>
      </w:r>
      <w:r w:rsidRPr="000952DE">
        <w:rPr>
          <w:i/>
          <w:vertAlign w:val="superscript"/>
        </w:rPr>
        <w:t>b</w:t>
      </w:r>
      <w:r w:rsidRPr="000952DE">
        <w:rPr>
          <w:i/>
        </w:rPr>
        <w:t xml:space="preserve"> to support and strengthen him. </w:t>
      </w:r>
      <w:r w:rsidRPr="000952DE">
        <w:rPr>
          <w:i/>
          <w:vertAlign w:val="superscript"/>
        </w:rPr>
        <w:t>2</w:t>
      </w:r>
      <w:r w:rsidRPr="000952DE">
        <w:rPr>
          <w:i/>
        </w:rPr>
        <w:t>But now,</w:t>
      </w:r>
      <w:r w:rsidRPr="000952DE">
        <w:rPr>
          <w:i/>
          <w:vertAlign w:val="superscript"/>
        </w:rPr>
        <w:t>a</w:t>
      </w:r>
      <w:r w:rsidRPr="000952DE">
        <w:rPr>
          <w:i/>
        </w:rPr>
        <w:t xml:space="preserve">I </w:t>
      </w:r>
      <w:r w:rsidR="00F91A0D">
        <w:rPr>
          <w:i/>
        </w:rPr>
        <w:t>will tell you something trustworthy</w:t>
      </w:r>
      <w:r w:rsidRPr="000952DE">
        <w:rPr>
          <w:i/>
        </w:rPr>
        <w:t>.</w:t>
      </w:r>
    </w:p>
    <w:p w:rsidR="002B376E" w:rsidRPr="000952DE" w:rsidRDefault="002B376E" w:rsidP="002B376E">
      <w:pPr>
        <w:rPr>
          <w:i/>
        </w:rPr>
      </w:pPr>
      <w:r w:rsidRPr="000952DE">
        <w:rPr>
          <w:i/>
        </w:rPr>
        <w:t>“‘T</w:t>
      </w:r>
      <w:r w:rsidR="00945C8C">
        <w:rPr>
          <w:i/>
        </w:rPr>
        <w:t>here:</w:t>
      </w:r>
      <w:r w:rsidR="00945C8C" w:rsidRPr="00945C8C">
        <w:rPr>
          <w:i/>
          <w:vertAlign w:val="superscript"/>
        </w:rPr>
        <w:t>b</w:t>
      </w:r>
      <w:r w:rsidR="00945C8C">
        <w:rPr>
          <w:i/>
        </w:rPr>
        <w:t>t</w:t>
      </w:r>
      <w:r w:rsidRPr="000952DE">
        <w:rPr>
          <w:i/>
        </w:rPr>
        <w:t>hree fu</w:t>
      </w:r>
      <w:r w:rsidR="00F91A0D">
        <w:rPr>
          <w:i/>
        </w:rPr>
        <w:t>rther kings will arise in Paras</w:t>
      </w:r>
      <w:r w:rsidR="001963B3">
        <w:rPr>
          <w:i/>
        </w:rPr>
        <w:t>, but</w:t>
      </w:r>
      <w:r w:rsidRPr="000952DE">
        <w:rPr>
          <w:i/>
        </w:rPr>
        <w:t xml:space="preserve"> the fourth</w:t>
      </w:r>
      <w:r w:rsidR="001963B3">
        <w:rPr>
          <w:i/>
        </w:rPr>
        <w:t>—he</w:t>
      </w:r>
      <w:r w:rsidRPr="000952DE">
        <w:rPr>
          <w:i/>
        </w:rPr>
        <w:t xml:space="preserve"> will be far wealthier than anyone.</w:t>
      </w:r>
      <w:r w:rsidRPr="00F91A0D">
        <w:rPr>
          <w:i/>
          <w:vertAlign w:val="superscript"/>
        </w:rPr>
        <w:t>c</w:t>
      </w:r>
      <w:r w:rsidR="001963B3">
        <w:rPr>
          <w:i/>
        </w:rPr>
        <w:t xml:space="preserve"> And</w:t>
      </w:r>
      <w:r w:rsidR="00673DCE">
        <w:rPr>
          <w:i/>
        </w:rPr>
        <w:t xml:space="preserve"> through</w:t>
      </w:r>
      <w:r w:rsidRPr="000952DE">
        <w:rPr>
          <w:i/>
        </w:rPr>
        <w:t xml:space="preserve"> </w:t>
      </w:r>
      <w:r w:rsidR="00673DCE">
        <w:rPr>
          <w:i/>
        </w:rPr>
        <w:t>the power he obtains through</w:t>
      </w:r>
      <w:r w:rsidRPr="000952DE">
        <w:rPr>
          <w:i/>
        </w:rPr>
        <w:t xml:space="preserve"> his wealth, he will stir up</w:t>
      </w:r>
      <w:r w:rsidRPr="00F91A0D">
        <w:rPr>
          <w:i/>
          <w:vertAlign w:val="superscript"/>
        </w:rPr>
        <w:t>d</w:t>
      </w:r>
      <w:r w:rsidRPr="000952DE">
        <w:rPr>
          <w:i/>
        </w:rPr>
        <w:t xml:space="preserve"> </w:t>
      </w:r>
      <w:r w:rsidRPr="00673DCE">
        <w:rPr>
          <w:i/>
          <w:vertAlign w:val="superscript"/>
        </w:rPr>
        <w:t>e</w:t>
      </w:r>
      <w:r w:rsidRPr="000952DE">
        <w:rPr>
          <w:i/>
        </w:rPr>
        <w:t xml:space="preserve">everyone in relation to the </w:t>
      </w:r>
      <w:r w:rsidR="008E1225">
        <w:rPr>
          <w:i/>
        </w:rPr>
        <w:t>kingdom of Yawan</w:t>
      </w:r>
      <w:r w:rsidRPr="000952DE">
        <w:rPr>
          <w:i/>
        </w:rPr>
        <w:t>.</w:t>
      </w:r>
      <w:r w:rsidRPr="00F91A0D">
        <w:rPr>
          <w:i/>
          <w:vertAlign w:val="superscript"/>
        </w:rPr>
        <w:t>e</w:t>
      </w:r>
      <w:r w:rsidRPr="000952DE">
        <w:rPr>
          <w:i/>
        </w:rPr>
        <w:t xml:space="preserve"> </w:t>
      </w:r>
      <w:r w:rsidRPr="008E1225">
        <w:rPr>
          <w:i/>
          <w:vertAlign w:val="superscript"/>
        </w:rPr>
        <w:t>3</w:t>
      </w:r>
      <w:r w:rsidRPr="000952DE">
        <w:rPr>
          <w:i/>
        </w:rPr>
        <w:t xml:space="preserve">Then a warrior-king will appear who will rule </w:t>
      </w:r>
      <w:r w:rsidRPr="00F91A0D">
        <w:rPr>
          <w:i/>
          <w:vertAlign w:val="superscript"/>
        </w:rPr>
        <w:t>a</w:t>
      </w:r>
      <w:r w:rsidRPr="000952DE">
        <w:rPr>
          <w:i/>
        </w:rPr>
        <w:t>a great realm</w:t>
      </w:r>
      <w:r w:rsidRPr="00F91A0D">
        <w:rPr>
          <w:i/>
          <w:vertAlign w:val="superscript"/>
        </w:rPr>
        <w:t>a</w:t>
      </w:r>
      <w:r w:rsidRPr="000952DE">
        <w:rPr>
          <w:i/>
        </w:rPr>
        <w:t xml:space="preserve"> and act as he pleases.</w:t>
      </w:r>
      <w:r w:rsidRPr="008E1225">
        <w:rPr>
          <w:i/>
          <w:vertAlign w:val="superscript"/>
        </w:rPr>
        <w:t>b</w:t>
      </w:r>
      <w:r w:rsidRPr="000952DE">
        <w:rPr>
          <w:i/>
        </w:rPr>
        <w:t xml:space="preserve"> </w:t>
      </w:r>
      <w:r w:rsidRPr="008E1225">
        <w:rPr>
          <w:i/>
          <w:vertAlign w:val="superscript"/>
        </w:rPr>
        <w:t>4</w:t>
      </w:r>
      <w:r w:rsidRPr="000952DE">
        <w:rPr>
          <w:i/>
        </w:rPr>
        <w:t>But as soon as</w:t>
      </w:r>
      <w:r w:rsidRPr="008E1225">
        <w:rPr>
          <w:i/>
          <w:vertAlign w:val="superscript"/>
        </w:rPr>
        <w:t>a</w:t>
      </w:r>
      <w:r w:rsidRPr="000952DE">
        <w:rPr>
          <w:i/>
        </w:rPr>
        <w:t xml:space="preserve"> he arises, his </w:t>
      </w:r>
      <w:r w:rsidR="008E1225">
        <w:rPr>
          <w:i/>
        </w:rPr>
        <w:t>kingdom</w:t>
      </w:r>
      <w:r w:rsidR="000C6CB7" w:rsidRPr="000952DE">
        <w:rPr>
          <w:i/>
        </w:rPr>
        <w:t xml:space="preserve"> will break up and divide</w:t>
      </w:r>
      <w:r w:rsidRPr="000952DE">
        <w:rPr>
          <w:i/>
        </w:rPr>
        <w:t xml:space="preserve"> </w:t>
      </w:r>
      <w:r w:rsidR="000C6CB7" w:rsidRPr="000952DE">
        <w:rPr>
          <w:i/>
        </w:rPr>
        <w:t xml:space="preserve">towards </w:t>
      </w:r>
      <w:r w:rsidRPr="000952DE">
        <w:rPr>
          <w:i/>
        </w:rPr>
        <w:t xml:space="preserve">the four winds of the heavens. </w:t>
      </w:r>
      <w:r w:rsidRPr="008E1225">
        <w:rPr>
          <w:i/>
          <w:vertAlign w:val="superscript"/>
        </w:rPr>
        <w:t>c</w:t>
      </w:r>
      <w:r w:rsidRPr="000952DE">
        <w:rPr>
          <w:i/>
        </w:rPr>
        <w:t>It will not belong to his surviving family nor be a realm such as he ruled,</w:t>
      </w:r>
      <w:r w:rsidRPr="008E1225">
        <w:rPr>
          <w:i/>
          <w:vertAlign w:val="superscript"/>
        </w:rPr>
        <w:t>c</w:t>
      </w:r>
      <w:r w:rsidRPr="000952DE">
        <w:rPr>
          <w:i/>
        </w:rPr>
        <w:t xml:space="preserve"> because his </w:t>
      </w:r>
      <w:r w:rsidR="008E1225">
        <w:rPr>
          <w:i/>
        </w:rPr>
        <w:t>kingdom</w:t>
      </w:r>
      <w:r w:rsidRPr="000952DE">
        <w:rPr>
          <w:i/>
        </w:rPr>
        <w:t xml:space="preserve"> will be uprooted and will belong to others besides these.</w:t>
      </w:r>
    </w:p>
    <w:p w:rsidR="001A3FAA" w:rsidRDefault="002B376E" w:rsidP="002B376E">
      <w:pPr>
        <w:rPr>
          <w:i/>
        </w:rPr>
      </w:pPr>
      <w:r w:rsidRPr="008E1225">
        <w:rPr>
          <w:i/>
          <w:vertAlign w:val="superscript"/>
        </w:rPr>
        <w:t>5</w:t>
      </w:r>
      <w:r w:rsidRPr="000952DE">
        <w:rPr>
          <w:i/>
        </w:rPr>
        <w:t>“‘The southern king</w:t>
      </w:r>
      <w:r w:rsidR="00E1701F">
        <w:rPr>
          <w:i/>
          <w:vertAlign w:val="superscript"/>
        </w:rPr>
        <w:t>a</w:t>
      </w:r>
      <w:r w:rsidRPr="000952DE">
        <w:rPr>
          <w:i/>
        </w:rPr>
        <w:t xml:space="preserve"> will then be powerful, </w:t>
      </w:r>
      <w:r w:rsidR="00E1701F">
        <w:rPr>
          <w:i/>
          <w:vertAlign w:val="superscript"/>
        </w:rPr>
        <w:t>b</w:t>
      </w:r>
      <w:r w:rsidR="004406E8">
        <w:rPr>
          <w:i/>
        </w:rPr>
        <w:t>but one of his officers</w:t>
      </w:r>
      <w:r w:rsidR="00E1701F">
        <w:rPr>
          <w:i/>
          <w:vertAlign w:val="superscript"/>
        </w:rPr>
        <w:t xml:space="preserve"> b</w:t>
      </w:r>
      <w:r w:rsidR="004406E8">
        <w:rPr>
          <w:i/>
        </w:rPr>
        <w:t xml:space="preserve">—he will </w:t>
      </w:r>
      <w:r w:rsidRPr="000952DE">
        <w:rPr>
          <w:i/>
        </w:rPr>
        <w:t>be more</w:t>
      </w:r>
      <w:r w:rsidR="004406E8">
        <w:rPr>
          <w:i/>
        </w:rPr>
        <w:t xml:space="preserve"> powerful than him</w:t>
      </w:r>
      <w:r w:rsidRPr="000952DE">
        <w:rPr>
          <w:i/>
        </w:rPr>
        <w:t xml:space="preserve"> and </w:t>
      </w:r>
      <w:r w:rsidR="00DC682E">
        <w:rPr>
          <w:i/>
        </w:rPr>
        <w:t xml:space="preserve">he </w:t>
      </w:r>
      <w:r w:rsidRPr="000952DE">
        <w:rPr>
          <w:i/>
        </w:rPr>
        <w:t>will rule</w:t>
      </w:r>
      <w:r w:rsidR="00DC682E">
        <w:rPr>
          <w:i/>
        </w:rPr>
        <w:t xml:space="preserve">, his rule </w:t>
      </w:r>
      <w:r w:rsidR="00833D20">
        <w:rPr>
          <w:i/>
        </w:rPr>
        <w:t xml:space="preserve">being </w:t>
      </w:r>
      <w:r w:rsidR="00DC682E">
        <w:rPr>
          <w:i/>
        </w:rPr>
        <w:t>a great rule</w:t>
      </w:r>
      <w:r w:rsidRPr="000952DE">
        <w:rPr>
          <w:i/>
        </w:rPr>
        <w:t>.</w:t>
      </w:r>
      <w:r w:rsidR="00E1701F">
        <w:rPr>
          <w:i/>
          <w:vertAlign w:val="superscript"/>
        </w:rPr>
        <w:t>c</w:t>
      </w:r>
      <w:r w:rsidRPr="000952DE">
        <w:rPr>
          <w:i/>
        </w:rPr>
        <w:t xml:space="preserve"> </w:t>
      </w:r>
      <w:r w:rsidRPr="008E1225">
        <w:rPr>
          <w:i/>
          <w:vertAlign w:val="superscript"/>
        </w:rPr>
        <w:t>6</w:t>
      </w:r>
      <w:r w:rsidRPr="000952DE">
        <w:rPr>
          <w:i/>
        </w:rPr>
        <w:t>Then after some years an alliance will be made</w:t>
      </w:r>
      <w:r w:rsidRPr="008E1225">
        <w:rPr>
          <w:i/>
          <w:vertAlign w:val="superscript"/>
        </w:rPr>
        <w:t>a</w:t>
      </w:r>
      <w:r w:rsidRPr="000952DE">
        <w:rPr>
          <w:i/>
        </w:rPr>
        <w:t xml:space="preserve"> and the daughter of the southern king will go to</w:t>
      </w:r>
      <w:r w:rsidRPr="008E1225">
        <w:rPr>
          <w:i/>
          <w:vertAlign w:val="superscript"/>
        </w:rPr>
        <w:t>b</w:t>
      </w:r>
      <w:r w:rsidRPr="000952DE">
        <w:rPr>
          <w:i/>
        </w:rPr>
        <w:t xml:space="preserve"> the northern king to establish an agreement. But she </w:t>
      </w:r>
      <w:r w:rsidRPr="000952DE">
        <w:rPr>
          <w:i/>
        </w:rPr>
        <w:lastRenderedPageBreak/>
        <w:t xml:space="preserve">will not be able to hold onto </w:t>
      </w:r>
      <w:r w:rsidRPr="008E1225">
        <w:rPr>
          <w:i/>
          <w:vertAlign w:val="superscript"/>
        </w:rPr>
        <w:t>c</w:t>
      </w:r>
      <w:r w:rsidRPr="000952DE">
        <w:rPr>
          <w:i/>
        </w:rPr>
        <w:t>her power</w:t>
      </w:r>
      <w:r w:rsidRPr="008E1225">
        <w:rPr>
          <w:i/>
          <w:vertAlign w:val="superscript"/>
        </w:rPr>
        <w:t>c</w:t>
      </w:r>
      <w:r w:rsidRPr="000952DE">
        <w:rPr>
          <w:i/>
        </w:rPr>
        <w:t xml:space="preserve"> nor will his power</w:t>
      </w:r>
      <w:r w:rsidRPr="008E1225">
        <w:rPr>
          <w:i/>
          <w:vertAlign w:val="superscript"/>
        </w:rPr>
        <w:t>d</w:t>
      </w:r>
      <w:r w:rsidR="001963B3">
        <w:rPr>
          <w:i/>
        </w:rPr>
        <w:t xml:space="preserve"> last out. S</w:t>
      </w:r>
      <w:r w:rsidRPr="000952DE">
        <w:rPr>
          <w:i/>
        </w:rPr>
        <w:t>he will be given up,</w:t>
      </w:r>
      <w:r w:rsidRPr="008E1225">
        <w:rPr>
          <w:i/>
          <w:vertAlign w:val="superscript"/>
        </w:rPr>
        <w:t>e</w:t>
      </w:r>
      <w:r w:rsidRPr="000952DE">
        <w:rPr>
          <w:i/>
        </w:rPr>
        <w:t xml:space="preserve"> as will those who escorted her</w:t>
      </w:r>
      <w:r w:rsidRPr="008E1225">
        <w:rPr>
          <w:i/>
          <w:vertAlign w:val="superscript"/>
        </w:rPr>
        <w:t>f</w:t>
      </w:r>
      <w:r w:rsidRPr="000952DE">
        <w:rPr>
          <w:i/>
        </w:rPr>
        <w:t xml:space="preserve"> and the one who fathered her</w:t>
      </w:r>
      <w:r w:rsidRPr="008E1225">
        <w:rPr>
          <w:i/>
          <w:vertAlign w:val="superscript"/>
        </w:rPr>
        <w:t>g</w:t>
      </w:r>
      <w:r w:rsidRPr="000952DE">
        <w:rPr>
          <w:i/>
        </w:rPr>
        <w:t xml:space="preserve"> and </w:t>
      </w:r>
      <w:r w:rsidRPr="008E1225">
        <w:rPr>
          <w:i/>
          <w:vertAlign w:val="superscript"/>
        </w:rPr>
        <w:t>h</w:t>
      </w:r>
      <w:r w:rsidRPr="000952DE">
        <w:rPr>
          <w:i/>
        </w:rPr>
        <w:t>sustained her.</w:t>
      </w:r>
      <w:r w:rsidRPr="008E1225">
        <w:rPr>
          <w:i/>
          <w:vertAlign w:val="superscript"/>
        </w:rPr>
        <w:t>h</w:t>
      </w:r>
      <w:r w:rsidRPr="000952DE">
        <w:rPr>
          <w:i/>
        </w:rPr>
        <w:t xml:space="preserve"> In time</w:t>
      </w:r>
      <w:r w:rsidRPr="00CE2F6E">
        <w:rPr>
          <w:i/>
          <w:vertAlign w:val="superscript"/>
        </w:rPr>
        <w:t>i</w:t>
      </w:r>
      <w:r w:rsidRPr="000952DE">
        <w:rPr>
          <w:i/>
        </w:rPr>
        <w:t xml:space="preserve"> </w:t>
      </w:r>
      <w:r w:rsidRPr="001B3EC8">
        <w:rPr>
          <w:i/>
          <w:vertAlign w:val="superscript"/>
        </w:rPr>
        <w:t>7</w:t>
      </w:r>
      <w:r w:rsidRPr="000952DE">
        <w:rPr>
          <w:i/>
        </w:rPr>
        <w:t>one of</w:t>
      </w:r>
      <w:r w:rsidRPr="001B3EC8">
        <w:rPr>
          <w:i/>
          <w:vertAlign w:val="superscript"/>
        </w:rPr>
        <w:t>a</w:t>
      </w:r>
      <w:r w:rsidRPr="000952DE">
        <w:rPr>
          <w:i/>
        </w:rPr>
        <w:t xml:space="preserve"> the shoots from her roots</w:t>
      </w:r>
      <w:r w:rsidR="002F46A6">
        <w:rPr>
          <w:i/>
        </w:rPr>
        <w:t xml:space="preserve">—he </w:t>
      </w:r>
      <w:r w:rsidRPr="000952DE">
        <w:rPr>
          <w:i/>
        </w:rPr>
        <w:t>will arise</w:t>
      </w:r>
      <w:r w:rsidRPr="001B3EC8">
        <w:rPr>
          <w:i/>
          <w:vertAlign w:val="superscript"/>
        </w:rPr>
        <w:t>b</w:t>
      </w:r>
      <w:r w:rsidRPr="000952DE">
        <w:rPr>
          <w:i/>
        </w:rPr>
        <w:t xml:space="preserve"> in his place. He will attack the army</w:t>
      </w:r>
      <w:r w:rsidRPr="001B3EC8">
        <w:rPr>
          <w:i/>
          <w:vertAlign w:val="superscript"/>
        </w:rPr>
        <w:t>c</w:t>
      </w:r>
      <w:r w:rsidRPr="000952DE">
        <w:rPr>
          <w:i/>
        </w:rPr>
        <w:t xml:space="preserve"> and enter the stronghold of the northern king. He will deal with them as their conqueror;</w:t>
      </w:r>
      <w:r w:rsidRPr="001B3EC8">
        <w:rPr>
          <w:i/>
          <w:vertAlign w:val="superscript"/>
        </w:rPr>
        <w:t>d</w:t>
      </w:r>
      <w:r w:rsidRPr="000952DE">
        <w:rPr>
          <w:i/>
        </w:rPr>
        <w:t xml:space="preserve"> </w:t>
      </w:r>
      <w:r w:rsidRPr="001B3EC8">
        <w:rPr>
          <w:i/>
          <w:vertAlign w:val="superscript"/>
        </w:rPr>
        <w:t>8</w:t>
      </w:r>
      <w:r w:rsidRPr="000952DE">
        <w:rPr>
          <w:i/>
        </w:rPr>
        <w:t>their gods with their molten images and their precious silver and gold war</w:t>
      </w:r>
      <w:r w:rsidR="00246BBE">
        <w:rPr>
          <w:i/>
        </w:rPr>
        <w:t xml:space="preserve">e he will also take off to </w:t>
      </w:r>
      <w:r w:rsidR="00246BBE" w:rsidRPr="00246BBE">
        <w:rPr>
          <w:i/>
        </w:rPr>
        <w:t>Miṣrayim</w:t>
      </w:r>
      <w:r w:rsidRPr="000952DE">
        <w:rPr>
          <w:i/>
        </w:rPr>
        <w:t>. Although he</w:t>
      </w:r>
      <w:r w:rsidRPr="001B3EC8">
        <w:rPr>
          <w:i/>
          <w:vertAlign w:val="superscript"/>
        </w:rPr>
        <w:t>a</w:t>
      </w:r>
      <w:r w:rsidR="001963B3">
        <w:rPr>
          <w:i/>
        </w:rPr>
        <w:t xml:space="preserve"> will </w:t>
      </w:r>
      <w:r w:rsidRPr="000952DE">
        <w:rPr>
          <w:i/>
        </w:rPr>
        <w:t>keep away from the northern</w:t>
      </w:r>
      <w:r w:rsidRPr="001B3EC8">
        <w:rPr>
          <w:i/>
          <w:vertAlign w:val="superscript"/>
        </w:rPr>
        <w:t>b</w:t>
      </w:r>
      <w:r w:rsidRPr="000952DE">
        <w:rPr>
          <w:i/>
        </w:rPr>
        <w:t xml:space="preserve"> king for some years, </w:t>
      </w:r>
      <w:r w:rsidRPr="001B3EC8">
        <w:rPr>
          <w:i/>
          <w:vertAlign w:val="superscript"/>
        </w:rPr>
        <w:t>9</w:t>
      </w:r>
      <w:r w:rsidRPr="000952DE">
        <w:rPr>
          <w:i/>
        </w:rPr>
        <w:t xml:space="preserve">he will then invade the southern king’s </w:t>
      </w:r>
      <w:r w:rsidR="008E1225">
        <w:rPr>
          <w:i/>
        </w:rPr>
        <w:t>kingdom</w:t>
      </w:r>
      <w:r w:rsidRPr="000952DE">
        <w:rPr>
          <w:i/>
        </w:rPr>
        <w:t>, but</w:t>
      </w:r>
      <w:r w:rsidR="00CE2F6E">
        <w:rPr>
          <w:i/>
        </w:rPr>
        <w:t xml:space="preserve"> will return to his own country.</w:t>
      </w:r>
      <w:r w:rsidRPr="000952DE">
        <w:rPr>
          <w:i/>
        </w:rPr>
        <w:t xml:space="preserve"> </w:t>
      </w:r>
      <w:r w:rsidRPr="001B3EC8">
        <w:rPr>
          <w:i/>
          <w:vertAlign w:val="superscript"/>
        </w:rPr>
        <w:t>10</w:t>
      </w:r>
      <w:r w:rsidRPr="000952DE">
        <w:rPr>
          <w:i/>
        </w:rPr>
        <w:t>His sons</w:t>
      </w:r>
      <w:r w:rsidRPr="001B3EC8">
        <w:rPr>
          <w:i/>
          <w:vertAlign w:val="superscript"/>
        </w:rPr>
        <w:t>a</w:t>
      </w:r>
      <w:r w:rsidRPr="000952DE">
        <w:rPr>
          <w:i/>
        </w:rPr>
        <w:t xml:space="preserve"> will commit themselves to war. They will gather a massive horde which </w:t>
      </w:r>
      <w:r w:rsidRPr="001B3EC8">
        <w:rPr>
          <w:i/>
          <w:vertAlign w:val="superscript"/>
        </w:rPr>
        <w:t>b</w:t>
      </w:r>
      <w:r w:rsidRPr="000952DE">
        <w:rPr>
          <w:i/>
        </w:rPr>
        <w:t>will advance and advance and sweep through like a flood.</w:t>
      </w:r>
      <w:r w:rsidRPr="001B3EC8">
        <w:rPr>
          <w:i/>
          <w:vertAlign w:val="superscript"/>
        </w:rPr>
        <w:t>b</w:t>
      </w:r>
      <w:r w:rsidR="000052C1">
        <w:rPr>
          <w:i/>
        </w:rPr>
        <w:t xml:space="preserve"> I</w:t>
      </w:r>
      <w:r w:rsidRPr="000952DE">
        <w:rPr>
          <w:i/>
        </w:rPr>
        <w:t>t will again battle on as far as his stronghold;</w:t>
      </w:r>
      <w:r w:rsidRPr="001B3EC8">
        <w:rPr>
          <w:i/>
          <w:vertAlign w:val="superscript"/>
        </w:rPr>
        <w:t>c</w:t>
      </w:r>
      <w:r w:rsidRPr="000952DE">
        <w:rPr>
          <w:i/>
        </w:rPr>
        <w:t xml:space="preserve"> </w:t>
      </w:r>
      <w:r w:rsidRPr="001B3EC8">
        <w:rPr>
          <w:i/>
          <w:vertAlign w:val="superscript"/>
        </w:rPr>
        <w:t>11</w:t>
      </w:r>
      <w:r w:rsidRPr="000952DE">
        <w:rPr>
          <w:i/>
        </w:rPr>
        <w:t>but the southern king will be provok</w:t>
      </w:r>
      <w:r w:rsidR="005A7A16">
        <w:rPr>
          <w:i/>
        </w:rPr>
        <w:t>ed to come out to fight with hi</w:t>
      </w:r>
      <w:r w:rsidRPr="000952DE">
        <w:rPr>
          <w:i/>
        </w:rPr>
        <w:t>m—with the northern king.</w:t>
      </w:r>
      <w:r w:rsidRPr="001B3EC8">
        <w:rPr>
          <w:i/>
          <w:vertAlign w:val="superscript"/>
        </w:rPr>
        <w:t>a</w:t>
      </w:r>
      <w:r w:rsidRPr="000952DE">
        <w:rPr>
          <w:i/>
        </w:rPr>
        <w:t xml:space="preserve"> He</w:t>
      </w:r>
      <w:r w:rsidRPr="001B3EC8">
        <w:rPr>
          <w:i/>
          <w:vertAlign w:val="superscript"/>
        </w:rPr>
        <w:t>b</w:t>
      </w:r>
      <w:r w:rsidRPr="000952DE">
        <w:rPr>
          <w:i/>
        </w:rPr>
        <w:t xml:space="preserve"> will raise a large horde, but the horde will be given into his power. </w:t>
      </w:r>
      <w:r w:rsidRPr="001B3EC8">
        <w:rPr>
          <w:i/>
          <w:vertAlign w:val="superscript"/>
        </w:rPr>
        <w:t>12</w:t>
      </w:r>
      <w:r w:rsidRPr="000952DE">
        <w:rPr>
          <w:i/>
        </w:rPr>
        <w:t>When the horde is carried off,</w:t>
      </w:r>
      <w:r w:rsidRPr="001B3EC8">
        <w:rPr>
          <w:i/>
          <w:vertAlign w:val="superscript"/>
        </w:rPr>
        <w:t>a</w:t>
      </w:r>
      <w:r w:rsidRPr="000952DE">
        <w:rPr>
          <w:i/>
        </w:rPr>
        <w:t xml:space="preserve"> his</w:t>
      </w:r>
      <w:r w:rsidRPr="001B3EC8">
        <w:rPr>
          <w:i/>
          <w:vertAlign w:val="superscript"/>
        </w:rPr>
        <w:t>b</w:t>
      </w:r>
      <w:r w:rsidRPr="000952DE">
        <w:rPr>
          <w:i/>
        </w:rPr>
        <w:t xml:space="preserve"> mind will be elated</w:t>
      </w:r>
      <w:r w:rsidRPr="001B3EC8">
        <w:rPr>
          <w:i/>
          <w:vertAlign w:val="superscript"/>
        </w:rPr>
        <w:t>c</w:t>
      </w:r>
      <w:r w:rsidRPr="000952DE">
        <w:rPr>
          <w:i/>
        </w:rPr>
        <w:t xml:space="preserve"> and he</w:t>
      </w:r>
      <w:r w:rsidRPr="001B3EC8">
        <w:rPr>
          <w:i/>
          <w:vertAlign w:val="superscript"/>
        </w:rPr>
        <w:t>b</w:t>
      </w:r>
      <w:r w:rsidRPr="000952DE">
        <w:rPr>
          <w:i/>
        </w:rPr>
        <w:t xml:space="preserve"> will put down tens of thousands,</w:t>
      </w:r>
      <w:r w:rsidRPr="001B3EC8">
        <w:rPr>
          <w:i/>
          <w:vertAlign w:val="superscript"/>
        </w:rPr>
        <w:t>d</w:t>
      </w:r>
      <w:r w:rsidRPr="000952DE">
        <w:rPr>
          <w:i/>
        </w:rPr>
        <w:t xml:space="preserve"> but he will not be victorious. </w:t>
      </w:r>
    </w:p>
    <w:p w:rsidR="002B376E" w:rsidRPr="000952DE" w:rsidRDefault="002B376E" w:rsidP="002B376E">
      <w:pPr>
        <w:rPr>
          <w:i/>
        </w:rPr>
      </w:pPr>
      <w:r w:rsidRPr="001B3EC8">
        <w:rPr>
          <w:i/>
          <w:vertAlign w:val="superscript"/>
        </w:rPr>
        <w:t>13</w:t>
      </w:r>
      <w:r w:rsidRPr="000952DE">
        <w:rPr>
          <w:i/>
        </w:rPr>
        <w:t>The northern king will return</w:t>
      </w:r>
      <w:r w:rsidRPr="001B3EC8">
        <w:rPr>
          <w:i/>
          <w:vertAlign w:val="superscript"/>
        </w:rPr>
        <w:t>a</w:t>
      </w:r>
      <w:r w:rsidRPr="000952DE">
        <w:rPr>
          <w:i/>
        </w:rPr>
        <w:t xml:space="preserve"> and raise a larger horde than the first. Thus </w:t>
      </w:r>
      <w:r w:rsidRPr="001B3EC8">
        <w:rPr>
          <w:i/>
          <w:vertAlign w:val="superscript"/>
        </w:rPr>
        <w:t>b</w:t>
      </w:r>
      <w:r w:rsidRPr="000952DE">
        <w:rPr>
          <w:i/>
        </w:rPr>
        <w:t>after a period of years</w:t>
      </w:r>
      <w:r w:rsidRPr="001B3EC8">
        <w:rPr>
          <w:i/>
          <w:vertAlign w:val="superscript"/>
        </w:rPr>
        <w:t>b</w:t>
      </w:r>
      <w:r w:rsidRPr="000952DE">
        <w:rPr>
          <w:i/>
        </w:rPr>
        <w:t xml:space="preserve"> he will advance and advance</w:t>
      </w:r>
      <w:r w:rsidRPr="001B3EC8">
        <w:rPr>
          <w:i/>
          <w:vertAlign w:val="superscript"/>
        </w:rPr>
        <w:t>c</w:t>
      </w:r>
      <w:r w:rsidRPr="000952DE">
        <w:rPr>
          <w:i/>
        </w:rPr>
        <w:t xml:space="preserve"> with a large force and much equipment. </w:t>
      </w:r>
      <w:r w:rsidRPr="001B3EC8">
        <w:rPr>
          <w:i/>
          <w:vertAlign w:val="superscript"/>
        </w:rPr>
        <w:t>14</w:t>
      </w:r>
      <w:r w:rsidRPr="000952DE">
        <w:rPr>
          <w:i/>
        </w:rPr>
        <w:t>During those times many will rise up against the southern king, but when wild men among</w:t>
      </w:r>
      <w:r w:rsidRPr="00CE2F6E">
        <w:rPr>
          <w:i/>
          <w:vertAlign w:val="superscript"/>
        </w:rPr>
        <w:t>a</w:t>
      </w:r>
      <w:r w:rsidRPr="000952DE">
        <w:rPr>
          <w:i/>
        </w:rPr>
        <w:t xml:space="preserve"> your people assert themselves, in fulfillment of</w:t>
      </w:r>
      <w:r w:rsidRPr="001B3EC8">
        <w:rPr>
          <w:i/>
          <w:vertAlign w:val="superscript"/>
        </w:rPr>
        <w:t>b</w:t>
      </w:r>
      <w:r w:rsidRPr="000952DE">
        <w:rPr>
          <w:i/>
        </w:rPr>
        <w:t xml:space="preserve"> a vision, they will stumble. </w:t>
      </w:r>
      <w:r w:rsidRPr="001B3EC8">
        <w:rPr>
          <w:i/>
          <w:vertAlign w:val="superscript"/>
        </w:rPr>
        <w:t>15</w:t>
      </w:r>
      <w:r w:rsidRPr="000952DE">
        <w:rPr>
          <w:i/>
        </w:rPr>
        <w:t>Then</w:t>
      </w:r>
      <w:r w:rsidRPr="001B3EC8">
        <w:rPr>
          <w:i/>
          <w:vertAlign w:val="superscript"/>
        </w:rPr>
        <w:t>a</w:t>
      </w:r>
      <w:r w:rsidRPr="000952DE">
        <w:rPr>
          <w:i/>
        </w:rPr>
        <w:t xml:space="preserve"> the northern king will advance, throw up siegeworks,</w:t>
      </w:r>
      <w:r w:rsidRPr="001B3EC8">
        <w:rPr>
          <w:i/>
          <w:vertAlign w:val="superscript"/>
        </w:rPr>
        <w:t>b</w:t>
      </w:r>
      <w:r w:rsidRPr="000952DE">
        <w:rPr>
          <w:i/>
        </w:rPr>
        <w:t xml:space="preserve"> and capture a fortified city.</w:t>
      </w:r>
      <w:r w:rsidRPr="001B3EC8">
        <w:rPr>
          <w:i/>
          <w:vertAlign w:val="superscript"/>
        </w:rPr>
        <w:t>c</w:t>
      </w:r>
      <w:r w:rsidRPr="000952DE">
        <w:rPr>
          <w:i/>
        </w:rPr>
        <w:t xml:space="preserve"> The southern forces will not be able to withstand. Even their picked troops</w:t>
      </w:r>
      <w:r w:rsidRPr="001B3EC8">
        <w:rPr>
          <w:i/>
          <w:vertAlign w:val="superscript"/>
        </w:rPr>
        <w:t xml:space="preserve">d </w:t>
      </w:r>
      <w:r w:rsidRPr="00CE2F6E">
        <w:rPr>
          <w:i/>
          <w:vertAlign w:val="superscript"/>
        </w:rPr>
        <w:t>e</w:t>
      </w:r>
      <w:r w:rsidRPr="000952DE">
        <w:rPr>
          <w:i/>
        </w:rPr>
        <w:t>will be powerless</w:t>
      </w:r>
      <w:r w:rsidRPr="001B3EC8">
        <w:rPr>
          <w:i/>
          <w:vertAlign w:val="superscript"/>
        </w:rPr>
        <w:t>e</w:t>
      </w:r>
      <w:r w:rsidRPr="000952DE">
        <w:rPr>
          <w:i/>
        </w:rPr>
        <w:t xml:space="preserve"> to withstand. </w:t>
      </w:r>
      <w:r w:rsidRPr="001B3EC8">
        <w:rPr>
          <w:i/>
          <w:vertAlign w:val="superscript"/>
        </w:rPr>
        <w:t>16</w:t>
      </w:r>
      <w:r w:rsidRPr="000952DE">
        <w:rPr>
          <w:i/>
        </w:rPr>
        <w:t>His attacker will thus</w:t>
      </w:r>
      <w:r w:rsidRPr="001B3EC8">
        <w:rPr>
          <w:i/>
          <w:vertAlign w:val="superscript"/>
        </w:rPr>
        <w:t>a</w:t>
      </w:r>
      <w:r w:rsidRPr="000952DE">
        <w:rPr>
          <w:i/>
        </w:rPr>
        <w:t xml:space="preserve"> be able to act as he pleases and no one will be able to withstand him, and he will take his stand in the fairest land,</w:t>
      </w:r>
      <w:r w:rsidRPr="001B3EC8">
        <w:rPr>
          <w:i/>
          <w:vertAlign w:val="superscript"/>
        </w:rPr>
        <w:t>b</w:t>
      </w:r>
      <w:r w:rsidR="00833D20">
        <w:rPr>
          <w:i/>
        </w:rPr>
        <w:t xml:space="preserve"> </w:t>
      </w:r>
      <w:r w:rsidRPr="000952DE">
        <w:rPr>
          <w:i/>
        </w:rPr>
        <w:t>destruction</w:t>
      </w:r>
      <w:r w:rsidRPr="001B3EC8">
        <w:rPr>
          <w:i/>
          <w:vertAlign w:val="superscript"/>
        </w:rPr>
        <w:t>c</w:t>
      </w:r>
      <w:r w:rsidRPr="000952DE">
        <w:rPr>
          <w:i/>
        </w:rPr>
        <w:t xml:space="preserve"> </w:t>
      </w:r>
      <w:r w:rsidR="00833D20">
        <w:rPr>
          <w:i/>
        </w:rPr>
        <w:t xml:space="preserve">being </w:t>
      </w:r>
      <w:r w:rsidRPr="000952DE">
        <w:rPr>
          <w:i/>
        </w:rPr>
        <w:t xml:space="preserve">in his power. </w:t>
      </w:r>
      <w:r w:rsidRPr="001B3EC8">
        <w:rPr>
          <w:i/>
          <w:vertAlign w:val="superscript"/>
        </w:rPr>
        <w:t>17</w:t>
      </w:r>
      <w:r w:rsidRPr="000952DE">
        <w:rPr>
          <w:i/>
        </w:rPr>
        <w:t>He will determine</w:t>
      </w:r>
      <w:r w:rsidRPr="001B3EC8">
        <w:rPr>
          <w:i/>
          <w:vertAlign w:val="superscript"/>
        </w:rPr>
        <w:t>a</w:t>
      </w:r>
      <w:r w:rsidRPr="000952DE">
        <w:rPr>
          <w:i/>
        </w:rPr>
        <w:t xml:space="preserve"> to </w:t>
      </w:r>
      <w:r w:rsidRPr="001B3EC8">
        <w:rPr>
          <w:i/>
          <w:vertAlign w:val="superscript"/>
        </w:rPr>
        <w:t>b</w:t>
      </w:r>
      <w:r w:rsidRPr="000952DE">
        <w:rPr>
          <w:i/>
        </w:rPr>
        <w:t xml:space="preserve">come into control of his whole </w:t>
      </w:r>
      <w:r w:rsidR="008E1225">
        <w:rPr>
          <w:i/>
        </w:rPr>
        <w:t>kingdom</w:t>
      </w:r>
      <w:r w:rsidRPr="001B3EC8">
        <w:rPr>
          <w:i/>
          <w:vertAlign w:val="superscript"/>
        </w:rPr>
        <w:t>b</w:t>
      </w:r>
      <w:r w:rsidRPr="000952DE">
        <w:rPr>
          <w:i/>
        </w:rPr>
        <w:t xml:space="preserve"> and will make an agreement</w:t>
      </w:r>
      <w:r w:rsidRPr="001B3EC8">
        <w:rPr>
          <w:i/>
          <w:vertAlign w:val="superscript"/>
        </w:rPr>
        <w:t xml:space="preserve">c </w:t>
      </w:r>
      <w:r w:rsidRPr="000952DE">
        <w:rPr>
          <w:i/>
        </w:rPr>
        <w:t>with him and give him a wife</w:t>
      </w:r>
      <w:r w:rsidRPr="001B3EC8">
        <w:rPr>
          <w:i/>
          <w:vertAlign w:val="superscript"/>
        </w:rPr>
        <w:t>d</w:t>
      </w:r>
      <w:r w:rsidRPr="000952DE">
        <w:rPr>
          <w:i/>
        </w:rPr>
        <w:t xml:space="preserve"> in order to destroy it.</w:t>
      </w:r>
      <w:r w:rsidRPr="001B3EC8">
        <w:rPr>
          <w:i/>
          <w:vertAlign w:val="superscript"/>
        </w:rPr>
        <w:t>e</w:t>
      </w:r>
      <w:r w:rsidRPr="000952DE">
        <w:rPr>
          <w:i/>
        </w:rPr>
        <w:t xml:space="preserve"> But it</w:t>
      </w:r>
      <w:r w:rsidRPr="001B3EC8">
        <w:rPr>
          <w:i/>
          <w:vertAlign w:val="superscript"/>
        </w:rPr>
        <w:t xml:space="preserve">f </w:t>
      </w:r>
      <w:r w:rsidRPr="000952DE">
        <w:rPr>
          <w:i/>
        </w:rPr>
        <w:t>will not succeed; it</w:t>
      </w:r>
      <w:r w:rsidRPr="001B3EC8">
        <w:rPr>
          <w:i/>
          <w:vertAlign w:val="superscript"/>
        </w:rPr>
        <w:t xml:space="preserve">f </w:t>
      </w:r>
      <w:r w:rsidRPr="000952DE">
        <w:rPr>
          <w:i/>
        </w:rPr>
        <w:t xml:space="preserve">will not come about for him. </w:t>
      </w:r>
      <w:r w:rsidRPr="001B3EC8">
        <w:rPr>
          <w:i/>
          <w:vertAlign w:val="superscript"/>
        </w:rPr>
        <w:t>18</w:t>
      </w:r>
      <w:r w:rsidRPr="000952DE">
        <w:rPr>
          <w:i/>
        </w:rPr>
        <w:t>So he will turn</w:t>
      </w:r>
      <w:r w:rsidRPr="001B3EC8">
        <w:rPr>
          <w:i/>
          <w:vertAlign w:val="superscript"/>
        </w:rPr>
        <w:t xml:space="preserve">a </w:t>
      </w:r>
      <w:r w:rsidRPr="000952DE">
        <w:rPr>
          <w:i/>
        </w:rPr>
        <w:t>his attention to the sea lands</w:t>
      </w:r>
      <w:r w:rsidRPr="001B3EC8">
        <w:rPr>
          <w:i/>
          <w:vertAlign w:val="superscript"/>
        </w:rPr>
        <w:t>b</w:t>
      </w:r>
      <w:r w:rsidRPr="000952DE">
        <w:rPr>
          <w:i/>
        </w:rPr>
        <w:t xml:space="preserve"> and capture many. </w:t>
      </w:r>
      <w:r w:rsidRPr="001B3EC8">
        <w:rPr>
          <w:i/>
          <w:vertAlign w:val="superscript"/>
        </w:rPr>
        <w:t>c</w:t>
      </w:r>
      <w:r w:rsidRPr="000952DE">
        <w:rPr>
          <w:i/>
        </w:rPr>
        <w:t>But a commander will put an end to his challenge for him,</w:t>
      </w:r>
      <w:r w:rsidRPr="001B3EC8">
        <w:rPr>
          <w:i/>
          <w:vertAlign w:val="superscript"/>
        </w:rPr>
        <w:t>c</w:t>
      </w:r>
      <w:r w:rsidRPr="000952DE">
        <w:rPr>
          <w:i/>
        </w:rPr>
        <w:t xml:space="preserve"> </w:t>
      </w:r>
      <w:r w:rsidRPr="001B3EC8">
        <w:rPr>
          <w:i/>
          <w:vertAlign w:val="superscript"/>
        </w:rPr>
        <w:t>d</w:t>
      </w:r>
      <w:r w:rsidRPr="000952DE">
        <w:rPr>
          <w:i/>
        </w:rPr>
        <w:t>so that he will not be able to return</w:t>
      </w:r>
      <w:r w:rsidRPr="001B3EC8">
        <w:rPr>
          <w:i/>
          <w:vertAlign w:val="superscript"/>
        </w:rPr>
        <w:t>d</w:t>
      </w:r>
      <w:r w:rsidRPr="000952DE">
        <w:rPr>
          <w:i/>
        </w:rPr>
        <w:t xml:space="preserve"> his challenge to him. </w:t>
      </w:r>
      <w:r w:rsidRPr="001B3EC8">
        <w:rPr>
          <w:i/>
          <w:vertAlign w:val="superscript"/>
        </w:rPr>
        <w:t>19</w:t>
      </w:r>
      <w:r w:rsidR="000052C1">
        <w:rPr>
          <w:i/>
        </w:rPr>
        <w:t>H</w:t>
      </w:r>
      <w:r w:rsidRPr="000952DE">
        <w:rPr>
          <w:i/>
        </w:rPr>
        <w:t>e will turn</w:t>
      </w:r>
      <w:r w:rsidRPr="001B3EC8">
        <w:rPr>
          <w:i/>
          <w:vertAlign w:val="superscript"/>
        </w:rPr>
        <w:t>a</w:t>
      </w:r>
      <w:r w:rsidRPr="000952DE">
        <w:rPr>
          <w:i/>
        </w:rPr>
        <w:t xml:space="preserve"> his attention to the</w:t>
      </w:r>
      <w:r w:rsidR="001B3EC8">
        <w:rPr>
          <w:i/>
        </w:rPr>
        <w:t xml:space="preserve"> strongholds in his own land. But</w:t>
      </w:r>
      <w:r w:rsidRPr="000952DE">
        <w:rPr>
          <w:i/>
        </w:rPr>
        <w:t xml:space="preserve"> he will stumble and fall, and disappear.</w:t>
      </w:r>
    </w:p>
    <w:p w:rsidR="002B376E" w:rsidRPr="000952DE" w:rsidRDefault="001B3EC8" w:rsidP="002B376E">
      <w:pPr>
        <w:rPr>
          <w:i/>
        </w:rPr>
      </w:pPr>
      <w:r w:rsidRPr="001B3EC8">
        <w:rPr>
          <w:i/>
          <w:vertAlign w:val="superscript"/>
        </w:rPr>
        <w:t>20</w:t>
      </w:r>
      <w:r>
        <w:rPr>
          <w:i/>
        </w:rPr>
        <w:t>“</w:t>
      </w:r>
      <w:r w:rsidR="002B376E" w:rsidRPr="000952DE">
        <w:rPr>
          <w:i/>
        </w:rPr>
        <w:t xml:space="preserve">’There will arise in his place one who will send </w:t>
      </w:r>
      <w:r w:rsidR="00CF2979">
        <w:rPr>
          <w:i/>
        </w:rPr>
        <w:t>a</w:t>
      </w:r>
      <w:r w:rsidR="002B376E" w:rsidRPr="000952DE">
        <w:rPr>
          <w:i/>
        </w:rPr>
        <w:t>round an oppressor</w:t>
      </w:r>
      <w:r w:rsidR="002B376E" w:rsidRPr="001B3EC8">
        <w:rPr>
          <w:i/>
          <w:vertAlign w:val="superscript"/>
        </w:rPr>
        <w:t>a</w:t>
      </w:r>
      <w:r w:rsidR="002B376E" w:rsidRPr="000952DE">
        <w:rPr>
          <w:i/>
        </w:rPr>
        <w:t xml:space="preserve"> of</w:t>
      </w:r>
      <w:r w:rsidR="002B376E" w:rsidRPr="001B3EC8">
        <w:rPr>
          <w:i/>
          <w:vertAlign w:val="superscript"/>
        </w:rPr>
        <w:t>b</w:t>
      </w:r>
      <w:r w:rsidR="00CE2F6E">
        <w:rPr>
          <w:i/>
        </w:rPr>
        <w:t xml:space="preserve"> kingly </w:t>
      </w:r>
      <w:r w:rsidR="002B376E" w:rsidRPr="000952DE">
        <w:rPr>
          <w:i/>
        </w:rPr>
        <w:t>splendor. But in a few days he will break, though not in the heat of battle.</w:t>
      </w:r>
      <w:r w:rsidR="002B376E" w:rsidRPr="001B3EC8">
        <w:rPr>
          <w:i/>
          <w:vertAlign w:val="superscript"/>
        </w:rPr>
        <w:t>c</w:t>
      </w:r>
    </w:p>
    <w:p w:rsidR="002B376E" w:rsidRPr="000952DE" w:rsidRDefault="002B376E" w:rsidP="002B376E">
      <w:pPr>
        <w:rPr>
          <w:i/>
        </w:rPr>
      </w:pPr>
      <w:r w:rsidRPr="00673DCE">
        <w:rPr>
          <w:i/>
          <w:vertAlign w:val="superscript"/>
        </w:rPr>
        <w:t>21</w:t>
      </w:r>
      <w:r w:rsidRPr="000952DE">
        <w:rPr>
          <w:i/>
        </w:rPr>
        <w:t>“‘There will arise in his place a despised</w:t>
      </w:r>
      <w:r w:rsidRPr="00673DCE">
        <w:rPr>
          <w:i/>
          <w:vertAlign w:val="superscript"/>
        </w:rPr>
        <w:t>a</w:t>
      </w:r>
      <w:r w:rsidRPr="000952DE">
        <w:rPr>
          <w:i/>
        </w:rPr>
        <w:t xml:space="preserve"> man who has not been given royal honor; he will advance with ease and gain power over the </w:t>
      </w:r>
      <w:r w:rsidR="008E1225">
        <w:rPr>
          <w:i/>
        </w:rPr>
        <w:t>kingdom</w:t>
      </w:r>
      <w:r w:rsidRPr="000952DE">
        <w:rPr>
          <w:i/>
        </w:rPr>
        <w:t xml:space="preserve"> by means of empty words. </w:t>
      </w:r>
      <w:r w:rsidRPr="00673DCE">
        <w:rPr>
          <w:i/>
          <w:vertAlign w:val="superscript"/>
        </w:rPr>
        <w:t>22</w:t>
      </w:r>
      <w:r w:rsidRPr="000952DE">
        <w:rPr>
          <w:i/>
        </w:rPr>
        <w:t>Overwhelming forces</w:t>
      </w:r>
      <w:r w:rsidRPr="00673DCE">
        <w:rPr>
          <w:i/>
          <w:vertAlign w:val="superscript"/>
        </w:rPr>
        <w:t>a</w:t>
      </w:r>
      <w:r w:rsidRPr="000952DE">
        <w:rPr>
          <w:i/>
        </w:rPr>
        <w:t xml:space="preserve"> will be overwhelmed before him and </w:t>
      </w:r>
      <w:r w:rsidRPr="00673DCE">
        <w:rPr>
          <w:i/>
          <w:vertAlign w:val="superscript"/>
        </w:rPr>
        <w:t>b</w:t>
      </w:r>
      <w:r w:rsidRPr="000952DE">
        <w:rPr>
          <w:i/>
        </w:rPr>
        <w:t xml:space="preserve">broken, and so too a covenant </w:t>
      </w:r>
      <w:r w:rsidR="00B13647">
        <w:rPr>
          <w:i/>
        </w:rPr>
        <w:t>leader</w:t>
      </w:r>
      <w:r w:rsidRPr="000952DE">
        <w:rPr>
          <w:i/>
        </w:rPr>
        <w:t>.</w:t>
      </w:r>
      <w:r w:rsidRPr="00673DCE">
        <w:rPr>
          <w:i/>
          <w:vertAlign w:val="superscript"/>
        </w:rPr>
        <w:t>b</w:t>
      </w:r>
      <w:r w:rsidRPr="000952DE">
        <w:rPr>
          <w:i/>
        </w:rPr>
        <w:t xml:space="preserve"> </w:t>
      </w:r>
      <w:r w:rsidRPr="00673DCE">
        <w:rPr>
          <w:i/>
          <w:vertAlign w:val="superscript"/>
        </w:rPr>
        <w:t>23</w:t>
      </w:r>
      <w:r w:rsidRPr="000952DE">
        <w:rPr>
          <w:i/>
        </w:rPr>
        <w:t>Thus by means of</w:t>
      </w:r>
      <w:r w:rsidRPr="00673DCE">
        <w:rPr>
          <w:i/>
          <w:vertAlign w:val="superscript"/>
        </w:rPr>
        <w:t xml:space="preserve">a </w:t>
      </w:r>
      <w:r w:rsidR="00CE2F6E">
        <w:rPr>
          <w:i/>
        </w:rPr>
        <w:t xml:space="preserve">alliances </w:t>
      </w:r>
      <w:r w:rsidRPr="000952DE">
        <w:rPr>
          <w:i/>
        </w:rPr>
        <w:t xml:space="preserve">made with him he will act deceitfully. He will </w:t>
      </w:r>
      <w:r w:rsidRPr="00673DCE">
        <w:rPr>
          <w:i/>
          <w:vertAlign w:val="superscript"/>
        </w:rPr>
        <w:t>b</w:t>
      </w:r>
      <w:r w:rsidRPr="000952DE">
        <w:rPr>
          <w:i/>
        </w:rPr>
        <w:t>advance to power</w:t>
      </w:r>
      <w:r w:rsidRPr="00673DCE">
        <w:rPr>
          <w:i/>
          <w:vertAlign w:val="superscript"/>
        </w:rPr>
        <w:t>b</w:t>
      </w:r>
      <w:r w:rsidRPr="000952DE">
        <w:rPr>
          <w:i/>
        </w:rPr>
        <w:t xml:space="preserve"> with a small group; </w:t>
      </w:r>
      <w:r w:rsidRPr="00673DCE">
        <w:rPr>
          <w:i/>
          <w:vertAlign w:val="superscript"/>
        </w:rPr>
        <w:t>24</w:t>
      </w:r>
      <w:r w:rsidRPr="000952DE">
        <w:rPr>
          <w:i/>
        </w:rPr>
        <w:t>with ease</w:t>
      </w:r>
      <w:r w:rsidRPr="00673DCE">
        <w:rPr>
          <w:i/>
          <w:vertAlign w:val="superscript"/>
        </w:rPr>
        <w:t>a</w:t>
      </w:r>
      <w:r w:rsidRPr="000952DE">
        <w:rPr>
          <w:i/>
        </w:rPr>
        <w:t xml:space="preserve"> with the powerful ones of a province</w:t>
      </w:r>
      <w:r w:rsidRPr="00673DCE">
        <w:rPr>
          <w:i/>
          <w:vertAlign w:val="superscript"/>
        </w:rPr>
        <w:t>b</w:t>
      </w:r>
      <w:r w:rsidRPr="000952DE">
        <w:rPr>
          <w:i/>
        </w:rPr>
        <w:t xml:space="preserve"> he will go on to act as his fathers and gr</w:t>
      </w:r>
      <w:r w:rsidR="00E400AD">
        <w:rPr>
          <w:i/>
        </w:rPr>
        <w:t>andfathers did not. Spoil, plunder</w:t>
      </w:r>
      <w:r w:rsidRPr="000952DE">
        <w:rPr>
          <w:i/>
        </w:rPr>
        <w:t>, and wealth he will scatter among them. He will also devise plans against fortresses, until a certain time.</w:t>
      </w:r>
    </w:p>
    <w:p w:rsidR="002B376E" w:rsidRPr="000952DE" w:rsidRDefault="002B376E" w:rsidP="002B376E">
      <w:pPr>
        <w:rPr>
          <w:i/>
        </w:rPr>
      </w:pPr>
      <w:r w:rsidRPr="00673DCE">
        <w:rPr>
          <w:i/>
          <w:vertAlign w:val="superscript"/>
        </w:rPr>
        <w:t>25</w:t>
      </w:r>
      <w:r w:rsidRPr="000952DE">
        <w:rPr>
          <w:i/>
        </w:rPr>
        <w:t>“‘He will assert</w:t>
      </w:r>
      <w:r w:rsidRPr="00673DCE">
        <w:rPr>
          <w:i/>
          <w:vertAlign w:val="superscript"/>
        </w:rPr>
        <w:t>a</w:t>
      </w:r>
      <w:r w:rsidRPr="000952DE">
        <w:rPr>
          <w:i/>
        </w:rPr>
        <w:t xml:space="preserve"> his strength and act with determination against</w:t>
      </w:r>
      <w:r w:rsidRPr="00673DCE">
        <w:rPr>
          <w:i/>
          <w:vertAlign w:val="superscript"/>
        </w:rPr>
        <w:t>b</w:t>
      </w:r>
      <w:r w:rsidRPr="000952DE">
        <w:rPr>
          <w:i/>
        </w:rPr>
        <w:t xml:space="preserve"> the southern king with a large force, but the southern king will commit himself to war with an exceedingly large and powerful force, though he will not be able to stand firm, because pl</w:t>
      </w:r>
      <w:r w:rsidR="000052C1">
        <w:rPr>
          <w:i/>
        </w:rPr>
        <w:t>ans will be devised against him.</w:t>
      </w:r>
      <w:r w:rsidRPr="000952DE">
        <w:rPr>
          <w:i/>
        </w:rPr>
        <w:t xml:space="preserve"> </w:t>
      </w:r>
      <w:r w:rsidRPr="00673DCE">
        <w:rPr>
          <w:i/>
          <w:vertAlign w:val="superscript"/>
        </w:rPr>
        <w:t>26</w:t>
      </w:r>
      <w:r w:rsidR="000052C1">
        <w:rPr>
          <w:i/>
        </w:rPr>
        <w:t>P</w:t>
      </w:r>
      <w:r w:rsidRPr="000952DE">
        <w:rPr>
          <w:i/>
        </w:rPr>
        <w:t>eople who eat his provisions</w:t>
      </w:r>
      <w:r w:rsidRPr="00673DCE">
        <w:rPr>
          <w:i/>
          <w:vertAlign w:val="superscript"/>
        </w:rPr>
        <w:t>a</w:t>
      </w:r>
      <w:r w:rsidR="00673DCE">
        <w:rPr>
          <w:i/>
        </w:rPr>
        <w:t xml:space="preserve"> will break him. His</w:t>
      </w:r>
      <w:r w:rsidRPr="000952DE">
        <w:rPr>
          <w:i/>
        </w:rPr>
        <w:t xml:space="preserve"> force will pour away,</w:t>
      </w:r>
      <w:r w:rsidRPr="00673DCE">
        <w:rPr>
          <w:i/>
          <w:vertAlign w:val="superscript"/>
        </w:rPr>
        <w:t>b</w:t>
      </w:r>
      <w:r w:rsidRPr="000952DE">
        <w:rPr>
          <w:i/>
        </w:rPr>
        <w:t xml:space="preserve"> and many will fall slain. </w:t>
      </w:r>
      <w:r w:rsidRPr="00673DCE">
        <w:rPr>
          <w:i/>
          <w:vertAlign w:val="superscript"/>
        </w:rPr>
        <w:t>27</w:t>
      </w:r>
      <w:r w:rsidRPr="000952DE">
        <w:rPr>
          <w:i/>
        </w:rPr>
        <w:t xml:space="preserve">The two kings themselves, their minds set on trouble, will sit at a common table and speak lies, but to no avail, because an end will yet await the set time. </w:t>
      </w:r>
      <w:r w:rsidRPr="00673DCE">
        <w:rPr>
          <w:i/>
          <w:vertAlign w:val="superscript"/>
        </w:rPr>
        <w:t>28</w:t>
      </w:r>
      <w:r w:rsidRPr="000952DE">
        <w:rPr>
          <w:i/>
        </w:rPr>
        <w:t>Then he</w:t>
      </w:r>
      <w:r w:rsidRPr="00673DCE">
        <w:rPr>
          <w:i/>
          <w:vertAlign w:val="superscript"/>
        </w:rPr>
        <w:t>a</w:t>
      </w:r>
      <w:r w:rsidRPr="000952DE">
        <w:rPr>
          <w:i/>
        </w:rPr>
        <w:t xml:space="preserve"> will return to his country with great wealth</w:t>
      </w:r>
      <w:r w:rsidR="00CE2F6E">
        <w:rPr>
          <w:i/>
        </w:rPr>
        <w:t>.</w:t>
      </w:r>
      <w:r w:rsidRPr="000952DE">
        <w:rPr>
          <w:i/>
        </w:rPr>
        <w:t xml:space="preserve"> </w:t>
      </w:r>
      <w:r w:rsidRPr="00673DCE">
        <w:rPr>
          <w:i/>
          <w:vertAlign w:val="superscript"/>
        </w:rPr>
        <w:t>b</w:t>
      </w:r>
      <w:r w:rsidRPr="000952DE">
        <w:rPr>
          <w:i/>
        </w:rPr>
        <w:t>He will act with determination against a holy covenant,</w:t>
      </w:r>
      <w:r w:rsidRPr="00673DCE">
        <w:rPr>
          <w:i/>
          <w:vertAlign w:val="superscript"/>
        </w:rPr>
        <w:t>b</w:t>
      </w:r>
      <w:r w:rsidRPr="000952DE">
        <w:rPr>
          <w:i/>
        </w:rPr>
        <w:t xml:space="preserve"> and then return to his own country.</w:t>
      </w:r>
    </w:p>
    <w:p w:rsidR="002B376E" w:rsidRPr="000952DE" w:rsidRDefault="002B376E" w:rsidP="002B376E">
      <w:pPr>
        <w:rPr>
          <w:i/>
        </w:rPr>
      </w:pPr>
      <w:r w:rsidRPr="00CE2F6E">
        <w:rPr>
          <w:i/>
          <w:vertAlign w:val="superscript"/>
        </w:rPr>
        <w:t>29</w:t>
      </w:r>
      <w:r w:rsidRPr="000952DE">
        <w:rPr>
          <w:i/>
        </w:rPr>
        <w:t>“‘At the set time he will again invade the south, but it will not be like the first and the second occasion.</w:t>
      </w:r>
      <w:r w:rsidRPr="00673DCE">
        <w:rPr>
          <w:i/>
          <w:vertAlign w:val="superscript"/>
        </w:rPr>
        <w:t>a</w:t>
      </w:r>
      <w:r w:rsidRPr="000952DE">
        <w:rPr>
          <w:i/>
        </w:rPr>
        <w:t xml:space="preserve"> </w:t>
      </w:r>
      <w:r w:rsidRPr="00673DCE">
        <w:rPr>
          <w:i/>
          <w:vertAlign w:val="superscript"/>
        </w:rPr>
        <w:t>30</w:t>
      </w:r>
      <w:r w:rsidR="00CA00F4">
        <w:rPr>
          <w:i/>
        </w:rPr>
        <w:t>Ships from Kittim</w:t>
      </w:r>
      <w:r w:rsidRPr="00673DCE">
        <w:rPr>
          <w:i/>
          <w:vertAlign w:val="superscript"/>
        </w:rPr>
        <w:t>a</w:t>
      </w:r>
      <w:r w:rsidRPr="000952DE">
        <w:rPr>
          <w:i/>
        </w:rPr>
        <w:t xml:space="preserve"> will attack him, and he will quail and return; </w:t>
      </w:r>
      <w:r w:rsidRPr="00673DCE">
        <w:rPr>
          <w:i/>
          <w:vertAlign w:val="superscript"/>
        </w:rPr>
        <w:t>b</w:t>
      </w:r>
      <w:r w:rsidRPr="000952DE">
        <w:rPr>
          <w:i/>
        </w:rPr>
        <w:t>he will take harsh action</w:t>
      </w:r>
      <w:r w:rsidRPr="00673DCE">
        <w:rPr>
          <w:i/>
          <w:vertAlign w:val="superscript"/>
        </w:rPr>
        <w:t>b</w:t>
      </w:r>
      <w:r w:rsidRPr="000952DE">
        <w:rPr>
          <w:i/>
        </w:rPr>
        <w:t xml:space="preserve"> against a holy covenant and return.</w:t>
      </w:r>
      <w:r w:rsidRPr="00673DCE">
        <w:rPr>
          <w:i/>
          <w:vertAlign w:val="superscript"/>
        </w:rPr>
        <w:t>c</w:t>
      </w:r>
      <w:r w:rsidRPr="000952DE">
        <w:rPr>
          <w:i/>
        </w:rPr>
        <w:t xml:space="preserve"> He will pay heed to such as have abandoned a holy covenant, </w:t>
      </w:r>
      <w:r w:rsidRPr="00673DCE">
        <w:rPr>
          <w:i/>
          <w:vertAlign w:val="superscript"/>
        </w:rPr>
        <w:t>31</w:t>
      </w:r>
      <w:r w:rsidRPr="000952DE">
        <w:rPr>
          <w:i/>
        </w:rPr>
        <w:t>and forces of his will take their stand and desecrate the sanctuary (the stronghold</w:t>
      </w:r>
      <w:r w:rsidRPr="00673DCE">
        <w:rPr>
          <w:i/>
          <w:vertAlign w:val="superscript"/>
        </w:rPr>
        <w:t>a</w:t>
      </w:r>
      <w:r w:rsidRPr="000952DE">
        <w:rPr>
          <w:i/>
        </w:rPr>
        <w:t>). They will remove the daily offering and set up the desolating abomination.</w:t>
      </w:r>
      <w:r w:rsidRPr="00673DCE">
        <w:rPr>
          <w:i/>
          <w:vertAlign w:val="superscript"/>
        </w:rPr>
        <w:t>b</w:t>
      </w:r>
      <w:r w:rsidRPr="000952DE">
        <w:rPr>
          <w:i/>
        </w:rPr>
        <w:t xml:space="preserve"> </w:t>
      </w:r>
      <w:r w:rsidRPr="00673DCE">
        <w:rPr>
          <w:i/>
          <w:vertAlign w:val="superscript"/>
        </w:rPr>
        <w:t>32</w:t>
      </w:r>
      <w:r w:rsidR="00C82646">
        <w:rPr>
          <w:i/>
        </w:rPr>
        <w:t>Such as have acted faithless</w:t>
      </w:r>
      <w:r w:rsidRPr="000952DE">
        <w:rPr>
          <w:i/>
        </w:rPr>
        <w:t>ly in relation to a covenant</w:t>
      </w:r>
      <w:r w:rsidRPr="00673DCE">
        <w:rPr>
          <w:i/>
          <w:vertAlign w:val="superscript"/>
        </w:rPr>
        <w:t>a</w:t>
      </w:r>
      <w:r w:rsidRPr="000952DE">
        <w:rPr>
          <w:i/>
        </w:rPr>
        <w:t xml:space="preserve"> he will turn into apostates</w:t>
      </w:r>
      <w:r w:rsidRPr="00673DCE">
        <w:rPr>
          <w:i/>
          <w:vertAlign w:val="superscript"/>
        </w:rPr>
        <w:t>b</w:t>
      </w:r>
      <w:r w:rsidRPr="000952DE">
        <w:rPr>
          <w:i/>
        </w:rPr>
        <w:t xml:space="preserve"> by means of empty words, but a people that acknowledges</w:t>
      </w:r>
      <w:r w:rsidRPr="00673DCE">
        <w:rPr>
          <w:i/>
          <w:vertAlign w:val="superscript"/>
        </w:rPr>
        <w:t>c</w:t>
      </w:r>
      <w:r w:rsidRPr="000952DE">
        <w:rPr>
          <w:i/>
        </w:rPr>
        <w:t xml:space="preserve"> its God will offer firm resistance.</w:t>
      </w:r>
      <w:r w:rsidRPr="00673DCE">
        <w:rPr>
          <w:i/>
          <w:vertAlign w:val="superscript"/>
        </w:rPr>
        <w:t>d</w:t>
      </w:r>
      <w:r w:rsidRPr="000952DE">
        <w:rPr>
          <w:i/>
        </w:rPr>
        <w:t xml:space="preserve"> </w:t>
      </w:r>
      <w:r w:rsidRPr="00673DCE">
        <w:rPr>
          <w:i/>
          <w:vertAlign w:val="superscript"/>
        </w:rPr>
        <w:t>33</w:t>
      </w:r>
      <w:r w:rsidRPr="000952DE">
        <w:rPr>
          <w:i/>
        </w:rPr>
        <w:t>Discerning ones</w:t>
      </w:r>
      <w:r w:rsidRPr="00673DCE">
        <w:rPr>
          <w:i/>
          <w:vertAlign w:val="superscript"/>
        </w:rPr>
        <w:t xml:space="preserve">a </w:t>
      </w:r>
      <w:r w:rsidRPr="000952DE">
        <w:rPr>
          <w:i/>
        </w:rPr>
        <w:t>within a people will enlighten the multitude,</w:t>
      </w:r>
      <w:r w:rsidRPr="00673DCE">
        <w:rPr>
          <w:i/>
          <w:vertAlign w:val="superscript"/>
        </w:rPr>
        <w:t>b</w:t>
      </w:r>
      <w:r w:rsidRPr="000952DE">
        <w:rPr>
          <w:i/>
        </w:rPr>
        <w:t xml:space="preserve"> though they will stumble</w:t>
      </w:r>
      <w:r w:rsidRPr="00673DCE">
        <w:rPr>
          <w:i/>
          <w:vertAlign w:val="superscript"/>
        </w:rPr>
        <w:t>c</w:t>
      </w:r>
      <w:r w:rsidRPr="000952DE">
        <w:rPr>
          <w:i/>
        </w:rPr>
        <w:t xml:space="preserve"> by sword and by fire, </w:t>
      </w:r>
      <w:r w:rsidRPr="00673DCE">
        <w:rPr>
          <w:i/>
          <w:vertAlign w:val="superscript"/>
        </w:rPr>
        <w:t>d</w:t>
      </w:r>
      <w:r w:rsidRPr="000952DE">
        <w:rPr>
          <w:i/>
        </w:rPr>
        <w:t xml:space="preserve">by captivity and by becoming prey, for some time. </w:t>
      </w:r>
      <w:r w:rsidRPr="00673DCE">
        <w:rPr>
          <w:i/>
          <w:vertAlign w:val="superscript"/>
        </w:rPr>
        <w:t>34</w:t>
      </w:r>
      <w:r w:rsidRPr="000952DE">
        <w:rPr>
          <w:i/>
        </w:rPr>
        <w:t>When they stumble, they will receive a little help.</w:t>
      </w:r>
      <w:r w:rsidRPr="00673DCE">
        <w:rPr>
          <w:i/>
          <w:vertAlign w:val="superscript"/>
        </w:rPr>
        <w:t>a</w:t>
      </w:r>
      <w:r w:rsidRPr="000952DE">
        <w:rPr>
          <w:i/>
        </w:rPr>
        <w:t xml:space="preserve"> But many will join them with empty words,</w:t>
      </w:r>
      <w:r w:rsidRPr="00673DCE">
        <w:rPr>
          <w:i/>
          <w:vertAlign w:val="superscript"/>
        </w:rPr>
        <w:t>b</w:t>
      </w:r>
      <w:r w:rsidRPr="000952DE">
        <w:rPr>
          <w:i/>
        </w:rPr>
        <w:t xml:space="preserve"> </w:t>
      </w:r>
      <w:r w:rsidRPr="00673DCE">
        <w:rPr>
          <w:i/>
          <w:vertAlign w:val="superscript"/>
        </w:rPr>
        <w:t>35</w:t>
      </w:r>
      <w:r w:rsidRPr="000952DE">
        <w:rPr>
          <w:i/>
        </w:rPr>
        <w:t xml:space="preserve">and some of the </w:t>
      </w:r>
      <w:r w:rsidRPr="000952DE">
        <w:rPr>
          <w:i/>
        </w:rPr>
        <w:lastRenderedPageBreak/>
        <w:t>discerning will stumble, to refine, to purify, and to cleanse them,</w:t>
      </w:r>
      <w:r w:rsidRPr="00673DCE">
        <w:rPr>
          <w:i/>
          <w:vertAlign w:val="superscript"/>
        </w:rPr>
        <w:t>a</w:t>
      </w:r>
      <w:r w:rsidRPr="000952DE">
        <w:rPr>
          <w:i/>
        </w:rPr>
        <w:t xml:space="preserve"> </w:t>
      </w:r>
      <w:r w:rsidRPr="00673DCE">
        <w:rPr>
          <w:i/>
          <w:vertAlign w:val="superscript"/>
        </w:rPr>
        <w:t>b</w:t>
      </w:r>
      <w:r w:rsidRPr="000952DE">
        <w:rPr>
          <w:i/>
        </w:rPr>
        <w:t>until the time of the end—for it</w:t>
      </w:r>
      <w:r w:rsidRPr="00673DCE">
        <w:rPr>
          <w:i/>
          <w:vertAlign w:val="superscript"/>
        </w:rPr>
        <w:t>b</w:t>
      </w:r>
      <w:r w:rsidRPr="000952DE">
        <w:rPr>
          <w:i/>
        </w:rPr>
        <w:t xml:space="preserve"> will still awaitc the set moment.</w:t>
      </w:r>
    </w:p>
    <w:p w:rsidR="002B376E" w:rsidRPr="000952DE" w:rsidRDefault="002B376E" w:rsidP="002B376E">
      <w:pPr>
        <w:rPr>
          <w:i/>
        </w:rPr>
      </w:pPr>
      <w:r w:rsidRPr="00673DCE">
        <w:rPr>
          <w:i/>
          <w:vertAlign w:val="superscript"/>
        </w:rPr>
        <w:t>36</w:t>
      </w:r>
      <w:r w:rsidR="00624551">
        <w:rPr>
          <w:i/>
        </w:rPr>
        <w:t>“‘So t</w:t>
      </w:r>
      <w:r w:rsidRPr="000952DE">
        <w:rPr>
          <w:i/>
        </w:rPr>
        <w:t>he king will act as he pleases</w:t>
      </w:r>
      <w:r w:rsidR="00CE2F6E">
        <w:rPr>
          <w:i/>
        </w:rPr>
        <w:t>,</w:t>
      </w:r>
      <w:r w:rsidRPr="000952DE">
        <w:rPr>
          <w:i/>
        </w:rPr>
        <w:t xml:space="preserve"> and </w:t>
      </w:r>
      <w:r w:rsidR="000052C1">
        <w:rPr>
          <w:i/>
        </w:rPr>
        <w:t xml:space="preserve">will </w:t>
      </w:r>
      <w:r w:rsidRPr="000952DE">
        <w:rPr>
          <w:i/>
        </w:rPr>
        <w:t>exalt himself and magnify himself over any god;</w:t>
      </w:r>
      <w:r w:rsidRPr="00673DCE">
        <w:rPr>
          <w:i/>
          <w:vertAlign w:val="superscript"/>
        </w:rPr>
        <w:t>a</w:t>
      </w:r>
      <w:r w:rsidRPr="000952DE">
        <w:rPr>
          <w:i/>
        </w:rPr>
        <w:t xml:space="preserve"> concerning a God of gods</w:t>
      </w:r>
      <w:r w:rsidRPr="00673DCE">
        <w:rPr>
          <w:i/>
          <w:vertAlign w:val="superscript"/>
        </w:rPr>
        <w:t>a</w:t>
      </w:r>
      <w:r w:rsidRPr="000952DE">
        <w:rPr>
          <w:i/>
        </w:rPr>
        <w:t xml:space="preserve"> he will utter awesome statements. And he will succeed, until wrath is complete,</w:t>
      </w:r>
      <w:r w:rsidRPr="00673DCE">
        <w:rPr>
          <w:i/>
          <w:vertAlign w:val="superscript"/>
        </w:rPr>
        <w:t>b</w:t>
      </w:r>
      <w:r w:rsidRPr="000952DE">
        <w:rPr>
          <w:i/>
        </w:rPr>
        <w:t xml:space="preserve"> </w:t>
      </w:r>
      <w:r w:rsidRPr="00673DCE">
        <w:rPr>
          <w:i/>
          <w:vertAlign w:val="superscript"/>
        </w:rPr>
        <w:t>c</w:t>
      </w:r>
      <w:r w:rsidRPr="000952DE">
        <w:rPr>
          <w:i/>
        </w:rPr>
        <w:t>for what is determined shall be done.</w:t>
      </w:r>
      <w:r w:rsidRPr="00673DCE">
        <w:rPr>
          <w:i/>
          <w:vertAlign w:val="superscript"/>
        </w:rPr>
        <w:t>c 37</w:t>
      </w:r>
      <w:r w:rsidRPr="000952DE">
        <w:rPr>
          <w:i/>
        </w:rPr>
        <w:t>Thus he will pay no heed to the god of his fathers,</w:t>
      </w:r>
      <w:r w:rsidRPr="00673DCE">
        <w:rPr>
          <w:i/>
          <w:vertAlign w:val="superscript"/>
        </w:rPr>
        <w:t>a</w:t>
      </w:r>
      <w:r w:rsidRPr="000952DE">
        <w:rPr>
          <w:i/>
        </w:rPr>
        <w:t xml:space="preserve"> nor to the one women love,</w:t>
      </w:r>
      <w:r w:rsidRPr="00673DCE">
        <w:rPr>
          <w:i/>
          <w:vertAlign w:val="superscript"/>
        </w:rPr>
        <w:t>b</w:t>
      </w:r>
      <w:r w:rsidRPr="000952DE">
        <w:rPr>
          <w:i/>
        </w:rPr>
        <w:t xml:space="preserve"> </w:t>
      </w:r>
      <w:r w:rsidRPr="00673DCE">
        <w:rPr>
          <w:i/>
          <w:vertAlign w:val="superscript"/>
        </w:rPr>
        <w:t>c</w:t>
      </w:r>
      <w:r w:rsidRPr="000952DE">
        <w:rPr>
          <w:i/>
        </w:rPr>
        <w:t>nor to any god</w:t>
      </w:r>
      <w:r w:rsidRPr="00673DCE">
        <w:rPr>
          <w:i/>
          <w:vertAlign w:val="superscript"/>
        </w:rPr>
        <w:t>c</w:t>
      </w:r>
      <w:r w:rsidRPr="000952DE">
        <w:rPr>
          <w:i/>
        </w:rPr>
        <w:t xml:space="preserve"> will he pay heed, but </w:t>
      </w:r>
      <w:r w:rsidR="00D11C03">
        <w:rPr>
          <w:i/>
        </w:rPr>
        <w:t xml:space="preserve">he </w:t>
      </w:r>
      <w:r w:rsidRPr="000952DE">
        <w:rPr>
          <w:i/>
        </w:rPr>
        <w:t xml:space="preserve">will magnify himself over everything. </w:t>
      </w:r>
      <w:r w:rsidRPr="00673DCE">
        <w:rPr>
          <w:i/>
          <w:vertAlign w:val="superscript"/>
        </w:rPr>
        <w:t>38</w:t>
      </w:r>
      <w:r w:rsidRPr="000952DE">
        <w:rPr>
          <w:i/>
        </w:rPr>
        <w:t>In his place</w:t>
      </w:r>
      <w:r w:rsidRPr="00673DCE">
        <w:rPr>
          <w:i/>
          <w:vertAlign w:val="superscript"/>
        </w:rPr>
        <w:t>a</w:t>
      </w:r>
      <w:r w:rsidRPr="000952DE">
        <w:rPr>
          <w:i/>
        </w:rPr>
        <w:t xml:space="preserve"> he will honor a stronghold god,</w:t>
      </w:r>
      <w:r w:rsidRPr="00673DCE">
        <w:rPr>
          <w:i/>
          <w:vertAlign w:val="superscript"/>
        </w:rPr>
        <w:t>b</w:t>
      </w:r>
      <w:r w:rsidRPr="000952DE">
        <w:rPr>
          <w:i/>
        </w:rPr>
        <w:t xml:space="preserve"> </w:t>
      </w:r>
      <w:r w:rsidRPr="00673DCE">
        <w:rPr>
          <w:i/>
          <w:vertAlign w:val="superscript"/>
        </w:rPr>
        <w:t>c</w:t>
      </w:r>
      <w:r w:rsidRPr="000952DE">
        <w:rPr>
          <w:i/>
        </w:rPr>
        <w:t>honor a god</w:t>
      </w:r>
      <w:r w:rsidRPr="00673DCE">
        <w:rPr>
          <w:i/>
          <w:vertAlign w:val="superscript"/>
        </w:rPr>
        <w:t>b</w:t>
      </w:r>
      <w:r w:rsidRPr="000952DE">
        <w:rPr>
          <w:i/>
        </w:rPr>
        <w:t xml:space="preserve"> his fathers did not acknowledge, with gold and silver, with precious stones and rich gifts. </w:t>
      </w:r>
      <w:r w:rsidRPr="00673DCE">
        <w:rPr>
          <w:i/>
          <w:vertAlign w:val="superscript"/>
        </w:rPr>
        <w:t>39</w:t>
      </w:r>
      <w:r w:rsidRPr="000952DE">
        <w:rPr>
          <w:i/>
        </w:rPr>
        <w:t>So he will deal with</w:t>
      </w:r>
      <w:r w:rsidRPr="00CE2F6E">
        <w:rPr>
          <w:i/>
          <w:vertAlign w:val="superscript"/>
        </w:rPr>
        <w:t>a</w:t>
      </w:r>
      <w:r w:rsidRPr="000952DE">
        <w:rPr>
          <w:i/>
        </w:rPr>
        <w:t xml:space="preserve"> a most secure stronghold</w:t>
      </w:r>
      <w:r w:rsidRPr="00673DCE">
        <w:rPr>
          <w:i/>
          <w:vertAlign w:val="superscript"/>
        </w:rPr>
        <w:t>b</w:t>
      </w:r>
      <w:r w:rsidRPr="000952DE">
        <w:rPr>
          <w:i/>
        </w:rPr>
        <w:t xml:space="preserve"> by the aid of</w:t>
      </w:r>
      <w:r w:rsidRPr="00673DCE">
        <w:rPr>
          <w:i/>
          <w:vertAlign w:val="superscript"/>
        </w:rPr>
        <w:t>c</w:t>
      </w:r>
      <w:r w:rsidR="00D11C03">
        <w:rPr>
          <w:i/>
        </w:rPr>
        <w:t xml:space="preserve"> an alien god. Th</w:t>
      </w:r>
      <w:r w:rsidRPr="000952DE">
        <w:rPr>
          <w:i/>
        </w:rPr>
        <w:t xml:space="preserve">e </w:t>
      </w:r>
      <w:r w:rsidR="00D11C03">
        <w:rPr>
          <w:i/>
        </w:rPr>
        <w:t xml:space="preserve">people </w:t>
      </w:r>
      <w:r w:rsidRPr="000952DE">
        <w:rPr>
          <w:i/>
        </w:rPr>
        <w:t>he regards</w:t>
      </w:r>
      <w:r w:rsidRPr="00CE2F6E">
        <w:rPr>
          <w:i/>
          <w:vertAlign w:val="superscript"/>
        </w:rPr>
        <w:t>d</w:t>
      </w:r>
      <w:r w:rsidRPr="000952DE">
        <w:rPr>
          <w:i/>
        </w:rPr>
        <w:t xml:space="preserve"> he will endow with great honor and make them rule over the multitude, and </w:t>
      </w:r>
      <w:r w:rsidR="00CE2F6E">
        <w:rPr>
          <w:i/>
        </w:rPr>
        <w:t xml:space="preserve">he </w:t>
      </w:r>
      <w:r w:rsidRPr="000952DE">
        <w:rPr>
          <w:i/>
        </w:rPr>
        <w:t>will divide up</w:t>
      </w:r>
      <w:r w:rsidRPr="00D11C03">
        <w:rPr>
          <w:i/>
          <w:vertAlign w:val="superscript"/>
        </w:rPr>
        <w:t>e</w:t>
      </w:r>
      <w:r w:rsidRPr="000952DE">
        <w:rPr>
          <w:i/>
        </w:rPr>
        <w:t xml:space="preserve"> land as payment.</w:t>
      </w:r>
    </w:p>
    <w:p w:rsidR="002B376E" w:rsidRDefault="002B376E" w:rsidP="002B376E">
      <w:pPr>
        <w:rPr>
          <w:i/>
        </w:rPr>
      </w:pPr>
      <w:r w:rsidRPr="00CE2F6E">
        <w:rPr>
          <w:i/>
          <w:vertAlign w:val="superscript"/>
        </w:rPr>
        <w:t>40</w:t>
      </w:r>
      <w:r w:rsidRPr="000952DE">
        <w:rPr>
          <w:i/>
        </w:rPr>
        <w:t>“‘At the time of the end the southern king will engage in a struggle with him. The northern king will storm against him with chariots, cavalry, and many ships. He will invade other countries, sweep through like a flood,</w:t>
      </w:r>
      <w:r w:rsidRPr="00D11C03">
        <w:rPr>
          <w:i/>
          <w:vertAlign w:val="superscript"/>
        </w:rPr>
        <w:t>a</w:t>
      </w:r>
      <w:r w:rsidRPr="000952DE">
        <w:rPr>
          <w:i/>
        </w:rPr>
        <w:t xml:space="preserve"> </w:t>
      </w:r>
      <w:r w:rsidRPr="00D11C03">
        <w:rPr>
          <w:i/>
          <w:vertAlign w:val="superscript"/>
        </w:rPr>
        <w:t>41</w:t>
      </w:r>
      <w:r w:rsidRPr="000952DE">
        <w:rPr>
          <w:i/>
        </w:rPr>
        <w:t>and invade the fairest land. Many of them</w:t>
      </w:r>
      <w:r w:rsidRPr="00D11C03">
        <w:rPr>
          <w:i/>
          <w:vertAlign w:val="superscript"/>
        </w:rPr>
        <w:t>a</w:t>
      </w:r>
      <w:r w:rsidRPr="000952DE">
        <w:rPr>
          <w:i/>
        </w:rPr>
        <w:t xml:space="preserve"> will stumble, but while these</w:t>
      </w:r>
      <w:r w:rsidRPr="00D11C03">
        <w:rPr>
          <w:i/>
          <w:vertAlign w:val="superscript"/>
        </w:rPr>
        <w:t>b</w:t>
      </w:r>
      <w:r w:rsidRPr="000952DE">
        <w:rPr>
          <w:i/>
        </w:rPr>
        <w:t xml:space="preserve"> will escape from his power, Edom, Mo</w:t>
      </w:r>
      <w:r w:rsidR="00D11C03">
        <w:rPr>
          <w:i/>
        </w:rPr>
        <w:t>’</w:t>
      </w:r>
      <w:r w:rsidRPr="000952DE">
        <w:rPr>
          <w:i/>
        </w:rPr>
        <w:t>ab, and the leaders</w:t>
      </w:r>
      <w:r w:rsidRPr="00D11C03">
        <w:rPr>
          <w:i/>
          <w:vertAlign w:val="superscript"/>
        </w:rPr>
        <w:t xml:space="preserve">c </w:t>
      </w:r>
      <w:r w:rsidRPr="000952DE">
        <w:rPr>
          <w:i/>
        </w:rPr>
        <w:t xml:space="preserve">of the Ammonites, </w:t>
      </w:r>
      <w:r w:rsidRPr="00D11C03">
        <w:rPr>
          <w:i/>
          <w:vertAlign w:val="superscript"/>
        </w:rPr>
        <w:t>42</w:t>
      </w:r>
      <w:r w:rsidRPr="000952DE">
        <w:rPr>
          <w:i/>
        </w:rPr>
        <w:t>when he lays his hand on</w:t>
      </w:r>
      <w:r w:rsidRPr="00D11C03">
        <w:rPr>
          <w:i/>
          <w:vertAlign w:val="superscript"/>
        </w:rPr>
        <w:t>a</w:t>
      </w:r>
      <w:r w:rsidRPr="000952DE">
        <w:rPr>
          <w:i/>
        </w:rPr>
        <w:t xml:space="preserve"> other countries,</w:t>
      </w:r>
      <w:r w:rsidRPr="00D11C03">
        <w:rPr>
          <w:i/>
          <w:vertAlign w:val="superscript"/>
        </w:rPr>
        <w:t>b</w:t>
      </w:r>
      <w:r w:rsidR="00D11C03">
        <w:rPr>
          <w:i/>
        </w:rPr>
        <w:t xml:space="preserve"> Miṣrayim </w:t>
      </w:r>
      <w:r w:rsidRPr="000952DE">
        <w:rPr>
          <w:i/>
        </w:rPr>
        <w:t xml:space="preserve">will not go free. </w:t>
      </w:r>
      <w:r w:rsidRPr="00D11C03">
        <w:rPr>
          <w:i/>
          <w:vertAlign w:val="superscript"/>
        </w:rPr>
        <w:t>43</w:t>
      </w:r>
      <w:r w:rsidRPr="000952DE">
        <w:rPr>
          <w:i/>
        </w:rPr>
        <w:t>He will gain control of the gold and silver treasure</w:t>
      </w:r>
      <w:r w:rsidR="00D11C03">
        <w:rPr>
          <w:i/>
        </w:rPr>
        <w:t xml:space="preserve">s and of all the riches of </w:t>
      </w:r>
      <w:r w:rsidR="00D11C03" w:rsidRPr="00D11C03">
        <w:rPr>
          <w:i/>
        </w:rPr>
        <w:t>Miṣrayim</w:t>
      </w:r>
      <w:r w:rsidR="00D11C03">
        <w:rPr>
          <w:i/>
        </w:rPr>
        <w:t>, and</w:t>
      </w:r>
      <w:r w:rsidR="008865EF">
        <w:rPr>
          <w:i/>
        </w:rPr>
        <w:t xml:space="preserve"> </w:t>
      </w:r>
      <w:r w:rsidR="00D11C03">
        <w:rPr>
          <w:i/>
        </w:rPr>
        <w:t>Lubbites and Kušites</w:t>
      </w:r>
      <w:r w:rsidRPr="000952DE">
        <w:rPr>
          <w:i/>
        </w:rPr>
        <w:t xml:space="preserve"> will fall at his heels.</w:t>
      </w:r>
      <w:r w:rsidRPr="00D11C03">
        <w:rPr>
          <w:i/>
          <w:vertAlign w:val="superscript"/>
        </w:rPr>
        <w:t>a</w:t>
      </w:r>
      <w:r w:rsidRPr="000952DE">
        <w:rPr>
          <w:i/>
        </w:rPr>
        <w:t xml:space="preserve"> </w:t>
      </w:r>
      <w:r w:rsidRPr="00D11C03">
        <w:rPr>
          <w:i/>
          <w:vertAlign w:val="superscript"/>
        </w:rPr>
        <w:t>44</w:t>
      </w:r>
      <w:r w:rsidRPr="000952DE">
        <w:rPr>
          <w:i/>
        </w:rPr>
        <w:t>Then reports from the east and north will alarm him and he will set off in great fury to devastate and annihilate</w:t>
      </w:r>
      <w:r w:rsidRPr="00D11C03">
        <w:rPr>
          <w:i/>
          <w:vertAlign w:val="superscript"/>
        </w:rPr>
        <w:t>a</w:t>
      </w:r>
      <w:r w:rsidRPr="000952DE">
        <w:rPr>
          <w:i/>
        </w:rPr>
        <w:t xml:space="preserve"> many. </w:t>
      </w:r>
      <w:r w:rsidRPr="00D11C03">
        <w:rPr>
          <w:i/>
          <w:vertAlign w:val="superscript"/>
        </w:rPr>
        <w:t>45</w:t>
      </w:r>
      <w:r w:rsidRPr="000952DE">
        <w:rPr>
          <w:i/>
        </w:rPr>
        <w:t>He will pitch his royal headquarters</w:t>
      </w:r>
      <w:r w:rsidRPr="002F0ABA">
        <w:rPr>
          <w:i/>
          <w:vertAlign w:val="superscript"/>
        </w:rPr>
        <w:t>a</w:t>
      </w:r>
      <w:r w:rsidRPr="000952DE">
        <w:rPr>
          <w:i/>
        </w:rPr>
        <w:t xml:space="preserve"> between the Sea and</w:t>
      </w:r>
      <w:r w:rsidRPr="00D11C03">
        <w:rPr>
          <w:i/>
          <w:vertAlign w:val="superscript"/>
        </w:rPr>
        <w:t>b</w:t>
      </w:r>
      <w:r w:rsidRPr="000952DE">
        <w:rPr>
          <w:i/>
        </w:rPr>
        <w:t xml:space="preserve"> the fairest holy hill. But he will come to his end, with no one to help him.</w:t>
      </w:r>
    </w:p>
    <w:p w:rsidR="00D11C03" w:rsidRPr="000952DE" w:rsidRDefault="00D11C03" w:rsidP="002B376E">
      <w:pPr>
        <w:rPr>
          <w:i/>
        </w:rPr>
      </w:pPr>
    </w:p>
    <w:p w:rsidR="002B376E" w:rsidRPr="000952DE" w:rsidRDefault="002B376E" w:rsidP="002B376E">
      <w:pPr>
        <w:rPr>
          <w:i/>
        </w:rPr>
      </w:pPr>
      <w:r w:rsidRPr="00D11C03">
        <w:rPr>
          <w:i/>
          <w:vertAlign w:val="superscript"/>
        </w:rPr>
        <w:t>12:1</w:t>
      </w:r>
      <w:r w:rsidRPr="000952DE">
        <w:rPr>
          <w:i/>
        </w:rPr>
        <w:t>At that time there will arise</w:t>
      </w:r>
    </w:p>
    <w:p w:rsidR="002B376E" w:rsidRPr="000952DE" w:rsidRDefault="00D11C03" w:rsidP="002B376E">
      <w:pPr>
        <w:rPr>
          <w:i/>
        </w:rPr>
      </w:pPr>
      <w:r>
        <w:rPr>
          <w:i/>
        </w:rPr>
        <w:tab/>
        <w:t>Mik</w:t>
      </w:r>
      <w:r w:rsidR="002B376E" w:rsidRPr="000952DE">
        <w:rPr>
          <w:i/>
        </w:rPr>
        <w:t>a</w:t>
      </w:r>
      <w:r>
        <w:rPr>
          <w:i/>
        </w:rPr>
        <w:t>’</w:t>
      </w:r>
      <w:r w:rsidR="002B376E" w:rsidRPr="000952DE">
        <w:rPr>
          <w:i/>
        </w:rPr>
        <w:t>el the supreme leader,</w:t>
      </w:r>
      <w:r w:rsidR="002B376E" w:rsidRPr="00D11C03">
        <w:rPr>
          <w:i/>
          <w:vertAlign w:val="superscript"/>
        </w:rPr>
        <w:t>a</w:t>
      </w:r>
    </w:p>
    <w:p w:rsidR="002B376E" w:rsidRPr="000952DE" w:rsidRDefault="008865EF" w:rsidP="002B376E">
      <w:pPr>
        <w:rPr>
          <w:i/>
        </w:rPr>
      </w:pPr>
      <w:r>
        <w:rPr>
          <w:i/>
        </w:rPr>
        <w:t>W</w:t>
      </w:r>
      <w:r w:rsidR="002B376E" w:rsidRPr="000952DE">
        <w:rPr>
          <w:i/>
        </w:rPr>
        <w:t>ho stands by</w:t>
      </w:r>
      <w:r w:rsidR="002B376E" w:rsidRPr="00D11C03">
        <w:rPr>
          <w:i/>
          <w:vertAlign w:val="superscript"/>
        </w:rPr>
        <w:t>b</w:t>
      </w:r>
      <w:r w:rsidR="002B376E" w:rsidRPr="000952DE">
        <w:rPr>
          <w:i/>
        </w:rPr>
        <w:t xml:space="preserve"> those who belong to your people</w:t>
      </w:r>
      <w:r>
        <w:rPr>
          <w:i/>
        </w:rPr>
        <w:t>,</w:t>
      </w:r>
      <w:r w:rsidR="002B376E" w:rsidRPr="00D11C03">
        <w:rPr>
          <w:i/>
          <w:vertAlign w:val="superscript"/>
        </w:rPr>
        <w:t>c</w:t>
      </w:r>
    </w:p>
    <w:p w:rsidR="002B376E" w:rsidRPr="000952DE" w:rsidRDefault="008865EF" w:rsidP="002B376E">
      <w:pPr>
        <w:rPr>
          <w:i/>
        </w:rPr>
      </w:pPr>
      <w:r>
        <w:rPr>
          <w:i/>
        </w:rPr>
        <w:tab/>
        <w:t>and t</w:t>
      </w:r>
      <w:r w:rsidR="002B376E" w:rsidRPr="000952DE">
        <w:rPr>
          <w:i/>
        </w:rPr>
        <w:t>here will be a time of trouble</w:t>
      </w:r>
    </w:p>
    <w:p w:rsidR="008865EF" w:rsidRDefault="008865EF" w:rsidP="002B376E">
      <w:pPr>
        <w:rPr>
          <w:i/>
        </w:rPr>
      </w:pPr>
      <w:r>
        <w:rPr>
          <w:i/>
        </w:rPr>
        <w:t>S</w:t>
      </w:r>
      <w:r w:rsidR="002B376E" w:rsidRPr="000952DE">
        <w:rPr>
          <w:i/>
        </w:rPr>
        <w:t>uch as has not occurred</w:t>
      </w:r>
      <w:r w:rsidR="002B376E" w:rsidRPr="00D11C03">
        <w:rPr>
          <w:i/>
          <w:vertAlign w:val="superscript"/>
        </w:rPr>
        <w:t>d</w:t>
      </w:r>
      <w:r>
        <w:rPr>
          <w:i/>
        </w:rPr>
        <w:t xml:space="preserve"> </w:t>
      </w:r>
      <w:r w:rsidR="002B376E" w:rsidRPr="000952DE">
        <w:rPr>
          <w:i/>
        </w:rPr>
        <w:t>since they became a nation</w:t>
      </w:r>
      <w:r w:rsidR="002B376E" w:rsidRPr="008865EF">
        <w:rPr>
          <w:i/>
          <w:vertAlign w:val="superscript"/>
        </w:rPr>
        <w:t>e</w:t>
      </w:r>
      <w:r w:rsidR="002B376E" w:rsidRPr="000952DE">
        <w:rPr>
          <w:i/>
        </w:rPr>
        <w:t xml:space="preserve"> </w:t>
      </w:r>
    </w:p>
    <w:p w:rsidR="002B376E" w:rsidRPr="000952DE" w:rsidRDefault="008865EF" w:rsidP="002B376E">
      <w:pPr>
        <w:rPr>
          <w:i/>
        </w:rPr>
      </w:pPr>
      <w:r>
        <w:rPr>
          <w:i/>
        </w:rPr>
        <w:tab/>
      </w:r>
      <w:r w:rsidR="002B376E" w:rsidRPr="000952DE">
        <w:rPr>
          <w:i/>
        </w:rPr>
        <w:t>until that time.</w:t>
      </w:r>
    </w:p>
    <w:p w:rsidR="002B376E" w:rsidRPr="000952DE" w:rsidRDefault="002B376E" w:rsidP="002B376E">
      <w:pPr>
        <w:rPr>
          <w:i/>
        </w:rPr>
      </w:pPr>
      <w:r w:rsidRPr="000952DE">
        <w:rPr>
          <w:i/>
        </w:rPr>
        <w:t>But at that time your people will escape,</w:t>
      </w:r>
    </w:p>
    <w:p w:rsidR="002B376E" w:rsidRPr="000952DE" w:rsidRDefault="008865EF" w:rsidP="002B376E">
      <w:pPr>
        <w:rPr>
          <w:i/>
        </w:rPr>
      </w:pPr>
      <w:r>
        <w:rPr>
          <w:i/>
        </w:rPr>
        <w:tab/>
      </w:r>
      <w:r w:rsidR="002B376E" w:rsidRPr="000952DE">
        <w:rPr>
          <w:i/>
        </w:rPr>
        <w:t>everyone w</w:t>
      </w:r>
      <w:r w:rsidR="00106C35">
        <w:rPr>
          <w:i/>
        </w:rPr>
        <w:t>ho can be found written in the b</w:t>
      </w:r>
      <w:r w:rsidR="002B376E" w:rsidRPr="000952DE">
        <w:rPr>
          <w:i/>
        </w:rPr>
        <w:t>ook.</w:t>
      </w:r>
    </w:p>
    <w:p w:rsidR="002B376E" w:rsidRPr="000952DE" w:rsidRDefault="002B376E" w:rsidP="002B376E">
      <w:pPr>
        <w:rPr>
          <w:i/>
        </w:rPr>
      </w:pPr>
      <w:r w:rsidRPr="00D11C03">
        <w:rPr>
          <w:i/>
          <w:vertAlign w:val="superscript"/>
        </w:rPr>
        <w:t>2</w:t>
      </w:r>
      <w:r w:rsidRPr="000952DE">
        <w:rPr>
          <w:i/>
        </w:rPr>
        <w:t>Thus many of those who sleep</w:t>
      </w:r>
      <w:r w:rsidRPr="00D11C03">
        <w:rPr>
          <w:i/>
          <w:vertAlign w:val="superscript"/>
        </w:rPr>
        <w:t>a</w:t>
      </w:r>
    </w:p>
    <w:p w:rsidR="002B376E" w:rsidRPr="000952DE" w:rsidRDefault="008865EF" w:rsidP="002B376E">
      <w:pPr>
        <w:rPr>
          <w:i/>
        </w:rPr>
      </w:pPr>
      <w:r>
        <w:rPr>
          <w:i/>
        </w:rPr>
        <w:tab/>
      </w:r>
      <w:r w:rsidR="002B376E" w:rsidRPr="000952DE">
        <w:rPr>
          <w:i/>
        </w:rPr>
        <w:t>in a land of earth</w:t>
      </w:r>
      <w:r w:rsidR="002B376E" w:rsidRPr="00D11C03">
        <w:rPr>
          <w:i/>
          <w:vertAlign w:val="superscript"/>
        </w:rPr>
        <w:t>b</w:t>
      </w:r>
      <w:r w:rsidR="002B376E" w:rsidRPr="000952DE">
        <w:rPr>
          <w:i/>
        </w:rPr>
        <w:t xml:space="preserve"> will wake up,</w:t>
      </w:r>
    </w:p>
    <w:p w:rsidR="002B376E" w:rsidRPr="000952DE" w:rsidRDefault="002B376E" w:rsidP="002B376E">
      <w:pPr>
        <w:rPr>
          <w:i/>
        </w:rPr>
      </w:pPr>
      <w:r w:rsidRPr="00D11C03">
        <w:rPr>
          <w:i/>
          <w:vertAlign w:val="superscript"/>
        </w:rPr>
        <w:t>c</w:t>
      </w:r>
      <w:r w:rsidR="002F0ABA">
        <w:rPr>
          <w:i/>
        </w:rPr>
        <w:t>S</w:t>
      </w:r>
      <w:r w:rsidRPr="000952DE">
        <w:rPr>
          <w:i/>
        </w:rPr>
        <w:t>ome to lasting</w:t>
      </w:r>
      <w:r w:rsidRPr="00D11C03">
        <w:rPr>
          <w:i/>
          <w:vertAlign w:val="superscript"/>
        </w:rPr>
        <w:t xml:space="preserve">d </w:t>
      </w:r>
      <w:r w:rsidRPr="000952DE">
        <w:rPr>
          <w:i/>
        </w:rPr>
        <w:t>life,</w:t>
      </w:r>
    </w:p>
    <w:p w:rsidR="002B376E" w:rsidRPr="000952DE" w:rsidRDefault="008865EF" w:rsidP="002B376E">
      <w:pPr>
        <w:rPr>
          <w:i/>
        </w:rPr>
      </w:pPr>
      <w:r>
        <w:rPr>
          <w:i/>
        </w:rPr>
        <w:tab/>
      </w:r>
      <w:r w:rsidR="002B376E" w:rsidRPr="000952DE">
        <w:rPr>
          <w:i/>
        </w:rPr>
        <w:t>others to utter shame,</w:t>
      </w:r>
      <w:r w:rsidR="002B376E" w:rsidRPr="00D11C03">
        <w:rPr>
          <w:i/>
          <w:vertAlign w:val="superscript"/>
        </w:rPr>
        <w:t>e</w:t>
      </w:r>
      <w:r w:rsidR="002B376E" w:rsidRPr="000952DE">
        <w:rPr>
          <w:i/>
        </w:rPr>
        <w:t xml:space="preserve"> to lasting</w:t>
      </w:r>
      <w:r w:rsidR="002B376E" w:rsidRPr="00D11C03">
        <w:rPr>
          <w:i/>
          <w:vertAlign w:val="superscript"/>
        </w:rPr>
        <w:t>d</w:t>
      </w:r>
      <w:r w:rsidR="002B376E" w:rsidRPr="000952DE">
        <w:rPr>
          <w:i/>
        </w:rPr>
        <w:t xml:space="preserve"> abhorrence.</w:t>
      </w:r>
    </w:p>
    <w:p w:rsidR="008865EF" w:rsidRDefault="002B376E" w:rsidP="002B376E">
      <w:pPr>
        <w:rPr>
          <w:i/>
        </w:rPr>
      </w:pPr>
      <w:r w:rsidRPr="00D11C03">
        <w:rPr>
          <w:i/>
          <w:vertAlign w:val="superscript"/>
        </w:rPr>
        <w:t>3</w:t>
      </w:r>
      <w:r w:rsidRPr="000952DE">
        <w:rPr>
          <w:i/>
        </w:rPr>
        <w:t xml:space="preserve">The discerning will shine </w:t>
      </w:r>
    </w:p>
    <w:p w:rsidR="002B376E" w:rsidRPr="00BF13A7" w:rsidRDefault="00BF13A7" w:rsidP="002B376E">
      <w:pPr>
        <w:rPr>
          <w:i/>
          <w:vertAlign w:val="superscript"/>
        </w:rPr>
      </w:pPr>
      <w:r>
        <w:rPr>
          <w:i/>
        </w:rPr>
        <w:tab/>
        <w:t xml:space="preserve">like </w:t>
      </w:r>
      <w:r w:rsidR="00D2026D">
        <w:rPr>
          <w:i/>
        </w:rPr>
        <w:t>the moon</w:t>
      </w:r>
      <w:r w:rsidR="00D2026D">
        <w:rPr>
          <w:i/>
          <w:vertAlign w:val="superscript"/>
        </w:rPr>
        <w:t>a</w:t>
      </w:r>
      <w:r>
        <w:rPr>
          <w:i/>
        </w:rPr>
        <w:t xml:space="preserve"> in</w:t>
      </w:r>
      <w:r w:rsidR="008865EF">
        <w:rPr>
          <w:i/>
        </w:rPr>
        <w:t xml:space="preserve"> the sky.</w:t>
      </w:r>
    </w:p>
    <w:p w:rsidR="002B376E" w:rsidRPr="000952DE" w:rsidRDefault="008865EF" w:rsidP="002B376E">
      <w:pPr>
        <w:rPr>
          <w:i/>
        </w:rPr>
      </w:pPr>
      <w:r>
        <w:rPr>
          <w:i/>
        </w:rPr>
        <w:t>T</w:t>
      </w:r>
      <w:r w:rsidR="002B376E" w:rsidRPr="000952DE">
        <w:rPr>
          <w:i/>
        </w:rPr>
        <w:t>hose who set the multitude right</w:t>
      </w:r>
      <w:r w:rsidR="00BF13A7">
        <w:rPr>
          <w:i/>
          <w:vertAlign w:val="superscript"/>
        </w:rPr>
        <w:t>b</w:t>
      </w:r>
    </w:p>
    <w:p w:rsidR="002B376E" w:rsidRPr="000952DE" w:rsidRDefault="008865EF" w:rsidP="002B376E">
      <w:pPr>
        <w:rPr>
          <w:i/>
        </w:rPr>
      </w:pPr>
      <w:r>
        <w:rPr>
          <w:i/>
        </w:rPr>
        <w:tab/>
      </w:r>
      <w:r w:rsidR="002B376E" w:rsidRPr="000952DE">
        <w:rPr>
          <w:i/>
        </w:rPr>
        <w:t>will shine like the stars to all eternity.</w:t>
      </w:r>
    </w:p>
    <w:p w:rsidR="00D11C03" w:rsidRDefault="00D11C03" w:rsidP="002B376E">
      <w:pPr>
        <w:rPr>
          <w:i/>
          <w:vertAlign w:val="superscript"/>
        </w:rPr>
      </w:pPr>
    </w:p>
    <w:p w:rsidR="002B376E" w:rsidRPr="000952DE" w:rsidRDefault="002B376E" w:rsidP="00106C35">
      <w:pPr>
        <w:ind w:firstLine="0"/>
        <w:rPr>
          <w:i/>
        </w:rPr>
      </w:pPr>
      <w:r w:rsidRPr="00D11C03">
        <w:rPr>
          <w:i/>
          <w:vertAlign w:val="superscript"/>
        </w:rPr>
        <w:t>4</w:t>
      </w:r>
      <w:r w:rsidRPr="000952DE">
        <w:rPr>
          <w:i/>
        </w:rPr>
        <w:t>You, Dani</w:t>
      </w:r>
      <w:r w:rsidR="00D11C03">
        <w:rPr>
          <w:i/>
        </w:rPr>
        <w:t>yy</w:t>
      </w:r>
      <w:r w:rsidRPr="000952DE">
        <w:rPr>
          <w:i/>
        </w:rPr>
        <w:t>e</w:t>
      </w:r>
      <w:r w:rsidR="00D11C03">
        <w:rPr>
          <w:i/>
        </w:rPr>
        <w:t>’</w:t>
      </w:r>
      <w:r w:rsidRPr="000952DE">
        <w:rPr>
          <w:i/>
        </w:rPr>
        <w:t>l, are to close up these words and seal the book until the time of the end. Many will hurry to and fro,</w:t>
      </w:r>
      <w:r w:rsidRPr="00D11C03">
        <w:rPr>
          <w:i/>
          <w:vertAlign w:val="superscript"/>
        </w:rPr>
        <w:t>a</w:t>
      </w:r>
      <w:r w:rsidRPr="000952DE">
        <w:rPr>
          <w:i/>
        </w:rPr>
        <w:t xml:space="preserve"> and suffering</w:t>
      </w:r>
      <w:r w:rsidRPr="00E80CCC">
        <w:rPr>
          <w:i/>
          <w:vertAlign w:val="superscript"/>
        </w:rPr>
        <w:t>b</w:t>
      </w:r>
      <w:r w:rsidRPr="000952DE">
        <w:rPr>
          <w:i/>
        </w:rPr>
        <w:t xml:space="preserve"> will increase.’</w:t>
      </w:r>
    </w:p>
    <w:p w:rsidR="00C82646" w:rsidRDefault="002B376E" w:rsidP="002B376E">
      <w:pPr>
        <w:rPr>
          <w:i/>
        </w:rPr>
      </w:pPr>
      <w:r w:rsidRPr="00D11C03">
        <w:rPr>
          <w:i/>
          <w:vertAlign w:val="superscript"/>
        </w:rPr>
        <w:t>5</w:t>
      </w:r>
      <w:r w:rsidRPr="000952DE">
        <w:rPr>
          <w:i/>
        </w:rPr>
        <w:t>“Then I, Dani</w:t>
      </w:r>
      <w:r w:rsidR="00D11C03">
        <w:rPr>
          <w:i/>
        </w:rPr>
        <w:t>yy</w:t>
      </w:r>
      <w:r w:rsidRPr="000952DE">
        <w:rPr>
          <w:i/>
        </w:rPr>
        <w:t>e</w:t>
      </w:r>
      <w:r w:rsidR="00D11C03">
        <w:rPr>
          <w:i/>
        </w:rPr>
        <w:t>’</w:t>
      </w:r>
      <w:r w:rsidRPr="000952DE">
        <w:rPr>
          <w:i/>
        </w:rPr>
        <w:t>l, looked, and there before me two other figures were standing, one on the river</w:t>
      </w:r>
      <w:r w:rsidRPr="00D11C03">
        <w:rPr>
          <w:i/>
          <w:vertAlign w:val="superscript"/>
        </w:rPr>
        <w:t>a</w:t>
      </w:r>
      <w:r w:rsidRPr="000952DE">
        <w:rPr>
          <w:i/>
        </w:rPr>
        <w:t xml:space="preserve"> bank on this side, one on the river</w:t>
      </w:r>
      <w:r w:rsidRPr="00D11C03">
        <w:rPr>
          <w:i/>
          <w:vertAlign w:val="superscript"/>
        </w:rPr>
        <w:t>a</w:t>
      </w:r>
      <w:r w:rsidRPr="000952DE">
        <w:rPr>
          <w:i/>
        </w:rPr>
        <w:t xml:space="preserve"> bank on the other side. </w:t>
      </w:r>
      <w:r w:rsidRPr="00D11C03">
        <w:rPr>
          <w:i/>
          <w:vertAlign w:val="superscript"/>
        </w:rPr>
        <w:t>6</w:t>
      </w:r>
      <w:r w:rsidRPr="000952DE">
        <w:rPr>
          <w:i/>
        </w:rPr>
        <w:t xml:space="preserve">The man dressed in linen who was </w:t>
      </w:r>
      <w:r w:rsidRPr="00D11C03">
        <w:rPr>
          <w:i/>
          <w:vertAlign w:val="superscript"/>
        </w:rPr>
        <w:t>a</w:t>
      </w:r>
      <w:r w:rsidRPr="000952DE">
        <w:rPr>
          <w:i/>
        </w:rPr>
        <w:t>further upstream</w:t>
      </w:r>
      <w:r w:rsidRPr="00D11C03">
        <w:rPr>
          <w:i/>
          <w:vertAlign w:val="superscript"/>
        </w:rPr>
        <w:t xml:space="preserve">a </w:t>
      </w:r>
      <w:r w:rsidRPr="000952DE">
        <w:rPr>
          <w:i/>
        </w:rPr>
        <w:t>was asked,</w:t>
      </w:r>
      <w:r w:rsidRPr="00D11C03">
        <w:rPr>
          <w:i/>
          <w:vertAlign w:val="superscript"/>
        </w:rPr>
        <w:t xml:space="preserve">b </w:t>
      </w:r>
      <w:r w:rsidRPr="000952DE">
        <w:rPr>
          <w:i/>
        </w:rPr>
        <w:t>‘How long is it to the end</w:t>
      </w:r>
      <w:r w:rsidRPr="00D11C03">
        <w:rPr>
          <w:i/>
          <w:vertAlign w:val="superscript"/>
        </w:rPr>
        <w:t xml:space="preserve">c </w:t>
      </w:r>
      <w:r w:rsidRPr="000952DE">
        <w:rPr>
          <w:i/>
        </w:rPr>
        <w:t xml:space="preserve">of these awesome events?’ </w:t>
      </w:r>
      <w:r w:rsidRPr="00D11C03">
        <w:rPr>
          <w:i/>
          <w:vertAlign w:val="superscript"/>
        </w:rPr>
        <w:t>7</w:t>
      </w:r>
      <w:r w:rsidRPr="000952DE">
        <w:rPr>
          <w:i/>
        </w:rPr>
        <w:t>I listened to the man dressed in l</w:t>
      </w:r>
      <w:r w:rsidR="00106C35">
        <w:rPr>
          <w:i/>
        </w:rPr>
        <w:t>inen who was further upstream. H</w:t>
      </w:r>
      <w:r w:rsidRPr="000952DE">
        <w:rPr>
          <w:i/>
        </w:rPr>
        <w:t>e raised his right hand and his left to the sky and swore by the One who lives for ever that it would be for a set period,</w:t>
      </w:r>
      <w:r w:rsidRPr="00D11C03">
        <w:rPr>
          <w:i/>
          <w:vertAlign w:val="superscript"/>
        </w:rPr>
        <w:t>a</w:t>
      </w:r>
      <w:r w:rsidRPr="000952DE">
        <w:rPr>
          <w:i/>
        </w:rPr>
        <w:t xml:space="preserve"> two set periods,</w:t>
      </w:r>
      <w:r w:rsidRPr="00D11C03">
        <w:rPr>
          <w:i/>
          <w:vertAlign w:val="superscript"/>
        </w:rPr>
        <w:t>a</w:t>
      </w:r>
      <w:r w:rsidRPr="000952DE">
        <w:rPr>
          <w:i/>
        </w:rPr>
        <w:t xml:space="preserve"> and a half, and that when the shattering</w:t>
      </w:r>
      <w:r w:rsidRPr="00D11C03">
        <w:rPr>
          <w:i/>
          <w:vertAlign w:val="superscript"/>
        </w:rPr>
        <w:t>b</w:t>
      </w:r>
      <w:r w:rsidRPr="000952DE">
        <w:rPr>
          <w:i/>
        </w:rPr>
        <w:t xml:space="preserve"> of the power of the holy people is ended,</w:t>
      </w:r>
      <w:r w:rsidRPr="00D11C03">
        <w:rPr>
          <w:i/>
          <w:vertAlign w:val="superscript"/>
        </w:rPr>
        <w:t xml:space="preserve">c </w:t>
      </w:r>
      <w:r w:rsidRPr="000952DE">
        <w:rPr>
          <w:i/>
        </w:rPr>
        <w:t xml:space="preserve">all these things will come to an end. </w:t>
      </w:r>
      <w:r w:rsidRPr="00D11C03">
        <w:rPr>
          <w:i/>
          <w:vertAlign w:val="superscript"/>
        </w:rPr>
        <w:t>8</w:t>
      </w:r>
      <w:r w:rsidRPr="000952DE">
        <w:rPr>
          <w:i/>
        </w:rPr>
        <w:t xml:space="preserve">I listened, but </w:t>
      </w:r>
      <w:r w:rsidR="00D11C03">
        <w:rPr>
          <w:i/>
        </w:rPr>
        <w:t xml:space="preserve">I </w:t>
      </w:r>
      <w:r w:rsidR="008865EF">
        <w:rPr>
          <w:i/>
        </w:rPr>
        <w:t>could</w:t>
      </w:r>
      <w:r w:rsidR="002F0ABA">
        <w:rPr>
          <w:i/>
        </w:rPr>
        <w:t xml:space="preserve"> no</w:t>
      </w:r>
      <w:r w:rsidRPr="000952DE">
        <w:rPr>
          <w:i/>
        </w:rPr>
        <w:t xml:space="preserve">t understand, and </w:t>
      </w:r>
      <w:r w:rsidR="00D11C03">
        <w:rPr>
          <w:i/>
        </w:rPr>
        <w:t xml:space="preserve">I </w:t>
      </w:r>
      <w:r w:rsidRPr="000952DE">
        <w:rPr>
          <w:i/>
        </w:rPr>
        <w:t>said, ‘Sir, what will be the last stage</w:t>
      </w:r>
      <w:r w:rsidRPr="00D11C03">
        <w:rPr>
          <w:i/>
          <w:vertAlign w:val="superscript"/>
        </w:rPr>
        <w:t>a</w:t>
      </w:r>
      <w:r w:rsidRPr="000952DE">
        <w:rPr>
          <w:i/>
        </w:rPr>
        <w:t xml:space="preserve"> of these events?’ </w:t>
      </w:r>
      <w:r w:rsidRPr="00D11C03">
        <w:rPr>
          <w:i/>
          <w:vertAlign w:val="superscript"/>
        </w:rPr>
        <w:t>9</w:t>
      </w:r>
      <w:r w:rsidRPr="000952DE">
        <w:rPr>
          <w:i/>
        </w:rPr>
        <w:t>He said, ‘Go your way, Dani</w:t>
      </w:r>
      <w:r w:rsidR="00D11C03">
        <w:rPr>
          <w:i/>
        </w:rPr>
        <w:t>yy</w:t>
      </w:r>
      <w:r w:rsidRPr="000952DE">
        <w:rPr>
          <w:i/>
        </w:rPr>
        <w:t>e</w:t>
      </w:r>
      <w:r w:rsidR="00D11C03">
        <w:rPr>
          <w:i/>
        </w:rPr>
        <w:t>’</w:t>
      </w:r>
      <w:r w:rsidRPr="000952DE">
        <w:rPr>
          <w:i/>
        </w:rPr>
        <w:t>l, because</w:t>
      </w:r>
      <w:r w:rsidR="00282B9F">
        <w:rPr>
          <w:i/>
        </w:rPr>
        <w:t xml:space="preserve"> these words will be closed up and </w:t>
      </w:r>
      <w:r w:rsidRPr="000952DE">
        <w:rPr>
          <w:i/>
        </w:rPr>
        <w:t>sealed</w:t>
      </w:r>
      <w:r w:rsidR="00282B9F">
        <w:rPr>
          <w:i/>
          <w:vertAlign w:val="superscript"/>
        </w:rPr>
        <w:t>a</w:t>
      </w:r>
      <w:r w:rsidRPr="000952DE">
        <w:rPr>
          <w:i/>
        </w:rPr>
        <w:t xml:space="preserve"> until the time of the end. </w:t>
      </w:r>
    </w:p>
    <w:p w:rsidR="00C82646" w:rsidRDefault="00C82646" w:rsidP="002B376E">
      <w:pPr>
        <w:rPr>
          <w:i/>
        </w:rPr>
      </w:pPr>
    </w:p>
    <w:p w:rsidR="00C82646" w:rsidRDefault="002B376E" w:rsidP="002B376E">
      <w:pPr>
        <w:rPr>
          <w:i/>
        </w:rPr>
      </w:pPr>
      <w:r w:rsidRPr="00D11C03">
        <w:rPr>
          <w:i/>
          <w:vertAlign w:val="superscript"/>
        </w:rPr>
        <w:t>10</w:t>
      </w:r>
      <w:r w:rsidR="00677229">
        <w:rPr>
          <w:i/>
          <w:vertAlign w:val="superscript"/>
        </w:rPr>
        <w:t>a</w:t>
      </w:r>
      <w:r w:rsidRPr="000952DE">
        <w:rPr>
          <w:i/>
        </w:rPr>
        <w:t>Many will purify themselves, cleanse themselves, and refine themselves,</w:t>
      </w:r>
      <w:r w:rsidR="00677229">
        <w:rPr>
          <w:i/>
          <w:vertAlign w:val="superscript"/>
        </w:rPr>
        <w:t>b</w:t>
      </w:r>
      <w:r w:rsidRPr="000952DE">
        <w:rPr>
          <w:i/>
        </w:rPr>
        <w:t xml:space="preserve"> </w:t>
      </w:r>
    </w:p>
    <w:p w:rsidR="00C82646" w:rsidRDefault="00C82646" w:rsidP="002B376E">
      <w:pPr>
        <w:rPr>
          <w:i/>
        </w:rPr>
      </w:pPr>
      <w:r>
        <w:rPr>
          <w:i/>
        </w:rPr>
        <w:tab/>
      </w:r>
      <w:r w:rsidR="002B376E" w:rsidRPr="000952DE">
        <w:rPr>
          <w:i/>
        </w:rPr>
        <w:t>but</w:t>
      </w:r>
      <w:r>
        <w:rPr>
          <w:i/>
        </w:rPr>
        <w:t xml:space="preserve"> the faithless will act faithless</w:t>
      </w:r>
      <w:r w:rsidR="008865EF">
        <w:rPr>
          <w:i/>
        </w:rPr>
        <w:t>ly.</w:t>
      </w:r>
      <w:r>
        <w:rPr>
          <w:i/>
        </w:rPr>
        <w:t xml:space="preserve"> </w:t>
      </w:r>
    </w:p>
    <w:p w:rsidR="00C82646" w:rsidRDefault="008865EF" w:rsidP="002B376E">
      <w:pPr>
        <w:rPr>
          <w:i/>
        </w:rPr>
      </w:pPr>
      <w:r>
        <w:rPr>
          <w:i/>
        </w:rPr>
        <w:t>N</w:t>
      </w:r>
      <w:r w:rsidR="00C82646">
        <w:rPr>
          <w:i/>
        </w:rPr>
        <w:t>one of the faithless</w:t>
      </w:r>
      <w:r w:rsidR="002B376E" w:rsidRPr="000952DE">
        <w:rPr>
          <w:i/>
        </w:rPr>
        <w:t xml:space="preserve"> will give heed,</w:t>
      </w:r>
      <w:r w:rsidR="00677229">
        <w:rPr>
          <w:i/>
          <w:vertAlign w:val="superscript"/>
        </w:rPr>
        <w:t>c</w:t>
      </w:r>
      <w:r w:rsidR="002B376E" w:rsidRPr="000952DE">
        <w:rPr>
          <w:i/>
        </w:rPr>
        <w:t xml:space="preserve"> </w:t>
      </w:r>
    </w:p>
    <w:p w:rsidR="00C82646" w:rsidRDefault="00C82646" w:rsidP="002B376E">
      <w:pPr>
        <w:rPr>
          <w:i/>
        </w:rPr>
      </w:pPr>
      <w:r>
        <w:rPr>
          <w:i/>
        </w:rPr>
        <w:tab/>
      </w:r>
      <w:r w:rsidR="002B376E" w:rsidRPr="000952DE">
        <w:rPr>
          <w:i/>
        </w:rPr>
        <w:t>though the discerning will give heed.</w:t>
      </w:r>
      <w:r w:rsidR="00677229">
        <w:rPr>
          <w:i/>
          <w:vertAlign w:val="superscript"/>
        </w:rPr>
        <w:t>c</w:t>
      </w:r>
      <w:r w:rsidR="002B376E" w:rsidRPr="000952DE">
        <w:rPr>
          <w:i/>
        </w:rPr>
        <w:t xml:space="preserve"> </w:t>
      </w:r>
    </w:p>
    <w:p w:rsidR="00C82646" w:rsidRDefault="00C82646" w:rsidP="002B376E">
      <w:pPr>
        <w:rPr>
          <w:i/>
        </w:rPr>
      </w:pPr>
    </w:p>
    <w:p w:rsidR="002B376E" w:rsidRPr="000952DE" w:rsidRDefault="002B376E" w:rsidP="00C82646">
      <w:pPr>
        <w:ind w:firstLine="0"/>
        <w:rPr>
          <w:i/>
        </w:rPr>
      </w:pPr>
      <w:r w:rsidRPr="00D11C03">
        <w:rPr>
          <w:i/>
          <w:vertAlign w:val="superscript"/>
        </w:rPr>
        <w:t>11</w:t>
      </w:r>
      <w:r w:rsidRPr="000952DE">
        <w:rPr>
          <w:i/>
        </w:rPr>
        <w:t xml:space="preserve">From the time </w:t>
      </w:r>
      <w:r w:rsidR="00106C35">
        <w:rPr>
          <w:i/>
        </w:rPr>
        <w:t xml:space="preserve">when </w:t>
      </w:r>
      <w:r w:rsidRPr="000952DE">
        <w:rPr>
          <w:i/>
        </w:rPr>
        <w:t xml:space="preserve">the daily offering is taken away and the desolating abomination is set up will be 1290 days. </w:t>
      </w:r>
      <w:r w:rsidRPr="00D11C03">
        <w:rPr>
          <w:i/>
          <w:vertAlign w:val="superscript"/>
        </w:rPr>
        <w:t>12</w:t>
      </w:r>
      <w:r w:rsidRPr="000952DE">
        <w:rPr>
          <w:i/>
        </w:rPr>
        <w:t xml:space="preserve">Happy the one who waits and reaches the 1335 days. </w:t>
      </w:r>
      <w:r w:rsidRPr="00D11C03">
        <w:rPr>
          <w:i/>
          <w:vertAlign w:val="superscript"/>
        </w:rPr>
        <w:t>13</w:t>
      </w:r>
      <w:r w:rsidRPr="000952DE">
        <w:rPr>
          <w:i/>
        </w:rPr>
        <w:t>But you may go your way</w:t>
      </w:r>
      <w:r w:rsidR="00690E99">
        <w:rPr>
          <w:i/>
        </w:rPr>
        <w:t xml:space="preserve"> until the end</w:t>
      </w:r>
      <w:r w:rsidRPr="008865EF">
        <w:rPr>
          <w:i/>
          <w:vertAlign w:val="superscript"/>
        </w:rPr>
        <w:t>a</w:t>
      </w:r>
      <w:r w:rsidRPr="000952DE">
        <w:rPr>
          <w:i/>
        </w:rPr>
        <w:t xml:space="preserve"> and rest. You will rise</w:t>
      </w:r>
      <w:r w:rsidRPr="008865EF">
        <w:rPr>
          <w:i/>
          <w:vertAlign w:val="superscript"/>
        </w:rPr>
        <w:t>b</w:t>
      </w:r>
      <w:r w:rsidRPr="000952DE">
        <w:rPr>
          <w:i/>
        </w:rPr>
        <w:t xml:space="preserve"> to your destiny on the final day.’”</w:t>
      </w:r>
    </w:p>
    <w:p w:rsidR="002B376E" w:rsidRPr="002B376E" w:rsidRDefault="002B376E" w:rsidP="002B376E">
      <w:pPr>
        <w:pStyle w:val="Heading2"/>
      </w:pPr>
      <w:r w:rsidRPr="002B376E">
        <w:t>Notes</w:t>
      </w:r>
    </w:p>
    <w:p w:rsidR="002B376E" w:rsidRPr="002B376E" w:rsidRDefault="002B376E" w:rsidP="002B376E">
      <w:r w:rsidRPr="002B376E">
        <w:t>1.a. OG “first” may assimilat</w:t>
      </w:r>
      <w:r w:rsidR="0008090B">
        <w:t>e to 1:21 or may be an inner Greek</w:t>
      </w:r>
      <w:r w:rsidR="00945C8C">
        <w:t xml:space="preserve"> </w:t>
      </w:r>
      <w:r w:rsidRPr="002B376E">
        <w:t xml:space="preserve">corruption (so Pace, </w:t>
      </w:r>
      <w:r w:rsidR="0008090B">
        <w:rPr>
          <w:i/>
        </w:rPr>
        <w:t>The OG Text</w:t>
      </w:r>
      <w:r w:rsidR="0008090B">
        <w:t>,</w:t>
      </w:r>
      <w:r w:rsidR="0008090B">
        <w:rPr>
          <w:i/>
        </w:rPr>
        <w:t xml:space="preserve"> </w:t>
      </w:r>
      <w:r w:rsidRPr="002B376E">
        <w:t>225–227).</w:t>
      </w:r>
    </w:p>
    <w:p w:rsidR="002B376E" w:rsidRPr="002B376E" w:rsidRDefault="002B376E" w:rsidP="002B376E">
      <w:r w:rsidRPr="002B376E">
        <w:t>1.b-b. In secular usage, this title belongs to the Greek period, but in Ezra it is a regular title for the Persian kings (</w:t>
      </w:r>
      <w:r w:rsidR="0008090B">
        <w:t>see Wilson, “The Title ‘King of Persia’”</w:t>
      </w:r>
      <w:r w:rsidRPr="002B376E">
        <w:t>).</w:t>
      </w:r>
    </w:p>
    <w:p w:rsidR="002B376E" w:rsidRPr="002B376E" w:rsidRDefault="002B376E" w:rsidP="002B376E">
      <w:r w:rsidRPr="002B376E">
        <w:t xml:space="preserve">1.c. </w:t>
      </w:r>
      <w:r w:rsidRPr="002B376E">
        <w:rPr>
          <w:rFonts w:ascii="Arial" w:hAnsi="Arial" w:cs="Arial"/>
        </w:rPr>
        <w:t>נגלה</w:t>
      </w:r>
      <w:r w:rsidRPr="002B376E">
        <w:t xml:space="preserve"> cou</w:t>
      </w:r>
      <w:r w:rsidR="00106C35">
        <w:t>ld mean “revealed itself” (e.g., 1 Sam 3:21),</w:t>
      </w:r>
      <w:r w:rsidR="00C5064C">
        <w:t xml:space="preserve"> but </w:t>
      </w:r>
      <w:r w:rsidRPr="002B376E">
        <w:t>a reverential pass</w:t>
      </w:r>
      <w:r w:rsidR="0008090B">
        <w:t>ive</w:t>
      </w:r>
      <w:r w:rsidR="00C5064C">
        <w:t xml:space="preserve"> also makes sense</w:t>
      </w:r>
      <w:r w:rsidRPr="002B376E">
        <w:t>.</w:t>
      </w:r>
    </w:p>
    <w:p w:rsidR="002B376E" w:rsidRPr="002B376E" w:rsidRDefault="002B376E" w:rsidP="002B376E">
      <w:r w:rsidRPr="002B376E">
        <w:t xml:space="preserve">1.d. </w:t>
      </w:r>
      <w:r w:rsidRPr="002B376E">
        <w:rPr>
          <w:rFonts w:ascii="Arial" w:hAnsi="Arial" w:cs="Arial"/>
        </w:rPr>
        <w:t>צבא</w:t>
      </w:r>
      <w:r w:rsidRPr="002B376E">
        <w:t xml:space="preserve"> most often means “army”; cf. 8:10–12</w:t>
      </w:r>
      <w:r w:rsidR="00CA3A41">
        <w:t xml:space="preserve"> (and OG?)</w:t>
      </w:r>
      <w:r w:rsidRPr="002B376E">
        <w:t xml:space="preserve">, though there the phrase </w:t>
      </w:r>
      <w:r w:rsidRPr="002B376E">
        <w:rPr>
          <w:rFonts w:ascii="Arial" w:hAnsi="Arial" w:cs="Arial"/>
        </w:rPr>
        <w:t>השמים</w:t>
      </w:r>
      <w:r w:rsidRPr="002B376E">
        <w:t xml:space="preserve"> </w:t>
      </w:r>
      <w:r w:rsidR="0008090B" w:rsidRPr="0008090B">
        <w:rPr>
          <w:rFonts w:ascii="Arial" w:hAnsi="Arial" w:cs="Arial"/>
        </w:rPr>
        <w:t>צבא</w:t>
      </w:r>
      <w:r w:rsidR="0008090B" w:rsidRPr="0008090B">
        <w:t xml:space="preserve"> </w:t>
      </w:r>
      <w:r w:rsidRPr="002B376E">
        <w:t>“heavenly army” is more explic</w:t>
      </w:r>
      <w:r w:rsidR="0008090B">
        <w:t xml:space="preserve">it. It can also refer metaphorically </w:t>
      </w:r>
      <w:r w:rsidRPr="002B376E">
        <w:t xml:space="preserve">to an appointed time of hard service (Isa 40:2; Job 7:1; 14:14), and </w:t>
      </w:r>
      <w:r w:rsidR="0008090B">
        <w:t xml:space="preserve">it </w:t>
      </w:r>
      <w:r w:rsidRPr="002B376E">
        <w:t>might denote the long (</w:t>
      </w:r>
      <w:r w:rsidRPr="002B376E">
        <w:rPr>
          <w:rFonts w:ascii="Arial" w:hAnsi="Arial" w:cs="Arial"/>
        </w:rPr>
        <w:t>גדול</w:t>
      </w:r>
      <w:r w:rsidRPr="002B376E">
        <w:t xml:space="preserve">) period to elapse before the vision’s fulfillment (Rashi) or the toil it demanded of Daniel in </w:t>
      </w:r>
      <w:r w:rsidR="0008090B">
        <w:t>order to understand it (NEB</w:t>
      </w:r>
      <w:r w:rsidR="00CA3A41">
        <w:t>; cf. Vg, Th</w:t>
      </w:r>
      <w:r w:rsidRPr="002B376E">
        <w:t>). In Num 4; 8:24, 25 it denotes Yahweh’s sacred “army,” the Levites, fulfilling their “serv</w:t>
      </w:r>
      <w:r w:rsidR="00B63AD2">
        <w:t>ice.” But it can also mean “war</w:t>
      </w:r>
      <w:r w:rsidRPr="002B376E">
        <w:t xml:space="preserve">” </w:t>
      </w:r>
      <w:r w:rsidR="00B63AD2">
        <w:t xml:space="preserve">(cf. Aq) </w:t>
      </w:r>
      <w:r w:rsidRPr="002B376E">
        <w:t>and a reference to the heavenly and earthly conf</w:t>
      </w:r>
      <w:r w:rsidR="0008090B">
        <w:t>licts of 10:12–12:4 (cf. JB, NIV</w:t>
      </w:r>
      <w:r w:rsidR="00C5064C">
        <w:t xml:space="preserve">) </w:t>
      </w:r>
      <w:r w:rsidRPr="002B376E">
        <w:t xml:space="preserve">fits the context, even if Isa 40:2 suggested the word (see </w:t>
      </w:r>
      <w:r w:rsidRPr="0008090B">
        <w:rPr>
          <w:i/>
        </w:rPr>
        <w:t>Form</w:t>
      </w:r>
      <w:r w:rsidRPr="002B376E">
        <w:t xml:space="preserve">, </w:t>
      </w:r>
      <w:r w:rsidRPr="0008090B">
        <w:rPr>
          <w:i/>
        </w:rPr>
        <w:t>Structure</w:t>
      </w:r>
      <w:r w:rsidRPr="002B376E">
        <w:t>).</w:t>
      </w:r>
    </w:p>
    <w:p w:rsidR="002B376E" w:rsidRPr="002B376E" w:rsidRDefault="002B376E" w:rsidP="002B376E">
      <w:r w:rsidRPr="002B376E">
        <w:t xml:space="preserve">1.e. </w:t>
      </w:r>
      <w:r w:rsidRPr="002B376E">
        <w:rPr>
          <w:rFonts w:ascii="Arial" w:hAnsi="Arial" w:cs="Arial"/>
        </w:rPr>
        <w:t>ובין</w:t>
      </w:r>
      <w:r w:rsidRPr="002B376E">
        <w:t>, perhaps a qal derived from a hi</w:t>
      </w:r>
      <w:r w:rsidR="00CA3A41">
        <w:t>phil</w:t>
      </w:r>
      <w:r w:rsidRPr="002B376E">
        <w:t xml:space="preserve"> form (</w:t>
      </w:r>
      <w:r w:rsidR="00CA3A41">
        <w:t>Hartman/Di Lella</w:t>
      </w:r>
      <w:r w:rsidRPr="002B376E">
        <w:t xml:space="preserve">), though hardly itself </w:t>
      </w:r>
      <w:r w:rsidR="002B61F2">
        <w:t xml:space="preserve">hiphil </w:t>
      </w:r>
      <w:r w:rsidRPr="002B376E">
        <w:t>(against GKC 73a). The tex</w:t>
      </w:r>
      <w:r w:rsidR="002B61F2">
        <w:t>t may be suspicious (cf. OG, Aq, Syr</w:t>
      </w:r>
      <w:r w:rsidRPr="002B376E">
        <w:t xml:space="preserve">); for emendations, see, e.g., </w:t>
      </w:r>
      <w:r w:rsidR="00CA3A41">
        <w:t>Hartman/Di Lella</w:t>
      </w:r>
      <w:r w:rsidRPr="002B376E">
        <w:t xml:space="preserve">, Brockington. The </w:t>
      </w:r>
      <w:r w:rsidR="002B61F2">
        <w:t>verb</w:t>
      </w:r>
      <w:r w:rsidRPr="002B376E">
        <w:t xml:space="preserve"> and the following cognate no</w:t>
      </w:r>
      <w:r w:rsidR="00C55E12">
        <w:t>un denote both understanding and</w:t>
      </w:r>
      <w:r w:rsidRPr="002B376E">
        <w:t xml:space="preserve"> attentiveness. </w:t>
      </w:r>
      <w:r w:rsidR="00C55E12">
        <w:t>I</w:t>
      </w:r>
      <w:r w:rsidRPr="002B376E">
        <w:t xml:space="preserve">n 12:10 (which the phrase anticipates: see </w:t>
      </w:r>
      <w:r w:rsidRPr="002B61F2">
        <w:rPr>
          <w:i/>
        </w:rPr>
        <w:t>Structure</w:t>
      </w:r>
      <w:r w:rsidRPr="002B376E">
        <w:t xml:space="preserve">) the context suggests </w:t>
      </w:r>
      <w:r w:rsidR="00C55E12">
        <w:t xml:space="preserve">a focus on </w:t>
      </w:r>
      <w:r w:rsidRPr="002B376E">
        <w:t>attentiveness; so also 9:23 where two forms of the root appear.</w:t>
      </w:r>
      <w:r w:rsidR="00C55E12">
        <w:t xml:space="preserve"> Here the form of the subsequent noun clause suggests a focus on understanding.</w:t>
      </w:r>
    </w:p>
    <w:p w:rsidR="002B376E" w:rsidRPr="002B376E" w:rsidRDefault="002B376E" w:rsidP="002B376E">
      <w:r w:rsidRPr="002B376E">
        <w:t xml:space="preserve">1.f. </w:t>
      </w:r>
      <w:r w:rsidR="00C55E12">
        <w:t>The d</w:t>
      </w:r>
      <w:r w:rsidR="002B61F2">
        <w:t>efinite article is required (against NIV</w:t>
      </w:r>
      <w:r w:rsidRPr="002B376E">
        <w:t xml:space="preserve">). The </w:t>
      </w:r>
      <w:r w:rsidR="002B61F2">
        <w:t xml:space="preserve">reference </w:t>
      </w:r>
      <w:r w:rsidRPr="002B376E">
        <w:t xml:space="preserve">is hardly confined to the vision in chap. 10 (see </w:t>
      </w:r>
      <w:r w:rsidRPr="002B61F2">
        <w:rPr>
          <w:i/>
        </w:rPr>
        <w:t>Structure</w:t>
      </w:r>
      <w:r w:rsidRPr="002B376E">
        <w:t>).</w:t>
      </w:r>
    </w:p>
    <w:p w:rsidR="002B376E" w:rsidRPr="002B376E" w:rsidRDefault="002B376E" w:rsidP="002B376E">
      <w:r w:rsidRPr="002B376E">
        <w:t xml:space="preserve">2.a. </w:t>
      </w:r>
      <w:r w:rsidRPr="002B376E">
        <w:rPr>
          <w:rFonts w:ascii="Arial" w:hAnsi="Arial" w:cs="Arial"/>
        </w:rPr>
        <w:t>ימים</w:t>
      </w:r>
      <w:r w:rsidRPr="002B376E">
        <w:t xml:space="preserve"> </w:t>
      </w:r>
      <w:r w:rsidR="002B61F2" w:rsidRPr="002B61F2">
        <w:rPr>
          <w:rFonts w:ascii="Arial" w:hAnsi="Arial" w:cs="Arial"/>
        </w:rPr>
        <w:t>שבעים</w:t>
      </w:r>
      <w:r w:rsidR="002B61F2">
        <w:t xml:space="preserve"> </w:t>
      </w:r>
      <w:r w:rsidR="002B61F2" w:rsidRPr="002B61F2">
        <w:rPr>
          <w:rFonts w:ascii="Arial" w:hAnsi="Arial" w:cs="Arial"/>
        </w:rPr>
        <w:t>שלשה</w:t>
      </w:r>
      <w:r w:rsidR="002B61F2" w:rsidRPr="002B61F2">
        <w:t xml:space="preserve"> </w:t>
      </w:r>
      <w:r w:rsidRPr="002B376E">
        <w:t>“three weeks days”: see GKC 131d, thou</w:t>
      </w:r>
      <w:r w:rsidR="002B61F2">
        <w:t>gh “three whole weeks” (cf. EVV</w:t>
      </w:r>
      <w:r w:rsidRPr="002B376E">
        <w:t>) overinterprets (Driver). The idiom may derive here from the Joseph story (Gen 41:1) or may indicate literal weeks of days not of years (contrast chap. 9; Lacocque).</w:t>
      </w:r>
    </w:p>
    <w:p w:rsidR="002B376E" w:rsidRPr="002B376E" w:rsidRDefault="002B376E" w:rsidP="002B376E">
      <w:r w:rsidRPr="002B376E">
        <w:t xml:space="preserve">3.a. </w:t>
      </w:r>
      <w:r w:rsidR="00CA3A41">
        <w:t>Hartman/Di Lella</w:t>
      </w:r>
      <w:r w:rsidRPr="002B376E">
        <w:t xml:space="preserve"> explains the odd phrase here as a mistranslation from Aram.</w:t>
      </w:r>
    </w:p>
    <w:p w:rsidR="002B376E" w:rsidRPr="002B376E" w:rsidRDefault="00652781" w:rsidP="002B376E">
      <w:r>
        <w:t>4.a. T</w:t>
      </w:r>
      <w:r w:rsidR="002B376E" w:rsidRPr="002B376E">
        <w:t xml:space="preserve">his </w:t>
      </w:r>
      <w:r>
        <w:t>identification is hardly</w:t>
      </w:r>
      <w:r w:rsidR="002B376E" w:rsidRPr="002B376E">
        <w:t xml:space="preserve"> a gl</w:t>
      </w:r>
      <w:r w:rsidR="002B61F2">
        <w:t>oss</w:t>
      </w:r>
      <w:r>
        <w:t>; the phrase</w:t>
      </w:r>
      <w:r w:rsidR="002B376E" w:rsidRPr="002B376E">
        <w:t xml:space="preserve"> “the Great River” </w:t>
      </w:r>
      <w:r w:rsidR="00D04830">
        <w:t xml:space="preserve">is </w:t>
      </w:r>
      <w:r>
        <w:t xml:space="preserve">always followed by an identification, elsewhere as </w:t>
      </w:r>
      <w:r w:rsidR="002B376E" w:rsidRPr="002B376E">
        <w:t>the Euphrates</w:t>
      </w:r>
      <w:r w:rsidR="00157BFB">
        <w:t xml:space="preserve"> (</w:t>
      </w:r>
      <w:r w:rsidRPr="00652781">
        <w:t>e.g., Gen 15:18</w:t>
      </w:r>
      <w:r w:rsidR="00D04830">
        <w:t xml:space="preserve">; </w:t>
      </w:r>
      <w:r w:rsidR="00157BFB">
        <w:t>cf. Syr</w:t>
      </w:r>
      <w:r w:rsidR="00D04830">
        <w:t xml:space="preserve"> here</w:t>
      </w:r>
      <w:r w:rsidR="00157BFB">
        <w:t>)</w:t>
      </w:r>
      <w:r w:rsidR="00D04830">
        <w:t>, and t</w:t>
      </w:r>
      <w:r w:rsidR="002B376E" w:rsidRPr="002B376E">
        <w:t xml:space="preserve">he Tigris is not so far from Babylon (Hasslberger, </w:t>
      </w:r>
      <w:r w:rsidR="002B376E" w:rsidRPr="002B61F2">
        <w:rPr>
          <w:i/>
        </w:rPr>
        <w:t>Hoffnung</w:t>
      </w:r>
      <w:r w:rsidR="002B61F2">
        <w:rPr>
          <w:i/>
        </w:rPr>
        <w:t xml:space="preserve"> </w:t>
      </w:r>
      <w:r w:rsidR="002B61F2" w:rsidRPr="002B61F2">
        <w:rPr>
          <w:i/>
        </w:rPr>
        <w:t>in der Bedrängnis</w:t>
      </w:r>
      <w:r w:rsidR="002B376E" w:rsidRPr="002B376E">
        <w:t>).</w:t>
      </w:r>
    </w:p>
    <w:p w:rsidR="002B376E" w:rsidRPr="002B376E" w:rsidRDefault="00E008EC" w:rsidP="002B376E">
      <w:r>
        <w:t>5.a. See n. 4:34</w:t>
      </w:r>
      <w:r w:rsidR="002B376E" w:rsidRPr="002B376E">
        <w:t>.a.</w:t>
      </w:r>
    </w:p>
    <w:p w:rsidR="002B376E" w:rsidRPr="002B376E" w:rsidRDefault="002B376E" w:rsidP="002B376E">
      <w:r w:rsidRPr="002B376E">
        <w:t>5.b. Uphaz (</w:t>
      </w:r>
      <w:r w:rsidR="00E008EC">
        <w:t>EVV</w:t>
      </w:r>
      <w:r w:rsidRPr="002B376E">
        <w:t xml:space="preserve">) is otherwise unknown (except when this phrase recurs in Jer 10:9). Rather </w:t>
      </w:r>
      <w:r w:rsidRPr="002B376E">
        <w:rPr>
          <w:rFonts w:ascii="Arial" w:hAnsi="Arial" w:cs="Arial"/>
        </w:rPr>
        <w:t>אופז</w:t>
      </w:r>
      <w:r w:rsidRPr="002B376E">
        <w:t xml:space="preserve"> is to be connected with </w:t>
      </w:r>
      <w:r w:rsidRPr="002B376E">
        <w:rPr>
          <w:rFonts w:ascii="Arial" w:hAnsi="Arial" w:cs="Arial"/>
        </w:rPr>
        <w:t>קזז</w:t>
      </w:r>
      <w:r w:rsidR="00A966CA">
        <w:t xml:space="preserve"> (“refine [?],” 1 Kgs 10:18) and</w:t>
      </w:r>
      <w:r w:rsidRPr="002B376E">
        <w:t xml:space="preserve"> </w:t>
      </w:r>
      <w:r w:rsidRPr="002B376E">
        <w:rPr>
          <w:rFonts w:ascii="Arial" w:hAnsi="Arial" w:cs="Arial"/>
        </w:rPr>
        <w:t>פז</w:t>
      </w:r>
      <w:r w:rsidRPr="002B376E">
        <w:t xml:space="preserve"> (“pure gold,” e.g., Cant 5:11, 1</w:t>
      </w:r>
      <w:r w:rsidR="00E008EC">
        <w:t>5); cf. Ibn Ezra, Ps-Saadia</w:t>
      </w:r>
      <w:r w:rsidRPr="002B376E">
        <w:t xml:space="preserve">. The initial </w:t>
      </w:r>
      <w:r w:rsidRPr="002B376E">
        <w:rPr>
          <w:rFonts w:ascii="Arial" w:hAnsi="Arial" w:cs="Arial"/>
        </w:rPr>
        <w:t>א</w:t>
      </w:r>
      <w:r w:rsidRPr="002B376E">
        <w:t xml:space="preserve"> perhaps reflects the variant reading </w:t>
      </w:r>
      <w:r w:rsidRPr="002B376E">
        <w:rPr>
          <w:rFonts w:ascii="Arial" w:hAnsi="Arial" w:cs="Arial"/>
        </w:rPr>
        <w:t>אופיר</w:t>
      </w:r>
      <w:r w:rsidR="00E008EC">
        <w:t xml:space="preserve"> (Ophir, cf. NEB; </w:t>
      </w:r>
      <w:r w:rsidR="00CA3A41">
        <w:t>Hartman/Di Lella</w:t>
      </w:r>
      <w:r w:rsidRPr="002B376E">
        <w:t>).</w:t>
      </w:r>
    </w:p>
    <w:p w:rsidR="002B376E" w:rsidRPr="002B376E" w:rsidRDefault="002B376E" w:rsidP="002B376E">
      <w:r w:rsidRPr="002B376E">
        <w:t xml:space="preserve">6.a. </w:t>
      </w:r>
      <w:r w:rsidRPr="002B376E">
        <w:rPr>
          <w:rFonts w:ascii="Arial" w:hAnsi="Arial" w:cs="Arial"/>
        </w:rPr>
        <w:t>תרשיש</w:t>
      </w:r>
      <w:r w:rsidRPr="002B376E">
        <w:t xml:space="preserve"> is apparently a yellow topa</w:t>
      </w:r>
      <w:r w:rsidR="00E008EC">
        <w:t>z or yellow quartz, known in Greek as chrysolite (Aq</w:t>
      </w:r>
      <w:r w:rsidRPr="002B376E">
        <w:t>,</w:t>
      </w:r>
      <w:r w:rsidR="00E008EC">
        <w:t xml:space="preserve"> Vg, and G elsewhere). Beryl (JB</w:t>
      </w:r>
      <w:r w:rsidRPr="002B376E">
        <w:t xml:space="preserve">) is green. See </w:t>
      </w:r>
      <w:r w:rsidRPr="00E008EC">
        <w:rPr>
          <w:i/>
        </w:rPr>
        <w:t>IBD</w:t>
      </w:r>
      <w:r w:rsidRPr="002B376E">
        <w:t xml:space="preserve">, </w:t>
      </w:r>
      <w:r w:rsidRPr="00E008EC">
        <w:rPr>
          <w:i/>
        </w:rPr>
        <w:t>IDB</w:t>
      </w:r>
      <w:r w:rsidRPr="002B376E">
        <w:t xml:space="preserve"> “Jewels,” “Tarshish.”</w:t>
      </w:r>
    </w:p>
    <w:p w:rsidR="002B376E" w:rsidRPr="002B376E" w:rsidRDefault="002B376E" w:rsidP="002B376E">
      <w:r w:rsidRPr="002B376E">
        <w:t xml:space="preserve">6.b. This basic meaning of </w:t>
      </w:r>
      <w:r w:rsidRPr="002B376E">
        <w:rPr>
          <w:rFonts w:ascii="Arial" w:hAnsi="Arial" w:cs="Arial"/>
        </w:rPr>
        <w:t>המון</w:t>
      </w:r>
      <w:r w:rsidRPr="002B376E">
        <w:t xml:space="preserve"> fits well here (cf. BDB); </w:t>
      </w:r>
      <w:r w:rsidR="00E008EC">
        <w:t>EVV</w:t>
      </w:r>
      <w:r w:rsidRPr="002B376E">
        <w:t xml:space="preserve"> “crowd” (cf. 11:10–1</w:t>
      </w:r>
      <w:r w:rsidR="00E83B20">
        <w:t xml:space="preserve">3) is a derived meaning. See </w:t>
      </w:r>
      <w:r w:rsidRPr="002B376E">
        <w:t>Gerleman,</w:t>
      </w:r>
      <w:r w:rsidR="00F91222">
        <w:t xml:space="preserve"> “Die lärmende Menge.”</w:t>
      </w:r>
    </w:p>
    <w:p w:rsidR="002B376E" w:rsidRPr="002B376E" w:rsidRDefault="002B376E" w:rsidP="002B376E">
      <w:r w:rsidRPr="002B376E">
        <w:lastRenderedPageBreak/>
        <w:t xml:space="preserve">7.a. Taking </w:t>
      </w:r>
      <w:r w:rsidRPr="002B376E">
        <w:rPr>
          <w:rFonts w:ascii="Arial" w:hAnsi="Arial" w:cs="Arial"/>
        </w:rPr>
        <w:t>וראיתי</w:t>
      </w:r>
      <w:r w:rsidRPr="002B376E">
        <w:t xml:space="preserve"> (“now I saw”: </w:t>
      </w:r>
      <w:r w:rsidRPr="003A423E">
        <w:rPr>
          <w:i/>
        </w:rPr>
        <w:t>waw</w:t>
      </w:r>
      <w:r w:rsidRPr="002B376E">
        <w:t xml:space="preserve"> plus </w:t>
      </w:r>
      <w:r w:rsidR="00F91222">
        <w:t>perfect</w:t>
      </w:r>
      <w:r w:rsidRPr="002B376E">
        <w:t xml:space="preserve">) as a circumstantial </w:t>
      </w:r>
      <w:r w:rsidR="00F91222">
        <w:t xml:space="preserve">clause </w:t>
      </w:r>
      <w:r w:rsidRPr="002B376E">
        <w:t xml:space="preserve">rather than merely an Aramaism (against </w:t>
      </w:r>
      <w:r w:rsidRPr="00F91222">
        <w:rPr>
          <w:i/>
        </w:rPr>
        <w:t>TTH</w:t>
      </w:r>
      <w:r w:rsidRPr="002B376E">
        <w:t xml:space="preserve"> 160).</w:t>
      </w:r>
    </w:p>
    <w:p w:rsidR="002B376E" w:rsidRPr="002B376E" w:rsidRDefault="002B376E" w:rsidP="002B376E">
      <w:r w:rsidRPr="002B376E">
        <w:t xml:space="preserve">7.b. MT in Dan apparently distinguishes </w:t>
      </w:r>
      <w:r w:rsidRPr="002B376E">
        <w:rPr>
          <w:rFonts w:ascii="Arial" w:hAnsi="Arial" w:cs="Arial"/>
        </w:rPr>
        <w:t>מַרְאָה</w:t>
      </w:r>
      <w:r w:rsidRPr="002B376E">
        <w:t xml:space="preserve"> (also vv 8, 16) from </w:t>
      </w:r>
      <w:r w:rsidRPr="002B376E">
        <w:rPr>
          <w:rFonts w:ascii="Arial" w:hAnsi="Arial" w:cs="Arial"/>
        </w:rPr>
        <w:t>מַרְאֶה</w:t>
      </w:r>
      <w:r w:rsidRPr="002B376E">
        <w:t xml:space="preserve"> (“vision”; 8:16, 26, 27; 9:23; 10:1)—though the nature of the difference is unclear (BDB, Montgomery take </w:t>
      </w:r>
      <w:r w:rsidRPr="002B376E">
        <w:rPr>
          <w:rFonts w:ascii="Arial" w:hAnsi="Arial" w:cs="Arial"/>
        </w:rPr>
        <w:t>מַרְאָה</w:t>
      </w:r>
      <w:r w:rsidRPr="002B376E">
        <w:t xml:space="preserve"> as “v</w:t>
      </w:r>
      <w:r w:rsidR="00D04830">
        <w:t xml:space="preserve">ision”) and C fuzzes it. See </w:t>
      </w:r>
      <w:r w:rsidRPr="002B376E">
        <w:t>Brenner, “‘</w:t>
      </w:r>
      <w:r w:rsidRPr="002B376E">
        <w:rPr>
          <w:rFonts w:ascii="Arial" w:hAnsi="Arial" w:cs="Arial"/>
        </w:rPr>
        <w:t>מַרְאֶה</w:t>
      </w:r>
      <w:r w:rsidRPr="002B376E">
        <w:t>’–</w:t>
      </w:r>
      <w:r w:rsidRPr="002B376E">
        <w:rPr>
          <w:rFonts w:ascii="Arial" w:hAnsi="Arial" w:cs="Arial"/>
        </w:rPr>
        <w:t>ו</w:t>
      </w:r>
      <w:r w:rsidRPr="002B376E">
        <w:t xml:space="preserve"> ‘</w:t>
      </w:r>
      <w:r w:rsidRPr="002B376E">
        <w:rPr>
          <w:rFonts w:ascii="Arial" w:hAnsi="Arial" w:cs="Arial"/>
        </w:rPr>
        <w:t>מַרְאָה</w:t>
      </w:r>
      <w:r w:rsidR="00F91222">
        <w:t>’.”</w:t>
      </w:r>
    </w:p>
    <w:p w:rsidR="002B376E" w:rsidRPr="002B376E" w:rsidRDefault="002B376E" w:rsidP="002B376E">
      <w:r w:rsidRPr="002B376E">
        <w:t xml:space="preserve">7.c. One would expect </w:t>
      </w:r>
      <w:r w:rsidRPr="002B376E">
        <w:rPr>
          <w:rFonts w:ascii="Arial" w:hAnsi="Arial" w:cs="Arial"/>
        </w:rPr>
        <w:t>ל</w:t>
      </w:r>
      <w:r w:rsidRPr="002B376E">
        <w:t xml:space="preserve">, not </w:t>
      </w:r>
      <w:r w:rsidRPr="002B376E">
        <w:rPr>
          <w:rFonts w:ascii="Arial" w:hAnsi="Arial" w:cs="Arial"/>
        </w:rPr>
        <w:t>ב</w:t>
      </w:r>
      <w:r w:rsidR="00F91222">
        <w:t>; Bevan translates</w:t>
      </w:r>
      <w:r w:rsidRPr="002B376E">
        <w:t xml:space="preserve"> “in the act of hiding.”</w:t>
      </w:r>
    </w:p>
    <w:p w:rsidR="002B376E" w:rsidRPr="002B376E" w:rsidRDefault="002B376E" w:rsidP="002B376E">
      <w:r w:rsidRPr="002B376E">
        <w:t xml:space="preserve">8.a. See BDB for this meaning of </w:t>
      </w:r>
      <w:r w:rsidRPr="002B376E">
        <w:rPr>
          <w:rFonts w:ascii="Arial" w:hAnsi="Arial" w:cs="Arial"/>
        </w:rPr>
        <w:t>הוד</w:t>
      </w:r>
      <w:r w:rsidRPr="002B376E">
        <w:t xml:space="preserve">; the phrase takes up v 7 (Hasslberger, </w:t>
      </w:r>
      <w:r w:rsidRPr="00A966CA">
        <w:rPr>
          <w:i/>
        </w:rPr>
        <w:t>Hoffnung</w:t>
      </w:r>
      <w:r w:rsidR="002B61F2">
        <w:t xml:space="preserve"> </w:t>
      </w:r>
      <w:r w:rsidR="002B61F2" w:rsidRPr="002B61F2">
        <w:rPr>
          <w:i/>
        </w:rPr>
        <w:t>in der Bedrängnis</w:t>
      </w:r>
      <w:r w:rsidRPr="002B376E">
        <w:t>).</w:t>
      </w:r>
    </w:p>
    <w:p w:rsidR="002B376E" w:rsidRPr="002B376E" w:rsidRDefault="002B376E" w:rsidP="002B376E">
      <w:r w:rsidRPr="002B376E">
        <w:t>8.b-b. There are no textual grounds</w:t>
      </w:r>
      <w:r w:rsidR="00A966CA">
        <w:t xml:space="preserve"> for removing this phrase, </w:t>
      </w:r>
      <w:r w:rsidRPr="002B376E">
        <w:t>though it repeats the content of “no strength remaine</w:t>
      </w:r>
      <w:r w:rsidR="00F91222">
        <w:t xml:space="preserve">d in me” and anticipates </w:t>
      </w:r>
      <w:r w:rsidRPr="002B376E">
        <w:t>words in v 16.</w:t>
      </w:r>
    </w:p>
    <w:p w:rsidR="002B376E" w:rsidRPr="002B376E" w:rsidRDefault="002B376E" w:rsidP="002B376E">
      <w:r w:rsidRPr="002B376E">
        <w:t>9.a-a. O</w:t>
      </w:r>
      <w:r w:rsidR="008E7E55">
        <w:t>G, Syr omit one of these repetitive clauses</w:t>
      </w:r>
      <w:r w:rsidRPr="002B376E">
        <w:t xml:space="preserve"> (haplog</w:t>
      </w:r>
      <w:r w:rsidR="00203E22">
        <w:t>.</w:t>
      </w:r>
      <w:r w:rsidRPr="002B376E">
        <w:t>/to simplify?).</w:t>
      </w:r>
    </w:p>
    <w:p w:rsidR="002B376E" w:rsidRPr="002B376E" w:rsidRDefault="002B376E" w:rsidP="002B376E">
      <w:r w:rsidRPr="002B376E">
        <w:t>9.b. See n. 8:8.b.</w:t>
      </w:r>
    </w:p>
    <w:p w:rsidR="002B376E" w:rsidRPr="002B376E" w:rsidRDefault="002B376E" w:rsidP="002B376E">
      <w:r w:rsidRPr="002B376E">
        <w:t xml:space="preserve">9.c-c. </w:t>
      </w:r>
      <w:r w:rsidRPr="002B376E">
        <w:rPr>
          <w:rFonts w:ascii="Arial" w:hAnsi="Arial" w:cs="Arial"/>
        </w:rPr>
        <w:t>נרדם</w:t>
      </w:r>
      <w:r w:rsidR="00F91222">
        <w:rPr>
          <w:rFonts w:ascii="Arial" w:hAnsi="Arial" w:cs="Arial"/>
        </w:rPr>
        <w:t xml:space="preserve"> </w:t>
      </w:r>
      <w:r w:rsidR="00F91222" w:rsidRPr="00F91222">
        <w:rPr>
          <w:rFonts w:ascii="Arial" w:hAnsi="Arial" w:cs="Arial"/>
        </w:rPr>
        <w:t>הייתי</w:t>
      </w:r>
      <w:r w:rsidRPr="002B376E">
        <w:t>, cf. 1:16; see GKC 116r. But it could be a plu</w:t>
      </w:r>
      <w:r w:rsidR="00F91222">
        <w:t>perfect</w:t>
      </w:r>
      <w:r w:rsidRPr="002B376E">
        <w:t xml:space="preserve"> (Bevan) or simpl</w:t>
      </w:r>
      <w:r w:rsidR="00F91222">
        <w:t xml:space="preserve">y an Aramaism for “I fell” (Zimmermann, </w:t>
      </w:r>
      <w:r w:rsidR="00F91222" w:rsidRPr="00F91222">
        <w:t>“Th</w:t>
      </w:r>
      <w:r w:rsidR="00F91222">
        <w:t>e Aramaic Origin of Daniel 8–12,</w:t>
      </w:r>
      <w:r w:rsidR="00F91222" w:rsidRPr="00F91222">
        <w:t>”</w:t>
      </w:r>
      <w:r w:rsidRPr="002B376E">
        <w:t xml:space="preserve"> 259–61). On </w:t>
      </w:r>
      <w:r w:rsidRPr="002B376E">
        <w:rPr>
          <w:rFonts w:ascii="Arial" w:hAnsi="Arial" w:cs="Arial"/>
        </w:rPr>
        <w:t>רדם</w:t>
      </w:r>
      <w:r w:rsidRPr="002B376E">
        <w:t xml:space="preserve"> see n. 8:18.a.</w:t>
      </w:r>
    </w:p>
    <w:p w:rsidR="002B376E" w:rsidRPr="002B376E" w:rsidRDefault="00077C62" w:rsidP="002B376E">
      <w:r>
        <w:t xml:space="preserve">9.d-d. </w:t>
      </w:r>
      <w:r w:rsidR="002B376E" w:rsidRPr="002B376E">
        <w:rPr>
          <w:rFonts w:ascii="Arial" w:hAnsi="Arial" w:cs="Arial"/>
        </w:rPr>
        <w:t>ופני</w:t>
      </w:r>
      <w:r w:rsidR="002B376E" w:rsidRPr="002B376E">
        <w:t xml:space="preserve"> </w:t>
      </w:r>
      <w:r w:rsidR="00F91222" w:rsidRPr="00F91222">
        <w:rPr>
          <w:rFonts w:ascii="Arial" w:hAnsi="Arial" w:cs="Arial"/>
        </w:rPr>
        <w:t>פני</w:t>
      </w:r>
      <w:r w:rsidR="00F91222">
        <w:t xml:space="preserve"> </w:t>
      </w:r>
      <w:r w:rsidR="00F91222" w:rsidRPr="00F91222">
        <w:rPr>
          <w:rFonts w:ascii="Arial" w:hAnsi="Arial" w:cs="Arial"/>
        </w:rPr>
        <w:t>על</w:t>
      </w:r>
      <w:r>
        <w:t xml:space="preserve">. </w:t>
      </w:r>
      <w:r w:rsidR="002B376E" w:rsidRPr="002B376E">
        <w:t xml:space="preserve">Th omits the first phrase, OG, </w:t>
      </w:r>
      <w:r w:rsidR="00F91222">
        <w:t>Syr</w:t>
      </w:r>
      <w:r w:rsidR="002B376E" w:rsidRPr="002B376E">
        <w:t xml:space="preserve"> the second. The first might be assimilation to 8:18, the second assimilation to 10:15 or dittog, or MT might be conflate.</w:t>
      </w:r>
    </w:p>
    <w:p w:rsidR="002B376E" w:rsidRPr="002B376E" w:rsidRDefault="002B376E" w:rsidP="002B376E">
      <w:r w:rsidRPr="002B376E">
        <w:t xml:space="preserve">10.a. </w:t>
      </w:r>
      <w:r w:rsidR="00F23C08">
        <w:t xml:space="preserve">The </w:t>
      </w:r>
      <w:r w:rsidRPr="002B376E">
        <w:rPr>
          <w:rFonts w:ascii="Arial" w:hAnsi="Arial" w:cs="Arial"/>
        </w:rPr>
        <w:t>הנה</w:t>
      </w:r>
      <w:r w:rsidR="00F23C08">
        <w:t xml:space="preserve"> marks </w:t>
      </w:r>
      <w:r w:rsidRPr="002B376E">
        <w:t xml:space="preserve">a sudden experience (Hasslberger, </w:t>
      </w:r>
      <w:r w:rsidRPr="002B61F2">
        <w:rPr>
          <w:i/>
        </w:rPr>
        <w:t>Hoffnung</w:t>
      </w:r>
      <w:r w:rsidR="002B61F2">
        <w:t xml:space="preserve"> </w:t>
      </w:r>
      <w:r w:rsidR="002B61F2" w:rsidRPr="002B61F2">
        <w:rPr>
          <w:i/>
        </w:rPr>
        <w:t>in der Bedrängnis</w:t>
      </w:r>
      <w:r w:rsidRPr="002B376E">
        <w:t>).</w:t>
      </w:r>
    </w:p>
    <w:p w:rsidR="002B376E" w:rsidRPr="002B376E" w:rsidRDefault="002B376E" w:rsidP="002B376E">
      <w:r w:rsidRPr="002B376E">
        <w:t xml:space="preserve">10.b. </w:t>
      </w:r>
      <w:r w:rsidR="00F23C08">
        <w:t xml:space="preserve">The most common meaning of </w:t>
      </w:r>
      <w:r w:rsidRPr="002B376E">
        <w:rPr>
          <w:rFonts w:ascii="Arial" w:hAnsi="Arial" w:cs="Arial"/>
        </w:rPr>
        <w:t>נגע</w:t>
      </w:r>
      <w:r w:rsidR="00F23C08">
        <w:t>,</w:t>
      </w:r>
      <w:r w:rsidRPr="002B376E">
        <w:t xml:space="preserve"> cf. v 16; it can mean “strike,” but not “grasp” (cf. BDB).</w:t>
      </w:r>
    </w:p>
    <w:p w:rsidR="002B376E" w:rsidRPr="00903691" w:rsidRDefault="002B376E" w:rsidP="00D04830">
      <w:pPr>
        <w:autoSpaceDE w:val="0"/>
        <w:autoSpaceDN w:val="0"/>
        <w:adjustRightInd w:val="0"/>
        <w:rPr>
          <w:rFonts w:eastAsiaTheme="minorHAnsi" w:cs="Times New Roman"/>
          <w:i/>
        </w:rPr>
      </w:pPr>
      <w:r w:rsidRPr="002B376E">
        <w:t xml:space="preserve">10.c. </w:t>
      </w:r>
      <w:r w:rsidR="00903691">
        <w:t xml:space="preserve">For </w:t>
      </w:r>
      <w:r w:rsidRPr="002B376E">
        <w:rPr>
          <w:rFonts w:ascii="Arial" w:hAnsi="Arial" w:cs="Arial"/>
        </w:rPr>
        <w:t>ותניעני</w:t>
      </w:r>
      <w:r w:rsidR="00F23C08">
        <w:t xml:space="preserve">, </w:t>
      </w:r>
      <w:r w:rsidR="00903691" w:rsidRPr="00903691">
        <w:t xml:space="preserve">6QDan </w:t>
      </w:r>
      <w:r w:rsidR="00903691" w:rsidRPr="00903691">
        <w:rPr>
          <w:rFonts w:ascii="Arial" w:hAnsi="Arial" w:cs="Arial"/>
        </w:rPr>
        <w:t>להניעני</w:t>
      </w:r>
      <w:r w:rsidR="00903691" w:rsidRPr="00903691">
        <w:t xml:space="preserve"> </w:t>
      </w:r>
      <w:r w:rsidR="00903691">
        <w:t xml:space="preserve">has </w:t>
      </w:r>
      <w:r w:rsidR="00903691" w:rsidRPr="00903691">
        <w:t xml:space="preserve">“to shake me.” </w:t>
      </w:r>
      <w:r w:rsidR="00903691">
        <w:t xml:space="preserve">For the translation </w:t>
      </w:r>
      <w:r w:rsidR="00F23C08">
        <w:t>cf. JPSV</w:t>
      </w:r>
      <w:r w:rsidR="006D54D2">
        <w:t xml:space="preserve"> (and Aq </w:t>
      </w:r>
      <w:r w:rsidR="00903691" w:rsidRPr="007B0CA7">
        <w:rPr>
          <w:rFonts w:eastAsiaTheme="minorHAnsi" w:cs="Times New Roman"/>
        </w:rPr>
        <w:t>ἐ</w:t>
      </w:r>
      <w:r w:rsidR="00903691" w:rsidRPr="007B0CA7">
        <w:rPr>
          <w:rFonts w:eastAsiaTheme="minorHAnsi" w:cs="Times New Roman"/>
          <w:lang w:val="el-GR"/>
        </w:rPr>
        <w:t>κ</w:t>
      </w:r>
      <w:r w:rsidR="00903691" w:rsidRPr="007B0CA7">
        <w:rPr>
          <w:rFonts w:eastAsiaTheme="minorHAnsi" w:cs="Times New Roman"/>
        </w:rPr>
        <w:t>ί</w:t>
      </w:r>
      <w:r w:rsidR="00903691" w:rsidRPr="007B0CA7">
        <w:rPr>
          <w:rFonts w:eastAsiaTheme="minorHAnsi" w:cs="Times New Roman"/>
          <w:lang w:val="el-GR"/>
        </w:rPr>
        <w:t>νησ</w:t>
      </w:r>
      <w:r w:rsidR="00903691" w:rsidRPr="007B0CA7">
        <w:rPr>
          <w:rFonts w:eastAsiaTheme="minorHAnsi" w:cs="Times New Roman"/>
        </w:rPr>
        <w:t>έ</w:t>
      </w:r>
      <w:r w:rsidR="00903691">
        <w:rPr>
          <w:rFonts w:eastAsiaTheme="minorHAnsi" w:cs="Times New Roman"/>
        </w:rPr>
        <w:t>)</w:t>
      </w:r>
      <w:r w:rsidR="00A966CA">
        <w:rPr>
          <w:rFonts w:eastAsiaTheme="minorHAnsi" w:cs="Times New Roman"/>
        </w:rPr>
        <w:t>.</w:t>
      </w:r>
      <w:r w:rsidRPr="002B376E">
        <w:t xml:space="preserve"> </w:t>
      </w:r>
      <w:r w:rsidR="006D54D2">
        <w:t>“Raised” (G, Vg, Syr) and “s</w:t>
      </w:r>
      <w:r w:rsidRPr="002B376E">
        <w:t>et me trembling” (</w:t>
      </w:r>
      <w:r w:rsidR="00E008EC">
        <w:t>EVV</w:t>
      </w:r>
      <w:r w:rsidR="006D54D2">
        <w:t xml:space="preserve">) are too gentle (cf. Taylor, </w:t>
      </w:r>
      <w:r w:rsidR="006D54D2" w:rsidRPr="006D54D2">
        <w:rPr>
          <w:i/>
        </w:rPr>
        <w:t>Peshitṭa</w:t>
      </w:r>
      <w:r w:rsidR="006D54D2">
        <w:t>, 258).</w:t>
      </w:r>
    </w:p>
    <w:p w:rsidR="002B376E" w:rsidRDefault="002B376E" w:rsidP="002B376E">
      <w:r w:rsidRPr="002B376E">
        <w:t xml:space="preserve">10.d-d </w:t>
      </w:r>
      <w:r w:rsidRPr="002B376E">
        <w:rPr>
          <w:rFonts w:ascii="Arial" w:hAnsi="Arial" w:cs="Arial"/>
        </w:rPr>
        <w:t>ידי</w:t>
      </w:r>
      <w:r w:rsidRPr="002B376E">
        <w:t xml:space="preserve"> </w:t>
      </w:r>
      <w:r w:rsidR="00F23C08" w:rsidRPr="00F23C08">
        <w:rPr>
          <w:rFonts w:ascii="Arial" w:hAnsi="Arial" w:cs="Arial"/>
        </w:rPr>
        <w:t>וכפות</w:t>
      </w:r>
      <w:r w:rsidR="00F23C08" w:rsidRPr="00F23C08">
        <w:t xml:space="preserve"> </w:t>
      </w:r>
      <w:r w:rsidR="00F23C08" w:rsidRPr="00F23C08">
        <w:rPr>
          <w:rFonts w:ascii="Arial" w:hAnsi="Arial" w:cs="Arial"/>
        </w:rPr>
        <w:t>ברכי</w:t>
      </w:r>
      <w:r w:rsidR="00F23C08" w:rsidRPr="00F23C08">
        <w:t xml:space="preserve"> </w:t>
      </w:r>
      <w:r w:rsidRPr="002B376E">
        <w:t>“my knees and the palms of my hands</w:t>
      </w:r>
      <w:r w:rsidR="00F23C08">
        <w:t>.”</w:t>
      </w:r>
      <w:r w:rsidRPr="002B376E">
        <w:t xml:space="preserve"> Th lacks the second phrase; one </w:t>
      </w:r>
      <w:r w:rsidR="003F4DB6" w:rsidRPr="003F4DB6">
        <w:t xml:space="preserve">medieval </w:t>
      </w:r>
      <w:r w:rsidRPr="002B376E">
        <w:t xml:space="preserve">ms, OG have </w:t>
      </w:r>
      <w:r w:rsidRPr="002B376E">
        <w:rPr>
          <w:rFonts w:ascii="Arial" w:hAnsi="Arial" w:cs="Arial"/>
        </w:rPr>
        <w:t>רגלי</w:t>
      </w:r>
      <w:r w:rsidRPr="002B376E">
        <w:t xml:space="preserve"> “my feet” for </w:t>
      </w:r>
      <w:r w:rsidRPr="002B376E">
        <w:rPr>
          <w:rFonts w:ascii="Arial" w:hAnsi="Arial" w:cs="Arial"/>
        </w:rPr>
        <w:t>ידי</w:t>
      </w:r>
      <w:r w:rsidRPr="002B376E">
        <w:t>.</w:t>
      </w:r>
    </w:p>
    <w:p w:rsidR="00E22BC7" w:rsidRPr="00AD48D1" w:rsidRDefault="00E22BC7" w:rsidP="002B376E">
      <w:r>
        <w:t>11.a.</w:t>
      </w:r>
      <w:r w:rsidR="00AD48D1">
        <w:t xml:space="preserve"> </w:t>
      </w:r>
      <w:r>
        <w:t xml:space="preserve">OG “pitied” (implying  </w:t>
      </w:r>
      <w:r w:rsidRPr="00E22BC7">
        <w:rPr>
          <w:rFonts w:ascii="Arial" w:hAnsi="Arial" w:cs="Arial"/>
        </w:rPr>
        <w:t>ל</w:t>
      </w:r>
      <w:r>
        <w:t xml:space="preserve"> </w:t>
      </w:r>
      <w:r w:rsidRPr="00E22BC7">
        <w:rPr>
          <w:rFonts w:ascii="Arial" w:hAnsi="Arial" w:cs="Arial"/>
        </w:rPr>
        <w:t>מ</w:t>
      </w:r>
      <w:r>
        <w:t xml:space="preserve"> </w:t>
      </w:r>
      <w:r w:rsidRPr="00E22BC7">
        <w:rPr>
          <w:rFonts w:ascii="Arial" w:hAnsi="Arial" w:cs="Arial"/>
        </w:rPr>
        <w:t>ח</w:t>
      </w:r>
      <w:r>
        <w:rPr>
          <w:rFonts w:ascii="Arial" w:hAnsi="Arial" w:cs="Arial"/>
        </w:rPr>
        <w:t xml:space="preserve"> </w:t>
      </w:r>
      <w:r w:rsidRPr="00AD48D1">
        <w:rPr>
          <w:rFonts w:cs="Arial"/>
        </w:rPr>
        <w:t>for</w:t>
      </w:r>
      <w:r>
        <w:rPr>
          <w:rFonts w:ascii="Arial" w:hAnsi="Arial" w:cs="Arial"/>
        </w:rPr>
        <w:t xml:space="preserve"> </w:t>
      </w:r>
      <w:r w:rsidRPr="00E22BC7">
        <w:rPr>
          <w:rFonts w:ascii="Arial" w:hAnsi="Arial" w:cs="Arial"/>
        </w:rPr>
        <w:t>ד</w:t>
      </w:r>
      <w:r>
        <w:rPr>
          <w:rFonts w:ascii="Arial" w:hAnsi="Arial" w:cs="Arial"/>
        </w:rPr>
        <w:t xml:space="preserve"> </w:t>
      </w:r>
      <w:r w:rsidRPr="00E22BC7">
        <w:rPr>
          <w:rFonts w:ascii="Arial" w:hAnsi="Arial" w:cs="Arial"/>
        </w:rPr>
        <w:t>מ</w:t>
      </w:r>
      <w:r>
        <w:rPr>
          <w:rFonts w:ascii="Arial" w:hAnsi="Arial" w:cs="Arial"/>
        </w:rPr>
        <w:t xml:space="preserve"> </w:t>
      </w:r>
      <w:r w:rsidRPr="00E22BC7">
        <w:rPr>
          <w:rFonts w:ascii="Arial" w:hAnsi="Arial" w:cs="Arial"/>
        </w:rPr>
        <w:t>ח</w:t>
      </w:r>
      <w:r>
        <w:rPr>
          <w:rFonts w:ascii="Arial" w:hAnsi="Arial" w:cs="Arial"/>
        </w:rPr>
        <w:t xml:space="preserve">) </w:t>
      </w:r>
      <w:r w:rsidRPr="00AD48D1">
        <w:rPr>
          <w:rFonts w:cs="Arial"/>
        </w:rPr>
        <w:t xml:space="preserve">follows </w:t>
      </w:r>
      <w:r w:rsidR="00AD48D1">
        <w:rPr>
          <w:rFonts w:cs="Arial"/>
        </w:rPr>
        <w:t>vv 8-9 nicely; similarly in v 19.</w:t>
      </w:r>
    </w:p>
    <w:p w:rsidR="002B376E" w:rsidRPr="002B376E" w:rsidRDefault="002B376E" w:rsidP="002B376E">
      <w:r w:rsidRPr="002B376E">
        <w:t>13.a. See n. 10.a.</w:t>
      </w:r>
    </w:p>
    <w:p w:rsidR="002B376E" w:rsidRPr="002B376E" w:rsidRDefault="002B376E" w:rsidP="002B376E">
      <w:r w:rsidRPr="002B376E">
        <w:t xml:space="preserve">13.b-b. </w:t>
      </w:r>
      <w:r w:rsidRPr="002B376E">
        <w:rPr>
          <w:rFonts w:ascii="Arial" w:hAnsi="Arial" w:cs="Arial"/>
        </w:rPr>
        <w:t>ותרתי</w:t>
      </w:r>
      <w:r w:rsidR="00431ED6" w:rsidRPr="00431ED6">
        <w:rPr>
          <w:rFonts w:ascii="Arial" w:hAnsi="Arial" w:cs="Arial"/>
        </w:rPr>
        <w:t xml:space="preserve"> נ</w:t>
      </w:r>
      <w:r w:rsidRPr="002B376E">
        <w:t xml:space="preserve"> is difficult, but </w:t>
      </w:r>
      <w:r w:rsidR="00F91222">
        <w:t>Syr</w:t>
      </w:r>
      <w:r w:rsidRPr="002B376E">
        <w:t>, Vg presuppose it and G κατέλιπον looks more like</w:t>
      </w:r>
      <w:r w:rsidR="00431ED6">
        <w:t xml:space="preserve"> an attempt to interpret than a </w:t>
      </w:r>
      <w:r w:rsidRPr="002B376E">
        <w:t xml:space="preserve">witness to original </w:t>
      </w:r>
      <w:r w:rsidRPr="002B376E">
        <w:rPr>
          <w:rFonts w:ascii="Arial" w:hAnsi="Arial" w:cs="Arial"/>
        </w:rPr>
        <w:t>הותרתי</w:t>
      </w:r>
      <w:r w:rsidR="00431ED6">
        <w:t xml:space="preserve"> (against </w:t>
      </w:r>
      <w:r w:rsidR="00BB22D2">
        <w:t>N</w:t>
      </w:r>
      <w:r w:rsidR="00431ED6">
        <w:t>RSV</w:t>
      </w:r>
      <w:r w:rsidRPr="002B376E">
        <w:t>)—which would anyway mean “left him alone,” not just “left him” (Driver). The meaning might be “I held out</w:t>
      </w:r>
      <w:r w:rsidR="00431ED6">
        <w:t>” (NEB</w:t>
      </w:r>
      <w:r w:rsidRPr="002B376E">
        <w:t>) or “I gained the superiority” (Keil, cf. the hi</w:t>
      </w:r>
      <w:r w:rsidR="00431ED6">
        <w:t>phil</w:t>
      </w:r>
      <w:r w:rsidRPr="002B376E">
        <w:t>) or “I was left over” (i.e., no longer needed; RVmg).</w:t>
      </w:r>
    </w:p>
    <w:p w:rsidR="002B376E" w:rsidRPr="002B376E" w:rsidRDefault="002B376E" w:rsidP="002B376E">
      <w:r w:rsidRPr="002B376E">
        <w:t xml:space="preserve">13.c-c. </w:t>
      </w:r>
      <w:r w:rsidRPr="002B376E">
        <w:rPr>
          <w:rFonts w:ascii="Arial" w:hAnsi="Arial" w:cs="Arial"/>
        </w:rPr>
        <w:t>מלכי</w:t>
      </w:r>
      <w:r w:rsidRPr="002B376E">
        <w:t>: 6QDan</w:t>
      </w:r>
      <w:r w:rsidR="00431ED6">
        <w:t>’s</w:t>
      </w:r>
      <w:r w:rsidRPr="002B376E">
        <w:t xml:space="preserve"> </w:t>
      </w:r>
      <w:r w:rsidRPr="002B376E">
        <w:rPr>
          <w:rFonts w:ascii="Arial" w:hAnsi="Arial" w:cs="Arial"/>
        </w:rPr>
        <w:t>מלכות</w:t>
      </w:r>
      <w:r w:rsidRPr="002B376E">
        <w:t>, “kingdom</w:t>
      </w:r>
      <w:r w:rsidR="00431ED6">
        <w:t>” (cf. Th)</w:t>
      </w:r>
      <w:r w:rsidRPr="002B376E">
        <w:t xml:space="preserve"> looks like assimilation to v 13a.</w:t>
      </w:r>
    </w:p>
    <w:p w:rsidR="002B376E" w:rsidRPr="002B376E" w:rsidRDefault="002B376E" w:rsidP="002B376E">
      <w:r w:rsidRPr="002B376E">
        <w:t xml:space="preserve">14.a. Following K </w:t>
      </w:r>
      <w:r w:rsidRPr="002B376E">
        <w:rPr>
          <w:rFonts w:ascii="Arial" w:hAnsi="Arial" w:cs="Arial"/>
        </w:rPr>
        <w:t>יִקְרֶה</w:t>
      </w:r>
      <w:r w:rsidRPr="002B376E">
        <w:t xml:space="preserve">; Q </w:t>
      </w:r>
      <w:r w:rsidRPr="002B376E">
        <w:rPr>
          <w:rFonts w:ascii="Arial" w:hAnsi="Arial" w:cs="Arial"/>
        </w:rPr>
        <w:t>יִקְרָא</w:t>
      </w:r>
      <w:r w:rsidRPr="002B376E">
        <w:t xml:space="preserve"> assimilates to Gen 49:1.</w:t>
      </w:r>
    </w:p>
    <w:p w:rsidR="002B376E" w:rsidRPr="002B376E" w:rsidRDefault="002B376E" w:rsidP="002B376E">
      <w:r w:rsidRPr="002B376E">
        <w:t>14.b. See on 2:28.</w:t>
      </w:r>
    </w:p>
    <w:p w:rsidR="002B376E" w:rsidRPr="002B376E" w:rsidRDefault="002B376E" w:rsidP="002B376E">
      <w:r w:rsidRPr="002B376E">
        <w:t xml:space="preserve">14.c-c. </w:t>
      </w:r>
      <w:r w:rsidRPr="002B376E">
        <w:rPr>
          <w:rFonts w:ascii="Arial" w:hAnsi="Arial" w:cs="Arial"/>
        </w:rPr>
        <w:t>לימים</w:t>
      </w:r>
      <w:r w:rsidR="00431ED6">
        <w:rPr>
          <w:rFonts w:ascii="Arial" w:hAnsi="Arial" w:cs="Arial"/>
        </w:rPr>
        <w:t xml:space="preserve"> </w:t>
      </w:r>
      <w:r w:rsidR="00431ED6" w:rsidRPr="00431ED6">
        <w:rPr>
          <w:rFonts w:ascii="Arial" w:hAnsi="Arial" w:cs="Arial"/>
        </w:rPr>
        <w:t>חזון</w:t>
      </w:r>
      <w:r w:rsidR="00431ED6">
        <w:rPr>
          <w:rFonts w:ascii="Arial" w:hAnsi="Arial" w:cs="Arial"/>
        </w:rPr>
        <w:t xml:space="preserve"> </w:t>
      </w:r>
      <w:r w:rsidR="00431ED6" w:rsidRPr="00431ED6">
        <w:rPr>
          <w:rFonts w:ascii="Arial" w:hAnsi="Arial" w:cs="Arial"/>
        </w:rPr>
        <w:t>עוד</w:t>
      </w:r>
      <w:r w:rsidRPr="002B376E">
        <w:t>. The word order suggests “yet a vision</w:t>
      </w:r>
      <w:r w:rsidR="00431ED6">
        <w:t xml:space="preserve"> for the days</w:t>
      </w:r>
      <w:r w:rsidRPr="002B376E">
        <w:t>,” not “</w:t>
      </w:r>
      <w:r w:rsidR="00702DD3">
        <w:t>a vision for days yet (to come),”</w:t>
      </w:r>
      <w:r w:rsidRPr="002B376E">
        <w:t xml:space="preserve"> </w:t>
      </w:r>
      <w:r w:rsidRPr="002B376E">
        <w:rPr>
          <w:rFonts w:ascii="Arial" w:hAnsi="Arial" w:cs="Arial"/>
        </w:rPr>
        <w:t>חזון</w:t>
      </w:r>
      <w:r w:rsidR="00702DD3">
        <w:t xml:space="preserve"> “v</w:t>
      </w:r>
      <w:r w:rsidR="00BB22D2">
        <w:t>ision” having no article; cf. NRSV</w:t>
      </w:r>
      <w:r w:rsidR="00702DD3">
        <w:t xml:space="preserve"> against RSV</w:t>
      </w:r>
      <w:r w:rsidRPr="002B376E">
        <w:t>, which assimilates to 8:26</w:t>
      </w:r>
      <w:r w:rsidR="001563E1">
        <w:t xml:space="preserve"> </w:t>
      </w:r>
      <w:r w:rsidRPr="002B376E">
        <w:t>(with G?).</w:t>
      </w:r>
    </w:p>
    <w:p w:rsidR="002B376E" w:rsidRPr="002B376E" w:rsidRDefault="002B376E" w:rsidP="002B376E">
      <w:r w:rsidRPr="002B376E">
        <w:t xml:space="preserve">15.a. </w:t>
      </w:r>
      <w:r w:rsidRPr="002B376E">
        <w:rPr>
          <w:rFonts w:ascii="Arial" w:hAnsi="Arial" w:cs="Arial"/>
        </w:rPr>
        <w:t>פני</w:t>
      </w:r>
      <w:r w:rsidRPr="002B376E">
        <w:t xml:space="preserve">; 6QDan </w:t>
      </w:r>
      <w:r w:rsidRPr="002B376E">
        <w:rPr>
          <w:rFonts w:ascii="Arial" w:hAnsi="Arial" w:cs="Arial"/>
        </w:rPr>
        <w:t>אפי</w:t>
      </w:r>
      <w:r w:rsidRPr="002B376E">
        <w:t>.</w:t>
      </w:r>
    </w:p>
    <w:p w:rsidR="002B376E" w:rsidRPr="002B376E" w:rsidRDefault="002B376E" w:rsidP="002B376E">
      <w:r w:rsidRPr="002B376E">
        <w:t>16.a. See n. 10.a.</w:t>
      </w:r>
    </w:p>
    <w:p w:rsidR="002B376E" w:rsidRPr="002B376E" w:rsidRDefault="002B376E" w:rsidP="002B376E">
      <w:r w:rsidRPr="002B376E">
        <w:t xml:space="preserve">16.b-b. </w:t>
      </w:r>
      <w:r w:rsidRPr="002B376E">
        <w:rPr>
          <w:rFonts w:ascii="Arial" w:hAnsi="Arial" w:cs="Arial"/>
        </w:rPr>
        <w:t>אדם</w:t>
      </w:r>
      <w:r w:rsidRPr="002B376E">
        <w:t xml:space="preserve"> </w:t>
      </w:r>
      <w:r w:rsidR="00702DD3" w:rsidRPr="00702DD3">
        <w:rPr>
          <w:rFonts w:ascii="Arial" w:hAnsi="Arial" w:cs="Arial"/>
        </w:rPr>
        <w:t>בני</w:t>
      </w:r>
      <w:r w:rsidR="00702DD3">
        <w:t xml:space="preserve"> </w:t>
      </w:r>
      <w:r w:rsidR="00702DD3" w:rsidRPr="00702DD3">
        <w:rPr>
          <w:rFonts w:ascii="Arial" w:hAnsi="Arial" w:cs="Arial"/>
        </w:rPr>
        <w:t>כדמות</w:t>
      </w:r>
      <w:r w:rsidR="00702DD3" w:rsidRPr="00702DD3">
        <w:t xml:space="preserve"> </w:t>
      </w:r>
      <w:r w:rsidRPr="002B376E">
        <w:t>“li</w:t>
      </w:r>
      <w:r w:rsidR="00702DD3">
        <w:t>ke the appearance of human beings</w:t>
      </w:r>
      <w:r w:rsidRPr="002B376E">
        <w:t>”: the pl. is odd but s</w:t>
      </w:r>
      <w:r w:rsidR="00702DD3">
        <w:t>.</w:t>
      </w:r>
      <w:r w:rsidR="00D04830">
        <w:t xml:space="preserve"> (one </w:t>
      </w:r>
      <w:r w:rsidR="003F4DB6" w:rsidRPr="003F4DB6">
        <w:t xml:space="preserve">medieval </w:t>
      </w:r>
      <w:r w:rsidR="00D04830">
        <w:t xml:space="preserve">ms, Th, Vg) looks like </w:t>
      </w:r>
      <w:r w:rsidRPr="002B376E">
        <w:t xml:space="preserve">simplification of a difficult text. 6QDan </w:t>
      </w:r>
      <w:r w:rsidRPr="002B376E">
        <w:rPr>
          <w:rFonts w:ascii="Arial" w:hAnsi="Arial" w:cs="Arial"/>
        </w:rPr>
        <w:t>אדם</w:t>
      </w:r>
      <w:r w:rsidRPr="002B376E">
        <w:t xml:space="preserve"> </w:t>
      </w:r>
      <w:r w:rsidR="00702DD3" w:rsidRPr="00702DD3">
        <w:rPr>
          <w:rFonts w:ascii="Arial" w:hAnsi="Arial" w:cs="Arial"/>
        </w:rPr>
        <w:t>יד</w:t>
      </w:r>
      <w:r w:rsidR="00702DD3">
        <w:t xml:space="preserve"> </w:t>
      </w:r>
      <w:r w:rsidR="00702DD3" w:rsidRPr="00702DD3">
        <w:rPr>
          <w:rFonts w:ascii="Arial" w:hAnsi="Arial" w:cs="Arial"/>
        </w:rPr>
        <w:t>כדמות</w:t>
      </w:r>
      <w:r w:rsidR="00702DD3" w:rsidRPr="00702DD3">
        <w:t xml:space="preserve"> </w:t>
      </w:r>
      <w:r w:rsidRPr="002B376E">
        <w:t xml:space="preserve">(“like the appearance of a human hand”; cf. OG) is </w:t>
      </w:r>
      <w:r w:rsidR="00702DD3">
        <w:t xml:space="preserve">perhaps assimilation to v 10—or </w:t>
      </w:r>
      <w:r w:rsidRPr="002B376E">
        <w:t xml:space="preserve">was the </w:t>
      </w:r>
      <w:r w:rsidRPr="002B376E">
        <w:rPr>
          <w:rFonts w:ascii="Arial" w:hAnsi="Arial" w:cs="Arial"/>
        </w:rPr>
        <w:t>יד</w:t>
      </w:r>
      <w:r w:rsidRPr="002B376E">
        <w:t xml:space="preserve"> lost by assimilatio</w:t>
      </w:r>
      <w:r w:rsidR="00A966CA">
        <w:t>n to 8:15; 10:18?</w:t>
      </w:r>
    </w:p>
    <w:p w:rsidR="002B376E" w:rsidRPr="002B376E" w:rsidRDefault="002B376E" w:rsidP="002B376E">
      <w:r w:rsidRPr="002B376E">
        <w:t xml:space="preserve">16.c. </w:t>
      </w:r>
      <w:r w:rsidRPr="002B376E">
        <w:rPr>
          <w:rFonts w:ascii="Arial" w:hAnsi="Arial" w:cs="Arial"/>
        </w:rPr>
        <w:t>ציר</w:t>
      </w:r>
      <w:r w:rsidRPr="002B376E">
        <w:t>, properly the fearsome and helpless convulsion of childbirth (1 Sam 4:19).</w:t>
      </w:r>
    </w:p>
    <w:p w:rsidR="002B376E" w:rsidRPr="002B376E" w:rsidRDefault="002B376E" w:rsidP="002B376E">
      <w:r w:rsidRPr="002B376E">
        <w:t xml:space="preserve">17.a-a. </w:t>
      </w:r>
      <w:r w:rsidRPr="002B376E">
        <w:rPr>
          <w:rFonts w:ascii="Arial" w:hAnsi="Arial" w:cs="Arial"/>
        </w:rPr>
        <w:t>זה</w:t>
      </w:r>
      <w:r w:rsidRPr="002B376E">
        <w:t xml:space="preserve"> . . . </w:t>
      </w:r>
      <w:r w:rsidRPr="002B376E">
        <w:rPr>
          <w:rFonts w:ascii="Arial" w:hAnsi="Arial" w:cs="Arial"/>
        </w:rPr>
        <w:t>זה</w:t>
      </w:r>
      <w:r w:rsidRPr="002B376E">
        <w:t>: cf. BDB</w:t>
      </w:r>
      <w:r w:rsidR="00E80CCC">
        <w:t>,</w:t>
      </w:r>
      <w:r w:rsidRPr="002B376E">
        <w:t xml:space="preserve"> 261, 262.</w:t>
      </w:r>
    </w:p>
    <w:p w:rsidR="002B376E" w:rsidRPr="002B376E" w:rsidRDefault="002B376E" w:rsidP="002B376E">
      <w:r w:rsidRPr="002B376E">
        <w:t xml:space="preserve">17.b. </w:t>
      </w:r>
      <w:r w:rsidRPr="002B376E">
        <w:rPr>
          <w:rFonts w:ascii="Arial" w:hAnsi="Arial" w:cs="Arial"/>
        </w:rPr>
        <w:t>עתה</w:t>
      </w:r>
      <w:r w:rsidRPr="002B376E">
        <w:t>[</w:t>
      </w:r>
      <w:r w:rsidRPr="002B376E">
        <w:rPr>
          <w:rFonts w:ascii="Arial" w:hAnsi="Arial" w:cs="Arial"/>
        </w:rPr>
        <w:t>מ</w:t>
      </w:r>
      <w:r w:rsidRPr="002B376E">
        <w:t>‍] (cf. 10:20; 11:2) is not a chronological “now” but an emph</w:t>
      </w:r>
      <w:r w:rsidR="00E83B20">
        <w:t>atic or adversative one: see Jenni, “Zur Verwendung von ‘</w:t>
      </w:r>
      <w:r w:rsidRPr="002B376E">
        <w:t>attā ‘jetzt’ i</w:t>
      </w:r>
      <w:r w:rsidR="00E83B20">
        <w:t>m AT,”</w:t>
      </w:r>
      <w:r w:rsidRPr="002B376E">
        <w:t xml:space="preserve"> 8–10. Jenni queries the text here, but see Ehrlich; cf. </w:t>
      </w:r>
      <w:r w:rsidRPr="00DF7C5A">
        <w:rPr>
          <w:i/>
        </w:rPr>
        <w:t>DTT</w:t>
      </w:r>
      <w:r w:rsidRPr="002B376E">
        <w:t xml:space="preserve">. The pronoun </w:t>
      </w:r>
      <w:r w:rsidRPr="002B376E">
        <w:rPr>
          <w:rFonts w:ascii="Arial" w:hAnsi="Arial" w:cs="Arial"/>
        </w:rPr>
        <w:t>אני</w:t>
      </w:r>
      <w:r w:rsidRPr="002B376E">
        <w:t xml:space="preserve"> is also emphatic.</w:t>
      </w:r>
    </w:p>
    <w:p w:rsidR="002B376E" w:rsidRPr="002B376E" w:rsidRDefault="00E83B20" w:rsidP="002B376E">
      <w:r>
        <w:t>19.a. NEB</w:t>
      </w:r>
      <w:r w:rsidR="002B376E" w:rsidRPr="002B376E">
        <w:t xml:space="preserve">: on this meaning of </w:t>
      </w:r>
      <w:r w:rsidR="002B376E" w:rsidRPr="002B376E">
        <w:rPr>
          <w:rFonts w:ascii="Arial" w:hAnsi="Arial" w:cs="Arial"/>
        </w:rPr>
        <w:t>שלום</w:t>
      </w:r>
      <w:r w:rsidR="002B376E" w:rsidRPr="002B376E">
        <w:t xml:space="preserve"> here (cf. </w:t>
      </w:r>
      <w:r>
        <w:t>4:1; 6:25 [3:31; 6:26</w:t>
      </w:r>
      <w:r w:rsidR="002B376E" w:rsidRPr="002B376E">
        <w:t>]) in the context of Dani</w:t>
      </w:r>
      <w:r>
        <w:t xml:space="preserve">el’s reaction in vv 9–17 see </w:t>
      </w:r>
      <w:r w:rsidR="002B376E" w:rsidRPr="002B376E">
        <w:t xml:space="preserve">Eisenbeis, </w:t>
      </w:r>
      <w:r w:rsidR="002B376E" w:rsidRPr="00E83B20">
        <w:rPr>
          <w:i/>
        </w:rPr>
        <w:t xml:space="preserve">Die Wurzel </w:t>
      </w:r>
      <w:r w:rsidR="002B376E" w:rsidRPr="00E83B20">
        <w:rPr>
          <w:rFonts w:ascii="Arial" w:hAnsi="Arial" w:cs="Arial"/>
          <w:i/>
        </w:rPr>
        <w:t>שלם</w:t>
      </w:r>
      <w:r w:rsidRPr="00E83B20">
        <w:rPr>
          <w:i/>
        </w:rPr>
        <w:t xml:space="preserve"> im AT</w:t>
      </w:r>
      <w:r>
        <w:t>,</w:t>
      </w:r>
      <w:r w:rsidR="002B376E" w:rsidRPr="002B376E">
        <w:t xml:space="preserve"> 212–15; against Montgomery.</w:t>
      </w:r>
    </w:p>
    <w:p w:rsidR="002B376E" w:rsidRPr="002B376E" w:rsidRDefault="002B376E" w:rsidP="002B376E">
      <w:r w:rsidRPr="002B376E">
        <w:t xml:space="preserve">19.b. Some </w:t>
      </w:r>
      <w:r w:rsidR="003F4DB6" w:rsidRPr="003F4DB6">
        <w:t xml:space="preserve">medieval </w:t>
      </w:r>
      <w:r w:rsidRPr="002B376E">
        <w:t>mss</w:t>
      </w:r>
      <w:r w:rsidR="00DF7C5A">
        <w:t xml:space="preserve"> have</w:t>
      </w:r>
      <w:r w:rsidRPr="002B376E">
        <w:t xml:space="preserve"> </w:t>
      </w:r>
      <w:r w:rsidRPr="002B376E">
        <w:rPr>
          <w:rFonts w:ascii="Arial" w:hAnsi="Arial" w:cs="Arial"/>
        </w:rPr>
        <w:t>ואמץ</w:t>
      </w:r>
      <w:r w:rsidRPr="002B376E">
        <w:t xml:space="preserve"> </w:t>
      </w:r>
      <w:r w:rsidR="00E83B20" w:rsidRPr="00E83B20">
        <w:rPr>
          <w:rFonts w:ascii="Arial" w:hAnsi="Arial" w:cs="Arial"/>
        </w:rPr>
        <w:t>חזק</w:t>
      </w:r>
      <w:r w:rsidR="00E83B20" w:rsidRPr="00E83B20">
        <w:t xml:space="preserve"> </w:t>
      </w:r>
      <w:r w:rsidRPr="002B376E">
        <w:t xml:space="preserve">“take courage and be strong” for </w:t>
      </w:r>
      <w:r w:rsidRPr="002B376E">
        <w:rPr>
          <w:rFonts w:ascii="Arial" w:hAnsi="Arial" w:cs="Arial"/>
        </w:rPr>
        <w:t>וחזק</w:t>
      </w:r>
      <w:r w:rsidR="00E83B20">
        <w:rPr>
          <w:rFonts w:ascii="Arial" w:hAnsi="Arial" w:cs="Arial"/>
        </w:rPr>
        <w:t xml:space="preserve"> </w:t>
      </w:r>
      <w:r w:rsidR="00E83B20" w:rsidRPr="00E83B20">
        <w:rPr>
          <w:rFonts w:ascii="Arial" w:hAnsi="Arial" w:cs="Arial"/>
        </w:rPr>
        <w:t xml:space="preserve">חזק </w:t>
      </w:r>
      <w:r w:rsidR="00F5047F">
        <w:t>—cf. G, Vg, Syr</w:t>
      </w:r>
      <w:r w:rsidR="00BF2F97">
        <w:t>,</w:t>
      </w:r>
      <w:r w:rsidRPr="002B376E">
        <w:t xml:space="preserve"> assimilating to Josh 1:6–9</w:t>
      </w:r>
      <w:r w:rsidR="00BF2F97">
        <w:t>,</w:t>
      </w:r>
      <w:r w:rsidRPr="002B376E">
        <w:t xml:space="preserve"> etc</w:t>
      </w:r>
      <w:r w:rsidR="00617F8E">
        <w:t>. Saadia commen</w:t>
      </w:r>
      <w:r w:rsidR="00BF2F97">
        <w:t xml:space="preserve">ts that he translates as if </w:t>
      </w:r>
      <w:r w:rsidR="00BF2F97" w:rsidRPr="00BF2F97">
        <w:rPr>
          <w:rFonts w:ascii="Arial" w:hAnsi="Arial" w:cs="Arial"/>
        </w:rPr>
        <w:t>ואמץ</w:t>
      </w:r>
      <w:r w:rsidR="00BF2F97" w:rsidRPr="00BF2F97">
        <w:t xml:space="preserve"> </w:t>
      </w:r>
      <w:r w:rsidR="00BF2F97" w:rsidRPr="00BF2F97">
        <w:rPr>
          <w:rFonts w:ascii="Arial" w:hAnsi="Arial" w:cs="Arial"/>
        </w:rPr>
        <w:t>חזק</w:t>
      </w:r>
      <w:r w:rsidR="00617F8E">
        <w:t xml:space="preserve"> were the reading, </w:t>
      </w:r>
      <w:r w:rsidR="00617F8E">
        <w:lastRenderedPageBreak/>
        <w:t>to avoid the repetition</w:t>
      </w:r>
      <w:r w:rsidRPr="002B376E">
        <w:t xml:space="preserve">. The </w:t>
      </w:r>
      <w:r w:rsidRPr="002B376E">
        <w:rPr>
          <w:rFonts w:ascii="Arial" w:hAnsi="Arial" w:cs="Arial"/>
        </w:rPr>
        <w:t>ו</w:t>
      </w:r>
      <w:r w:rsidRPr="002B376E">
        <w:t xml:space="preserve"> is unusual when an </w:t>
      </w:r>
      <w:r w:rsidR="00E83B20">
        <w:t xml:space="preserve">imperative </w:t>
      </w:r>
      <w:r w:rsidRPr="002B376E">
        <w:t xml:space="preserve">is repeated (Bevan); cf. the greater frequency of </w:t>
      </w:r>
      <w:r w:rsidRPr="002B376E">
        <w:rPr>
          <w:rFonts w:ascii="Arial" w:hAnsi="Arial" w:cs="Arial"/>
        </w:rPr>
        <w:t>ו</w:t>
      </w:r>
      <w:r w:rsidRPr="002B376E">
        <w:t xml:space="preserve"> copul</w:t>
      </w:r>
      <w:r w:rsidR="00E83B20">
        <w:t>ative with repeated nouns in Late Biblical Hebrew</w:t>
      </w:r>
      <w:r w:rsidRPr="002B376E">
        <w:t xml:space="preserve"> (GKC 123c).</w:t>
      </w:r>
      <w:r w:rsidR="00617F8E">
        <w:t xml:space="preserve"> </w:t>
      </w:r>
    </w:p>
    <w:p w:rsidR="002B376E" w:rsidRPr="002B376E" w:rsidRDefault="002B376E" w:rsidP="002B376E">
      <w:r w:rsidRPr="002B376E">
        <w:t>19.c. See n. 8:8.b.</w:t>
      </w:r>
    </w:p>
    <w:p w:rsidR="002B376E" w:rsidRPr="002B376E" w:rsidRDefault="002B376E" w:rsidP="002B376E">
      <w:r w:rsidRPr="002B376E">
        <w:t xml:space="preserve">20.a. The train of thought in </w:t>
      </w:r>
      <w:r w:rsidR="00BF2F97">
        <w:t>10:20–11:2a is difficult, but</w:t>
      </w:r>
      <w:r w:rsidRPr="002B376E">
        <w:t xml:space="preserve"> there are no textual grounds for querying the order of the verses, and commentators</w:t>
      </w:r>
      <w:r w:rsidR="00E83B20">
        <w:t xml:space="preserve"> who reconstruct them</w:t>
      </w:r>
      <w:r w:rsidRPr="002B376E">
        <w:t xml:space="preserve"> v</w:t>
      </w:r>
      <w:r w:rsidR="00E83B20">
        <w:t>ary in the way they do so</w:t>
      </w:r>
      <w:r w:rsidRPr="002B376E">
        <w:t>.</w:t>
      </w:r>
    </w:p>
    <w:p w:rsidR="002B376E" w:rsidRPr="002B376E" w:rsidRDefault="002B376E" w:rsidP="002B376E">
      <w:r w:rsidRPr="002B376E">
        <w:t xml:space="preserve">20.b. </w:t>
      </w:r>
      <w:r w:rsidRPr="002B376E">
        <w:rPr>
          <w:rFonts w:ascii="Arial" w:hAnsi="Arial" w:cs="Arial"/>
        </w:rPr>
        <w:t>הידעת</w:t>
      </w:r>
      <w:r w:rsidRPr="002B376E">
        <w:t xml:space="preserve"> (</w:t>
      </w:r>
      <w:r w:rsidR="00F91222">
        <w:t>perfect</w:t>
      </w:r>
      <w:r w:rsidRPr="002B376E">
        <w:t xml:space="preserve">) takes up vv 12, 14 (Hasslberger, </w:t>
      </w:r>
      <w:r w:rsidRPr="002B61F2">
        <w:rPr>
          <w:i/>
        </w:rPr>
        <w:t>Hoffnung</w:t>
      </w:r>
      <w:r w:rsidR="002B61F2">
        <w:rPr>
          <w:i/>
        </w:rPr>
        <w:t xml:space="preserve"> </w:t>
      </w:r>
      <w:r w:rsidR="002B61F2" w:rsidRPr="002B61F2">
        <w:rPr>
          <w:i/>
        </w:rPr>
        <w:t>in der Bedrängnis</w:t>
      </w:r>
      <w:r w:rsidRPr="002B376E">
        <w:t>).</w:t>
      </w:r>
    </w:p>
    <w:p w:rsidR="002B376E" w:rsidRPr="002B376E" w:rsidRDefault="002B376E" w:rsidP="002B376E">
      <w:r w:rsidRPr="002B376E">
        <w:t>20.c. See n. 17.b.</w:t>
      </w:r>
    </w:p>
    <w:p w:rsidR="002B376E" w:rsidRPr="002B376E" w:rsidRDefault="002B376E" w:rsidP="002B376E">
      <w:r w:rsidRPr="002B376E">
        <w:t xml:space="preserve">20.d. Or </w:t>
      </w:r>
      <w:r w:rsidR="00E83B20">
        <w:t>perhaps</w:t>
      </w:r>
      <w:r w:rsidRPr="002B376E">
        <w:t xml:space="preserve"> “come forth [from that battle]</w:t>
      </w:r>
      <w:r w:rsidR="00DF7C5A">
        <w:t xml:space="preserve">”; </w:t>
      </w:r>
      <w:r w:rsidR="00E83B20">
        <w:t xml:space="preserve">cf. </w:t>
      </w:r>
      <w:r w:rsidR="00BB22D2">
        <w:t>N</w:t>
      </w:r>
      <w:r w:rsidR="00E83B20">
        <w:t>RSV</w:t>
      </w:r>
      <w:r w:rsidRPr="002B376E">
        <w:t xml:space="preserve"> “am through with him,” though this reads rather a lot into </w:t>
      </w:r>
      <w:r w:rsidRPr="002B376E">
        <w:rPr>
          <w:rFonts w:ascii="Arial" w:hAnsi="Arial" w:cs="Arial"/>
        </w:rPr>
        <w:t>יוצא</w:t>
      </w:r>
      <w:r w:rsidRPr="002B376E">
        <w:t xml:space="preserve"> (despite 1 Sam 14:41; Qoh 7:18).</w:t>
      </w:r>
    </w:p>
    <w:p w:rsidR="002B376E" w:rsidRPr="002B376E" w:rsidRDefault="002B376E" w:rsidP="002B376E">
      <w:r w:rsidRPr="002B376E">
        <w:t>20.e. See n. 10.a.</w:t>
      </w:r>
    </w:p>
    <w:p w:rsidR="00791296" w:rsidRDefault="002B376E" w:rsidP="00791296">
      <w:r w:rsidRPr="002B376E">
        <w:t xml:space="preserve">21.a. Not “the,” and </w:t>
      </w:r>
      <w:r w:rsidRPr="002B376E">
        <w:rPr>
          <w:rFonts w:ascii="Arial" w:hAnsi="Arial" w:cs="Arial"/>
        </w:rPr>
        <w:t>אמת</w:t>
      </w:r>
      <w:r w:rsidRPr="002B376E">
        <w:t xml:space="preserve"> suggests dyna</w:t>
      </w:r>
      <w:r w:rsidR="00E83B20">
        <w:t>mic reliability rather than simp</w:t>
      </w:r>
      <w:r w:rsidRPr="002B376E">
        <w:t xml:space="preserve">ly objective truth. </w:t>
      </w:r>
    </w:p>
    <w:p w:rsidR="002B376E" w:rsidRPr="002B376E" w:rsidRDefault="002B376E" w:rsidP="00791296">
      <w:pPr>
        <w:ind w:firstLine="0"/>
      </w:pPr>
      <w:r w:rsidRPr="002B376E">
        <w:t>(</w:t>
      </w:r>
      <w:r w:rsidR="00791296" w:rsidRPr="00791296">
        <w:rPr>
          <w:rFonts w:ascii="Arial" w:hAnsi="Arial" w:cs="Arial"/>
        </w:rPr>
        <w:t>ב</w:t>
      </w:r>
      <w:r w:rsidR="00791296" w:rsidRPr="00791296">
        <w:t xml:space="preserve"> </w:t>
      </w:r>
      <w:r w:rsidR="00791296" w:rsidRPr="00791296">
        <w:rPr>
          <w:rFonts w:ascii="Arial" w:hAnsi="Arial" w:cs="Arial"/>
        </w:rPr>
        <w:t>ת</w:t>
      </w:r>
      <w:r w:rsidR="00791296" w:rsidRPr="00791296">
        <w:t xml:space="preserve"> </w:t>
      </w:r>
      <w:r w:rsidR="00791296" w:rsidRPr="00791296">
        <w:rPr>
          <w:rFonts w:ascii="Arial" w:hAnsi="Arial" w:cs="Arial"/>
        </w:rPr>
        <w:t>כ</w:t>
      </w:r>
      <w:r w:rsidR="00791296">
        <w:rPr>
          <w:rFonts w:ascii="Arial" w:hAnsi="Arial" w:cs="Arial"/>
        </w:rPr>
        <w:t xml:space="preserve"> </w:t>
      </w:r>
      <w:r w:rsidR="00791296" w:rsidRPr="00791296">
        <w:rPr>
          <w:rFonts w:ascii="Arial" w:hAnsi="Arial" w:cs="Arial"/>
        </w:rPr>
        <w:t>ת</w:t>
      </w:r>
      <w:r w:rsidRPr="002B376E">
        <w:t xml:space="preserve"> in the BHS fascicle is a misprint for </w:t>
      </w:r>
      <w:r w:rsidRPr="002B376E">
        <w:rPr>
          <w:rFonts w:ascii="Arial" w:hAnsi="Arial" w:cs="Arial"/>
        </w:rPr>
        <w:t>בכתב</w:t>
      </w:r>
      <w:r w:rsidRPr="002B376E">
        <w:t>.)</w:t>
      </w:r>
    </w:p>
    <w:p w:rsidR="002B376E" w:rsidRPr="00AD48D1" w:rsidRDefault="00B77FB8" w:rsidP="002B376E">
      <w:r>
        <w:t>11:1.a-a. Perhaps t</w:t>
      </w:r>
      <w:r w:rsidR="002B376E" w:rsidRPr="002B376E">
        <w:t>he phrase’s similarity to introductory dates e</w:t>
      </w:r>
      <w:r>
        <w:t xml:space="preserve">lsewhere (e.g., 10:1) </w:t>
      </w:r>
      <w:r w:rsidR="002B376E" w:rsidRPr="002B376E">
        <w:t xml:space="preserve">led to the anomalous </w:t>
      </w:r>
      <w:r>
        <w:t>MT petuchah at the end of 10:21, which the medieval chapter division follows</w:t>
      </w:r>
      <w:r w:rsidR="002B376E" w:rsidRPr="002B376E">
        <w:t xml:space="preserve">. </w:t>
      </w:r>
      <w:r w:rsidR="00E008EC">
        <w:t>EVV</w:t>
      </w:r>
      <w:r w:rsidR="002B376E" w:rsidRPr="002B376E">
        <w:t xml:space="preserve"> remove </w:t>
      </w:r>
      <w:r>
        <w:t>the phrase</w:t>
      </w:r>
      <w:r w:rsidR="00DF7C5A">
        <w:t xml:space="preserve"> </w:t>
      </w:r>
      <w:r w:rsidR="002B376E" w:rsidRPr="002B376E">
        <w:t xml:space="preserve">as a </w:t>
      </w:r>
      <w:r w:rsidR="00791296">
        <w:t xml:space="preserve">gloss </w:t>
      </w:r>
      <w:r w:rsidR="002B376E" w:rsidRPr="002B376E">
        <w:t>and emend v 1 in varying ways.</w:t>
      </w:r>
      <w:r w:rsidR="00BE41C2">
        <w:t xml:space="preserve"> For</w:t>
      </w:r>
      <w:r w:rsidR="00DF7C5A">
        <w:t xml:space="preserve"> Darius the Med</w:t>
      </w:r>
      <w:r w:rsidR="00AD48D1">
        <w:t xml:space="preserve">e, G has Cyrus, smoothing out the chronology (Collins, </w:t>
      </w:r>
      <w:r w:rsidR="00AD48D1">
        <w:rPr>
          <w:i/>
        </w:rPr>
        <w:t>Daniel</w:t>
      </w:r>
      <w:r w:rsidR="00AD48D1">
        <w:t>, 8).</w:t>
      </w:r>
    </w:p>
    <w:p w:rsidR="002B376E" w:rsidRPr="002B376E" w:rsidRDefault="002B376E" w:rsidP="002B376E">
      <w:r w:rsidRPr="002B376E">
        <w:t xml:space="preserve">1.b. </w:t>
      </w:r>
      <w:r w:rsidRPr="002B376E">
        <w:rPr>
          <w:rFonts w:ascii="Arial" w:hAnsi="Arial" w:cs="Arial"/>
        </w:rPr>
        <w:t>עמדי</w:t>
      </w:r>
      <w:r w:rsidRPr="002B376E">
        <w:t xml:space="preserve"> (</w:t>
      </w:r>
      <w:r w:rsidR="0081660E">
        <w:t>inf.</w:t>
      </w:r>
      <w:r w:rsidR="00791296">
        <w:t xml:space="preserve"> construct,</w:t>
      </w:r>
      <w:r w:rsidR="0063060E">
        <w:t xml:space="preserve"> “my standing [was]”). </w:t>
      </w:r>
      <w:r w:rsidR="00355BDA">
        <w:t>4QDan</w:t>
      </w:r>
      <w:r w:rsidR="00355BDA">
        <w:rPr>
          <w:vertAlign w:val="superscript"/>
        </w:rPr>
        <w:t>c</w:t>
      </w:r>
      <w:r w:rsidR="00355BDA">
        <w:t xml:space="preserve"> </w:t>
      </w:r>
      <w:r w:rsidR="00355BDA" w:rsidRPr="00355BDA">
        <w:rPr>
          <w:rFonts w:ascii="Arial" w:hAnsi="Arial" w:cs="Arial"/>
        </w:rPr>
        <w:t>י</w:t>
      </w:r>
      <w:r w:rsidR="00355BDA" w:rsidRPr="00355BDA">
        <w:t xml:space="preserve"> </w:t>
      </w:r>
      <w:r w:rsidR="00355BDA" w:rsidRPr="00355BDA">
        <w:rPr>
          <w:rFonts w:ascii="Arial" w:hAnsi="Arial" w:cs="Arial"/>
        </w:rPr>
        <w:t>ת ד</w:t>
      </w:r>
      <w:r w:rsidR="00355BDA">
        <w:rPr>
          <w:rFonts w:ascii="Arial" w:hAnsi="Arial" w:cs="Arial"/>
        </w:rPr>
        <w:t xml:space="preserve"> </w:t>
      </w:r>
      <w:r w:rsidR="00355BDA" w:rsidRPr="00355BDA">
        <w:rPr>
          <w:rFonts w:ascii="Arial" w:hAnsi="Arial" w:cs="Arial"/>
        </w:rPr>
        <w:t>מ</w:t>
      </w:r>
      <w:r w:rsidR="00355BDA">
        <w:rPr>
          <w:rFonts w:ascii="Arial" w:hAnsi="Arial" w:cs="Arial"/>
        </w:rPr>
        <w:t xml:space="preserve"> </w:t>
      </w:r>
      <w:r w:rsidR="00355BDA" w:rsidRPr="00355BDA">
        <w:rPr>
          <w:rFonts w:ascii="Arial" w:hAnsi="Arial" w:cs="Arial"/>
        </w:rPr>
        <w:t>ע</w:t>
      </w:r>
      <w:r w:rsidR="00B77FB8">
        <w:rPr>
          <w:rFonts w:ascii="Arial" w:hAnsi="Arial" w:cs="Arial"/>
        </w:rPr>
        <w:t xml:space="preserve"> </w:t>
      </w:r>
      <w:r w:rsidR="00945C8C">
        <w:rPr>
          <w:rFonts w:cs="Arial"/>
        </w:rPr>
        <w:t>“I stood</w:t>
      </w:r>
      <w:r w:rsidR="00355BDA" w:rsidRPr="00B77FB8">
        <w:rPr>
          <w:rFonts w:cs="Arial"/>
        </w:rPr>
        <w:t>”</w:t>
      </w:r>
      <w:r w:rsidR="00355BDA" w:rsidRPr="00355BDA">
        <w:t xml:space="preserve"> </w:t>
      </w:r>
      <w:r w:rsidR="00945C8C">
        <w:t xml:space="preserve">(cf. Vg, Th), </w:t>
      </w:r>
      <w:r w:rsidR="0063060E">
        <w:t xml:space="preserve">OG </w:t>
      </w:r>
      <w:r w:rsidR="0063060E" w:rsidRPr="0063060E">
        <w:rPr>
          <w:lang w:val="el-GR"/>
        </w:rPr>
        <w:t>εἶπέν</w:t>
      </w:r>
      <w:r w:rsidRPr="002B376E">
        <w:t xml:space="preserve">, </w:t>
      </w:r>
      <w:r w:rsidR="00F91222">
        <w:t>Syr</w:t>
      </w:r>
      <w:r w:rsidRPr="002B376E">
        <w:t xml:space="preserve"> </w:t>
      </w:r>
      <w:r w:rsidRPr="00791296">
        <w:rPr>
          <w:i/>
        </w:rPr>
        <w:t>qm</w:t>
      </w:r>
      <w:r w:rsidR="00945C8C">
        <w:t xml:space="preserve"> look like different ways of responding to the unusual MT expression.</w:t>
      </w:r>
    </w:p>
    <w:p w:rsidR="002B376E" w:rsidRPr="002B376E" w:rsidRDefault="002B376E" w:rsidP="002B376E">
      <w:r w:rsidRPr="002B376E">
        <w:t>2.a. See n. 10:17.b.</w:t>
      </w:r>
    </w:p>
    <w:p w:rsidR="002B376E" w:rsidRPr="002B376E" w:rsidRDefault="002B376E" w:rsidP="002B376E">
      <w:r w:rsidRPr="002B376E">
        <w:t>2.b. See n. 10:10.a.</w:t>
      </w:r>
    </w:p>
    <w:p w:rsidR="002B376E" w:rsidRPr="002B376E" w:rsidRDefault="002B376E" w:rsidP="002B376E">
      <w:r w:rsidRPr="002B376E">
        <w:t>2.c. Not “any of them” (</w:t>
      </w:r>
      <w:r w:rsidR="00E008EC">
        <w:t>EVV</w:t>
      </w:r>
      <w:r w:rsidRPr="002B376E">
        <w:t xml:space="preserve">): </w:t>
      </w:r>
      <w:r w:rsidRPr="002B376E">
        <w:rPr>
          <w:rFonts w:ascii="Arial" w:hAnsi="Arial" w:cs="Arial"/>
        </w:rPr>
        <w:t>מכל</w:t>
      </w:r>
      <w:r w:rsidRPr="002B376E">
        <w:t xml:space="preserve"> is </w:t>
      </w:r>
      <w:r w:rsidR="002F46A6">
        <w:t xml:space="preserve">absolute </w:t>
      </w:r>
      <w:r w:rsidRPr="002B376E">
        <w:t xml:space="preserve">(Hasslberger, </w:t>
      </w:r>
      <w:r w:rsidRPr="002B61F2">
        <w:rPr>
          <w:i/>
        </w:rPr>
        <w:t>Hoffnung</w:t>
      </w:r>
      <w:r w:rsidR="002B61F2">
        <w:rPr>
          <w:i/>
        </w:rPr>
        <w:t xml:space="preserve"> </w:t>
      </w:r>
      <w:r w:rsidR="002B61F2" w:rsidRPr="002B61F2">
        <w:rPr>
          <w:i/>
        </w:rPr>
        <w:t>in der Bedrängnis</w:t>
      </w:r>
      <w:r w:rsidRPr="002B376E">
        <w:t>).</w:t>
      </w:r>
    </w:p>
    <w:p w:rsidR="002B376E" w:rsidRPr="002B376E" w:rsidRDefault="002B376E" w:rsidP="002B376E">
      <w:r w:rsidRPr="002B376E">
        <w:t xml:space="preserve">2.d. G έπαναστήσεται hardly requires </w:t>
      </w:r>
      <w:r w:rsidRPr="002B376E">
        <w:rPr>
          <w:rFonts w:ascii="Arial" w:hAnsi="Arial" w:cs="Arial"/>
        </w:rPr>
        <w:t>יעור</w:t>
      </w:r>
      <w:r w:rsidRPr="002B376E">
        <w:t xml:space="preserve"> (against BHS), since </w:t>
      </w:r>
      <w:r w:rsidRPr="002B376E">
        <w:rPr>
          <w:rFonts w:ascii="Arial" w:hAnsi="Arial" w:cs="Arial"/>
        </w:rPr>
        <w:t>יעיר</w:t>
      </w:r>
      <w:r w:rsidRPr="002B376E">
        <w:t xml:space="preserve"> could mean “act in an aroused manner” (BDB). Cf. </w:t>
      </w:r>
      <w:r w:rsidR="00F96C6C">
        <w:t>G’s</w:t>
      </w:r>
      <w:r w:rsidR="00881994">
        <w:t xml:space="preserve"> [ἀνα]στήσεται in v 3a to translate</w:t>
      </w:r>
      <w:r w:rsidRPr="002B376E">
        <w:t xml:space="preserve"> </w:t>
      </w:r>
      <w:r w:rsidRPr="002B376E">
        <w:rPr>
          <w:rFonts w:ascii="Arial" w:hAnsi="Arial" w:cs="Arial"/>
        </w:rPr>
        <w:t>עמד</w:t>
      </w:r>
      <w:r w:rsidRPr="002B376E">
        <w:t xml:space="preserve"> qal.</w:t>
      </w:r>
    </w:p>
    <w:p w:rsidR="002B376E" w:rsidRPr="002B376E" w:rsidRDefault="002B376E" w:rsidP="002B376E">
      <w:r w:rsidRPr="002B376E">
        <w:t xml:space="preserve">2.e-e. </w:t>
      </w:r>
      <w:r w:rsidRPr="002B376E">
        <w:rPr>
          <w:rFonts w:ascii="Arial" w:hAnsi="Arial" w:cs="Arial"/>
        </w:rPr>
        <w:t>מלכות</w:t>
      </w:r>
      <w:r w:rsidRPr="002B376E">
        <w:t xml:space="preserve"> </w:t>
      </w:r>
      <w:r w:rsidRPr="002B376E">
        <w:rPr>
          <w:rFonts w:ascii="Arial" w:hAnsi="Arial" w:cs="Arial"/>
        </w:rPr>
        <w:t>יון</w:t>
      </w:r>
      <w:r w:rsidR="00881994">
        <w:rPr>
          <w:rFonts w:ascii="Arial" w:hAnsi="Arial" w:cs="Arial"/>
        </w:rPr>
        <w:t xml:space="preserve"> </w:t>
      </w:r>
      <w:r w:rsidR="00881994" w:rsidRPr="00881994">
        <w:rPr>
          <w:rFonts w:ascii="Arial" w:hAnsi="Arial" w:cs="Arial"/>
        </w:rPr>
        <w:t>את</w:t>
      </w:r>
      <w:r w:rsidR="00881994">
        <w:rPr>
          <w:rFonts w:ascii="Arial" w:hAnsi="Arial" w:cs="Arial"/>
        </w:rPr>
        <w:t xml:space="preserve"> </w:t>
      </w:r>
      <w:r w:rsidR="00881994" w:rsidRPr="00881994">
        <w:rPr>
          <w:rFonts w:ascii="Arial" w:hAnsi="Arial" w:cs="Arial"/>
        </w:rPr>
        <w:t>הכל</w:t>
      </w:r>
      <w:r w:rsidR="00FD70B0">
        <w:t xml:space="preserve">. Hardly “the whole </w:t>
      </w:r>
      <w:r w:rsidR="008E1225">
        <w:t>kingdom</w:t>
      </w:r>
      <w:r w:rsidR="00FD70B0">
        <w:t xml:space="preserve"> of Yawan</w:t>
      </w:r>
      <w:r w:rsidRPr="002B376E">
        <w:t xml:space="preserve">” (cf. G, </w:t>
      </w:r>
      <w:r w:rsidR="00F91222">
        <w:t>Syr</w:t>
      </w:r>
      <w:r w:rsidR="00FD70B0">
        <w:t>): why then would</w:t>
      </w:r>
      <w:r w:rsidRPr="002B376E">
        <w:t xml:space="preserve"> </w:t>
      </w:r>
      <w:r w:rsidRPr="002B376E">
        <w:rPr>
          <w:rFonts w:ascii="Arial" w:hAnsi="Arial" w:cs="Arial"/>
        </w:rPr>
        <w:t>את</w:t>
      </w:r>
      <w:r w:rsidRPr="002B376E">
        <w:t xml:space="preserve"> follow </w:t>
      </w:r>
      <w:r w:rsidRPr="002B376E">
        <w:rPr>
          <w:rFonts w:ascii="Arial" w:hAnsi="Arial" w:cs="Arial"/>
        </w:rPr>
        <w:t>הכל</w:t>
      </w:r>
      <w:r w:rsidRPr="002B376E">
        <w:t>? Even as an explanatory gl</w:t>
      </w:r>
      <w:r w:rsidR="00FD70B0">
        <w:t xml:space="preserve">oss, “the </w:t>
      </w:r>
      <w:r w:rsidR="008E1225">
        <w:t>kingdom</w:t>
      </w:r>
      <w:r w:rsidR="00FD70B0">
        <w:t xml:space="preserve"> of Yawan</w:t>
      </w:r>
      <w:r w:rsidRPr="002B376E">
        <w:t xml:space="preserve">” raises problems (see </w:t>
      </w:r>
      <w:r w:rsidRPr="00FD70B0">
        <w:rPr>
          <w:i/>
        </w:rPr>
        <w:t>Comment</w:t>
      </w:r>
      <w:r w:rsidRPr="002B376E">
        <w:t xml:space="preserve">). If these </w:t>
      </w:r>
      <w:r w:rsidR="00DF7C5A">
        <w:t xml:space="preserve">problems </w:t>
      </w:r>
      <w:r w:rsidRPr="002B376E">
        <w:t xml:space="preserve">can be overcome, more likely </w:t>
      </w:r>
      <w:r w:rsidRPr="002B376E">
        <w:rPr>
          <w:rFonts w:ascii="Arial" w:hAnsi="Arial" w:cs="Arial"/>
        </w:rPr>
        <w:t>הכל</w:t>
      </w:r>
      <w:r w:rsidRPr="002B376E">
        <w:t xml:space="preserve"> “everything” is the subj</w:t>
      </w:r>
      <w:r w:rsidR="00FD70B0">
        <w:t>ect</w:t>
      </w:r>
      <w:r w:rsidRPr="002B376E">
        <w:t xml:space="preserve"> (Bar</w:t>
      </w:r>
      <w:r w:rsidR="00FD70B0">
        <w:t xml:space="preserve">r; Torrey, </w:t>
      </w:r>
      <w:r w:rsidR="00FD70B0" w:rsidRPr="00FD70B0">
        <w:t xml:space="preserve">“‘Yāwān’ and </w:t>
      </w:r>
      <w:r w:rsidR="00DF7C5A">
        <w:t>‘Hellas</w:t>
      </w:r>
      <w:r w:rsidR="00FD70B0">
        <w:t>,</w:t>
      </w:r>
      <w:r w:rsidR="00DF7C5A">
        <w:t>’</w:t>
      </w:r>
      <w:r w:rsidR="00FD70B0" w:rsidRPr="00FD70B0">
        <w:t>”</w:t>
      </w:r>
      <w:r w:rsidRPr="002B376E">
        <w:t xml:space="preserve"> adding </w:t>
      </w:r>
      <w:r w:rsidRPr="002B376E">
        <w:rPr>
          <w:rFonts w:ascii="Arial" w:hAnsi="Arial" w:cs="Arial"/>
        </w:rPr>
        <w:t>שר</w:t>
      </w:r>
      <w:r w:rsidRPr="002B376E">
        <w:t xml:space="preserve">). More likely </w:t>
      </w:r>
      <w:r w:rsidRPr="002B376E">
        <w:rPr>
          <w:rFonts w:ascii="Arial" w:hAnsi="Arial" w:cs="Arial"/>
        </w:rPr>
        <w:t>את</w:t>
      </w:r>
      <w:r w:rsidRPr="002B376E">
        <w:t xml:space="preserve"> denotes a less direct obj</w:t>
      </w:r>
      <w:r w:rsidR="00FD70B0">
        <w:t>ect.</w:t>
      </w:r>
      <w:r w:rsidRPr="002B376E">
        <w:t xml:space="preserve"> “Against” (</w:t>
      </w:r>
      <w:r w:rsidR="00E008EC">
        <w:t>EVV</w:t>
      </w:r>
      <w:r w:rsidRPr="002B376E">
        <w:t xml:space="preserve">, cf. Vg) presupposes </w:t>
      </w:r>
      <w:r w:rsidRPr="002B376E">
        <w:rPr>
          <w:rFonts w:ascii="Arial" w:hAnsi="Arial" w:cs="Arial"/>
        </w:rPr>
        <w:t>את</w:t>
      </w:r>
      <w:r w:rsidR="00DF7C5A">
        <w:t xml:space="preserve"> ii</w:t>
      </w:r>
      <w:r w:rsidR="00FD70B0">
        <w:t xml:space="preserve"> “with” (cf. Aq</w:t>
      </w:r>
      <w:r w:rsidR="00DF7C5A">
        <w:t>; Jer 38:5; Bentzen); compare</w:t>
      </w:r>
      <w:r w:rsidRPr="002B376E">
        <w:t xml:space="preserve"> </w:t>
      </w:r>
      <w:r w:rsidRPr="002B376E">
        <w:rPr>
          <w:rFonts w:ascii="Arial" w:hAnsi="Arial" w:cs="Arial"/>
        </w:rPr>
        <w:t>עם</w:t>
      </w:r>
      <w:r w:rsidRPr="002B376E">
        <w:t xml:space="preserve"> following </w:t>
      </w:r>
      <w:r w:rsidRPr="002B376E">
        <w:rPr>
          <w:rFonts w:ascii="Arial" w:hAnsi="Arial" w:cs="Arial"/>
        </w:rPr>
        <w:t>קום</w:t>
      </w:r>
      <w:r w:rsidRPr="002B376E">
        <w:t xml:space="preserve"> and </w:t>
      </w:r>
      <w:r w:rsidRPr="002B376E">
        <w:rPr>
          <w:rFonts w:ascii="Arial" w:hAnsi="Arial" w:cs="Arial"/>
        </w:rPr>
        <w:t>יצב</w:t>
      </w:r>
      <w:r w:rsidRPr="002B376E">
        <w:t xml:space="preserve"> in Ps 94:16 (Bevan). </w:t>
      </w:r>
      <w:r w:rsidR="00FD70B0">
        <w:t>F</w:t>
      </w:r>
      <w:r w:rsidRPr="002B376E">
        <w:t xml:space="preserve">or “toward” (cf. </w:t>
      </w:r>
      <w:r w:rsidR="00F91222">
        <w:t>Syr</w:t>
      </w:r>
      <w:r w:rsidR="00FD70B0">
        <w:t xml:space="preserve">) see examples in </w:t>
      </w:r>
      <w:r w:rsidRPr="002B376E">
        <w:t>Izre’el, “</w:t>
      </w:r>
      <w:r w:rsidR="00FD70B0" w:rsidRPr="00FD70B0">
        <w:rPr>
          <w:rFonts w:ascii="Arial" w:hAnsi="Arial" w:cs="Arial"/>
        </w:rPr>
        <w:t>אל</w:t>
      </w:r>
      <w:r w:rsidR="00FD70B0" w:rsidRPr="00FD70B0">
        <w:t xml:space="preserve"> </w:t>
      </w:r>
      <w:r w:rsidRPr="002B376E">
        <w:t xml:space="preserve">= </w:t>
      </w:r>
      <w:r w:rsidRPr="002B376E">
        <w:rPr>
          <w:rFonts w:ascii="Arial" w:hAnsi="Arial" w:cs="Arial"/>
        </w:rPr>
        <w:t>את</w:t>
      </w:r>
      <w:r w:rsidR="00FD70B0">
        <w:t>”</w:t>
      </w:r>
      <w:r w:rsidRPr="002B376E">
        <w:t>; BDB</w:t>
      </w:r>
      <w:r w:rsidR="00FD70B0">
        <w:t>.</w:t>
      </w:r>
    </w:p>
    <w:p w:rsidR="002B376E" w:rsidRPr="002B376E" w:rsidRDefault="002B376E" w:rsidP="002B376E">
      <w:r w:rsidRPr="002B376E">
        <w:t xml:space="preserve">3.a-a. </w:t>
      </w:r>
      <w:r w:rsidR="00434B05">
        <w:t>Cf. G; t</w:t>
      </w:r>
      <w:r w:rsidRPr="002B376E">
        <w:t xml:space="preserve">he adverbial understanding of phrases here and in vv 4, 5 </w:t>
      </w:r>
      <w:r w:rsidR="00434B05">
        <w:t xml:space="preserve">(Vg) </w:t>
      </w:r>
      <w:r w:rsidRPr="002B376E">
        <w:t>is less straightforward.</w:t>
      </w:r>
    </w:p>
    <w:p w:rsidR="002B376E" w:rsidRPr="002B376E" w:rsidRDefault="002B376E" w:rsidP="002B376E">
      <w:r w:rsidRPr="002B376E">
        <w:t>3.b. Cf. vv 16, 36.</w:t>
      </w:r>
    </w:p>
    <w:p w:rsidR="002B376E" w:rsidRPr="002B376E" w:rsidRDefault="002B376E" w:rsidP="002B376E">
      <w:r w:rsidRPr="002B376E">
        <w:t>4.a. See n. 8:8.b.</w:t>
      </w:r>
    </w:p>
    <w:p w:rsidR="002B376E" w:rsidRPr="002B376E" w:rsidRDefault="002B376E" w:rsidP="002B376E">
      <w:r w:rsidRPr="002B376E">
        <w:t xml:space="preserve">4.b. </w:t>
      </w:r>
      <w:r w:rsidR="00FD70B0">
        <w:t>W</w:t>
      </w:r>
      <w:r w:rsidR="00FD70B0" w:rsidRPr="00FD70B0">
        <w:t xml:space="preserve">ere there not so many shortened imperfect (jussive) </w:t>
      </w:r>
      <w:r w:rsidR="00FD70B0">
        <w:t xml:space="preserve">forms </w:t>
      </w:r>
      <w:r w:rsidR="00FD70B0" w:rsidRPr="00FD70B0">
        <w:t xml:space="preserve">following simple </w:t>
      </w:r>
      <w:r w:rsidR="00FD356B" w:rsidRPr="00FD356B">
        <w:rPr>
          <w:rFonts w:asciiTheme="majorHAnsi" w:hAnsiTheme="majorHAnsi" w:cs="Arial"/>
          <w:i/>
        </w:rPr>
        <w:t>waw</w:t>
      </w:r>
      <w:r w:rsidR="00FD70B0" w:rsidRPr="00FD356B">
        <w:rPr>
          <w:rFonts w:asciiTheme="majorHAnsi" w:hAnsiTheme="majorHAnsi"/>
        </w:rPr>
        <w:t xml:space="preserve"> </w:t>
      </w:r>
      <w:r w:rsidR="00FD70B0" w:rsidRPr="00FD70B0">
        <w:t>in chap. 11</w:t>
      </w:r>
      <w:r w:rsidR="00FD70B0">
        <w:t>, one would understand this occurrence as suggesting</w:t>
      </w:r>
      <w:r w:rsidRPr="002B376E">
        <w:t xml:space="preserve"> a result </w:t>
      </w:r>
      <w:r w:rsidR="00F91222">
        <w:t xml:space="preserve">clause </w:t>
      </w:r>
      <w:r w:rsidRPr="002B376E">
        <w:t>(Montgomery)</w:t>
      </w:r>
      <w:r w:rsidR="00FD70B0">
        <w:t>, but here</w:t>
      </w:r>
      <w:r w:rsidRPr="002B376E">
        <w:t xml:space="preserve"> rather it is a stylistic preference.</w:t>
      </w:r>
    </w:p>
    <w:p w:rsidR="002B376E" w:rsidRDefault="002B376E" w:rsidP="002B376E">
      <w:r w:rsidRPr="002B376E">
        <w:t>4.c-c. Taking these as noun cl</w:t>
      </w:r>
      <w:r w:rsidR="00FD70B0">
        <w:t>ause</w:t>
      </w:r>
      <w:r w:rsidRPr="002B376E">
        <w:t>(s) (even though the pronoun is omitte</w:t>
      </w:r>
      <w:r w:rsidR="00FD356B">
        <w:t>d) rather than noun phrases (Bev</w:t>
      </w:r>
      <w:r w:rsidRPr="002B376E">
        <w:t xml:space="preserve">an, cf. 8:19, 26; GKC 116s, 147). </w:t>
      </w:r>
      <w:r w:rsidRPr="002B376E">
        <w:rPr>
          <w:rFonts w:ascii="Arial" w:hAnsi="Arial" w:cs="Arial"/>
        </w:rPr>
        <w:t>אחרית</w:t>
      </w:r>
      <w:r w:rsidRPr="002B376E">
        <w:t xml:space="preserve"> is broader than “descendants” (cf. Amos 4:2</w:t>
      </w:r>
      <w:r w:rsidR="00FD70B0">
        <w:t>; 9:1) (Keil).</w:t>
      </w:r>
      <w:r w:rsidRPr="002B376E">
        <w:t xml:space="preserve"> OG (cf. BHS) assimilates to 8:22, 24.</w:t>
      </w:r>
    </w:p>
    <w:p w:rsidR="00E1701F" w:rsidRPr="002B376E" w:rsidRDefault="00FD356B" w:rsidP="002B376E">
      <w:r>
        <w:t xml:space="preserve">5.a OG </w:t>
      </w:r>
      <w:r w:rsidR="00E1701F">
        <w:t>repla</w:t>
      </w:r>
      <w:r>
        <w:t>ces “of the south” by “of Egypt</w:t>
      </w:r>
      <w:r w:rsidR="00E1701F">
        <w:t xml:space="preserve">” </w:t>
      </w:r>
      <w:r>
        <w:t xml:space="preserve">in this chapter, </w:t>
      </w:r>
      <w:r w:rsidR="00E1701F">
        <w:t xml:space="preserve">but </w:t>
      </w:r>
      <w:r>
        <w:t xml:space="preserve">it </w:t>
      </w:r>
      <w:r w:rsidR="00E1701F">
        <w:t>allows the literal “of the nort</w:t>
      </w:r>
      <w:r w:rsidR="00F25BC5">
        <w:t xml:space="preserve">h” to stand—forttuitously, in not </w:t>
      </w:r>
      <w:r w:rsidR="00E1701F">
        <w:t>destroy</w:t>
      </w:r>
      <w:r w:rsidR="00F25BC5">
        <w:t>ing</w:t>
      </w:r>
      <w:r w:rsidR="00E1701F">
        <w:t xml:space="preserve"> the reminiscence of the OT image of the northern foe.</w:t>
      </w:r>
    </w:p>
    <w:p w:rsidR="002B376E" w:rsidRPr="002B376E" w:rsidRDefault="00E1701F" w:rsidP="002B376E">
      <w:r>
        <w:t>5.b-b</w:t>
      </w:r>
      <w:r w:rsidR="002B376E" w:rsidRPr="002B376E">
        <w:t xml:space="preserve">. </w:t>
      </w:r>
      <w:r w:rsidR="004406E8">
        <w:t>An extraposed phrase (c</w:t>
      </w:r>
      <w:r w:rsidR="002B376E" w:rsidRPr="002B376E">
        <w:t>asus pendens</w:t>
      </w:r>
      <w:r w:rsidR="004406E8">
        <w:t>)</w:t>
      </w:r>
      <w:r w:rsidR="002B376E" w:rsidRPr="002B376E">
        <w:t xml:space="preserve"> at the beginning of a new cl</w:t>
      </w:r>
      <w:r w:rsidR="00FD70B0">
        <w:t>ause</w:t>
      </w:r>
      <w:r w:rsidR="002B376E" w:rsidRPr="002B376E">
        <w:t xml:space="preserve">, for emphasis (against MT accents): see </w:t>
      </w:r>
      <w:r w:rsidR="002B376E" w:rsidRPr="00FD70B0">
        <w:rPr>
          <w:i/>
        </w:rPr>
        <w:t>TTH</w:t>
      </w:r>
      <w:r w:rsidR="002B376E" w:rsidRPr="002B376E">
        <w:t xml:space="preserve"> 123, 125.</w:t>
      </w:r>
    </w:p>
    <w:p w:rsidR="002B376E" w:rsidRPr="002B376E" w:rsidRDefault="00E1701F" w:rsidP="002B376E">
      <w:r>
        <w:t>5.c</w:t>
      </w:r>
      <w:r w:rsidR="00A10136">
        <w:t>. On the construction, see B</w:t>
      </w:r>
      <w:r w:rsidR="00A10136" w:rsidRPr="00A10136">
        <w:t xml:space="preserve">arthélemy, </w:t>
      </w:r>
      <w:r w:rsidR="00A10136" w:rsidRPr="00A10136">
        <w:rPr>
          <w:i/>
        </w:rPr>
        <w:t>Critique textuelle de l’AT</w:t>
      </w:r>
      <w:r w:rsidR="00A10136">
        <w:t xml:space="preserve"> 3:477-78.</w:t>
      </w:r>
    </w:p>
    <w:p w:rsidR="002B376E" w:rsidRPr="002B376E" w:rsidRDefault="002B376E" w:rsidP="002B376E">
      <w:r w:rsidRPr="002B376E">
        <w:t xml:space="preserve">6.a. Taking </w:t>
      </w:r>
      <w:r w:rsidRPr="002B376E">
        <w:rPr>
          <w:rFonts w:ascii="Arial" w:hAnsi="Arial" w:cs="Arial"/>
        </w:rPr>
        <w:t>יתחברו</w:t>
      </w:r>
      <w:r w:rsidRPr="002B376E">
        <w:t xml:space="preserve"> as impersonal; </w:t>
      </w:r>
      <w:r w:rsidR="00E008EC">
        <w:t>EVV</w:t>
      </w:r>
      <w:r w:rsidRPr="002B376E">
        <w:t xml:space="preserve"> </w:t>
      </w:r>
      <w:r w:rsidR="00434B05">
        <w:t xml:space="preserve">have </w:t>
      </w:r>
      <w:r w:rsidRPr="002B376E">
        <w:t xml:space="preserve">“they will make an alliance,” but see </w:t>
      </w:r>
      <w:r w:rsidRPr="002073C0">
        <w:rPr>
          <w:i/>
        </w:rPr>
        <w:t>Comment</w:t>
      </w:r>
      <w:r w:rsidRPr="002B376E">
        <w:t>.</w:t>
      </w:r>
    </w:p>
    <w:p w:rsidR="002B376E" w:rsidRPr="002B376E" w:rsidRDefault="002B376E" w:rsidP="002B376E">
      <w:r w:rsidRPr="002B376E">
        <w:t xml:space="preserve">6.b. </w:t>
      </w:r>
      <w:r w:rsidRPr="002B376E">
        <w:rPr>
          <w:rFonts w:ascii="Arial" w:hAnsi="Arial" w:cs="Arial"/>
        </w:rPr>
        <w:t>אל</w:t>
      </w:r>
      <w:r w:rsidRPr="002B376E">
        <w:t xml:space="preserve"> </w:t>
      </w:r>
      <w:r w:rsidR="002073C0" w:rsidRPr="002073C0">
        <w:rPr>
          <w:rFonts w:ascii="Arial" w:hAnsi="Arial" w:cs="Arial"/>
        </w:rPr>
        <w:t>בוא</w:t>
      </w:r>
      <w:r w:rsidR="002073C0" w:rsidRPr="002073C0">
        <w:t xml:space="preserve"> </w:t>
      </w:r>
      <w:r w:rsidRPr="002B376E">
        <w:t>is an expression for a bride’s going to live in her husband’s home (Josh 15:18; Judg 12:9; Jeffery).</w:t>
      </w:r>
    </w:p>
    <w:p w:rsidR="002B376E" w:rsidRPr="002B376E" w:rsidRDefault="002B376E" w:rsidP="002B376E">
      <w:r w:rsidRPr="002B376E">
        <w:lastRenderedPageBreak/>
        <w:t xml:space="preserve">6.c-c. </w:t>
      </w:r>
      <w:r w:rsidRPr="002B376E">
        <w:rPr>
          <w:rFonts w:ascii="Arial" w:hAnsi="Arial" w:cs="Arial"/>
        </w:rPr>
        <w:t>הזרוע</w:t>
      </w:r>
      <w:r w:rsidR="002073C0">
        <w:t xml:space="preserve"> </w:t>
      </w:r>
      <w:r w:rsidR="002073C0" w:rsidRPr="002073C0">
        <w:rPr>
          <w:rFonts w:ascii="Arial" w:hAnsi="Arial" w:cs="Arial"/>
        </w:rPr>
        <w:t>כוח</w:t>
      </w:r>
      <w:r w:rsidR="00F25BC5">
        <w:rPr>
          <w:rFonts w:ascii="Arial" w:hAnsi="Arial" w:cs="Arial"/>
        </w:rPr>
        <w:t>,</w:t>
      </w:r>
      <w:r w:rsidR="002073C0" w:rsidRPr="002073C0">
        <w:t xml:space="preserve"> </w:t>
      </w:r>
      <w:r w:rsidR="002073C0">
        <w:t>“the power of the arm</w:t>
      </w:r>
      <w:r w:rsidR="00F25BC5">
        <w:t>.”</w:t>
      </w:r>
      <w:r w:rsidR="002073C0">
        <w:t xml:space="preserve"> OG</w:t>
      </w:r>
      <w:r w:rsidRPr="002B376E">
        <w:t xml:space="preserve"> take</w:t>
      </w:r>
      <w:r w:rsidR="002073C0">
        <w:t>s</w:t>
      </w:r>
      <w:r w:rsidRPr="002B376E">
        <w:t xml:space="preserve"> </w:t>
      </w:r>
      <w:r w:rsidRPr="002B376E">
        <w:rPr>
          <w:rFonts w:ascii="Arial" w:hAnsi="Arial" w:cs="Arial"/>
        </w:rPr>
        <w:t>הזרוע</w:t>
      </w:r>
      <w:r w:rsidRPr="002B376E">
        <w:t xml:space="preserve"> as su</w:t>
      </w:r>
      <w:r w:rsidR="002073C0">
        <w:t>bject</w:t>
      </w:r>
      <w:r w:rsidRPr="002B376E">
        <w:t>, but cf. 10:16; and a change of su</w:t>
      </w:r>
      <w:r w:rsidR="002073C0">
        <w:t>bject</w:t>
      </w:r>
      <w:r w:rsidRPr="002B376E">
        <w:t xml:space="preserve"> for the </w:t>
      </w:r>
      <w:r w:rsidR="002073C0">
        <w:t>verb</w:t>
      </w:r>
      <w:r w:rsidRPr="002B376E">
        <w:t xml:space="preserve"> would need to have been made earlier (Hasslberger, </w:t>
      </w:r>
      <w:r w:rsidRPr="002B61F2">
        <w:rPr>
          <w:i/>
        </w:rPr>
        <w:t>Hoffnung</w:t>
      </w:r>
      <w:r w:rsidR="00E008EC">
        <w:rPr>
          <w:i/>
        </w:rPr>
        <w:t xml:space="preserve"> </w:t>
      </w:r>
      <w:r w:rsidR="00E008EC" w:rsidRPr="00E008EC">
        <w:rPr>
          <w:i/>
        </w:rPr>
        <w:t>in der Bedrängnis</w:t>
      </w:r>
      <w:r w:rsidRPr="002B376E">
        <w:t>, 212–13).</w:t>
      </w:r>
    </w:p>
    <w:p w:rsidR="002B376E" w:rsidRPr="002B376E" w:rsidRDefault="002B376E" w:rsidP="002B376E">
      <w:r w:rsidRPr="002B376E">
        <w:t xml:space="preserve">6.d. </w:t>
      </w:r>
      <w:r w:rsidRPr="002B376E">
        <w:rPr>
          <w:rFonts w:ascii="Arial" w:hAnsi="Arial" w:cs="Arial"/>
        </w:rPr>
        <w:t>וזרעו</w:t>
      </w:r>
      <w:r w:rsidRPr="002B376E">
        <w:t xml:space="preserve">. The </w:t>
      </w:r>
      <w:r w:rsidRPr="002B376E">
        <w:rPr>
          <w:rFonts w:ascii="Arial" w:hAnsi="Arial" w:cs="Arial"/>
        </w:rPr>
        <w:t>ו</w:t>
      </w:r>
      <w:r w:rsidRPr="002B376E">
        <w:t xml:space="preserve"> </w:t>
      </w:r>
      <w:r w:rsidR="002073C0">
        <w:t>is pleonastic, for emphasis (</w:t>
      </w:r>
      <w:r w:rsidRPr="002B376E">
        <w:t xml:space="preserve">Wernberg-Møller, “Pleonastic </w:t>
      </w:r>
      <w:r w:rsidRPr="007D464C">
        <w:rPr>
          <w:i/>
        </w:rPr>
        <w:t>waw</w:t>
      </w:r>
      <w:r w:rsidR="002073C0">
        <w:t>,”</w:t>
      </w:r>
      <w:r w:rsidRPr="002B376E">
        <w:t xml:space="preserve"> 324–25). </w:t>
      </w:r>
      <w:r w:rsidR="00E008EC">
        <w:t>EVV</w:t>
      </w:r>
      <w:r w:rsidRPr="002B376E">
        <w:t xml:space="preserve"> “his posterity” </w:t>
      </w:r>
      <w:r w:rsidR="002073C0">
        <w:t>implies repointing</w:t>
      </w:r>
      <w:r w:rsidRPr="002B376E">
        <w:t xml:space="preserve"> </w:t>
      </w:r>
      <w:r w:rsidRPr="002B376E">
        <w:rPr>
          <w:rFonts w:ascii="Arial" w:hAnsi="Arial" w:cs="Arial"/>
        </w:rPr>
        <w:t>זְרֹעוֹ</w:t>
      </w:r>
      <w:r w:rsidRPr="002B376E">
        <w:t xml:space="preserve"> to </w:t>
      </w:r>
      <w:r w:rsidRPr="002B376E">
        <w:rPr>
          <w:rFonts w:ascii="Arial" w:hAnsi="Arial" w:cs="Arial"/>
        </w:rPr>
        <w:t>זַרְעוֹ</w:t>
      </w:r>
      <w:r w:rsidRPr="002B376E">
        <w:t xml:space="preserve"> with Th. But Dan 11 likes to repeat words—thus </w:t>
      </w:r>
      <w:r w:rsidRPr="002B376E">
        <w:rPr>
          <w:rFonts w:ascii="Arial" w:hAnsi="Arial" w:cs="Arial"/>
        </w:rPr>
        <w:t>זרע</w:t>
      </w:r>
      <w:r w:rsidRPr="002B376E">
        <w:t xml:space="preserve"> twice here; see also n. 6.g. Philologically </w:t>
      </w:r>
      <w:r w:rsidRPr="002B376E">
        <w:rPr>
          <w:rFonts w:ascii="Arial" w:hAnsi="Arial" w:cs="Arial"/>
        </w:rPr>
        <w:t>ע</w:t>
      </w:r>
      <w:r w:rsidRPr="002B376E">
        <w:t>[</w:t>
      </w:r>
      <w:r w:rsidRPr="002B376E">
        <w:rPr>
          <w:rFonts w:ascii="Arial" w:hAnsi="Arial" w:cs="Arial"/>
        </w:rPr>
        <w:t>ו</w:t>
      </w:r>
      <w:r w:rsidRPr="002B376E">
        <w:t>]</w:t>
      </w:r>
      <w:r w:rsidRPr="002B376E">
        <w:rPr>
          <w:rFonts w:ascii="Arial" w:hAnsi="Arial" w:cs="Arial"/>
        </w:rPr>
        <w:t>זר</w:t>
      </w:r>
      <w:r w:rsidRPr="002B376E">
        <w:t xml:space="preserve"> could mean “army” in v 6 like the pl. in vv 15, 22, 31 (</w:t>
      </w:r>
      <w:r w:rsidR="002F46A6">
        <w:t xml:space="preserve">Conrad, </w:t>
      </w:r>
      <w:r w:rsidR="002F46A6" w:rsidRPr="002F46A6">
        <w:t xml:space="preserve">“On </w:t>
      </w:r>
      <w:r w:rsidR="002F46A6" w:rsidRPr="002F46A6">
        <w:rPr>
          <w:rFonts w:ascii="Arial" w:hAnsi="Arial" w:cs="Arial"/>
        </w:rPr>
        <w:t>זְרוֹעַ</w:t>
      </w:r>
      <w:r w:rsidR="002F46A6">
        <w:t>”</w:t>
      </w:r>
      <w:r w:rsidRPr="002B376E">
        <w:t xml:space="preserve">), but this </w:t>
      </w:r>
      <w:r w:rsidR="00434B05">
        <w:t xml:space="preserve">meaning </w:t>
      </w:r>
      <w:r w:rsidRPr="002B376E">
        <w:t xml:space="preserve">does not fit here (see </w:t>
      </w:r>
      <w:r w:rsidRPr="002F46A6">
        <w:rPr>
          <w:i/>
        </w:rPr>
        <w:t>Comment</w:t>
      </w:r>
      <w:r w:rsidRPr="002B376E">
        <w:t>).</w:t>
      </w:r>
    </w:p>
    <w:p w:rsidR="002B376E" w:rsidRPr="002B376E" w:rsidRDefault="002B376E" w:rsidP="002B376E">
      <w:r w:rsidRPr="002B376E">
        <w:t xml:space="preserve">6.e. For the </w:t>
      </w:r>
      <w:r w:rsidR="002F46A6">
        <w:t xml:space="preserve">absolute use </w:t>
      </w:r>
      <w:r w:rsidRPr="002B376E">
        <w:t xml:space="preserve">of </w:t>
      </w:r>
      <w:r w:rsidRPr="002B376E">
        <w:rPr>
          <w:rFonts w:ascii="Arial" w:hAnsi="Arial" w:cs="Arial"/>
        </w:rPr>
        <w:t>נתן</w:t>
      </w:r>
      <w:r w:rsidR="00434B05">
        <w:t>, see</w:t>
      </w:r>
      <w:r w:rsidRPr="002B376E">
        <w:t xml:space="preserve"> e.g., 2 Sam 20:21.</w:t>
      </w:r>
    </w:p>
    <w:p w:rsidR="002B376E" w:rsidRPr="002B376E" w:rsidRDefault="002B376E" w:rsidP="002B376E">
      <w:r w:rsidRPr="002B376E">
        <w:t xml:space="preserve">6.f. </w:t>
      </w:r>
      <w:r w:rsidRPr="002B376E">
        <w:rPr>
          <w:rFonts w:ascii="Arial" w:hAnsi="Arial" w:cs="Arial"/>
        </w:rPr>
        <w:t>מביאיה</w:t>
      </w:r>
      <w:r w:rsidRPr="002B376E">
        <w:t xml:space="preserve">, picking up </w:t>
      </w:r>
      <w:r w:rsidRPr="002B376E">
        <w:rPr>
          <w:rFonts w:ascii="Arial" w:hAnsi="Arial" w:cs="Arial"/>
        </w:rPr>
        <w:t>בוא</w:t>
      </w:r>
      <w:r w:rsidRPr="002B376E">
        <w:t xml:space="preserve"> from v 6a; some </w:t>
      </w:r>
      <w:r w:rsidR="003F4DB6" w:rsidRPr="003F4DB6">
        <w:t xml:space="preserve">medieval </w:t>
      </w:r>
      <w:r w:rsidRPr="002B376E">
        <w:t>mss have s</w:t>
      </w:r>
      <w:r w:rsidR="002F46A6">
        <w:t>.</w:t>
      </w:r>
      <w:r w:rsidRPr="002B376E">
        <w:t xml:space="preserve"> </w:t>
      </w:r>
      <w:r w:rsidRPr="002B376E">
        <w:rPr>
          <w:rFonts w:ascii="Arial" w:hAnsi="Arial" w:cs="Arial"/>
        </w:rPr>
        <w:t>מביאה</w:t>
      </w:r>
      <w:r w:rsidRPr="002B376E">
        <w:t xml:space="preserve"> here.</w:t>
      </w:r>
    </w:p>
    <w:p w:rsidR="002B376E" w:rsidRPr="002B376E" w:rsidRDefault="002B376E" w:rsidP="00F25BC5">
      <w:r w:rsidRPr="002B376E">
        <w:t xml:space="preserve">6.g. </w:t>
      </w:r>
      <w:r w:rsidR="00E008EC">
        <w:t>EVV</w:t>
      </w:r>
      <w:r w:rsidRPr="002B376E">
        <w:t xml:space="preserve"> “her child” </w:t>
      </w:r>
      <w:r w:rsidR="002F46A6">
        <w:t>implies reading</w:t>
      </w:r>
      <w:r w:rsidRPr="002B376E">
        <w:t xml:space="preserve"> </w:t>
      </w:r>
      <w:r w:rsidRPr="002B376E">
        <w:rPr>
          <w:rFonts w:ascii="Arial" w:hAnsi="Arial" w:cs="Arial"/>
        </w:rPr>
        <w:t>הַיַּלְרָּהּ</w:t>
      </w:r>
      <w:r w:rsidR="003F4DB6">
        <w:t xml:space="preserve"> with one</w:t>
      </w:r>
      <w:r w:rsidR="003F4DB6" w:rsidRPr="003F4DB6">
        <w:t xml:space="preserve"> medieval</w:t>
      </w:r>
      <w:r w:rsidRPr="002B376E">
        <w:t xml:space="preserve"> ms, Th (</w:t>
      </w:r>
      <w:r w:rsidR="00F91222">
        <w:t>Syr</w:t>
      </w:r>
      <w:r w:rsidRPr="002B376E">
        <w:t xml:space="preserve">, Vg </w:t>
      </w:r>
      <w:r w:rsidR="00F25BC5">
        <w:t xml:space="preserve">have </w:t>
      </w:r>
      <w:r w:rsidRPr="002B376E">
        <w:t>“chil</w:t>
      </w:r>
      <w:r w:rsidR="00434B05">
        <w:t>dren”; OG lacks). MT implies</w:t>
      </w:r>
      <w:r w:rsidRPr="002B376E">
        <w:t xml:space="preserve"> that througho</w:t>
      </w:r>
      <w:r w:rsidR="002F46A6">
        <w:t>ut v 6 the reference is to the people</w:t>
      </w:r>
      <w:r w:rsidRPr="002B376E">
        <w:t xml:space="preserve"> involved in establishing the marriage—and thus </w:t>
      </w:r>
      <w:r w:rsidR="002F46A6">
        <w:t xml:space="preserve">here </w:t>
      </w:r>
      <w:r w:rsidRPr="002B376E">
        <w:t>to father rather than to child.</w:t>
      </w:r>
    </w:p>
    <w:p w:rsidR="002B376E" w:rsidRPr="002B376E" w:rsidRDefault="002B376E" w:rsidP="002B376E">
      <w:r w:rsidRPr="002B376E">
        <w:t>6.h-h. Or “the one who had p</w:t>
      </w:r>
      <w:r w:rsidR="002F46A6">
        <w:t>ower over her,” her husband (GNB</w:t>
      </w:r>
      <w:r w:rsidRPr="002B376E">
        <w:t>): but see n. 6.g.</w:t>
      </w:r>
    </w:p>
    <w:p w:rsidR="002B376E" w:rsidRPr="002B376E" w:rsidRDefault="00434B05" w:rsidP="002B376E">
      <w:r>
        <w:t>6.i</w:t>
      </w:r>
      <w:r w:rsidR="002B376E" w:rsidRPr="002B376E">
        <w:t xml:space="preserve">. The time phrase makes more sense as the introduction to v 7 (cf. </w:t>
      </w:r>
      <w:r w:rsidR="00E008EC">
        <w:t>EVV</w:t>
      </w:r>
      <w:r w:rsidR="002B376E" w:rsidRPr="002B376E">
        <w:t>).</w:t>
      </w:r>
    </w:p>
    <w:p w:rsidR="002B376E" w:rsidRPr="002B376E" w:rsidRDefault="002B376E" w:rsidP="002B376E">
      <w:r w:rsidRPr="002B376E">
        <w:t xml:space="preserve">7.a. Partitive </w:t>
      </w:r>
      <w:r w:rsidRPr="002B376E">
        <w:rPr>
          <w:rFonts w:ascii="Arial" w:hAnsi="Arial" w:cs="Arial"/>
        </w:rPr>
        <w:t>מן</w:t>
      </w:r>
      <w:r w:rsidRPr="002B376E">
        <w:t xml:space="preserve"> (GKC 119w and </w:t>
      </w:r>
      <w:r w:rsidR="002F46A6">
        <w:t xml:space="preserve">the </w:t>
      </w:r>
      <w:r w:rsidRPr="002B376E">
        <w:t>n</w:t>
      </w:r>
      <w:r w:rsidR="002F46A6">
        <w:t>ote</w:t>
      </w:r>
      <w:r w:rsidRPr="002B376E">
        <w:t>).</w:t>
      </w:r>
    </w:p>
    <w:p w:rsidR="002B376E" w:rsidRPr="002B376E" w:rsidRDefault="002B376E" w:rsidP="002B376E">
      <w:r w:rsidRPr="002B376E">
        <w:t xml:space="preserve">7.b. </w:t>
      </w:r>
      <w:r w:rsidRPr="002B376E">
        <w:rPr>
          <w:rFonts w:ascii="Arial" w:hAnsi="Arial" w:cs="Arial"/>
        </w:rPr>
        <w:t>ועמד</w:t>
      </w:r>
      <w:r w:rsidRPr="002B376E">
        <w:t xml:space="preserve"> follows the </w:t>
      </w:r>
      <w:r w:rsidR="002F46A6">
        <w:t>extraposed phrase</w:t>
      </w:r>
      <w:r w:rsidR="00F25BC5">
        <w:t xml:space="preserve"> (see n. 6.i and</w:t>
      </w:r>
      <w:r w:rsidRPr="002B376E">
        <w:t xml:space="preserve"> cf. </w:t>
      </w:r>
      <w:r w:rsidRPr="002F46A6">
        <w:rPr>
          <w:i/>
        </w:rPr>
        <w:t>T</w:t>
      </w:r>
      <w:r w:rsidR="002F46A6" w:rsidRPr="002F46A6">
        <w:rPr>
          <w:i/>
        </w:rPr>
        <w:t>TH</w:t>
      </w:r>
      <w:r w:rsidR="002F46A6">
        <w:t xml:space="preserve"> 123); there is no need to eme</w:t>
      </w:r>
      <w:r w:rsidRPr="002B376E">
        <w:t>nd.</w:t>
      </w:r>
    </w:p>
    <w:p w:rsidR="002B376E" w:rsidRPr="002B376E" w:rsidRDefault="002F46A6" w:rsidP="002B376E">
      <w:r>
        <w:t>7.c. NEB</w:t>
      </w:r>
      <w:r w:rsidR="002B376E" w:rsidRPr="002B376E">
        <w:t xml:space="preserve"> “the defences” repoints </w:t>
      </w:r>
      <w:r w:rsidR="002B376E" w:rsidRPr="002B376E">
        <w:rPr>
          <w:rFonts w:ascii="Arial" w:hAnsi="Arial" w:cs="Arial"/>
        </w:rPr>
        <w:t>הַחַיִל</w:t>
      </w:r>
      <w:r w:rsidR="002B376E" w:rsidRPr="002B376E">
        <w:t xml:space="preserve"> as </w:t>
      </w:r>
      <w:r w:rsidR="002B376E" w:rsidRPr="002B376E">
        <w:rPr>
          <w:rFonts w:ascii="Arial" w:hAnsi="Arial" w:cs="Arial"/>
        </w:rPr>
        <w:t>הַחֵיל</w:t>
      </w:r>
      <w:r w:rsidR="002B376E" w:rsidRPr="002B376E">
        <w:t>.</w:t>
      </w:r>
    </w:p>
    <w:p w:rsidR="002B376E" w:rsidRPr="002B376E" w:rsidRDefault="002B376E" w:rsidP="002B376E">
      <w:r w:rsidRPr="002B376E">
        <w:t xml:space="preserve">7.d. </w:t>
      </w:r>
      <w:r w:rsidRPr="002B376E">
        <w:rPr>
          <w:rFonts w:ascii="Arial" w:hAnsi="Arial" w:cs="Arial"/>
        </w:rPr>
        <w:t>והחזיק</w:t>
      </w:r>
      <w:r w:rsidRPr="002B376E">
        <w:t xml:space="preserve"> </w:t>
      </w:r>
      <w:r w:rsidR="0081660E" w:rsidRPr="0081660E">
        <w:rPr>
          <w:rFonts w:ascii="Arial" w:hAnsi="Arial" w:cs="Arial"/>
        </w:rPr>
        <w:t>בהם</w:t>
      </w:r>
      <w:r w:rsidR="0081660E">
        <w:t xml:space="preserve"> </w:t>
      </w:r>
      <w:r w:rsidR="002F46A6" w:rsidRPr="002F46A6">
        <w:rPr>
          <w:rFonts w:ascii="Arial" w:hAnsi="Arial" w:cs="Arial"/>
        </w:rPr>
        <w:t>ועשה</w:t>
      </w:r>
      <w:r w:rsidR="002F46A6" w:rsidRPr="002F46A6">
        <w:t xml:space="preserve"> </w:t>
      </w:r>
      <w:r w:rsidRPr="002B376E">
        <w:t xml:space="preserve">“he will deal with them and </w:t>
      </w:r>
      <w:r w:rsidR="0081660E">
        <w:t xml:space="preserve">he </w:t>
      </w:r>
      <w:r w:rsidRPr="002B376E">
        <w:t>will prevail.”</w:t>
      </w:r>
    </w:p>
    <w:p w:rsidR="002B376E" w:rsidRPr="002B376E" w:rsidRDefault="002B376E" w:rsidP="002B376E">
      <w:r w:rsidRPr="002B376E">
        <w:t xml:space="preserve">8.a. Emphatic </w:t>
      </w:r>
      <w:r w:rsidRPr="002B376E">
        <w:rPr>
          <w:rFonts w:ascii="Arial" w:hAnsi="Arial" w:cs="Arial"/>
        </w:rPr>
        <w:t>הוא</w:t>
      </w:r>
      <w:r w:rsidRPr="002B376E">
        <w:t xml:space="preserve"> precedes the </w:t>
      </w:r>
      <w:r w:rsidR="002B61F2">
        <w:t>verb</w:t>
      </w:r>
      <w:r w:rsidRPr="002B376E">
        <w:t xml:space="preserve">, suggesting a circumstantial </w:t>
      </w:r>
      <w:r w:rsidR="00F91222">
        <w:t xml:space="preserve">clause </w:t>
      </w:r>
      <w:r w:rsidRPr="002B376E">
        <w:t>(Montgomery).</w:t>
      </w:r>
    </w:p>
    <w:p w:rsidR="002B376E" w:rsidRPr="002B376E" w:rsidRDefault="002B376E" w:rsidP="002B376E">
      <w:r w:rsidRPr="002B376E">
        <w:t xml:space="preserve">8.b. </w:t>
      </w:r>
      <w:r w:rsidRPr="002B376E">
        <w:rPr>
          <w:rFonts w:ascii="Arial" w:hAnsi="Arial" w:cs="Arial"/>
        </w:rPr>
        <w:t>חצפון</w:t>
      </w:r>
      <w:r w:rsidRPr="002B376E">
        <w:t xml:space="preserve"> in </w:t>
      </w:r>
      <w:r w:rsidR="0081660E">
        <w:t xml:space="preserve">the </w:t>
      </w:r>
      <w:r w:rsidRPr="002B376E">
        <w:t xml:space="preserve">BHS </w:t>
      </w:r>
      <w:r w:rsidR="0081660E">
        <w:t xml:space="preserve">fascicle </w:t>
      </w:r>
      <w:r w:rsidRPr="002B376E">
        <w:t xml:space="preserve">is a misprint for </w:t>
      </w:r>
      <w:r w:rsidRPr="002B376E">
        <w:rPr>
          <w:rFonts w:ascii="Arial" w:hAnsi="Arial" w:cs="Arial"/>
        </w:rPr>
        <w:t>הצפון</w:t>
      </w:r>
      <w:r w:rsidRPr="002B376E">
        <w:t>.</w:t>
      </w:r>
    </w:p>
    <w:p w:rsidR="002B376E" w:rsidRPr="002B376E" w:rsidRDefault="002B376E" w:rsidP="002B376E">
      <w:r w:rsidRPr="002B376E">
        <w:t xml:space="preserve">10.a. </w:t>
      </w:r>
      <w:r w:rsidRPr="002B376E">
        <w:rPr>
          <w:rFonts w:ascii="Arial" w:hAnsi="Arial" w:cs="Arial"/>
        </w:rPr>
        <w:t>בניו</w:t>
      </w:r>
      <w:r w:rsidRPr="002B376E">
        <w:t xml:space="preserve"> Q; K </w:t>
      </w:r>
      <w:r w:rsidRPr="002B376E">
        <w:rPr>
          <w:rFonts w:ascii="Arial" w:hAnsi="Arial" w:cs="Arial"/>
        </w:rPr>
        <w:t>בנו</w:t>
      </w:r>
      <w:r w:rsidRPr="002B376E">
        <w:t xml:space="preserve"> “his son.” Historically K is more accurate (see </w:t>
      </w:r>
      <w:r w:rsidRPr="0081660E">
        <w:rPr>
          <w:i/>
        </w:rPr>
        <w:t>Comment</w:t>
      </w:r>
      <w:r w:rsidR="0081660E">
        <w:t>); s.</w:t>
      </w:r>
      <w:r w:rsidRPr="002B376E">
        <w:t xml:space="preserve"> and pl. both appear in v 10, the su</w:t>
      </w:r>
      <w:r w:rsidR="002073C0">
        <w:t>bject</w:t>
      </w:r>
      <w:r w:rsidRPr="002B376E">
        <w:t xml:space="preserve"> of some </w:t>
      </w:r>
      <w:r w:rsidR="002B61F2">
        <w:t>verb</w:t>
      </w:r>
      <w:r w:rsidRPr="002B376E">
        <w:t>s being unclear.</w:t>
      </w:r>
    </w:p>
    <w:p w:rsidR="002B376E" w:rsidRPr="002B376E" w:rsidRDefault="002B376E" w:rsidP="002B376E">
      <w:r w:rsidRPr="002B376E">
        <w:t xml:space="preserve">10.b-b. </w:t>
      </w:r>
      <w:r w:rsidRPr="002B376E">
        <w:rPr>
          <w:rFonts w:ascii="Arial" w:hAnsi="Arial" w:cs="Arial"/>
        </w:rPr>
        <w:t>ועבר</w:t>
      </w:r>
      <w:r w:rsidRPr="002B376E">
        <w:t xml:space="preserve"> </w:t>
      </w:r>
      <w:r w:rsidR="0081660E" w:rsidRPr="0081660E">
        <w:rPr>
          <w:rFonts w:ascii="Arial" w:hAnsi="Arial" w:cs="Arial"/>
        </w:rPr>
        <w:t>ושטף</w:t>
      </w:r>
      <w:r w:rsidR="0081660E">
        <w:t xml:space="preserve"> </w:t>
      </w:r>
      <w:r w:rsidR="0081660E" w:rsidRPr="0081660E">
        <w:rPr>
          <w:rFonts w:ascii="Arial" w:hAnsi="Arial" w:cs="Arial"/>
        </w:rPr>
        <w:t>בוא</w:t>
      </w:r>
      <w:r w:rsidR="0081660E">
        <w:t xml:space="preserve"> </w:t>
      </w:r>
      <w:r w:rsidR="0081660E" w:rsidRPr="0081660E">
        <w:rPr>
          <w:rFonts w:ascii="Arial" w:hAnsi="Arial" w:cs="Arial"/>
        </w:rPr>
        <w:t>ובא</w:t>
      </w:r>
      <w:r w:rsidR="0081660E" w:rsidRPr="0081660E">
        <w:t xml:space="preserve"> </w:t>
      </w:r>
      <w:r w:rsidR="0081660E">
        <w:t>“will come [with] com</w:t>
      </w:r>
      <w:r w:rsidRPr="002B376E">
        <w:t xml:space="preserve">ing and will pour through and will overwhelm.” </w:t>
      </w:r>
      <w:r w:rsidR="0081660E">
        <w:t>Inf.</w:t>
      </w:r>
      <w:r w:rsidR="00791296">
        <w:t xml:space="preserve"> </w:t>
      </w:r>
      <w:r w:rsidRPr="002B376E">
        <w:rPr>
          <w:rFonts w:ascii="Arial" w:hAnsi="Arial" w:cs="Arial"/>
        </w:rPr>
        <w:t>בוא</w:t>
      </w:r>
      <w:r w:rsidRPr="002B376E">
        <w:t xml:space="preserve"> suggests repeated action; some </w:t>
      </w:r>
      <w:r w:rsidR="003F4DB6" w:rsidRPr="003F4DB6">
        <w:t xml:space="preserve">medieval </w:t>
      </w:r>
      <w:r w:rsidRPr="002B376E">
        <w:t xml:space="preserve">mss have </w:t>
      </w:r>
      <w:r w:rsidRPr="002B376E">
        <w:rPr>
          <w:rFonts w:ascii="Arial" w:hAnsi="Arial" w:cs="Arial"/>
        </w:rPr>
        <w:t>בו</w:t>
      </w:r>
      <w:r w:rsidR="00F25BC5">
        <w:rPr>
          <w:rFonts w:ascii="Arial" w:hAnsi="Arial" w:cs="Arial"/>
        </w:rPr>
        <w:t xml:space="preserve"> </w:t>
      </w:r>
      <w:r w:rsidR="00F25BC5" w:rsidRPr="00F25BC5">
        <w:rPr>
          <w:rFonts w:ascii="Arial" w:hAnsi="Arial" w:cs="Arial"/>
        </w:rPr>
        <w:t>(</w:t>
      </w:r>
      <w:r w:rsidR="00F25BC5" w:rsidRPr="00F25BC5">
        <w:rPr>
          <w:rFonts w:cs="Arial"/>
        </w:rPr>
        <w:t>cf. OG, Syr)</w:t>
      </w:r>
      <w:r w:rsidR="0081660E" w:rsidRPr="00F25BC5">
        <w:t>,</w:t>
      </w:r>
      <w:r w:rsidR="0081660E">
        <w:t xml:space="preserve"> but that reading</w:t>
      </w:r>
      <w:r w:rsidRPr="002B376E">
        <w:t xml:space="preserve"> is idiomatically simpler and fits the context less well.</w:t>
      </w:r>
    </w:p>
    <w:p w:rsidR="002B376E" w:rsidRPr="002B376E" w:rsidRDefault="002B376E" w:rsidP="002B376E">
      <w:r w:rsidRPr="002B376E">
        <w:t xml:space="preserve">10.c. </w:t>
      </w:r>
      <w:r w:rsidRPr="002B376E">
        <w:rPr>
          <w:rFonts w:ascii="Arial" w:hAnsi="Arial" w:cs="Arial"/>
        </w:rPr>
        <w:t>מעזה</w:t>
      </w:r>
      <w:r w:rsidRPr="002B376E">
        <w:t xml:space="preserve">: presumably the southern king’s, as he is </w:t>
      </w:r>
      <w:r w:rsidR="005F4CCF">
        <w:t>the antecedent</w:t>
      </w:r>
      <w:r w:rsidRPr="002B376E">
        <w:t>;</w:t>
      </w:r>
      <w:r w:rsidR="0081660E">
        <w:t xml:space="preserve"> the southern king has </w:t>
      </w:r>
      <w:r w:rsidRPr="002B376E">
        <w:t>changed since v 9</w:t>
      </w:r>
      <w:r w:rsidR="0081660E">
        <w:t>,</w:t>
      </w:r>
      <w:r w:rsidRPr="002B376E">
        <w:t xml:space="preserve"> from Ptolemy</w:t>
      </w:r>
      <w:r w:rsidR="0081660E">
        <w:t xml:space="preserve"> </w:t>
      </w:r>
      <w:r w:rsidR="00056055">
        <w:t xml:space="preserve">III to Ptolemy IV, but the celestial being </w:t>
      </w:r>
      <w:r w:rsidRPr="002B376E">
        <w:t>often views the sequences of kings corporately, esp. the southern</w:t>
      </w:r>
      <w:r w:rsidR="002E4C44">
        <w:t xml:space="preserve"> one</w:t>
      </w:r>
      <w:r w:rsidRPr="002B376E">
        <w:t xml:space="preserve">, who is merely the opponent of the great northern king (Hasslberger, </w:t>
      </w:r>
      <w:r w:rsidRPr="00E008EC">
        <w:rPr>
          <w:i/>
        </w:rPr>
        <w:t>Hoffnung</w:t>
      </w:r>
      <w:r w:rsidR="00E008EC">
        <w:rPr>
          <w:i/>
        </w:rPr>
        <w:t xml:space="preserve"> </w:t>
      </w:r>
      <w:r w:rsidR="00E008EC" w:rsidRPr="00E008EC">
        <w:rPr>
          <w:i/>
        </w:rPr>
        <w:t>in der Bedrängnis</w:t>
      </w:r>
      <w:r w:rsidRPr="002B376E">
        <w:t>). Driver suggests Gaza (</w:t>
      </w:r>
      <w:r w:rsidRPr="002B376E">
        <w:rPr>
          <w:rFonts w:ascii="Arial" w:hAnsi="Arial" w:cs="Arial"/>
        </w:rPr>
        <w:t>עזה</w:t>
      </w:r>
      <w:r w:rsidRPr="002B376E">
        <w:t>!), though Antiochus may have already occupied that</w:t>
      </w:r>
      <w:r w:rsidR="005F4CCF">
        <w:t xml:space="preserve"> town</w:t>
      </w:r>
      <w:r w:rsidRPr="002B376E">
        <w:t xml:space="preserve">; more likely Raphia (see </w:t>
      </w:r>
      <w:r w:rsidRPr="0081660E">
        <w:rPr>
          <w:i/>
        </w:rPr>
        <w:t>Comment</w:t>
      </w:r>
      <w:r w:rsidRPr="002B376E">
        <w:t>).</w:t>
      </w:r>
    </w:p>
    <w:p w:rsidR="002B376E" w:rsidRPr="002B376E" w:rsidRDefault="005A7A16" w:rsidP="002B376E">
      <w:r>
        <w:t>11.a. Perhaps a double reading (Collins); but f</w:t>
      </w:r>
      <w:r w:rsidR="002B376E" w:rsidRPr="002B376E">
        <w:t>or such defining phrases explaining a pronoun, see GKC 131n.</w:t>
      </w:r>
    </w:p>
    <w:p w:rsidR="002B376E" w:rsidRPr="002B376E" w:rsidRDefault="0081660E" w:rsidP="002B376E">
      <w:r>
        <w:t>11.b. The northern king</w:t>
      </w:r>
      <w:r w:rsidR="002B376E" w:rsidRPr="002B376E">
        <w:t xml:space="preserve"> is the antecedent; his army is therefore overcome by the southern king.</w:t>
      </w:r>
    </w:p>
    <w:p w:rsidR="002B376E" w:rsidRPr="002B376E" w:rsidRDefault="002B376E" w:rsidP="002B376E">
      <w:r w:rsidRPr="002B376E">
        <w:t xml:space="preserve">12.a. Like chaff carried off by the wind (Delcor, comparing 2:35). “Rises up [for battle]” (cf. Keil) is less likely, since the usage of </w:t>
      </w:r>
      <w:r w:rsidRPr="002B376E">
        <w:rPr>
          <w:rFonts w:ascii="Arial" w:hAnsi="Arial" w:cs="Arial"/>
        </w:rPr>
        <w:t>נשא</w:t>
      </w:r>
      <w:r w:rsidRPr="002B376E">
        <w:t xml:space="preserve"> is more unusual and </w:t>
      </w:r>
      <w:r w:rsidRPr="002B376E">
        <w:rPr>
          <w:rFonts w:ascii="Arial" w:hAnsi="Arial" w:cs="Arial"/>
        </w:rPr>
        <w:t>ההמנן</w:t>
      </w:r>
      <w:r w:rsidRPr="002B376E">
        <w:t xml:space="preserve"> “the horde” has to refer to a different army.</w:t>
      </w:r>
    </w:p>
    <w:p w:rsidR="002B376E" w:rsidRPr="002B376E" w:rsidRDefault="002B376E" w:rsidP="002B376E">
      <w:r w:rsidRPr="002B376E">
        <w:t>12.b. After v 11, presumab</w:t>
      </w:r>
      <w:r w:rsidR="0081660E">
        <w:t xml:space="preserve">ly the southern king, which then leads naturally </w:t>
      </w:r>
      <w:r w:rsidRPr="002B376E">
        <w:t>into v 13.</w:t>
      </w:r>
    </w:p>
    <w:p w:rsidR="002B376E" w:rsidRPr="002B376E" w:rsidRDefault="002B376E" w:rsidP="002B376E">
      <w:r w:rsidRPr="002B376E">
        <w:t xml:space="preserve">12.c. K </w:t>
      </w:r>
      <w:r w:rsidRPr="002B376E">
        <w:rPr>
          <w:rFonts w:ascii="Arial" w:hAnsi="Arial" w:cs="Arial"/>
        </w:rPr>
        <w:t>ירום</w:t>
      </w:r>
      <w:r w:rsidRPr="002B376E">
        <w:t xml:space="preserve">; Q, C, many </w:t>
      </w:r>
      <w:r w:rsidR="003F4DB6" w:rsidRPr="003F4DB6">
        <w:t xml:space="preserve">medieval </w:t>
      </w:r>
      <w:r w:rsidRPr="002B376E">
        <w:t xml:space="preserve">mss </w:t>
      </w:r>
      <w:r w:rsidRPr="002B376E">
        <w:rPr>
          <w:rFonts w:ascii="Arial" w:hAnsi="Arial" w:cs="Arial"/>
        </w:rPr>
        <w:t>ורם</w:t>
      </w:r>
      <w:r w:rsidR="002C5E9A">
        <w:t xml:space="preserve">. </w:t>
      </w:r>
      <w:r w:rsidRPr="002B376E">
        <w:t>Dahood</w:t>
      </w:r>
      <w:r w:rsidR="002C5E9A">
        <w:t xml:space="preserve"> (“Hebrew-Ugaritic Lexicography III,”</w:t>
      </w:r>
      <w:r w:rsidRPr="002B376E">
        <w:t xml:space="preserve"> 323) takes </w:t>
      </w:r>
      <w:r w:rsidRPr="002B376E">
        <w:rPr>
          <w:rFonts w:ascii="Arial" w:hAnsi="Arial" w:cs="Arial"/>
        </w:rPr>
        <w:t>ירום</w:t>
      </w:r>
      <w:r w:rsidRPr="002B376E">
        <w:t xml:space="preserve"> as </w:t>
      </w:r>
      <w:r w:rsidR="00881994">
        <w:t>participle</w:t>
      </w:r>
      <w:r w:rsidRPr="002B376E">
        <w:t xml:space="preserve"> from </w:t>
      </w:r>
      <w:r w:rsidRPr="002B376E">
        <w:rPr>
          <w:rFonts w:ascii="Arial" w:hAnsi="Arial" w:cs="Arial"/>
        </w:rPr>
        <w:t>ירם</w:t>
      </w:r>
      <w:r w:rsidRPr="002B376E">
        <w:t xml:space="preserve">, a by-form of </w:t>
      </w:r>
      <w:r w:rsidRPr="002B376E">
        <w:rPr>
          <w:rFonts w:ascii="Arial" w:hAnsi="Arial" w:cs="Arial"/>
        </w:rPr>
        <w:t>רום</w:t>
      </w:r>
      <w:r w:rsidRPr="002B376E">
        <w:t>.</w:t>
      </w:r>
    </w:p>
    <w:p w:rsidR="002B376E" w:rsidRPr="002B376E" w:rsidRDefault="002B376E" w:rsidP="002B376E">
      <w:r w:rsidRPr="002B376E">
        <w:t xml:space="preserve">12.d. </w:t>
      </w:r>
      <w:r w:rsidRPr="002B376E">
        <w:rPr>
          <w:rFonts w:ascii="Arial" w:hAnsi="Arial" w:cs="Arial"/>
        </w:rPr>
        <w:t>רבאות</w:t>
      </w:r>
      <w:r w:rsidRPr="002B376E">
        <w:t>, a mixed form (BHS).</w:t>
      </w:r>
    </w:p>
    <w:p w:rsidR="002B376E" w:rsidRPr="002B376E" w:rsidRDefault="002B376E" w:rsidP="002B376E">
      <w:r w:rsidRPr="002B376E">
        <w:t xml:space="preserve">13.a. </w:t>
      </w:r>
      <w:r w:rsidRPr="002B376E">
        <w:rPr>
          <w:rFonts w:ascii="Arial" w:hAnsi="Arial" w:cs="Arial"/>
        </w:rPr>
        <w:t>שב</w:t>
      </w:r>
      <w:r w:rsidRPr="002B376E">
        <w:t xml:space="preserve"> could simply indicate repetition (“will again [raise a horde]”), cf. vv 10a, 29a; but chap. 11 often uses </w:t>
      </w:r>
      <w:r w:rsidRPr="002B376E">
        <w:rPr>
          <w:rFonts w:ascii="Arial" w:hAnsi="Arial" w:cs="Arial"/>
        </w:rPr>
        <w:t>שוב</w:t>
      </w:r>
      <w:r w:rsidRPr="002B376E">
        <w:t xml:space="preserve"> for north-south movement (cf. vv 9 [with </w:t>
      </w:r>
      <w:r w:rsidRPr="002B376E">
        <w:rPr>
          <w:rFonts w:ascii="Arial" w:hAnsi="Arial" w:cs="Arial"/>
        </w:rPr>
        <w:t>בוא</w:t>
      </w:r>
      <w:r w:rsidR="002C5E9A">
        <w:t>, as here]</w:t>
      </w:r>
      <w:r w:rsidRPr="002B376E">
        <w:t>, 28–30).</w:t>
      </w:r>
    </w:p>
    <w:p w:rsidR="002B376E" w:rsidRPr="002B376E" w:rsidRDefault="002B376E" w:rsidP="002B376E">
      <w:r w:rsidRPr="002B376E">
        <w:t xml:space="preserve">13.b-b. </w:t>
      </w:r>
      <w:r w:rsidRPr="002B376E">
        <w:rPr>
          <w:rFonts w:ascii="Arial" w:hAnsi="Arial" w:cs="Arial"/>
        </w:rPr>
        <w:t>שנים</w:t>
      </w:r>
      <w:r w:rsidRPr="002B376E">
        <w:t xml:space="preserve"> </w:t>
      </w:r>
      <w:r w:rsidR="002C5E9A" w:rsidRPr="002C5E9A">
        <w:rPr>
          <w:rFonts w:ascii="Arial" w:hAnsi="Arial" w:cs="Arial"/>
        </w:rPr>
        <w:t>העתים</w:t>
      </w:r>
      <w:r w:rsidR="002C5E9A">
        <w:t xml:space="preserve"> </w:t>
      </w:r>
      <w:r w:rsidR="002C5E9A" w:rsidRPr="002C5E9A">
        <w:rPr>
          <w:rFonts w:ascii="Arial" w:hAnsi="Arial" w:cs="Arial"/>
        </w:rPr>
        <w:t>לקץ</w:t>
      </w:r>
      <w:r w:rsidR="002C5E9A" w:rsidRPr="002C5E9A">
        <w:t xml:space="preserve"> </w:t>
      </w:r>
      <w:r w:rsidRPr="002B376E">
        <w:t xml:space="preserve">“at the end of the times, years”; </w:t>
      </w:r>
      <w:r w:rsidR="005A7A16">
        <w:t>again p</w:t>
      </w:r>
      <w:r w:rsidR="005A7A16" w:rsidRPr="005A7A16">
        <w:t>erhaps a double reading (Collins</w:t>
      </w:r>
      <w:r w:rsidR="005A7A16">
        <w:t xml:space="preserve">) but </w:t>
      </w:r>
      <w:r w:rsidRPr="002B376E">
        <w:t xml:space="preserve">cf. the expression in 10:2 and </w:t>
      </w:r>
      <w:r w:rsidR="002C5E9A">
        <w:t>the note</w:t>
      </w:r>
      <w:r w:rsidRPr="002B376E">
        <w:t>.</w:t>
      </w:r>
    </w:p>
    <w:p w:rsidR="002B376E" w:rsidRPr="002B376E" w:rsidRDefault="002B376E" w:rsidP="002B376E">
      <w:r w:rsidRPr="002B376E">
        <w:t xml:space="preserve">13.c. </w:t>
      </w:r>
      <w:r w:rsidRPr="002B376E">
        <w:rPr>
          <w:rFonts w:ascii="Arial" w:hAnsi="Arial" w:cs="Arial"/>
        </w:rPr>
        <w:t>בוא</w:t>
      </w:r>
      <w:r w:rsidR="005F4CCF">
        <w:rPr>
          <w:rFonts w:ascii="Arial" w:hAnsi="Arial" w:cs="Arial"/>
        </w:rPr>
        <w:t xml:space="preserve"> </w:t>
      </w:r>
      <w:r w:rsidR="005F4CCF" w:rsidRPr="005F4CCF">
        <w:rPr>
          <w:rFonts w:ascii="Arial" w:hAnsi="Arial" w:cs="Arial"/>
        </w:rPr>
        <w:t>יבוא</w:t>
      </w:r>
      <w:r w:rsidRPr="002B376E">
        <w:t>; see n. 10.b-b.</w:t>
      </w:r>
    </w:p>
    <w:p w:rsidR="002B376E" w:rsidRPr="002B376E" w:rsidRDefault="002B376E" w:rsidP="002B376E">
      <w:r w:rsidRPr="002B376E">
        <w:t xml:space="preserve">14.a. </w:t>
      </w:r>
      <w:r w:rsidRPr="002B376E">
        <w:rPr>
          <w:rFonts w:ascii="Arial" w:hAnsi="Arial" w:cs="Arial"/>
        </w:rPr>
        <w:t>פריצי</w:t>
      </w:r>
      <w:r w:rsidRPr="002B376E">
        <w:t xml:space="preserve"> </w:t>
      </w:r>
      <w:r w:rsidR="00FA0C38" w:rsidRPr="00FA0C38">
        <w:rPr>
          <w:rFonts w:ascii="Arial" w:hAnsi="Arial" w:cs="Arial"/>
        </w:rPr>
        <w:t>בני</w:t>
      </w:r>
      <w:r w:rsidR="00FA0C38" w:rsidRPr="00FA0C38">
        <w:t xml:space="preserve"> </w:t>
      </w:r>
      <w:r w:rsidRPr="002B376E">
        <w:t>“t</w:t>
      </w:r>
      <w:r w:rsidR="005F4CCF">
        <w:t xml:space="preserve">he sons of the violent of [your </w:t>
      </w:r>
      <w:r w:rsidRPr="002B376E">
        <w:t xml:space="preserve">people]”: see </w:t>
      </w:r>
      <w:r w:rsidRPr="00FA0C38">
        <w:rPr>
          <w:i/>
        </w:rPr>
        <w:t>Comment</w:t>
      </w:r>
      <w:r w:rsidRPr="002B376E">
        <w:t>.</w:t>
      </w:r>
    </w:p>
    <w:p w:rsidR="002B376E" w:rsidRPr="002B376E" w:rsidRDefault="002B376E" w:rsidP="002B376E">
      <w:r w:rsidRPr="002B376E">
        <w:t xml:space="preserve">14.b. </w:t>
      </w:r>
      <w:r w:rsidRPr="002B376E">
        <w:rPr>
          <w:rFonts w:ascii="Arial" w:hAnsi="Arial" w:cs="Arial"/>
        </w:rPr>
        <w:t>העמיד</w:t>
      </w:r>
      <w:r w:rsidR="00FA0C38">
        <w:t xml:space="preserve"> </w:t>
      </w:r>
      <w:r w:rsidR="005F4CCF" w:rsidRPr="005F4CCF">
        <w:rPr>
          <w:rFonts w:ascii="Arial" w:hAnsi="Arial" w:cs="Arial"/>
        </w:rPr>
        <w:t>ל</w:t>
      </w:r>
      <w:r w:rsidR="005F4CCF" w:rsidRPr="005F4CCF">
        <w:t xml:space="preserve"> </w:t>
      </w:r>
      <w:r w:rsidR="00FA0C38">
        <w:t xml:space="preserve">could denote their </w:t>
      </w:r>
      <w:r w:rsidRPr="002B376E">
        <w:t>aim or simply the result of their action.</w:t>
      </w:r>
    </w:p>
    <w:p w:rsidR="002B376E" w:rsidRPr="002B376E" w:rsidRDefault="002B376E" w:rsidP="002B376E">
      <w:r w:rsidRPr="002B376E">
        <w:lastRenderedPageBreak/>
        <w:t xml:space="preserve">15.a. If v 15 refers to further stages in the campaign (see </w:t>
      </w:r>
      <w:r w:rsidRPr="00FA0C38">
        <w:rPr>
          <w:i/>
        </w:rPr>
        <w:t>Comment</w:t>
      </w:r>
      <w:r w:rsidRPr="002B376E">
        <w:t>); but v 15 could resume from v 13 after a parenthesis in v 14.</w:t>
      </w:r>
    </w:p>
    <w:p w:rsidR="002B376E" w:rsidRPr="002B376E" w:rsidRDefault="002B376E" w:rsidP="002B376E">
      <w:r w:rsidRPr="002B376E">
        <w:t xml:space="preserve">15.b. </w:t>
      </w:r>
      <w:r w:rsidRPr="002B376E">
        <w:rPr>
          <w:rFonts w:ascii="Arial" w:hAnsi="Arial" w:cs="Arial"/>
        </w:rPr>
        <w:t>וישפך</w:t>
      </w:r>
      <w:r w:rsidRPr="002B376E">
        <w:t>; 4QDan</w:t>
      </w:r>
      <w:r w:rsidRPr="00FA0C38">
        <w:rPr>
          <w:vertAlign w:val="superscript"/>
        </w:rPr>
        <w:t>a,c</w:t>
      </w:r>
      <w:r w:rsidRPr="002B376E">
        <w:t xml:space="preserve"> </w:t>
      </w:r>
      <w:r w:rsidRPr="002B376E">
        <w:rPr>
          <w:rFonts w:ascii="Arial" w:hAnsi="Arial" w:cs="Arial"/>
        </w:rPr>
        <w:t>ושפך</w:t>
      </w:r>
      <w:r w:rsidRPr="002B376E">
        <w:t xml:space="preserve"> is more what one would have expected (Pace, </w:t>
      </w:r>
      <w:r w:rsidR="00FA0C38" w:rsidRPr="00FA0C38">
        <w:rPr>
          <w:i/>
        </w:rPr>
        <w:t>OG Text</w:t>
      </w:r>
      <w:r w:rsidR="00FA0C38">
        <w:t>,</w:t>
      </w:r>
      <w:r w:rsidR="00FA0C38" w:rsidRPr="00FA0C38">
        <w:t xml:space="preserve"> </w:t>
      </w:r>
      <w:r w:rsidRPr="002B376E">
        <w:t>34).</w:t>
      </w:r>
    </w:p>
    <w:p w:rsidR="002B376E" w:rsidRPr="002B376E" w:rsidRDefault="002B376E" w:rsidP="00567CCA">
      <w:r w:rsidRPr="002B376E">
        <w:t xml:space="preserve">15.c. See </w:t>
      </w:r>
      <w:r w:rsidRPr="00FA0C38">
        <w:rPr>
          <w:i/>
        </w:rPr>
        <w:t>Comment</w:t>
      </w:r>
      <w:r w:rsidRPr="002B376E">
        <w:t xml:space="preserve">. Th, </w:t>
      </w:r>
      <w:r w:rsidR="00F91222">
        <w:t>Syr</w:t>
      </w:r>
      <w:r w:rsidRPr="002B376E">
        <w:t xml:space="preserve"> take </w:t>
      </w:r>
      <w:r w:rsidR="00FA0C38" w:rsidRPr="00FA0C38">
        <w:rPr>
          <w:rFonts w:ascii="Arial" w:hAnsi="Arial" w:cs="Arial"/>
        </w:rPr>
        <w:t>ת</w:t>
      </w:r>
      <w:r w:rsidR="00567CCA">
        <w:rPr>
          <w:rFonts w:ascii="Arial" w:hAnsi="Arial" w:cs="Arial"/>
        </w:rPr>
        <w:t xml:space="preserve"> </w:t>
      </w:r>
      <w:r w:rsidR="00567CCA" w:rsidRPr="00567CCA">
        <w:rPr>
          <w:rFonts w:ascii="Arial" w:hAnsi="Arial" w:cs="Arial"/>
        </w:rPr>
        <w:t>ו</w:t>
      </w:r>
      <w:r w:rsidR="00567CCA">
        <w:rPr>
          <w:rFonts w:ascii="Arial" w:hAnsi="Arial" w:cs="Arial"/>
        </w:rPr>
        <w:t xml:space="preserve"> </w:t>
      </w:r>
      <w:r w:rsidR="00567CCA" w:rsidRPr="00567CCA">
        <w:rPr>
          <w:rFonts w:ascii="Arial" w:hAnsi="Arial" w:cs="Arial"/>
        </w:rPr>
        <w:t>ר</w:t>
      </w:r>
      <w:r w:rsidR="00567CCA">
        <w:rPr>
          <w:rFonts w:ascii="Arial" w:hAnsi="Arial" w:cs="Arial"/>
        </w:rPr>
        <w:t xml:space="preserve"> </w:t>
      </w:r>
      <w:r w:rsidR="00567CCA" w:rsidRPr="00567CCA">
        <w:rPr>
          <w:rFonts w:ascii="Arial" w:hAnsi="Arial" w:cs="Arial"/>
        </w:rPr>
        <w:t>צ</w:t>
      </w:r>
      <w:r w:rsidR="005F4CCF">
        <w:rPr>
          <w:rFonts w:ascii="Arial" w:hAnsi="Arial" w:cs="Arial"/>
        </w:rPr>
        <w:t xml:space="preserve"> </w:t>
      </w:r>
      <w:r w:rsidR="005F4CCF" w:rsidRPr="005F4CCF">
        <w:rPr>
          <w:rFonts w:ascii="Arial" w:hAnsi="Arial" w:cs="Arial"/>
        </w:rPr>
        <w:t>ב</w:t>
      </w:r>
      <w:r w:rsidR="005F4CCF">
        <w:rPr>
          <w:rFonts w:ascii="Arial" w:hAnsi="Arial" w:cs="Arial"/>
        </w:rPr>
        <w:t xml:space="preserve"> </w:t>
      </w:r>
      <w:r w:rsidR="00FA0C38" w:rsidRPr="00FA0C38">
        <w:rPr>
          <w:rFonts w:ascii="Arial" w:hAnsi="Arial" w:cs="Arial"/>
        </w:rPr>
        <w:t>מ</w:t>
      </w:r>
      <w:r w:rsidR="00085C18">
        <w:rPr>
          <w:rFonts w:ascii="Arial" w:hAnsi="Arial" w:cs="Arial"/>
        </w:rPr>
        <w:t xml:space="preserve"> </w:t>
      </w:r>
      <w:r w:rsidR="00FA0C38" w:rsidRPr="00FA0C38">
        <w:t xml:space="preserve"> </w:t>
      </w:r>
      <w:r w:rsidR="00FA0C38" w:rsidRPr="00FA0C38">
        <w:rPr>
          <w:rFonts w:ascii="Arial" w:hAnsi="Arial" w:cs="Arial"/>
        </w:rPr>
        <w:t>ר</w:t>
      </w:r>
      <w:r w:rsidR="00567CCA">
        <w:rPr>
          <w:rFonts w:ascii="Arial" w:hAnsi="Arial" w:cs="Arial"/>
        </w:rPr>
        <w:t xml:space="preserve"> </w:t>
      </w:r>
      <w:r w:rsidR="00FA0C38" w:rsidRPr="00FA0C38">
        <w:rPr>
          <w:rFonts w:ascii="Arial" w:hAnsi="Arial" w:cs="Arial"/>
        </w:rPr>
        <w:t>י</w:t>
      </w:r>
      <w:r w:rsidR="00085C18">
        <w:rPr>
          <w:rFonts w:ascii="Arial" w:hAnsi="Arial" w:cs="Arial"/>
        </w:rPr>
        <w:t xml:space="preserve"> </w:t>
      </w:r>
      <w:r w:rsidR="00FA0C38" w:rsidRPr="00FA0C38">
        <w:rPr>
          <w:rFonts w:ascii="Arial" w:hAnsi="Arial" w:cs="Arial"/>
        </w:rPr>
        <w:t>ע</w:t>
      </w:r>
      <w:r w:rsidR="00FA0C38">
        <w:t xml:space="preserve"> </w:t>
      </w:r>
      <w:r w:rsidRPr="002B376E">
        <w:t xml:space="preserve">as pl. (cf. GKC 124r). The standard pl. expression is </w:t>
      </w:r>
      <w:r w:rsidRPr="002B376E">
        <w:rPr>
          <w:rFonts w:ascii="Arial" w:hAnsi="Arial" w:cs="Arial"/>
        </w:rPr>
        <w:t>בצרות</w:t>
      </w:r>
      <w:r w:rsidRPr="002B376E">
        <w:t xml:space="preserve"> </w:t>
      </w:r>
      <w:r w:rsidR="00FA0C38" w:rsidRPr="00FA0C38">
        <w:rPr>
          <w:rFonts w:ascii="Arial" w:hAnsi="Arial" w:cs="Arial"/>
        </w:rPr>
        <w:t>ערים</w:t>
      </w:r>
      <w:r w:rsidR="00FA0C38" w:rsidRPr="00FA0C38">
        <w:t xml:space="preserve"> </w:t>
      </w:r>
      <w:r w:rsidRPr="002B376E">
        <w:t xml:space="preserve">(e.g., Neh 9:25) or </w:t>
      </w:r>
      <w:r w:rsidRPr="002B376E">
        <w:rPr>
          <w:rFonts w:ascii="Arial" w:hAnsi="Arial" w:cs="Arial"/>
        </w:rPr>
        <w:t>מבצר</w:t>
      </w:r>
      <w:r w:rsidR="00085C18">
        <w:rPr>
          <w:rFonts w:ascii="Arial" w:hAnsi="Arial" w:cs="Arial"/>
        </w:rPr>
        <w:t xml:space="preserve"> </w:t>
      </w:r>
      <w:r w:rsidRPr="002B376E">
        <w:t xml:space="preserve"> </w:t>
      </w:r>
      <w:r w:rsidR="00464F08" w:rsidRPr="00464F08">
        <w:rPr>
          <w:rFonts w:ascii="Arial" w:hAnsi="Arial" w:cs="Arial"/>
        </w:rPr>
        <w:t>י</w:t>
      </w:r>
      <w:r w:rsidR="00567CCA">
        <w:rPr>
          <w:rFonts w:ascii="Arial" w:hAnsi="Arial" w:cs="Arial"/>
        </w:rPr>
        <w:t xml:space="preserve"> </w:t>
      </w:r>
      <w:r w:rsidR="00464F08" w:rsidRPr="00464F08">
        <w:rPr>
          <w:rFonts w:ascii="Arial" w:hAnsi="Arial" w:cs="Arial"/>
        </w:rPr>
        <w:t>ר</w:t>
      </w:r>
      <w:r w:rsidR="00567CCA">
        <w:rPr>
          <w:rFonts w:ascii="Arial" w:hAnsi="Arial" w:cs="Arial"/>
        </w:rPr>
        <w:t xml:space="preserve"> </w:t>
      </w:r>
      <w:r w:rsidR="00464F08" w:rsidRPr="00464F08">
        <w:rPr>
          <w:rFonts w:ascii="Arial" w:hAnsi="Arial" w:cs="Arial"/>
        </w:rPr>
        <w:t>ע</w:t>
      </w:r>
      <w:r w:rsidR="00464F08" w:rsidRPr="00464F08">
        <w:t xml:space="preserve"> </w:t>
      </w:r>
      <w:r w:rsidRPr="002B376E">
        <w:t xml:space="preserve">(e.g., Jer 34:7), and the term here might have been misdivided through the influence of </w:t>
      </w:r>
      <w:r w:rsidRPr="002B376E">
        <w:rPr>
          <w:rFonts w:ascii="Arial" w:hAnsi="Arial" w:cs="Arial"/>
        </w:rPr>
        <w:t>ר</w:t>
      </w:r>
      <w:r w:rsidR="00567CCA" w:rsidRPr="00567CCA">
        <w:rPr>
          <w:rFonts w:ascii="Arial" w:hAnsi="Arial" w:cs="Arial"/>
        </w:rPr>
        <w:t xml:space="preserve"> צ ב</w:t>
      </w:r>
      <w:r w:rsidRPr="002B376E">
        <w:t xml:space="preserve"> </w:t>
      </w:r>
      <w:r w:rsidR="00567CCA" w:rsidRPr="00567CCA">
        <w:rPr>
          <w:rFonts w:ascii="Arial" w:hAnsi="Arial" w:cs="Arial"/>
        </w:rPr>
        <w:t>מ</w:t>
      </w:r>
      <w:r w:rsidR="00567CCA" w:rsidRPr="00567CCA">
        <w:t xml:space="preserve"> </w:t>
      </w:r>
      <w:r w:rsidRPr="002B376E">
        <w:t xml:space="preserve">in vv 24, 39 (cf. </w:t>
      </w:r>
      <w:r w:rsidR="00F91222">
        <w:t>Syr</w:t>
      </w:r>
      <w:r w:rsidRPr="002B376E">
        <w:t>?).</w:t>
      </w:r>
    </w:p>
    <w:p w:rsidR="002B376E" w:rsidRPr="002B376E" w:rsidRDefault="002B376E" w:rsidP="002B376E">
      <w:r w:rsidRPr="002B376E">
        <w:t xml:space="preserve">15.d. Or </w:t>
      </w:r>
      <w:r w:rsidR="00E83B20">
        <w:t>perhaps</w:t>
      </w:r>
      <w:r w:rsidR="00464F08">
        <w:t xml:space="preserve"> “their fortresses” (</w:t>
      </w:r>
      <w:r w:rsidRPr="002B376E">
        <w:t>Schafer, “</w:t>
      </w:r>
      <w:r w:rsidRPr="002B376E">
        <w:rPr>
          <w:rFonts w:ascii="Arial" w:hAnsi="Arial" w:cs="Arial"/>
        </w:rPr>
        <w:t>מבחור</w:t>
      </w:r>
      <w:r w:rsidRPr="002B376E">
        <w:t>/</w:t>
      </w:r>
      <w:r w:rsidRPr="002B376E">
        <w:rPr>
          <w:rFonts w:ascii="Arial" w:hAnsi="Arial" w:cs="Arial"/>
        </w:rPr>
        <w:t>מבחר</w:t>
      </w:r>
      <w:r w:rsidR="00464F08">
        <w:t>,</w:t>
      </w:r>
      <w:r w:rsidR="00567CCA">
        <w:t xml:space="preserve"> 395). The suffix </w:t>
      </w:r>
      <w:r w:rsidRPr="002B376E">
        <w:t xml:space="preserve">on </w:t>
      </w:r>
      <w:r w:rsidRPr="002B376E">
        <w:rPr>
          <w:rFonts w:ascii="Arial" w:hAnsi="Arial" w:cs="Arial"/>
        </w:rPr>
        <w:t>מבחריו</w:t>
      </w:r>
      <w:r w:rsidRPr="002B376E">
        <w:t xml:space="preserve"> apparently has </w:t>
      </w:r>
      <w:r w:rsidRPr="002B376E">
        <w:rPr>
          <w:rFonts w:ascii="Arial" w:hAnsi="Arial" w:cs="Arial"/>
        </w:rPr>
        <w:t>הנגב</w:t>
      </w:r>
      <w:r w:rsidRPr="002B376E">
        <w:t xml:space="preserve"> “the </w:t>
      </w:r>
      <w:r w:rsidR="00464F08">
        <w:t>south” as its antecedent (cf. JB</w:t>
      </w:r>
      <w:r w:rsidRPr="002B376E">
        <w:t>).</w:t>
      </w:r>
    </w:p>
    <w:p w:rsidR="002B376E" w:rsidRPr="002B376E" w:rsidRDefault="002B376E" w:rsidP="002B376E">
      <w:r w:rsidRPr="002B376E">
        <w:t xml:space="preserve">15.e-e. </w:t>
      </w:r>
      <w:r w:rsidRPr="002B376E">
        <w:rPr>
          <w:rFonts w:ascii="Arial" w:hAnsi="Arial" w:cs="Arial"/>
        </w:rPr>
        <w:t>כח</w:t>
      </w:r>
      <w:r w:rsidR="00464F08">
        <w:rPr>
          <w:rFonts w:ascii="Arial" w:hAnsi="Arial" w:cs="Arial"/>
        </w:rPr>
        <w:t xml:space="preserve"> </w:t>
      </w:r>
      <w:r w:rsidR="00464F08" w:rsidRPr="00464F08">
        <w:rPr>
          <w:rFonts w:ascii="Arial" w:hAnsi="Arial" w:cs="Arial"/>
        </w:rPr>
        <w:t>ואין</w:t>
      </w:r>
      <w:r w:rsidRPr="002B376E">
        <w:t xml:space="preserve">: emphatic </w:t>
      </w:r>
      <w:r w:rsidRPr="002B376E">
        <w:rPr>
          <w:rFonts w:ascii="Arial" w:hAnsi="Arial" w:cs="Arial"/>
        </w:rPr>
        <w:t>ו</w:t>
      </w:r>
      <w:r w:rsidRPr="002B376E">
        <w:t xml:space="preserve"> (Ehrlich).</w:t>
      </w:r>
    </w:p>
    <w:p w:rsidR="002B376E" w:rsidRPr="002B376E" w:rsidRDefault="002B376E" w:rsidP="002B376E">
      <w:r w:rsidRPr="002B376E">
        <w:t>16.a. See n. 4.b.</w:t>
      </w:r>
    </w:p>
    <w:p w:rsidR="002B376E" w:rsidRPr="002B376E" w:rsidRDefault="002B376E" w:rsidP="002B376E">
      <w:r w:rsidRPr="002B376E">
        <w:t>16.b. See on 8:9.</w:t>
      </w:r>
    </w:p>
    <w:p w:rsidR="002B376E" w:rsidRPr="002B376E" w:rsidRDefault="002B376E" w:rsidP="002B376E">
      <w:r w:rsidRPr="002B376E">
        <w:t xml:space="preserve">16.c. </w:t>
      </w:r>
      <w:r w:rsidRPr="002B376E">
        <w:rPr>
          <w:rFonts w:ascii="Arial" w:hAnsi="Arial" w:cs="Arial"/>
        </w:rPr>
        <w:t>ה</w:t>
      </w:r>
      <w:r w:rsidR="00567CCA">
        <w:rPr>
          <w:rFonts w:ascii="Arial" w:hAnsi="Arial" w:cs="Arial"/>
        </w:rPr>
        <w:t xml:space="preserve"> </w:t>
      </w:r>
      <w:r w:rsidR="00567CCA" w:rsidRPr="00567CCA">
        <w:rPr>
          <w:rFonts w:ascii="Arial" w:hAnsi="Arial" w:cs="Arial"/>
        </w:rPr>
        <w:t>לָ כָּ</w:t>
      </w:r>
      <w:r w:rsidRPr="002B376E">
        <w:t xml:space="preserve">, as 9:27. G, </w:t>
      </w:r>
      <w:r w:rsidR="00F91222">
        <w:t>Syr</w:t>
      </w:r>
      <w:r w:rsidRPr="002B376E">
        <w:t xml:space="preserve"> understand </w:t>
      </w:r>
      <w:r w:rsidRPr="002B376E">
        <w:rPr>
          <w:rFonts w:ascii="Arial" w:hAnsi="Arial" w:cs="Arial"/>
        </w:rPr>
        <w:t>וְכָלָה</w:t>
      </w:r>
      <w:r w:rsidRPr="002B376E">
        <w:t xml:space="preserve"> as a </w:t>
      </w:r>
      <w:r w:rsidR="002B61F2">
        <w:t>verb</w:t>
      </w:r>
      <w:r w:rsidR="00077C62">
        <w:t xml:space="preserve">, suggesting </w:t>
      </w:r>
      <w:r w:rsidRPr="002B376E">
        <w:t>“and it will be destroy</w:t>
      </w:r>
      <w:r w:rsidR="00077C62">
        <w:t>ed by his hand” (cf. Jer 16:4);</w:t>
      </w:r>
      <w:r w:rsidR="00567CCA">
        <w:t xml:space="preserve"> </w:t>
      </w:r>
      <w:r w:rsidRPr="002B376E">
        <w:t xml:space="preserve">the </w:t>
      </w:r>
      <w:r w:rsidR="002B61F2">
        <w:t>verb</w:t>
      </w:r>
      <w:r w:rsidRPr="002B376E">
        <w:t xml:space="preserve"> occurs i</w:t>
      </w:r>
      <w:r w:rsidR="00464F08">
        <w:t>n 12:7. “All of it” (</w:t>
      </w:r>
      <w:r w:rsidR="00BB22D2">
        <w:t>N</w:t>
      </w:r>
      <w:r w:rsidR="00464F08">
        <w:t>RSV</w:t>
      </w:r>
      <w:r w:rsidR="00BB22D2">
        <w:t>) impli</w:t>
      </w:r>
      <w:r w:rsidRPr="002B376E">
        <w:t xml:space="preserve">es repointing to </w:t>
      </w:r>
      <w:r w:rsidRPr="002B376E">
        <w:rPr>
          <w:rFonts w:ascii="Arial" w:hAnsi="Arial" w:cs="Arial"/>
        </w:rPr>
        <w:t>כֻּלָּהּ</w:t>
      </w:r>
      <w:r w:rsidRPr="002B376E">
        <w:t>.</w:t>
      </w:r>
      <w:r w:rsidR="00833D20">
        <w:t xml:space="preserve"> The construction involves an asyndetic noun clause, like the one at the end of </w:t>
      </w:r>
      <w:r w:rsidR="000D1837">
        <w:t>v</w:t>
      </w:r>
      <w:r w:rsidR="00833D20">
        <w:t xml:space="preserve"> 5.</w:t>
      </w:r>
    </w:p>
    <w:p w:rsidR="002B376E" w:rsidRPr="002B376E" w:rsidRDefault="002B376E" w:rsidP="002B376E">
      <w:r w:rsidRPr="002B376E">
        <w:t xml:space="preserve">17.a. </w:t>
      </w:r>
      <w:r w:rsidRPr="002B376E">
        <w:rPr>
          <w:rFonts w:ascii="Arial" w:hAnsi="Arial" w:cs="Arial"/>
        </w:rPr>
        <w:t>פניו</w:t>
      </w:r>
      <w:r w:rsidRPr="002B376E">
        <w:t xml:space="preserve"> </w:t>
      </w:r>
      <w:r w:rsidR="00464F08" w:rsidRPr="00464F08">
        <w:rPr>
          <w:rFonts w:ascii="Arial" w:hAnsi="Arial" w:cs="Arial"/>
        </w:rPr>
        <w:t>וישם</w:t>
      </w:r>
      <w:r w:rsidR="00464F08" w:rsidRPr="00464F08">
        <w:t xml:space="preserve"> </w:t>
      </w:r>
      <w:r w:rsidRPr="002B376E">
        <w:t>“and he will set his face”: see n. 4.b.</w:t>
      </w:r>
    </w:p>
    <w:p w:rsidR="002B376E" w:rsidRPr="002B376E" w:rsidRDefault="002B376E" w:rsidP="002B376E">
      <w:r w:rsidRPr="002B376E">
        <w:t xml:space="preserve">17.b-b. </w:t>
      </w:r>
      <w:r w:rsidRPr="002B376E">
        <w:rPr>
          <w:rFonts w:ascii="Arial" w:hAnsi="Arial" w:cs="Arial"/>
        </w:rPr>
        <w:t>מלכותו</w:t>
      </w:r>
      <w:r w:rsidR="00464F08">
        <w:rPr>
          <w:rFonts w:ascii="Arial" w:hAnsi="Arial" w:cs="Arial"/>
        </w:rPr>
        <w:t xml:space="preserve"> </w:t>
      </w:r>
      <w:r w:rsidR="00464F08" w:rsidRPr="00464F08">
        <w:rPr>
          <w:rFonts w:ascii="Arial" w:hAnsi="Arial" w:cs="Arial"/>
        </w:rPr>
        <w:t>כל</w:t>
      </w:r>
      <w:r w:rsidR="00464F08">
        <w:rPr>
          <w:rFonts w:ascii="Arial" w:hAnsi="Arial" w:cs="Arial"/>
        </w:rPr>
        <w:t xml:space="preserve"> </w:t>
      </w:r>
      <w:r w:rsidR="00464F08" w:rsidRPr="00464F08">
        <w:rPr>
          <w:rFonts w:ascii="Arial" w:hAnsi="Arial" w:cs="Arial"/>
        </w:rPr>
        <w:t>בתקף</w:t>
      </w:r>
      <w:r w:rsidR="00464F08">
        <w:rPr>
          <w:rFonts w:ascii="Arial" w:hAnsi="Arial" w:cs="Arial"/>
        </w:rPr>
        <w:t xml:space="preserve"> </w:t>
      </w:r>
      <w:r w:rsidR="00464F08" w:rsidRPr="00464F08">
        <w:rPr>
          <w:rFonts w:ascii="Arial" w:hAnsi="Arial" w:cs="Arial"/>
        </w:rPr>
        <w:t>לבוא</w:t>
      </w:r>
      <w:r w:rsidR="00464F08">
        <w:t xml:space="preserve">: “to come in </w:t>
      </w:r>
      <w:r w:rsidR="007839CD">
        <w:t>all his kingly might” (cf. NIV</w:t>
      </w:r>
      <w:r w:rsidRPr="002B376E">
        <w:t>) leads into the rest of v 17 less well.</w:t>
      </w:r>
    </w:p>
    <w:p w:rsidR="002B376E" w:rsidRPr="002B376E" w:rsidRDefault="002B376E" w:rsidP="002B376E">
      <w:r w:rsidRPr="002B376E">
        <w:t xml:space="preserve">17.c. See BHS on </w:t>
      </w:r>
      <w:r w:rsidRPr="002B376E">
        <w:rPr>
          <w:rFonts w:ascii="Arial" w:hAnsi="Arial" w:cs="Arial"/>
        </w:rPr>
        <w:t>ישרים</w:t>
      </w:r>
      <w:r w:rsidRPr="002B376E">
        <w:t xml:space="preserve">; there is no need to emend. The </w:t>
      </w:r>
      <w:r w:rsidRPr="003A423E">
        <w:rPr>
          <w:i/>
        </w:rPr>
        <w:t>waw</w:t>
      </w:r>
      <w:r w:rsidRPr="002B376E">
        <w:t xml:space="preserve"> consec</w:t>
      </w:r>
      <w:r w:rsidR="003A423E">
        <w:t>utive</w:t>
      </w:r>
      <w:r w:rsidRPr="002B376E">
        <w:t xml:space="preserve"> </w:t>
      </w:r>
      <w:r w:rsidRPr="002B376E">
        <w:rPr>
          <w:rFonts w:ascii="Arial" w:hAnsi="Arial" w:cs="Arial"/>
        </w:rPr>
        <w:t>ועשה</w:t>
      </w:r>
      <w:r w:rsidRPr="002B376E">
        <w:t xml:space="preserve"> follows its </w:t>
      </w:r>
      <w:r w:rsidR="007839CD">
        <w:t>extr</w:t>
      </w:r>
      <w:r w:rsidR="00833D20">
        <w:t>a</w:t>
      </w:r>
      <w:r w:rsidR="007839CD">
        <w:t>posed o</w:t>
      </w:r>
      <w:r w:rsidR="002073C0">
        <w:t>bject</w:t>
      </w:r>
      <w:r w:rsidRPr="002B376E">
        <w:t xml:space="preserve"> (</w:t>
      </w:r>
      <w:r w:rsidR="007839CD">
        <w:t xml:space="preserve">cf. </w:t>
      </w:r>
      <w:r w:rsidRPr="007839CD">
        <w:rPr>
          <w:i/>
        </w:rPr>
        <w:t>TTH</w:t>
      </w:r>
      <w:r w:rsidRPr="002B376E">
        <w:t xml:space="preserve"> 123).</w:t>
      </w:r>
    </w:p>
    <w:p w:rsidR="002B376E" w:rsidRPr="002B376E" w:rsidRDefault="002B376E" w:rsidP="002B376E">
      <w:r w:rsidRPr="002B376E">
        <w:t xml:space="preserve">17.d. </w:t>
      </w:r>
      <w:r w:rsidRPr="002B376E">
        <w:rPr>
          <w:rFonts w:ascii="Arial" w:hAnsi="Arial" w:cs="Arial"/>
        </w:rPr>
        <w:t>הנשים</w:t>
      </w:r>
      <w:r w:rsidR="007839CD">
        <w:rPr>
          <w:rFonts w:ascii="Arial" w:hAnsi="Arial" w:cs="Arial"/>
        </w:rPr>
        <w:t xml:space="preserve"> </w:t>
      </w:r>
      <w:r w:rsidR="007839CD" w:rsidRPr="007839CD">
        <w:rPr>
          <w:rFonts w:ascii="Arial" w:hAnsi="Arial" w:cs="Arial"/>
        </w:rPr>
        <w:t>ובת</w:t>
      </w:r>
      <w:r w:rsidRPr="002B376E">
        <w:t>, “the daughter of women.”</w:t>
      </w:r>
    </w:p>
    <w:p w:rsidR="002B376E" w:rsidRPr="002B376E" w:rsidRDefault="002B376E" w:rsidP="002B376E">
      <w:r w:rsidRPr="002B376E">
        <w:t xml:space="preserve">17.e. The </w:t>
      </w:r>
      <w:r w:rsidR="008E1225">
        <w:t>kingdom</w:t>
      </w:r>
      <w:r w:rsidRPr="002B376E">
        <w:t>: not “to destroy her” (it did not) nor “to corrupt her” (it did, from Antiochus’s angle, but this is too subtle).</w:t>
      </w:r>
    </w:p>
    <w:p w:rsidR="002B376E" w:rsidRPr="002B376E" w:rsidRDefault="007839CD" w:rsidP="002B376E">
      <w:r>
        <w:t>17.f. Not “she” (against NEB</w:t>
      </w:r>
      <w:r w:rsidR="002B376E" w:rsidRPr="002B376E">
        <w:t xml:space="preserve">); the phrase follows Isa 7:7 (Hasslberger, </w:t>
      </w:r>
      <w:r w:rsidR="002B376E" w:rsidRPr="00E008EC">
        <w:rPr>
          <w:i/>
        </w:rPr>
        <w:t>Hoffnung</w:t>
      </w:r>
      <w:r w:rsidR="00E008EC">
        <w:rPr>
          <w:i/>
        </w:rPr>
        <w:t xml:space="preserve"> </w:t>
      </w:r>
      <w:r w:rsidR="00E008EC" w:rsidRPr="00E008EC">
        <w:rPr>
          <w:i/>
        </w:rPr>
        <w:t>in der Bedrängnis</w:t>
      </w:r>
      <w:r w:rsidR="002B376E" w:rsidRPr="002B376E">
        <w:t>).</w:t>
      </w:r>
    </w:p>
    <w:p w:rsidR="002B376E" w:rsidRPr="002B376E" w:rsidRDefault="002B376E" w:rsidP="002B376E">
      <w:r w:rsidRPr="002B376E">
        <w:t xml:space="preserve">18.a. Reading K </w:t>
      </w:r>
      <w:r w:rsidRPr="002B376E">
        <w:rPr>
          <w:rFonts w:ascii="Arial" w:hAnsi="Arial" w:cs="Arial"/>
        </w:rPr>
        <w:t>וישב</w:t>
      </w:r>
      <w:r w:rsidRPr="002B376E">
        <w:t xml:space="preserve"> not Q </w:t>
      </w:r>
      <w:r w:rsidRPr="002B376E">
        <w:rPr>
          <w:rFonts w:ascii="Arial" w:hAnsi="Arial" w:cs="Arial"/>
        </w:rPr>
        <w:t>וישם</w:t>
      </w:r>
      <w:r w:rsidR="00F23C08">
        <w:t xml:space="preserve"> (“set,” cf. JPSV</w:t>
      </w:r>
      <w:r w:rsidRPr="002B376E">
        <w:t xml:space="preserve"> “head for”)—assimilation to v 17; see also n. 4.b.</w:t>
      </w:r>
    </w:p>
    <w:p w:rsidR="002B376E" w:rsidRPr="002B376E" w:rsidRDefault="002B376E" w:rsidP="002B376E">
      <w:r w:rsidRPr="002B376E">
        <w:t>18.b. The term can denote any islands or countries around the Mediterranean.</w:t>
      </w:r>
    </w:p>
    <w:p w:rsidR="002B376E" w:rsidRPr="002B376E" w:rsidRDefault="002B376E" w:rsidP="002B376E">
      <w:r w:rsidRPr="002B376E">
        <w:t xml:space="preserve">18.c-c. </w:t>
      </w:r>
      <w:r w:rsidRPr="002B376E">
        <w:rPr>
          <w:rFonts w:ascii="Arial" w:hAnsi="Arial" w:cs="Arial"/>
        </w:rPr>
        <w:t>לו</w:t>
      </w:r>
      <w:r w:rsidR="007839CD">
        <w:rPr>
          <w:rFonts w:ascii="Arial" w:hAnsi="Arial" w:cs="Arial"/>
        </w:rPr>
        <w:t xml:space="preserve"> </w:t>
      </w:r>
      <w:r w:rsidR="007839CD" w:rsidRPr="007839CD">
        <w:rPr>
          <w:rFonts w:ascii="Arial" w:hAnsi="Arial" w:cs="Arial"/>
        </w:rPr>
        <w:t>חרפתו</w:t>
      </w:r>
      <w:r w:rsidR="007839CD">
        <w:rPr>
          <w:rFonts w:ascii="Arial" w:hAnsi="Arial" w:cs="Arial"/>
        </w:rPr>
        <w:t xml:space="preserve"> </w:t>
      </w:r>
      <w:r w:rsidR="007839CD" w:rsidRPr="007839CD">
        <w:rPr>
          <w:rFonts w:ascii="Arial" w:hAnsi="Arial" w:cs="Arial"/>
        </w:rPr>
        <w:t>קצין</w:t>
      </w:r>
      <w:r w:rsidR="007839CD">
        <w:rPr>
          <w:rFonts w:ascii="Arial" w:hAnsi="Arial" w:cs="Arial"/>
        </w:rPr>
        <w:t xml:space="preserve"> </w:t>
      </w:r>
      <w:r w:rsidR="007839CD" w:rsidRPr="007839CD">
        <w:rPr>
          <w:rFonts w:ascii="Arial" w:hAnsi="Arial" w:cs="Arial"/>
        </w:rPr>
        <w:t>ת</w:t>
      </w:r>
      <w:r w:rsidR="00567CCA" w:rsidRPr="00567CCA">
        <w:rPr>
          <w:rFonts w:ascii="Arial" w:hAnsi="Arial" w:cs="Arial"/>
        </w:rPr>
        <w:t xml:space="preserve"> י ב ש</w:t>
      </w:r>
      <w:r w:rsidR="00567CCA">
        <w:rPr>
          <w:rFonts w:ascii="Arial" w:hAnsi="Arial" w:cs="Arial"/>
        </w:rPr>
        <w:t xml:space="preserve"> </w:t>
      </w:r>
      <w:r w:rsidR="00567CCA" w:rsidRPr="00567CCA">
        <w:rPr>
          <w:rFonts w:ascii="Arial" w:hAnsi="Arial" w:cs="Arial"/>
        </w:rPr>
        <w:t>ה</w:t>
      </w:r>
      <w:r w:rsidR="00567CCA">
        <w:rPr>
          <w:rFonts w:ascii="Arial" w:hAnsi="Arial" w:cs="Arial"/>
        </w:rPr>
        <w:t xml:space="preserve"> </w:t>
      </w:r>
      <w:r w:rsidR="007839CD" w:rsidRPr="007839CD">
        <w:rPr>
          <w:rFonts w:ascii="Arial" w:hAnsi="Arial" w:cs="Arial"/>
        </w:rPr>
        <w:t>ו</w:t>
      </w:r>
      <w:r w:rsidRPr="002B376E">
        <w:t xml:space="preserve">; G, </w:t>
      </w:r>
      <w:r w:rsidR="00F91222">
        <w:t>Syr</w:t>
      </w:r>
      <w:r w:rsidRPr="002B376E">
        <w:t xml:space="preserve"> suggest “and he will stop a commander who challenges him” (or “. . . with his challenge to him,” cf. Keil); but see </w:t>
      </w:r>
      <w:r w:rsidRPr="007839CD">
        <w:rPr>
          <w:i/>
        </w:rPr>
        <w:t>Comment</w:t>
      </w:r>
      <w:r w:rsidRPr="002B376E">
        <w:t xml:space="preserve">. </w:t>
      </w:r>
      <w:r w:rsidRPr="002B376E">
        <w:rPr>
          <w:rFonts w:ascii="Arial" w:hAnsi="Arial" w:cs="Arial"/>
        </w:rPr>
        <w:t>קצין</w:t>
      </w:r>
      <w:r w:rsidRPr="002B376E">
        <w:t xml:space="preserve"> is an archaic poetic term for a military leader; a consul was both a magistrate and a military commander.</w:t>
      </w:r>
    </w:p>
    <w:p w:rsidR="007839CD" w:rsidRDefault="002B376E" w:rsidP="002B376E">
      <w:r w:rsidRPr="002B376E">
        <w:t xml:space="preserve">18.d-d. Not </w:t>
      </w:r>
      <w:r w:rsidR="007839CD">
        <w:t xml:space="preserve">“indeed he will return” (cf. </w:t>
      </w:r>
      <w:r w:rsidR="00BB22D2">
        <w:t>N</w:t>
      </w:r>
      <w:r w:rsidR="007839CD">
        <w:t>RSV</w:t>
      </w:r>
      <w:r w:rsidRPr="002B376E">
        <w:t xml:space="preserve">); </w:t>
      </w:r>
      <w:r w:rsidRPr="002B376E">
        <w:rPr>
          <w:rFonts w:ascii="Arial" w:hAnsi="Arial" w:cs="Arial"/>
        </w:rPr>
        <w:t>בלתי</w:t>
      </w:r>
      <w:r w:rsidRPr="002B376E">
        <w:t xml:space="preserve"> is a negative. Charles suggests emending</w:t>
      </w:r>
    </w:p>
    <w:p w:rsidR="002B376E" w:rsidRPr="002B376E" w:rsidRDefault="002B376E" w:rsidP="007839CD">
      <w:pPr>
        <w:ind w:firstLine="0"/>
      </w:pPr>
      <w:r w:rsidRPr="002B376E">
        <w:rPr>
          <w:rFonts w:ascii="Arial" w:hAnsi="Arial" w:cs="Arial"/>
        </w:rPr>
        <w:t>בלתי</w:t>
      </w:r>
      <w:r w:rsidRPr="002B376E">
        <w:t xml:space="preserve"> </w:t>
      </w:r>
      <w:r w:rsidR="00DE7A82" w:rsidRPr="00DE7A82">
        <w:rPr>
          <w:rFonts w:ascii="Arial" w:hAnsi="Arial" w:cs="Arial"/>
        </w:rPr>
        <w:t>לו</w:t>
      </w:r>
      <w:r w:rsidR="00DE7A82">
        <w:t xml:space="preserve"> </w:t>
      </w:r>
      <w:r w:rsidRPr="002B376E">
        <w:t xml:space="preserve">to </w:t>
      </w:r>
      <w:r w:rsidRPr="002B376E">
        <w:rPr>
          <w:rFonts w:ascii="Arial" w:hAnsi="Arial" w:cs="Arial"/>
        </w:rPr>
        <w:t>לבלתי</w:t>
      </w:r>
      <w:r w:rsidR="00DE7A82">
        <w:t xml:space="preserve"> (“so that not”; cf. JB</w:t>
      </w:r>
      <w:r w:rsidRPr="002B376E">
        <w:t xml:space="preserve">), but probably </w:t>
      </w:r>
      <w:r w:rsidRPr="002B376E">
        <w:rPr>
          <w:rFonts w:ascii="Arial" w:hAnsi="Arial" w:cs="Arial"/>
        </w:rPr>
        <w:t>בלתי</w:t>
      </w:r>
      <w:r w:rsidRPr="002B376E">
        <w:t xml:space="preserve"> alone could </w:t>
      </w:r>
      <w:r w:rsidR="00DE7A82">
        <w:t>have this meaning</w:t>
      </w:r>
      <w:r w:rsidRPr="002B376E">
        <w:t xml:space="preserve"> (cf. the alternatives of </w:t>
      </w:r>
      <w:r w:rsidRPr="002B376E">
        <w:rPr>
          <w:rFonts w:ascii="Arial" w:hAnsi="Arial" w:cs="Arial"/>
        </w:rPr>
        <w:t>למען</w:t>
      </w:r>
      <w:r w:rsidRPr="002B376E">
        <w:t xml:space="preserve"> and </w:t>
      </w:r>
      <w:r w:rsidRPr="002B376E">
        <w:rPr>
          <w:rFonts w:ascii="Arial" w:hAnsi="Arial" w:cs="Arial"/>
        </w:rPr>
        <w:t>יען</w:t>
      </w:r>
      <w:r w:rsidRPr="002B376E">
        <w:t xml:space="preserve">). The </w:t>
      </w:r>
      <w:r w:rsidR="00F91222">
        <w:t xml:space="preserve">clause </w:t>
      </w:r>
      <w:r w:rsidRPr="002B376E">
        <w:t xml:space="preserve">then refers to the northern king’s inability to deal with the commander’s response to his original </w:t>
      </w:r>
      <w:r w:rsidR="00DE7A82">
        <w:t>challenge. Ozanne (</w:t>
      </w:r>
      <w:r w:rsidR="00DE7A82" w:rsidRPr="00DE7A82">
        <w:t>“Three Textual Problems</w:t>
      </w:r>
      <w:r w:rsidR="00DE7A82">
        <w:t>,”</w:t>
      </w:r>
      <w:r w:rsidRPr="002B376E">
        <w:t xml:space="preserve"> 447–48) emends to </w:t>
      </w:r>
      <w:r w:rsidRPr="002B376E">
        <w:rPr>
          <w:rFonts w:ascii="Arial" w:hAnsi="Arial" w:cs="Arial"/>
        </w:rPr>
        <w:t>לבלתי</w:t>
      </w:r>
      <w:r w:rsidR="00DE7A82">
        <w:t xml:space="preserve"> (“by wearing him down”; cf. NEB</w:t>
      </w:r>
      <w:r w:rsidRPr="002B376E">
        <w:t>).</w:t>
      </w:r>
    </w:p>
    <w:p w:rsidR="002B376E" w:rsidRPr="002B376E" w:rsidRDefault="002B376E" w:rsidP="002B376E">
      <w:r w:rsidRPr="002B376E">
        <w:t xml:space="preserve">19.a. Reading </w:t>
      </w:r>
      <w:r w:rsidRPr="002B376E">
        <w:rPr>
          <w:rFonts w:ascii="Arial" w:hAnsi="Arial" w:cs="Arial"/>
        </w:rPr>
        <w:t>וישב</w:t>
      </w:r>
      <w:r w:rsidRPr="002B376E">
        <w:t xml:space="preserve"> not </w:t>
      </w:r>
      <w:r w:rsidRPr="002B376E">
        <w:rPr>
          <w:rFonts w:ascii="Arial" w:hAnsi="Arial" w:cs="Arial"/>
        </w:rPr>
        <w:t>וישם</w:t>
      </w:r>
      <w:r w:rsidRPr="002B376E">
        <w:t xml:space="preserve"> with some </w:t>
      </w:r>
      <w:r w:rsidR="003F4DB6" w:rsidRPr="003F4DB6">
        <w:t xml:space="preserve">medieval </w:t>
      </w:r>
      <w:r w:rsidRPr="002B376E">
        <w:t>mss: see n. 18.a.</w:t>
      </w:r>
    </w:p>
    <w:p w:rsidR="002B376E" w:rsidRPr="002B376E" w:rsidRDefault="002B376E" w:rsidP="002B376E">
      <w:r w:rsidRPr="002B376E">
        <w:t xml:space="preserve">20.a. </w:t>
      </w:r>
      <w:r w:rsidRPr="002B376E">
        <w:rPr>
          <w:rFonts w:ascii="Arial" w:hAnsi="Arial" w:cs="Arial"/>
        </w:rPr>
        <w:t>נגש</w:t>
      </w:r>
      <w:r w:rsidRPr="002B376E">
        <w:t xml:space="preserve"> usually means “to rule (in a domineering way)”; it can mean </w:t>
      </w:r>
      <w:r w:rsidR="005A2FBD">
        <w:t>“</w:t>
      </w:r>
      <w:r w:rsidRPr="002B376E">
        <w:t>to exact</w:t>
      </w:r>
      <w:r w:rsidR="005A2FBD">
        <w:t>”</w:t>
      </w:r>
      <w:r w:rsidRPr="002B376E">
        <w:t xml:space="preserve"> (Deut 15:2, 3) (see </w:t>
      </w:r>
      <w:r w:rsidRPr="00DE7A82">
        <w:rPr>
          <w:i/>
        </w:rPr>
        <w:t>Comment</w:t>
      </w:r>
      <w:r w:rsidRPr="002B376E">
        <w:t>).</w:t>
      </w:r>
    </w:p>
    <w:p w:rsidR="002B376E" w:rsidRPr="002B376E" w:rsidRDefault="002B376E" w:rsidP="002B376E">
      <w:r w:rsidRPr="002B376E">
        <w:t>20.b. There is no prep</w:t>
      </w:r>
      <w:r w:rsidR="00DE7A82">
        <w:t>osition</w:t>
      </w:r>
      <w:r w:rsidRPr="002B376E">
        <w:t>; “for” is also possible</w:t>
      </w:r>
      <w:r w:rsidR="00BB22D2">
        <w:t xml:space="preserve"> (NRSV)</w:t>
      </w:r>
      <w:r w:rsidRPr="002B376E">
        <w:t>. Plôger takes as direct o</w:t>
      </w:r>
      <w:r w:rsidR="002073C0">
        <w:t>bject</w:t>
      </w:r>
      <w:r w:rsidR="00DE7A82">
        <w:t xml:space="preserve"> (cf. RSV, JB</w:t>
      </w:r>
      <w:r w:rsidRPr="002B376E">
        <w:t>), u</w:t>
      </w:r>
      <w:r w:rsidR="00DE7A82">
        <w:t>nderstanding “the splendor of a</w:t>
      </w:r>
      <w:r w:rsidRPr="002B376E">
        <w:t xml:space="preserve"> </w:t>
      </w:r>
      <w:r w:rsidR="008E1225">
        <w:t>kingdom</w:t>
      </w:r>
      <w:r w:rsidRPr="002B376E">
        <w:t>” to be Israel.</w:t>
      </w:r>
    </w:p>
    <w:p w:rsidR="002B376E" w:rsidRPr="002B376E" w:rsidRDefault="002B376E" w:rsidP="002B376E">
      <w:r w:rsidRPr="002B376E">
        <w:t xml:space="preserve">20.c. </w:t>
      </w:r>
      <w:r w:rsidRPr="002B376E">
        <w:rPr>
          <w:rFonts w:ascii="Arial" w:hAnsi="Arial" w:cs="Arial"/>
        </w:rPr>
        <w:t>ה</w:t>
      </w:r>
      <w:r w:rsidR="005A2FBD">
        <w:rPr>
          <w:rFonts w:ascii="Arial" w:hAnsi="Arial" w:cs="Arial"/>
        </w:rPr>
        <w:t xml:space="preserve"> </w:t>
      </w:r>
      <w:r w:rsidR="005A2FBD" w:rsidRPr="005A2FBD">
        <w:rPr>
          <w:rFonts w:ascii="Arial" w:hAnsi="Arial" w:cs="Arial"/>
        </w:rPr>
        <w:t>מ</w:t>
      </w:r>
      <w:r w:rsidR="005A2FBD">
        <w:rPr>
          <w:rFonts w:ascii="Arial" w:hAnsi="Arial" w:cs="Arial"/>
        </w:rPr>
        <w:t xml:space="preserve"> </w:t>
      </w:r>
      <w:r w:rsidR="005A2FBD" w:rsidRPr="005A2FBD">
        <w:rPr>
          <w:rFonts w:ascii="Arial" w:hAnsi="Arial" w:cs="Arial"/>
        </w:rPr>
        <w:t>ח</w:t>
      </w:r>
      <w:r w:rsidR="005A2FBD">
        <w:rPr>
          <w:rFonts w:ascii="Arial" w:hAnsi="Arial" w:cs="Arial"/>
        </w:rPr>
        <w:t xml:space="preserve"> </w:t>
      </w:r>
      <w:r w:rsidR="005A2FBD" w:rsidRPr="005A2FBD">
        <w:rPr>
          <w:rFonts w:ascii="Arial" w:hAnsi="Arial" w:cs="Arial"/>
        </w:rPr>
        <w:t>ל</w:t>
      </w:r>
      <w:r w:rsidR="005A2FBD">
        <w:rPr>
          <w:rFonts w:ascii="Arial" w:hAnsi="Arial" w:cs="Arial"/>
        </w:rPr>
        <w:t xml:space="preserve"> </w:t>
      </w:r>
      <w:r w:rsidR="005A2FBD" w:rsidRPr="005A2FBD">
        <w:rPr>
          <w:rFonts w:ascii="Arial" w:hAnsi="Arial" w:cs="Arial"/>
        </w:rPr>
        <w:t>מ</w:t>
      </w:r>
      <w:r w:rsidR="005A2FBD">
        <w:rPr>
          <w:rFonts w:ascii="Arial" w:hAnsi="Arial" w:cs="Arial"/>
        </w:rPr>
        <w:t xml:space="preserve"> </w:t>
      </w:r>
      <w:r w:rsidR="005A2FBD" w:rsidRPr="005A2FBD">
        <w:rPr>
          <w:rFonts w:ascii="Arial" w:hAnsi="Arial" w:cs="Arial"/>
        </w:rPr>
        <w:t>ב</w:t>
      </w:r>
      <w:r w:rsidRPr="002B376E">
        <w:t xml:space="preserve"> </w:t>
      </w:r>
      <w:r w:rsidR="00DE7A82" w:rsidRPr="00DE7A82">
        <w:rPr>
          <w:rFonts w:ascii="Arial" w:hAnsi="Arial" w:cs="Arial"/>
        </w:rPr>
        <w:t>ולא</w:t>
      </w:r>
      <w:r w:rsidR="00DE7A82">
        <w:t xml:space="preserve"> </w:t>
      </w:r>
      <w:r w:rsidR="00DE7A82" w:rsidRPr="00DE7A82">
        <w:rPr>
          <w:rFonts w:ascii="Arial" w:hAnsi="Arial" w:cs="Arial"/>
        </w:rPr>
        <w:t>באפים</w:t>
      </w:r>
      <w:r w:rsidR="00DE7A82">
        <w:t xml:space="preserve"> </w:t>
      </w:r>
      <w:r w:rsidR="00DE7A82" w:rsidRPr="00DE7A82">
        <w:rPr>
          <w:rFonts w:ascii="Arial" w:hAnsi="Arial" w:cs="Arial"/>
        </w:rPr>
        <w:t>ולא</w:t>
      </w:r>
      <w:r w:rsidR="00DE7A82" w:rsidRPr="00DE7A82">
        <w:t xml:space="preserve"> </w:t>
      </w:r>
      <w:r w:rsidRPr="002B376E">
        <w:t xml:space="preserve">“but [some </w:t>
      </w:r>
      <w:r w:rsidR="003F4DB6" w:rsidRPr="003F4DB6">
        <w:t xml:space="preserve">medieval </w:t>
      </w:r>
      <w:r w:rsidRPr="002B376E">
        <w:t xml:space="preserve">mss, </w:t>
      </w:r>
      <w:r w:rsidR="00F91222">
        <w:t>Syr</w:t>
      </w:r>
      <w:r w:rsidRPr="002B376E">
        <w:t>, Vg omit] not in anger an</w:t>
      </w:r>
      <w:r w:rsidR="00DE7A82">
        <w:t>d not in battle”; cf. OG. Th, JB, NEB</w:t>
      </w:r>
      <w:r w:rsidRPr="002B376E">
        <w:t xml:space="preserve"> take </w:t>
      </w:r>
      <w:r w:rsidRPr="002B376E">
        <w:rPr>
          <w:rFonts w:ascii="Arial" w:hAnsi="Arial" w:cs="Arial"/>
        </w:rPr>
        <w:t>אף</w:t>
      </w:r>
      <w:r w:rsidRPr="002B376E">
        <w:t xml:space="preserve"> in an Aram. sense </w:t>
      </w:r>
      <w:r w:rsidR="005D708C">
        <w:t xml:space="preserve">as “face” </w:t>
      </w:r>
      <w:r w:rsidRPr="002B376E">
        <w:t>(</w:t>
      </w:r>
      <w:r w:rsidRPr="00DE7A82">
        <w:rPr>
          <w:i/>
        </w:rPr>
        <w:t>DTT</w:t>
      </w:r>
      <w:r w:rsidRPr="002B376E">
        <w:t>).</w:t>
      </w:r>
    </w:p>
    <w:p w:rsidR="002B376E" w:rsidRPr="002B376E" w:rsidRDefault="00DE7A82" w:rsidP="002B376E">
      <w:r>
        <w:t>21.a. Or “contemptible” (</w:t>
      </w:r>
      <w:r w:rsidR="00BB22D2">
        <w:t>N</w:t>
      </w:r>
      <w:r>
        <w:t>RSV) or “worthless” (cf. GNB</w:t>
      </w:r>
      <w:r w:rsidR="002B376E" w:rsidRPr="002B376E">
        <w:t xml:space="preserve">); but the next </w:t>
      </w:r>
      <w:r w:rsidR="00F91222">
        <w:t xml:space="preserve">clause </w:t>
      </w:r>
      <w:r w:rsidR="002B376E" w:rsidRPr="002B376E">
        <w:t xml:space="preserve">suggests </w:t>
      </w:r>
      <w:r w:rsidR="002B376E" w:rsidRPr="002B376E">
        <w:rPr>
          <w:rFonts w:ascii="Arial" w:hAnsi="Arial" w:cs="Arial"/>
        </w:rPr>
        <w:t>נבזה</w:t>
      </w:r>
      <w:r w:rsidR="002B376E" w:rsidRPr="002B376E">
        <w:t xml:space="preserve"> means “despised” (cf. Isa 53:3).</w:t>
      </w:r>
    </w:p>
    <w:p w:rsidR="002B376E" w:rsidRPr="002B376E" w:rsidRDefault="002B376E" w:rsidP="002B376E">
      <w:r w:rsidRPr="002B376E">
        <w:t xml:space="preserve">22.a. </w:t>
      </w:r>
      <w:r w:rsidRPr="002B376E">
        <w:rPr>
          <w:rFonts w:ascii="Arial" w:hAnsi="Arial" w:cs="Arial"/>
        </w:rPr>
        <w:t>השטף</w:t>
      </w:r>
      <w:r w:rsidRPr="002B376E">
        <w:t xml:space="preserve"> </w:t>
      </w:r>
      <w:r w:rsidR="00DE7A82" w:rsidRPr="00DE7A82">
        <w:rPr>
          <w:rFonts w:ascii="Arial" w:hAnsi="Arial" w:cs="Arial"/>
        </w:rPr>
        <w:t>זרעות</w:t>
      </w:r>
      <w:r w:rsidR="00DE7A82" w:rsidRPr="00DE7A82">
        <w:t xml:space="preserve"> </w:t>
      </w:r>
      <w:r w:rsidR="00DE7A82">
        <w:t>“the forces of the flood.” NEB</w:t>
      </w:r>
      <w:r w:rsidRPr="002B376E">
        <w:t xml:space="preserve"> repoints to </w:t>
      </w:r>
      <w:r w:rsidRPr="002B376E">
        <w:rPr>
          <w:rFonts w:ascii="Arial" w:hAnsi="Arial" w:cs="Arial"/>
        </w:rPr>
        <w:t>הִשָּׁטֵף</w:t>
      </w:r>
      <w:r w:rsidR="00DE7A82">
        <w:t xml:space="preserve">, </w:t>
      </w:r>
      <w:r w:rsidR="00BB22D2">
        <w:t>N</w:t>
      </w:r>
      <w:r w:rsidR="00DE7A82">
        <w:t>RSV</w:t>
      </w:r>
      <w:r w:rsidRPr="002B376E">
        <w:t xml:space="preserve"> to </w:t>
      </w:r>
      <w:r w:rsidRPr="002B376E">
        <w:rPr>
          <w:rFonts w:ascii="Arial" w:hAnsi="Arial" w:cs="Arial"/>
        </w:rPr>
        <w:t>הִשָּׁטֹף</w:t>
      </w:r>
      <w:r w:rsidRPr="002B376E">
        <w:t>.</w:t>
      </w:r>
    </w:p>
    <w:p w:rsidR="002B376E" w:rsidRPr="002B376E" w:rsidRDefault="002B376E" w:rsidP="002B376E">
      <w:r w:rsidRPr="002B376E">
        <w:t xml:space="preserve">22.b-b </w:t>
      </w:r>
      <w:r w:rsidRPr="002B376E">
        <w:rPr>
          <w:rFonts w:ascii="Arial" w:hAnsi="Arial" w:cs="Arial"/>
        </w:rPr>
        <w:t>ברית</w:t>
      </w:r>
      <w:r w:rsidR="00DE7A82">
        <w:rPr>
          <w:rFonts w:ascii="Arial" w:hAnsi="Arial" w:cs="Arial"/>
        </w:rPr>
        <w:t xml:space="preserve"> </w:t>
      </w:r>
      <w:r w:rsidR="00DE7A82" w:rsidRPr="00DE7A82">
        <w:rPr>
          <w:rFonts w:ascii="Arial" w:hAnsi="Arial" w:cs="Arial"/>
        </w:rPr>
        <w:t>נגיד</w:t>
      </w:r>
      <w:r w:rsidR="00DE7A82">
        <w:rPr>
          <w:rFonts w:ascii="Arial" w:hAnsi="Arial" w:cs="Arial"/>
        </w:rPr>
        <w:t xml:space="preserve"> </w:t>
      </w:r>
      <w:r w:rsidR="00DE7A82" w:rsidRPr="00DE7A82">
        <w:rPr>
          <w:rFonts w:ascii="Arial" w:hAnsi="Arial" w:cs="Arial"/>
        </w:rPr>
        <w:t>גםו וישברו</w:t>
      </w:r>
      <w:r w:rsidR="00DE7A82">
        <w:t>; NEB</w:t>
      </w:r>
      <w:r w:rsidRPr="002B376E">
        <w:t xml:space="preserve"> emends to . . . </w:t>
      </w:r>
      <w:r w:rsidRPr="002B376E">
        <w:rPr>
          <w:rFonts w:ascii="Arial" w:hAnsi="Arial" w:cs="Arial"/>
        </w:rPr>
        <w:t>גם</w:t>
      </w:r>
      <w:r w:rsidR="00DE7A82">
        <w:rPr>
          <w:rFonts w:ascii="Arial" w:hAnsi="Arial" w:cs="Arial"/>
        </w:rPr>
        <w:t xml:space="preserve"> </w:t>
      </w:r>
      <w:r w:rsidR="00DE7A82" w:rsidRPr="00DE7A82">
        <w:rPr>
          <w:rFonts w:ascii="Arial" w:hAnsi="Arial" w:cs="Arial"/>
        </w:rPr>
        <w:t>וישבר</w:t>
      </w:r>
      <w:r w:rsidRPr="002B376E">
        <w:t xml:space="preserve">, making the covenant </w:t>
      </w:r>
      <w:r w:rsidR="00B13647">
        <w:t>leader</w:t>
      </w:r>
      <w:r w:rsidRPr="002B376E">
        <w:t xml:space="preserve"> su</w:t>
      </w:r>
      <w:r w:rsidR="002073C0">
        <w:t>bject</w:t>
      </w:r>
      <w:r w:rsidRPr="002B376E">
        <w:t>. Suggestively, Goldstein makes the covenan</w:t>
      </w:r>
      <w:r w:rsidR="00DE7A82">
        <w:t xml:space="preserve">t </w:t>
      </w:r>
      <w:r w:rsidR="00B13647">
        <w:t>leader</w:t>
      </w:r>
      <w:r w:rsidR="00DE7A82">
        <w:t xml:space="preserve"> (then </w:t>
      </w:r>
      <w:r w:rsidRPr="002B376E">
        <w:t>Menelaus) the su</w:t>
      </w:r>
      <w:r w:rsidR="002073C0">
        <w:t>bject</w:t>
      </w:r>
      <w:r w:rsidRPr="002B376E">
        <w:t xml:space="preserve"> of vv 23–24 (</w:t>
      </w:r>
      <w:r w:rsidR="0096012B">
        <w:rPr>
          <w:i/>
        </w:rPr>
        <w:t xml:space="preserve">II </w:t>
      </w:r>
      <w:r w:rsidRPr="00DE7A82">
        <w:rPr>
          <w:i/>
        </w:rPr>
        <w:t>Maccabees</w:t>
      </w:r>
      <w:r w:rsidRPr="002B376E">
        <w:t>, 262): but the transition after v 24 is difficult.</w:t>
      </w:r>
    </w:p>
    <w:p w:rsidR="002B376E" w:rsidRPr="002B376E" w:rsidRDefault="002B376E" w:rsidP="002B376E">
      <w:r w:rsidRPr="002B376E">
        <w:t xml:space="preserve">23.a. </w:t>
      </w:r>
      <w:r w:rsidRPr="002B376E">
        <w:rPr>
          <w:rFonts w:ascii="Arial" w:hAnsi="Arial" w:cs="Arial"/>
        </w:rPr>
        <w:t>מן</w:t>
      </w:r>
      <w:r w:rsidR="00DE7A82">
        <w:t xml:space="preserve"> rarely means “after” (NIV</w:t>
      </w:r>
      <w:r w:rsidRPr="002B376E">
        <w:t xml:space="preserve">) except with temporal expressions such as </w:t>
      </w:r>
      <w:r w:rsidRPr="002B376E">
        <w:rPr>
          <w:rFonts w:ascii="Arial" w:hAnsi="Arial" w:cs="Arial"/>
        </w:rPr>
        <w:t>יום</w:t>
      </w:r>
      <w:r w:rsidRPr="002B376E">
        <w:t>.</w:t>
      </w:r>
    </w:p>
    <w:p w:rsidR="002B376E" w:rsidRPr="002B376E" w:rsidRDefault="002B376E" w:rsidP="002B376E">
      <w:r w:rsidRPr="002B376E">
        <w:lastRenderedPageBreak/>
        <w:t xml:space="preserve">23.b-b. </w:t>
      </w:r>
      <w:r w:rsidRPr="002B376E">
        <w:rPr>
          <w:rFonts w:ascii="Arial" w:hAnsi="Arial" w:cs="Arial"/>
        </w:rPr>
        <w:t>ועצם</w:t>
      </w:r>
      <w:r w:rsidRPr="002B376E">
        <w:t xml:space="preserve"> </w:t>
      </w:r>
      <w:r w:rsidR="00DE7A82" w:rsidRPr="00DE7A82">
        <w:rPr>
          <w:rFonts w:ascii="Arial" w:hAnsi="Arial" w:cs="Arial"/>
        </w:rPr>
        <w:t>ועלה</w:t>
      </w:r>
      <w:r w:rsidR="00DE7A82" w:rsidRPr="00DE7A82">
        <w:t xml:space="preserve"> </w:t>
      </w:r>
      <w:r w:rsidRPr="002B376E">
        <w:t>“come up and grow powerful.”</w:t>
      </w:r>
    </w:p>
    <w:p w:rsidR="002B376E" w:rsidRPr="002B376E" w:rsidRDefault="00DE7A82" w:rsidP="002B376E">
      <w:r>
        <w:t xml:space="preserve">24.a. See </w:t>
      </w:r>
      <w:r w:rsidR="002B376E" w:rsidRPr="002B376E">
        <w:t xml:space="preserve">n. </w:t>
      </w:r>
      <w:r w:rsidR="000E74EF">
        <w:t>8:25.c.</w:t>
      </w:r>
      <w:r>
        <w:t xml:space="preserve"> RSV</w:t>
      </w:r>
      <w:r w:rsidR="002B376E" w:rsidRPr="002B376E">
        <w:t xml:space="preserve"> links with v 23, </w:t>
      </w:r>
      <w:r w:rsidR="00F91222">
        <w:t>Syr</w:t>
      </w:r>
      <w:r w:rsidR="002B376E" w:rsidRPr="002B376E">
        <w:t xml:space="preserve"> omits.</w:t>
      </w:r>
    </w:p>
    <w:p w:rsidR="002B376E" w:rsidRPr="002B376E" w:rsidRDefault="002B376E" w:rsidP="002B376E">
      <w:r w:rsidRPr="002B376E">
        <w:t>24.b.</w:t>
      </w:r>
      <w:r w:rsidR="00DE7A82">
        <w:t xml:space="preserve"> T</w:t>
      </w:r>
      <w:r w:rsidR="00DE7A82" w:rsidRPr="00DE7A82">
        <w:t xml:space="preserve">he best of </w:t>
      </w:r>
      <w:r w:rsidR="00DE7A82">
        <w:t xml:space="preserve">the </w:t>
      </w:r>
      <w:r w:rsidR="00DE7A82" w:rsidRPr="00DE7A82">
        <w:t xml:space="preserve">possible translations (cf. EVV) </w:t>
      </w:r>
      <w:r w:rsidR="00DE7A82">
        <w:t>of</w:t>
      </w:r>
      <w:r w:rsidRPr="002B376E">
        <w:t xml:space="preserve"> </w:t>
      </w:r>
      <w:r w:rsidRPr="002B376E">
        <w:rPr>
          <w:rFonts w:ascii="Arial" w:hAnsi="Arial" w:cs="Arial"/>
        </w:rPr>
        <w:t>מדינה</w:t>
      </w:r>
      <w:r w:rsidRPr="002B376E">
        <w:t xml:space="preserve"> </w:t>
      </w:r>
      <w:r w:rsidR="000E74EF" w:rsidRPr="000E74EF">
        <w:rPr>
          <w:rFonts w:ascii="Arial" w:hAnsi="Arial" w:cs="Arial"/>
        </w:rPr>
        <w:t>משמני</w:t>
      </w:r>
      <w:r w:rsidR="000E74EF" w:rsidRPr="000E74EF">
        <w:t xml:space="preserve"> </w:t>
      </w:r>
      <w:r w:rsidR="00DE7A82">
        <w:t xml:space="preserve">in </w:t>
      </w:r>
      <w:r w:rsidRPr="002B376E">
        <w:t xml:space="preserve">the context of vv 23–24 (see </w:t>
      </w:r>
      <w:r w:rsidRPr="00DE7A82">
        <w:rPr>
          <w:i/>
        </w:rPr>
        <w:t>Comment</w:t>
      </w:r>
      <w:r w:rsidRPr="002B376E">
        <w:t xml:space="preserve">), following on from v 23b (Hasslberger, </w:t>
      </w:r>
      <w:r w:rsidRPr="00E008EC">
        <w:rPr>
          <w:i/>
        </w:rPr>
        <w:t>Hoffnung</w:t>
      </w:r>
      <w:r w:rsidR="00E008EC">
        <w:rPr>
          <w:i/>
        </w:rPr>
        <w:t xml:space="preserve"> </w:t>
      </w:r>
      <w:r w:rsidR="00E008EC" w:rsidRPr="00E008EC">
        <w:rPr>
          <w:i/>
        </w:rPr>
        <w:t>in der Bedrängnis</w:t>
      </w:r>
      <w:r w:rsidRPr="002B376E">
        <w:t>).</w:t>
      </w:r>
    </w:p>
    <w:p w:rsidR="002B376E" w:rsidRPr="002B376E" w:rsidRDefault="00DE7A82" w:rsidP="002B376E">
      <w:r>
        <w:t>25.a. NEB</w:t>
      </w:r>
      <w:r w:rsidR="002B376E" w:rsidRPr="002B376E">
        <w:t xml:space="preserve"> repoints to </w:t>
      </w:r>
      <w:r w:rsidR="002B376E" w:rsidRPr="002B376E">
        <w:rPr>
          <w:rFonts w:ascii="Arial" w:hAnsi="Arial" w:cs="Arial"/>
        </w:rPr>
        <w:t>וְיָעֻר</w:t>
      </w:r>
      <w:r w:rsidR="002B376E" w:rsidRPr="002B376E">
        <w:t>, “he will be aroused [in].”</w:t>
      </w:r>
    </w:p>
    <w:p w:rsidR="002B376E" w:rsidRPr="002B376E" w:rsidRDefault="002B376E" w:rsidP="002B376E">
      <w:r w:rsidRPr="002B376E">
        <w:t xml:space="preserve">25.b. Lit., “his heart will be against” (cf. Hasslberger, </w:t>
      </w:r>
      <w:r w:rsidRPr="00E008EC">
        <w:rPr>
          <w:i/>
        </w:rPr>
        <w:t>Hoffnung</w:t>
      </w:r>
      <w:r w:rsidR="00E008EC">
        <w:rPr>
          <w:i/>
        </w:rPr>
        <w:t xml:space="preserve"> </w:t>
      </w:r>
      <w:r w:rsidR="00E008EC" w:rsidRPr="00E008EC">
        <w:rPr>
          <w:i/>
        </w:rPr>
        <w:t>in der Bedrängnis</w:t>
      </w:r>
      <w:r w:rsidRPr="002B376E">
        <w:t>, and n. 28.b-b).</w:t>
      </w:r>
    </w:p>
    <w:p w:rsidR="002B376E" w:rsidRPr="002B376E" w:rsidRDefault="002B376E" w:rsidP="002B376E">
      <w:r w:rsidRPr="002B376E">
        <w:t xml:space="preserve">26.a. </w:t>
      </w:r>
      <w:r w:rsidRPr="002B376E">
        <w:rPr>
          <w:rFonts w:ascii="Arial" w:hAnsi="Arial" w:cs="Arial"/>
        </w:rPr>
        <w:t>פת־בגו</w:t>
      </w:r>
      <w:r w:rsidRPr="002B376E">
        <w:t xml:space="preserve"> </w:t>
      </w:r>
      <w:r w:rsidR="00CA00F4" w:rsidRPr="00CA00F4">
        <w:rPr>
          <w:rFonts w:ascii="Arial" w:hAnsi="Arial" w:cs="Arial"/>
        </w:rPr>
        <w:t>ואכלי</w:t>
      </w:r>
      <w:r w:rsidR="00CA00F4" w:rsidRPr="00CA00F4">
        <w:t xml:space="preserve"> </w:t>
      </w:r>
      <w:r w:rsidRPr="002B376E">
        <w:t>perhaps belongs to the end of v 25 as the su</w:t>
      </w:r>
      <w:r w:rsidR="002073C0">
        <w:t>bject</w:t>
      </w:r>
      <w:r w:rsidRPr="002B376E">
        <w:t xml:space="preserve"> of </w:t>
      </w:r>
      <w:r w:rsidRPr="002B376E">
        <w:rPr>
          <w:rFonts w:ascii="Arial" w:hAnsi="Arial" w:cs="Arial"/>
        </w:rPr>
        <w:t>יחשבו</w:t>
      </w:r>
      <w:r w:rsidRPr="002B376E">
        <w:t xml:space="preserve"> (“[people . </w:t>
      </w:r>
      <w:r w:rsidR="00CA00F4">
        <w:t xml:space="preserve">. .] will devise”) (BHS, though </w:t>
      </w:r>
      <w:r w:rsidRPr="002B376E">
        <w:t xml:space="preserve">there is no need to delete the emphatic </w:t>
      </w:r>
      <w:r w:rsidRPr="002B376E">
        <w:rPr>
          <w:rFonts w:ascii="Arial" w:hAnsi="Arial" w:cs="Arial"/>
        </w:rPr>
        <w:t>ו</w:t>
      </w:r>
      <w:r w:rsidRPr="002B376E">
        <w:t xml:space="preserve">). On </w:t>
      </w:r>
      <w:r w:rsidRPr="002B376E">
        <w:rPr>
          <w:rFonts w:ascii="Arial" w:hAnsi="Arial" w:cs="Arial"/>
        </w:rPr>
        <w:t>פת־בג</w:t>
      </w:r>
      <w:r w:rsidRPr="002B376E">
        <w:t xml:space="preserve"> see n. 1:5.b.</w:t>
      </w:r>
    </w:p>
    <w:p w:rsidR="002B376E" w:rsidRPr="002B376E" w:rsidRDefault="002B376E" w:rsidP="002B376E">
      <w:r w:rsidRPr="002B376E">
        <w:t>26.b.</w:t>
      </w:r>
      <w:r w:rsidR="00CA00F4">
        <w:t xml:space="preserve"> Qal</w:t>
      </w:r>
      <w:r w:rsidRPr="002B376E">
        <w:t xml:space="preserve"> </w:t>
      </w:r>
      <w:r w:rsidRPr="002B376E">
        <w:rPr>
          <w:rFonts w:ascii="Arial" w:hAnsi="Arial" w:cs="Arial"/>
        </w:rPr>
        <w:t>ישטוף</w:t>
      </w:r>
      <w:r w:rsidR="00CA00F4">
        <w:t xml:space="preserve"> (cf. vv 10, 40) </w:t>
      </w:r>
      <w:r w:rsidRPr="002B376E">
        <w:t>can hardly have the usual meaning “overflow” either trans</w:t>
      </w:r>
      <w:r w:rsidR="00CA00F4">
        <w:t>itively</w:t>
      </w:r>
      <w:r w:rsidRPr="002B376E">
        <w:t xml:space="preserve"> or intrans</w:t>
      </w:r>
      <w:r w:rsidR="00CA00F4">
        <w:t>itively</w:t>
      </w:r>
      <w:r w:rsidR="00754253">
        <w:t xml:space="preserve"> (against </w:t>
      </w:r>
      <w:r w:rsidR="00754253" w:rsidRPr="00754253">
        <w:t>Barthélemy</w:t>
      </w:r>
      <w:r w:rsidRPr="002B376E">
        <w:t xml:space="preserve">). But </w:t>
      </w:r>
      <w:r w:rsidRPr="002B376E">
        <w:rPr>
          <w:rFonts w:ascii="Arial" w:hAnsi="Arial" w:cs="Arial"/>
        </w:rPr>
        <w:t>שטף</w:t>
      </w:r>
      <w:r w:rsidR="00CA00F4">
        <w:t xml:space="preserve"> can mean “wash away” (transitively</w:t>
      </w:r>
      <w:r w:rsidRPr="002B376E">
        <w:t xml:space="preserve">) (Ezek 16:9), to which this </w:t>
      </w:r>
      <w:r w:rsidR="00CA00F4">
        <w:t xml:space="preserve">occurrence </w:t>
      </w:r>
      <w:r w:rsidRPr="002B376E">
        <w:t>can be taken as an intrans</w:t>
      </w:r>
      <w:r w:rsidR="00CA00F4">
        <w:t>itive</w:t>
      </w:r>
      <w:r w:rsidRPr="002B376E">
        <w:t xml:space="preserve"> correspondent; there is no need to assimilate to the ni</w:t>
      </w:r>
      <w:r w:rsidR="00CA00F4">
        <w:t>phal</w:t>
      </w:r>
      <w:r w:rsidRPr="002B376E">
        <w:t xml:space="preserve"> of v 22 (against BHS).</w:t>
      </w:r>
    </w:p>
    <w:p w:rsidR="002B376E" w:rsidRPr="002B376E" w:rsidRDefault="002B376E" w:rsidP="002B376E">
      <w:r w:rsidRPr="002B376E">
        <w:t>28.a. The northern king. See n. 4.b.</w:t>
      </w:r>
    </w:p>
    <w:p w:rsidR="002B376E" w:rsidRPr="002B376E" w:rsidRDefault="002B376E" w:rsidP="002B376E">
      <w:r w:rsidRPr="002B376E">
        <w:t xml:space="preserve">28.b-b </w:t>
      </w:r>
      <w:r w:rsidRPr="002B376E">
        <w:rPr>
          <w:rFonts w:ascii="Arial" w:hAnsi="Arial" w:cs="Arial"/>
        </w:rPr>
        <w:t>ועשה</w:t>
      </w:r>
      <w:r w:rsidRPr="002B376E">
        <w:t xml:space="preserve"> </w:t>
      </w:r>
      <w:r w:rsidR="00CA00F4" w:rsidRPr="00CA00F4">
        <w:rPr>
          <w:rFonts w:ascii="Arial" w:hAnsi="Arial" w:cs="Arial"/>
        </w:rPr>
        <w:t>קדש</w:t>
      </w:r>
      <w:r w:rsidR="00CA00F4">
        <w:t xml:space="preserve"> </w:t>
      </w:r>
      <w:r w:rsidR="00CA00F4" w:rsidRPr="00CA00F4">
        <w:rPr>
          <w:rFonts w:ascii="Arial" w:hAnsi="Arial" w:cs="Arial"/>
        </w:rPr>
        <w:t>ברית</w:t>
      </w:r>
      <w:r w:rsidR="00754253">
        <w:rPr>
          <w:rFonts w:ascii="Arial" w:hAnsi="Arial" w:cs="Arial"/>
        </w:rPr>
        <w:t xml:space="preserve"> </w:t>
      </w:r>
      <w:r w:rsidR="00CA00F4">
        <w:t xml:space="preserve"> </w:t>
      </w:r>
      <w:r w:rsidR="00754253" w:rsidRPr="00754253">
        <w:rPr>
          <w:rFonts w:ascii="Arial" w:hAnsi="Arial" w:cs="Arial"/>
        </w:rPr>
        <w:t>ל</w:t>
      </w:r>
      <w:r w:rsidR="00CA00F4" w:rsidRPr="00CA00F4">
        <w:rPr>
          <w:rFonts w:ascii="Arial" w:hAnsi="Arial" w:cs="Arial"/>
        </w:rPr>
        <w:t>ע</w:t>
      </w:r>
      <w:r w:rsidR="00754253">
        <w:rPr>
          <w:rFonts w:ascii="Arial" w:hAnsi="Arial" w:cs="Arial"/>
        </w:rPr>
        <w:t xml:space="preserve"> </w:t>
      </w:r>
      <w:r w:rsidR="00CA00F4" w:rsidRPr="00CA00F4">
        <w:t xml:space="preserve"> </w:t>
      </w:r>
      <w:r w:rsidR="00CA00F4" w:rsidRPr="00CA00F4">
        <w:rPr>
          <w:rFonts w:ascii="Arial" w:hAnsi="Arial" w:cs="Arial"/>
        </w:rPr>
        <w:t>ולבבו</w:t>
      </w:r>
      <w:r w:rsidR="00CA00F4" w:rsidRPr="00CA00F4">
        <w:t xml:space="preserve"> </w:t>
      </w:r>
      <w:r w:rsidRPr="002B376E">
        <w:t>“and his heart [will be] against a holy covenant, and he will act.” I ignore MT</w:t>
      </w:r>
      <w:r w:rsidR="00CA00F4">
        <w:t xml:space="preserve"> punctuation and assume that he </w:t>
      </w:r>
      <w:r w:rsidR="00754253">
        <w:t xml:space="preserve">takes </w:t>
      </w:r>
      <w:r w:rsidRPr="002B376E">
        <w:t xml:space="preserve">this action on the way home; the last </w:t>
      </w:r>
      <w:r w:rsidR="00F91222">
        <w:t xml:space="preserve">clause </w:t>
      </w:r>
      <w:r w:rsidRPr="002B376E">
        <w:t>in v 28 is then resumptive.</w:t>
      </w:r>
    </w:p>
    <w:p w:rsidR="002B376E" w:rsidRPr="002B376E" w:rsidRDefault="002B376E" w:rsidP="002B376E">
      <w:r w:rsidRPr="002B376E">
        <w:t xml:space="preserve">29.a. With Th against </w:t>
      </w:r>
      <w:r w:rsidR="00E008EC">
        <w:t>EVV</w:t>
      </w:r>
      <w:r w:rsidRPr="002B376E">
        <w:t>: see Hanhart, “</w:t>
      </w:r>
      <w:r w:rsidR="00CA00F4">
        <w:t xml:space="preserve">Die </w:t>
      </w:r>
      <w:r w:rsidRPr="002B376E">
        <w:t>Übersetzu</w:t>
      </w:r>
      <w:r w:rsidR="00CA00F4">
        <w:t xml:space="preserve">ngstechnik </w:t>
      </w:r>
      <w:r w:rsidR="00CA00F4" w:rsidRPr="00CA00F4">
        <w:t>der Septuaginta</w:t>
      </w:r>
      <w:r w:rsidRPr="002B376E">
        <w:t>.</w:t>
      </w:r>
      <w:r w:rsidR="00CA00F4">
        <w:t>”</w:t>
      </w:r>
    </w:p>
    <w:p w:rsidR="002B376E" w:rsidRPr="002B376E" w:rsidRDefault="002B376E" w:rsidP="002B376E">
      <w:r w:rsidRPr="002B376E">
        <w:t xml:space="preserve">30.a. </w:t>
      </w:r>
      <w:r w:rsidRPr="002B376E">
        <w:rPr>
          <w:rFonts w:ascii="Arial" w:hAnsi="Arial" w:cs="Arial"/>
        </w:rPr>
        <w:t>כתים</w:t>
      </w:r>
      <w:r w:rsidRPr="002B376E">
        <w:t>, origin</w:t>
      </w:r>
      <w:r w:rsidR="00CA00F4">
        <w:t xml:space="preserve">ally a town in Cyprus, then </w:t>
      </w:r>
      <w:r w:rsidR="00754253">
        <w:t xml:space="preserve">a term for </w:t>
      </w:r>
      <w:r w:rsidR="00CA00F4">
        <w:t xml:space="preserve">the </w:t>
      </w:r>
      <w:r w:rsidRPr="002B376E">
        <w:t>island as a whole</w:t>
      </w:r>
      <w:r w:rsidR="00754253">
        <w:t xml:space="preserve">, then </w:t>
      </w:r>
      <w:r w:rsidR="00522D0A">
        <w:t>for “Cyprus and bey</w:t>
      </w:r>
      <w:r w:rsidR="00754253">
        <w:t xml:space="preserve">ond,” and later </w:t>
      </w:r>
      <w:r w:rsidR="00157BFB">
        <w:t>for Rome (cf. OG, Vg).</w:t>
      </w:r>
    </w:p>
    <w:p w:rsidR="002B376E" w:rsidRPr="002B376E" w:rsidRDefault="002B376E" w:rsidP="002B376E">
      <w:r w:rsidRPr="002B376E">
        <w:t xml:space="preserve">30.b-b. </w:t>
      </w:r>
      <w:r w:rsidRPr="002B376E">
        <w:rPr>
          <w:rFonts w:ascii="Arial" w:hAnsi="Arial" w:cs="Arial"/>
        </w:rPr>
        <w:t>ועשה</w:t>
      </w:r>
      <w:r w:rsidRPr="002B376E">
        <w:t xml:space="preserve"> . . . </w:t>
      </w:r>
      <w:r w:rsidRPr="002B376E">
        <w:rPr>
          <w:rFonts w:ascii="Arial" w:hAnsi="Arial" w:cs="Arial"/>
        </w:rPr>
        <w:t>וזעם</w:t>
      </w:r>
      <w:r w:rsidRPr="002B376E">
        <w:t xml:space="preserve"> “and he will be harsh . . . and </w:t>
      </w:r>
      <w:r w:rsidR="00CA00F4">
        <w:t xml:space="preserve">he </w:t>
      </w:r>
      <w:r w:rsidRPr="002B376E">
        <w:t>will act.” Antiochus’s harshness is hardly his personal rage at his humiliation in Egypt; the word denotes the harshness of his actions as experienced by his victims rather than his personal feelings. Cf. the noun in v 36; 8:19.</w:t>
      </w:r>
    </w:p>
    <w:p w:rsidR="002B376E" w:rsidRPr="002B376E" w:rsidRDefault="002B376E" w:rsidP="002B376E">
      <w:r w:rsidRPr="002B376E">
        <w:t>30.c. The balanced arrangement of cl</w:t>
      </w:r>
      <w:r w:rsidR="00CA00F4">
        <w:t>ause</w:t>
      </w:r>
      <w:r w:rsidRPr="002B376E">
        <w:t xml:space="preserve">(s) in v 30 (Hasslberger, </w:t>
      </w:r>
      <w:r w:rsidRPr="00E008EC">
        <w:rPr>
          <w:i/>
        </w:rPr>
        <w:t>Hoffnung</w:t>
      </w:r>
      <w:r w:rsidR="00E008EC">
        <w:rPr>
          <w:i/>
        </w:rPr>
        <w:t xml:space="preserve"> </w:t>
      </w:r>
      <w:r w:rsidR="00E008EC" w:rsidRPr="00E008EC">
        <w:rPr>
          <w:i/>
        </w:rPr>
        <w:t>in der Bedrängnis</w:t>
      </w:r>
      <w:r w:rsidRPr="002B376E">
        <w:t xml:space="preserve">) suggests that </w:t>
      </w:r>
      <w:r w:rsidRPr="002B376E">
        <w:rPr>
          <w:rFonts w:ascii="Arial" w:hAnsi="Arial" w:cs="Arial"/>
        </w:rPr>
        <w:t>ושב</w:t>
      </w:r>
      <w:r w:rsidRPr="002B376E">
        <w:t xml:space="preserve"> belongs with what precedes (against MT).</w:t>
      </w:r>
    </w:p>
    <w:p w:rsidR="002B376E" w:rsidRPr="002B376E" w:rsidRDefault="002B376E" w:rsidP="002B376E">
      <w:r w:rsidRPr="002B376E">
        <w:t xml:space="preserve">31.a. Grammatically it is easiest to take </w:t>
      </w:r>
      <w:r w:rsidRPr="002B376E">
        <w:rPr>
          <w:rFonts w:ascii="Arial" w:hAnsi="Arial" w:cs="Arial"/>
        </w:rPr>
        <w:t>מעוז</w:t>
      </w:r>
      <w:r w:rsidRPr="002B376E">
        <w:t xml:space="preserve"> as a description of the sanctuary, but it is an odd word to use of it and historically </w:t>
      </w:r>
      <w:r w:rsidR="00CA00F4">
        <w:t xml:space="preserve">it </w:t>
      </w:r>
      <w:r w:rsidRPr="002B376E">
        <w:t xml:space="preserve">refers more easily to the citadel near the temple (see </w:t>
      </w:r>
      <w:r w:rsidRPr="00CA00F4">
        <w:rPr>
          <w:i/>
        </w:rPr>
        <w:t>Comment</w:t>
      </w:r>
      <w:r w:rsidRPr="002B376E">
        <w:t>).</w:t>
      </w:r>
    </w:p>
    <w:p w:rsidR="002B376E" w:rsidRPr="002B376E" w:rsidRDefault="002B376E" w:rsidP="002B376E">
      <w:r w:rsidRPr="002B376E">
        <w:t xml:space="preserve">31.b. </w:t>
      </w:r>
      <w:r w:rsidRPr="002B376E">
        <w:rPr>
          <w:rFonts w:ascii="Arial" w:hAnsi="Arial" w:cs="Arial"/>
        </w:rPr>
        <w:t>משומם</w:t>
      </w:r>
      <w:r w:rsidR="00CA00F4">
        <w:rPr>
          <w:rFonts w:ascii="Arial" w:hAnsi="Arial" w:cs="Arial"/>
        </w:rPr>
        <w:t xml:space="preserve"> </w:t>
      </w:r>
      <w:r w:rsidR="00CA00F4" w:rsidRPr="00CA00F4">
        <w:rPr>
          <w:rFonts w:ascii="Arial" w:hAnsi="Arial" w:cs="Arial"/>
        </w:rPr>
        <w:t>השקוץ</w:t>
      </w:r>
      <w:r w:rsidRPr="002B376E">
        <w:t xml:space="preserve">: as in 8:13 (see n. 8:13.e) the </w:t>
      </w:r>
      <w:r w:rsidR="00881994">
        <w:t>participle</w:t>
      </w:r>
      <w:r w:rsidR="00CA00F4">
        <w:t xml:space="preserve"> lacks the article but it is </w:t>
      </w:r>
      <w:r w:rsidRPr="002B376E">
        <w:t xml:space="preserve">here poel, while </w:t>
      </w:r>
      <w:r w:rsidRPr="002B376E">
        <w:rPr>
          <w:rFonts w:ascii="Arial" w:hAnsi="Arial" w:cs="Arial"/>
        </w:rPr>
        <w:t>פשע</w:t>
      </w:r>
      <w:r w:rsidRPr="002B376E">
        <w:t xml:space="preserve"> is replaced by </w:t>
      </w:r>
      <w:r w:rsidRPr="002B376E">
        <w:rPr>
          <w:rFonts w:ascii="Arial" w:hAnsi="Arial" w:cs="Arial"/>
        </w:rPr>
        <w:t>שקוץ</w:t>
      </w:r>
      <w:r w:rsidRPr="002B376E">
        <w:t>.</w:t>
      </w:r>
    </w:p>
    <w:p w:rsidR="002B376E" w:rsidRPr="002B376E" w:rsidRDefault="002B376E" w:rsidP="002B376E">
      <w:r w:rsidRPr="002B376E">
        <w:t xml:space="preserve">32.a. </w:t>
      </w:r>
      <w:r w:rsidRPr="002B376E">
        <w:rPr>
          <w:rFonts w:ascii="Arial" w:hAnsi="Arial" w:cs="Arial"/>
        </w:rPr>
        <w:t>ברית</w:t>
      </w:r>
      <w:r w:rsidR="009E181B">
        <w:rPr>
          <w:rFonts w:ascii="Arial" w:hAnsi="Arial" w:cs="Arial"/>
        </w:rPr>
        <w:t xml:space="preserve"> </w:t>
      </w:r>
      <w:r w:rsidRPr="002B376E">
        <w:t xml:space="preserve"> </w:t>
      </w:r>
      <w:r w:rsidR="009E181B" w:rsidRPr="002B376E">
        <w:rPr>
          <w:rFonts w:ascii="Arial" w:hAnsi="Arial" w:cs="Arial"/>
        </w:rPr>
        <w:t>מרשיעי</w:t>
      </w:r>
      <w:r w:rsidR="009E181B" w:rsidRPr="002B376E">
        <w:t xml:space="preserve"> </w:t>
      </w:r>
      <w:r w:rsidRPr="002B376E">
        <w:t xml:space="preserve">(cf. 1QM 1.2): giving the </w:t>
      </w:r>
      <w:r w:rsidR="002B61F2">
        <w:t>verb</w:t>
      </w:r>
      <w:r w:rsidRPr="002B376E">
        <w:t xml:space="preserve"> its usual meaning in Dan</w:t>
      </w:r>
      <w:r w:rsidR="009E181B">
        <w:t>iel and taking the construct as defining (cf. RV</w:t>
      </w:r>
      <w:r w:rsidRPr="002B376E">
        <w:t xml:space="preserve">; GKC 116h, 128x). </w:t>
      </w:r>
      <w:r w:rsidR="009E181B">
        <w:t>But “s</w:t>
      </w:r>
      <w:r w:rsidRPr="002B376E">
        <w:t xml:space="preserve">uch as wrong a covenant” (cf. the use of </w:t>
      </w:r>
      <w:r w:rsidRPr="002B376E">
        <w:rPr>
          <w:rFonts w:ascii="Arial" w:hAnsi="Arial" w:cs="Arial"/>
        </w:rPr>
        <w:t>הכשיל</w:t>
      </w:r>
      <w:r w:rsidRPr="002B376E">
        <w:t xml:space="preserve"> in Mal 2:8) or “such as condemn a covenant” are possible. “Covenant” might virtually mean “covenant people”; but “such among th</w:t>
      </w:r>
      <w:r w:rsidR="00C82646">
        <w:t>e covenant people who act faithless</w:t>
      </w:r>
      <w:r w:rsidRPr="002B376E">
        <w:t>ly” (p</w:t>
      </w:r>
      <w:r w:rsidR="009E181B">
        <w:t xml:space="preserve">artitive) is unlikely, as </w:t>
      </w:r>
      <w:r w:rsidR="00056055">
        <w:t>t</w:t>
      </w:r>
      <w:r w:rsidR="009E181B" w:rsidRPr="009E181B">
        <w:t xml:space="preserve">he phrase denotes </w:t>
      </w:r>
      <w:r w:rsidR="009E181B">
        <w:t>the people re</w:t>
      </w:r>
      <w:r w:rsidR="00056055">
        <w:t>ferred to in v 30b and the celestial being</w:t>
      </w:r>
      <w:r w:rsidRPr="002B376E">
        <w:t xml:space="preserve"> would hardly make a point of stating that they belong to the covenant people. </w:t>
      </w:r>
    </w:p>
    <w:p w:rsidR="002B376E" w:rsidRPr="002B376E" w:rsidRDefault="002B376E" w:rsidP="002B376E">
      <w:r w:rsidRPr="002B376E">
        <w:t xml:space="preserve">32.b. </w:t>
      </w:r>
      <w:r w:rsidRPr="002B376E">
        <w:rPr>
          <w:rFonts w:ascii="Arial" w:hAnsi="Arial" w:cs="Arial"/>
        </w:rPr>
        <w:t>יחניף</w:t>
      </w:r>
      <w:r w:rsidRPr="002B376E">
        <w:t xml:space="preserve">; </w:t>
      </w:r>
      <w:r w:rsidR="003E350F" w:rsidRPr="003E350F">
        <w:rPr>
          <w:rFonts w:cs="Arial"/>
        </w:rPr>
        <w:t>the verb</w:t>
      </w:r>
      <w:r w:rsidRPr="002B376E">
        <w:t xml:space="preserve"> suggests keeping t</w:t>
      </w:r>
      <w:r w:rsidR="003E350F">
        <w:t>he outward form of a faith that one has really given up</w:t>
      </w:r>
      <w:r w:rsidRPr="002B376E">
        <w:t>.</w:t>
      </w:r>
    </w:p>
    <w:p w:rsidR="002B376E" w:rsidRPr="002B376E" w:rsidRDefault="002B376E" w:rsidP="002B376E">
      <w:r w:rsidRPr="002B376E">
        <w:t xml:space="preserve">32.c. It is </w:t>
      </w:r>
      <w:r w:rsidR="00E83B20">
        <w:t>perhaps</w:t>
      </w:r>
      <w:r w:rsidRPr="002B376E">
        <w:t xml:space="preserve"> significant that </w:t>
      </w:r>
      <w:r w:rsidRPr="002B376E">
        <w:rPr>
          <w:rFonts w:ascii="Arial" w:hAnsi="Arial" w:cs="Arial"/>
        </w:rPr>
        <w:t>ידע</w:t>
      </w:r>
      <w:r w:rsidRPr="002B376E">
        <w:t xml:space="preserve"> appears here in a cov</w:t>
      </w:r>
      <w:r w:rsidR="00B71A54">
        <w:t xml:space="preserve">enant/treaty context (cf. </w:t>
      </w:r>
      <w:r w:rsidRPr="002B376E">
        <w:t>Huffmon, “The Tr</w:t>
      </w:r>
      <w:r w:rsidR="00B71A54">
        <w:t xml:space="preserve">eaty Background of Hebrew </w:t>
      </w:r>
      <w:r w:rsidR="00B71A54" w:rsidRPr="00F20EEE">
        <w:rPr>
          <w:i/>
        </w:rPr>
        <w:t>yāda</w:t>
      </w:r>
      <w:r w:rsidR="00B71A54">
        <w:t>‘”</w:t>
      </w:r>
      <w:r w:rsidRPr="002B376E">
        <w:t>).</w:t>
      </w:r>
    </w:p>
    <w:p w:rsidR="002B376E" w:rsidRPr="002B376E" w:rsidRDefault="002B376E" w:rsidP="002B376E">
      <w:r w:rsidRPr="002B376E">
        <w:t xml:space="preserve">32.d. </w:t>
      </w:r>
      <w:r w:rsidRPr="002B376E">
        <w:rPr>
          <w:rFonts w:ascii="Arial" w:hAnsi="Arial" w:cs="Arial"/>
        </w:rPr>
        <w:t>ועשו</w:t>
      </w:r>
      <w:r w:rsidRPr="002B376E">
        <w:t xml:space="preserve"> </w:t>
      </w:r>
      <w:r w:rsidR="00F20EEE" w:rsidRPr="00F20EEE">
        <w:rPr>
          <w:rFonts w:ascii="Arial" w:hAnsi="Arial" w:cs="Arial"/>
        </w:rPr>
        <w:t>יחזקו</w:t>
      </w:r>
      <w:r w:rsidR="00F20EEE" w:rsidRPr="00F20EEE">
        <w:t xml:space="preserve"> </w:t>
      </w:r>
      <w:r w:rsidRPr="002B376E">
        <w:t>“display strength and act.”</w:t>
      </w:r>
    </w:p>
    <w:p w:rsidR="002B376E" w:rsidRPr="002B376E" w:rsidRDefault="00F20EEE" w:rsidP="002B376E">
      <w:r>
        <w:t xml:space="preserve">33.a. The more common meaning </w:t>
      </w:r>
      <w:r w:rsidR="002B376E" w:rsidRPr="002B376E">
        <w:t xml:space="preserve">of the </w:t>
      </w:r>
      <w:r w:rsidR="002B61F2">
        <w:t>hiphil verb</w:t>
      </w:r>
      <w:r w:rsidR="002B376E" w:rsidRPr="002B376E">
        <w:t xml:space="preserve"> in BH, though </w:t>
      </w:r>
      <w:r w:rsidR="00881994">
        <w:t>participle</w:t>
      </w:r>
      <w:r w:rsidR="002B376E" w:rsidRPr="002B376E">
        <w:t xml:space="preserve"> </w:t>
      </w:r>
      <w:r w:rsidR="002B376E" w:rsidRPr="002B376E">
        <w:rPr>
          <w:rFonts w:ascii="Arial" w:hAnsi="Arial" w:cs="Arial"/>
        </w:rPr>
        <w:t>ל</w:t>
      </w:r>
      <w:r w:rsidR="001D35A2">
        <w:rPr>
          <w:rFonts w:ascii="Arial" w:hAnsi="Arial" w:cs="Arial"/>
        </w:rPr>
        <w:t xml:space="preserve"> </w:t>
      </w:r>
      <w:r w:rsidR="001D35A2" w:rsidRPr="001D35A2">
        <w:rPr>
          <w:rFonts w:ascii="Arial" w:hAnsi="Arial" w:cs="Arial"/>
        </w:rPr>
        <w:t>כי</w:t>
      </w:r>
      <w:r w:rsidR="001D35A2">
        <w:rPr>
          <w:rFonts w:ascii="Arial" w:hAnsi="Arial" w:cs="Arial"/>
        </w:rPr>
        <w:t xml:space="preserve"> </w:t>
      </w:r>
      <w:r w:rsidR="001D35A2" w:rsidRPr="001D35A2">
        <w:rPr>
          <w:rFonts w:ascii="Arial" w:hAnsi="Arial" w:cs="Arial"/>
        </w:rPr>
        <w:t>ש</w:t>
      </w:r>
      <w:r w:rsidR="002B376E" w:rsidRPr="002B376E">
        <w:t xml:space="preserve"> </w:t>
      </w:r>
      <w:r w:rsidR="001D35A2" w:rsidRPr="001D35A2">
        <w:rPr>
          <w:rFonts w:ascii="Arial" w:hAnsi="Arial" w:cs="Arial"/>
        </w:rPr>
        <w:t>מ</w:t>
      </w:r>
      <w:r w:rsidR="001D35A2" w:rsidRPr="001D35A2">
        <w:t xml:space="preserve"> </w:t>
      </w:r>
      <w:r w:rsidR="002B376E" w:rsidRPr="002B376E">
        <w:t>commonly</w:t>
      </w:r>
      <w:r>
        <w:t xml:space="preserve"> means “teacher” at Qumran (Kosma</w:t>
      </w:r>
      <w:r w:rsidR="001D35A2">
        <w:t xml:space="preserve">la, “Maśkîl,” 240). While the </w:t>
      </w:r>
      <w:r>
        <w:t>phrase might</w:t>
      </w:r>
      <w:r w:rsidR="002B376E" w:rsidRPr="002B376E">
        <w:t xml:space="preserve"> r</w:t>
      </w:r>
      <w:r>
        <w:t>efer to all those</w:t>
      </w:r>
      <w:r w:rsidR="002B376E" w:rsidRPr="002B376E">
        <w:t xml:space="preserve"> who acknowledg</w:t>
      </w:r>
      <w:r>
        <w:t xml:space="preserve">e their God (v 32; Delcor), </w:t>
      </w:r>
      <w:r w:rsidR="002B376E" w:rsidRPr="002B376E">
        <w:t>more natu</w:t>
      </w:r>
      <w:r w:rsidR="001D35A2">
        <w:t>rally it suggests a group among</w:t>
      </w:r>
      <w:r w:rsidR="002B376E" w:rsidRPr="002B376E">
        <w:t xml:space="preserve"> the conservative Jews.</w:t>
      </w:r>
    </w:p>
    <w:p w:rsidR="002B376E" w:rsidRPr="002B376E" w:rsidRDefault="002B376E" w:rsidP="002B376E">
      <w:r w:rsidRPr="002B376E">
        <w:t>33.b. See n. 9:27.b.</w:t>
      </w:r>
    </w:p>
    <w:p w:rsidR="002B376E" w:rsidRPr="002B376E" w:rsidRDefault="002B376E" w:rsidP="002B376E">
      <w:r w:rsidRPr="002B376E">
        <w:t xml:space="preserve">33.c. There is </w:t>
      </w:r>
      <w:r w:rsidR="003E350F">
        <w:t>a troubl</w:t>
      </w:r>
      <w:r w:rsidR="00F20EEE">
        <w:t>ing paronomasia</w:t>
      </w:r>
      <w:r w:rsidRPr="002B376E">
        <w:t xml:space="preserve"> between “discerning” (</w:t>
      </w:r>
      <w:r w:rsidR="003E350F" w:rsidRPr="003E350F">
        <w:rPr>
          <w:rFonts w:ascii="Arial" w:hAnsi="Arial" w:cs="Arial"/>
        </w:rPr>
        <w:t>ל</w:t>
      </w:r>
      <w:r w:rsidR="003E350F">
        <w:t xml:space="preserve"> </w:t>
      </w:r>
      <w:r w:rsidR="003E350F" w:rsidRPr="003E350F">
        <w:rPr>
          <w:rFonts w:ascii="Arial" w:hAnsi="Arial" w:cs="Arial"/>
        </w:rPr>
        <w:t>כ</w:t>
      </w:r>
      <w:r w:rsidR="003E350F">
        <w:rPr>
          <w:rFonts w:ascii="Arial" w:hAnsi="Arial" w:cs="Arial"/>
        </w:rPr>
        <w:t xml:space="preserve"> </w:t>
      </w:r>
      <w:r w:rsidR="003E350F" w:rsidRPr="003E350F">
        <w:rPr>
          <w:rFonts w:ascii="Arial" w:hAnsi="Arial" w:cs="Arial"/>
        </w:rPr>
        <w:t>ש</w:t>
      </w:r>
      <w:r w:rsidRPr="002B376E">
        <w:t>) and “fall” (</w:t>
      </w:r>
      <w:r w:rsidR="003E350F" w:rsidRPr="003E350F">
        <w:rPr>
          <w:rFonts w:ascii="Arial" w:hAnsi="Arial" w:cs="Arial"/>
        </w:rPr>
        <w:t>כשל</w:t>
      </w:r>
      <w:r w:rsidR="00F20EEE">
        <w:t>) (vv, 33, 34, 35) (cf. JB</w:t>
      </w:r>
      <w:r w:rsidRPr="002B376E">
        <w:t xml:space="preserve">). </w:t>
      </w:r>
      <w:r w:rsidRPr="002B376E">
        <w:rPr>
          <w:rFonts w:ascii="Arial" w:hAnsi="Arial" w:cs="Arial"/>
        </w:rPr>
        <w:t>כשל</w:t>
      </w:r>
      <w:r w:rsidRPr="002B376E">
        <w:t xml:space="preserve"> can mean “be caused to sin” (</w:t>
      </w:r>
      <w:r w:rsidR="00641101">
        <w:t>Jer 18:15; Mal 2:8) but this ill</w:t>
      </w:r>
      <w:r w:rsidRPr="002B376E">
        <w:t xml:space="preserve"> fits the context.</w:t>
      </w:r>
    </w:p>
    <w:p w:rsidR="002B376E" w:rsidRPr="002B376E" w:rsidRDefault="002B376E" w:rsidP="002B376E">
      <w:r w:rsidRPr="002B376E">
        <w:t>33.d. 6QDan, G have “and.”</w:t>
      </w:r>
    </w:p>
    <w:p w:rsidR="002B376E" w:rsidRPr="002B376E" w:rsidRDefault="00B638AD" w:rsidP="002B376E">
      <w:r>
        <w:t xml:space="preserve">34.a. Or “strength”: see </w:t>
      </w:r>
      <w:r w:rsidR="002B376E" w:rsidRPr="002B376E">
        <w:t xml:space="preserve">Miller, “Ugaritic </w:t>
      </w:r>
      <w:r w:rsidR="002B376E" w:rsidRPr="00B638AD">
        <w:rPr>
          <w:i/>
        </w:rPr>
        <w:t>q́zr</w:t>
      </w:r>
      <w:r w:rsidR="002B376E" w:rsidRPr="002B376E">
        <w:t xml:space="preserve"> and H</w:t>
      </w:r>
      <w:r>
        <w:t>ebrew ‘</w:t>
      </w:r>
      <w:r w:rsidR="002B376E" w:rsidRPr="00B638AD">
        <w:rPr>
          <w:i/>
        </w:rPr>
        <w:t>zr</w:t>
      </w:r>
      <w:r>
        <w:t xml:space="preserve"> ii,” </w:t>
      </w:r>
      <w:r w:rsidR="002B376E" w:rsidRPr="002B376E">
        <w:t>171.</w:t>
      </w:r>
    </w:p>
    <w:p w:rsidR="002B376E" w:rsidRPr="002B376E" w:rsidRDefault="00B638AD" w:rsidP="002B376E">
      <w:r>
        <w:t>34.b. As an understanding of</w:t>
      </w:r>
      <w:r w:rsidR="002B376E" w:rsidRPr="002B376E">
        <w:t xml:space="preserve"> </w:t>
      </w:r>
      <w:r w:rsidR="002B376E" w:rsidRPr="002B376E">
        <w:rPr>
          <w:rFonts w:ascii="Arial" w:hAnsi="Arial" w:cs="Arial"/>
        </w:rPr>
        <w:t>בחלקלקות</w:t>
      </w:r>
      <w:r>
        <w:rPr>
          <w:rFonts w:ascii="Arial" w:hAnsi="Arial" w:cs="Arial"/>
        </w:rPr>
        <w:t xml:space="preserve">, </w:t>
      </w:r>
      <w:r w:rsidRPr="00B638AD">
        <w:rPr>
          <w:rFonts w:cs="Arial"/>
        </w:rPr>
        <w:t>covert support</w:t>
      </w:r>
      <w:r>
        <w:t xml:space="preserve"> (JB) </w:t>
      </w:r>
      <w:r w:rsidR="002B376E" w:rsidRPr="002B376E">
        <w:t xml:space="preserve">is less likely than covert hostility, as </w:t>
      </w:r>
      <w:r>
        <w:t xml:space="preserve">in </w:t>
      </w:r>
      <w:r w:rsidR="002B376E" w:rsidRPr="002B376E">
        <w:t xml:space="preserve">v 21 (and cf. v 32 </w:t>
      </w:r>
      <w:r w:rsidR="002B376E" w:rsidRPr="002B376E">
        <w:rPr>
          <w:rFonts w:ascii="Arial" w:hAnsi="Arial" w:cs="Arial"/>
        </w:rPr>
        <w:t>בחלקות</w:t>
      </w:r>
      <w:r w:rsidR="002B376E" w:rsidRPr="002B376E">
        <w:t>).</w:t>
      </w:r>
    </w:p>
    <w:p w:rsidR="002B376E" w:rsidRPr="002B376E" w:rsidRDefault="002B376E" w:rsidP="002B376E">
      <w:r w:rsidRPr="002B376E">
        <w:lastRenderedPageBreak/>
        <w:t xml:space="preserve">35.a. The many potentially insincere adherents of v 34b are a more plausible antecedent for </w:t>
      </w:r>
      <w:r w:rsidRPr="002B376E">
        <w:rPr>
          <w:rFonts w:ascii="Arial" w:hAnsi="Arial" w:cs="Arial"/>
        </w:rPr>
        <w:t>בהם</w:t>
      </w:r>
      <w:r w:rsidRPr="002B376E">
        <w:t xml:space="preserve"> than the discerning of v 35a (Hasslberger, </w:t>
      </w:r>
      <w:r w:rsidRPr="00E008EC">
        <w:rPr>
          <w:i/>
        </w:rPr>
        <w:t>Hoffnung</w:t>
      </w:r>
      <w:r w:rsidR="00E008EC">
        <w:rPr>
          <w:i/>
        </w:rPr>
        <w:t xml:space="preserve"> </w:t>
      </w:r>
      <w:r w:rsidR="00E008EC" w:rsidRPr="00E008EC">
        <w:rPr>
          <w:i/>
        </w:rPr>
        <w:t>in der Bedrängnis</w:t>
      </w:r>
      <w:r w:rsidRPr="002B376E">
        <w:t>).</w:t>
      </w:r>
    </w:p>
    <w:p w:rsidR="002B376E" w:rsidRPr="002B376E" w:rsidRDefault="002B376E" w:rsidP="002B376E">
      <w:r w:rsidRPr="002B376E">
        <w:t xml:space="preserve">35.b-b. </w:t>
      </w:r>
      <w:r w:rsidRPr="002B376E">
        <w:rPr>
          <w:rFonts w:ascii="Arial" w:hAnsi="Arial" w:cs="Arial"/>
        </w:rPr>
        <w:t>כי</w:t>
      </w:r>
      <w:r w:rsidR="00B638AD">
        <w:rPr>
          <w:rFonts w:ascii="Arial" w:hAnsi="Arial" w:cs="Arial"/>
        </w:rPr>
        <w:t xml:space="preserve"> </w:t>
      </w:r>
      <w:r w:rsidR="00B638AD" w:rsidRPr="00B638AD">
        <w:rPr>
          <w:rFonts w:ascii="Arial" w:hAnsi="Arial" w:cs="Arial"/>
        </w:rPr>
        <w:t>קץ</w:t>
      </w:r>
      <w:r w:rsidR="00B638AD">
        <w:rPr>
          <w:rFonts w:ascii="Arial" w:hAnsi="Arial" w:cs="Arial"/>
        </w:rPr>
        <w:t xml:space="preserve"> </w:t>
      </w:r>
      <w:r w:rsidR="00B638AD" w:rsidRPr="00B638AD">
        <w:rPr>
          <w:rFonts w:ascii="Arial" w:hAnsi="Arial" w:cs="Arial"/>
        </w:rPr>
        <w:t>עת</w:t>
      </w:r>
      <w:r w:rsidR="00B638AD">
        <w:rPr>
          <w:rFonts w:ascii="Arial" w:hAnsi="Arial" w:cs="Arial"/>
        </w:rPr>
        <w:t xml:space="preserve"> </w:t>
      </w:r>
      <w:r w:rsidR="00B638AD" w:rsidRPr="00B638AD">
        <w:rPr>
          <w:rFonts w:ascii="Arial" w:hAnsi="Arial" w:cs="Arial"/>
        </w:rPr>
        <w:t>עד</w:t>
      </w:r>
      <w:r w:rsidR="00B638AD">
        <w:t>; NEB</w:t>
      </w:r>
      <w:r w:rsidRPr="002B376E">
        <w:t xml:space="preserve"> reverses the last two words.</w:t>
      </w:r>
    </w:p>
    <w:p w:rsidR="002B376E" w:rsidRPr="002B376E" w:rsidRDefault="002B376E" w:rsidP="002B376E">
      <w:r w:rsidRPr="002B376E">
        <w:t>35.c. If “it” is the final moment; “last for” if “it” is the persecution.</w:t>
      </w:r>
    </w:p>
    <w:p w:rsidR="002B376E" w:rsidRPr="002B376E" w:rsidRDefault="002B376E" w:rsidP="002B376E">
      <w:r w:rsidRPr="002B376E">
        <w:t>36.a. [</w:t>
      </w:r>
      <w:r w:rsidRPr="002B376E">
        <w:rPr>
          <w:rFonts w:ascii="Arial" w:hAnsi="Arial" w:cs="Arial"/>
        </w:rPr>
        <w:t>ים</w:t>
      </w:r>
      <w:r w:rsidRPr="002B376E">
        <w:t>]</w:t>
      </w:r>
      <w:r w:rsidRPr="002B376E">
        <w:rPr>
          <w:rFonts w:ascii="Arial" w:hAnsi="Arial" w:cs="Arial"/>
        </w:rPr>
        <w:t>אל</w:t>
      </w:r>
      <w:r w:rsidR="00035CD9">
        <w:t xml:space="preserve"> </w:t>
      </w:r>
      <w:r w:rsidRPr="002B376E">
        <w:t>refer</w:t>
      </w:r>
      <w:r w:rsidR="00035CD9">
        <w:t>s</w:t>
      </w:r>
      <w:r w:rsidRPr="002B376E">
        <w:t xml:space="preserve"> to subordin</w:t>
      </w:r>
      <w:r w:rsidR="00035CD9">
        <w:t>ate heavenly beings;</w:t>
      </w:r>
      <w:r w:rsidRPr="002B376E">
        <w:t xml:space="preserve"> Englis</w:t>
      </w:r>
      <w:r w:rsidR="003E350F">
        <w:t xml:space="preserve">h “god[s]” in relation to “God” </w:t>
      </w:r>
      <w:r w:rsidRPr="002B376E">
        <w:t>gives just the right impression.</w:t>
      </w:r>
    </w:p>
    <w:p w:rsidR="002B376E" w:rsidRPr="002B376E" w:rsidRDefault="002B376E" w:rsidP="002B376E">
      <w:r w:rsidRPr="002B376E">
        <w:t xml:space="preserve">36.b. </w:t>
      </w:r>
      <w:r w:rsidRPr="002B376E">
        <w:rPr>
          <w:rFonts w:ascii="Arial" w:hAnsi="Arial" w:cs="Arial"/>
        </w:rPr>
        <w:t>כלה</w:t>
      </w:r>
      <w:r w:rsidR="006F506E">
        <w:t>: p</w:t>
      </w:r>
      <w:r w:rsidRPr="002B376E">
        <w:t>erhaps wrath on the northern king being “full and ready to be exp</w:t>
      </w:r>
      <w:r w:rsidR="006F506E">
        <w:t>ressed” (cf. 1 Sam 25:17) (so JB</w:t>
      </w:r>
      <w:r w:rsidRPr="002B376E">
        <w:t>), or being “fully expressed, poured out” (cf. Ezek 5:13; 2 Chr 36:22), but more likely wrath on Israel being “exhausted, at an end” (cf. Isa 10:25; Dan 8:19). See n. 9:24.d.</w:t>
      </w:r>
    </w:p>
    <w:p w:rsidR="002B376E" w:rsidRPr="002B376E" w:rsidRDefault="002B376E" w:rsidP="002B376E">
      <w:r w:rsidRPr="002B376E">
        <w:t xml:space="preserve">36.c-c. </w:t>
      </w:r>
      <w:r w:rsidRPr="002B376E">
        <w:rPr>
          <w:rFonts w:ascii="Arial" w:hAnsi="Arial" w:cs="Arial"/>
        </w:rPr>
        <w:t>נעשתה</w:t>
      </w:r>
      <w:r w:rsidR="006F506E">
        <w:rPr>
          <w:rFonts w:ascii="Arial" w:hAnsi="Arial" w:cs="Arial"/>
        </w:rPr>
        <w:t xml:space="preserve"> </w:t>
      </w:r>
      <w:r w:rsidR="006F506E" w:rsidRPr="006F506E">
        <w:rPr>
          <w:rFonts w:ascii="Arial" w:hAnsi="Arial" w:cs="Arial"/>
        </w:rPr>
        <w:t>נחרצה</w:t>
      </w:r>
      <w:r w:rsidR="006F506E">
        <w:rPr>
          <w:rFonts w:ascii="Arial" w:hAnsi="Arial" w:cs="Arial"/>
        </w:rPr>
        <w:t xml:space="preserve"> </w:t>
      </w:r>
      <w:r w:rsidR="006F506E" w:rsidRPr="006F506E">
        <w:rPr>
          <w:rFonts w:ascii="Arial" w:hAnsi="Arial" w:cs="Arial"/>
        </w:rPr>
        <w:t>כי</w:t>
      </w:r>
      <w:r w:rsidRPr="002B376E">
        <w:t xml:space="preserve">: </w:t>
      </w:r>
      <w:r w:rsidR="00F91222">
        <w:t>perfect</w:t>
      </w:r>
      <w:r w:rsidRPr="002B376E">
        <w:t xml:space="preserve"> of certitude, as following </w:t>
      </w:r>
      <w:r w:rsidRPr="002B376E">
        <w:rPr>
          <w:rFonts w:ascii="Arial" w:hAnsi="Arial" w:cs="Arial"/>
        </w:rPr>
        <w:t>כי</w:t>
      </w:r>
      <w:r w:rsidRPr="002B376E">
        <w:t xml:space="preserve"> and as paralleling the im</w:t>
      </w:r>
      <w:r w:rsidR="00F91222">
        <w:t>perfect</w:t>
      </w:r>
      <w:r w:rsidRPr="002B376E">
        <w:t xml:space="preserve"> after </w:t>
      </w:r>
      <w:r w:rsidRPr="002B376E">
        <w:rPr>
          <w:rFonts w:ascii="Arial" w:hAnsi="Arial" w:cs="Arial"/>
        </w:rPr>
        <w:t>נחרצה</w:t>
      </w:r>
      <w:r w:rsidR="006F506E">
        <w:t xml:space="preserve"> in 9:27 (cf. </w:t>
      </w:r>
      <w:r w:rsidRPr="002B376E">
        <w:t>GKC 106n), rather than “when what is determined is done.”</w:t>
      </w:r>
    </w:p>
    <w:p w:rsidR="002B376E" w:rsidRPr="002B376E" w:rsidRDefault="002B376E" w:rsidP="002B376E">
      <w:r w:rsidRPr="002B376E">
        <w:t xml:space="preserve">37.a. </w:t>
      </w:r>
      <w:r w:rsidR="006F506E">
        <w:t>M</w:t>
      </w:r>
      <w:r w:rsidR="006F506E" w:rsidRPr="006F506E">
        <w:t>ore likely s</w:t>
      </w:r>
      <w:r w:rsidR="006F506E">
        <w:t>. than pl., a</w:t>
      </w:r>
      <w:r w:rsidRPr="002B376E">
        <w:t>s the standard BH expression for “</w:t>
      </w:r>
      <w:r w:rsidR="006F506E">
        <w:t>the God of his fathers”</w:t>
      </w:r>
      <w:r w:rsidRPr="002B376E">
        <w:t xml:space="preserve"> </w:t>
      </w:r>
      <w:r w:rsidR="006F506E">
        <w:t xml:space="preserve">(Bunge, </w:t>
      </w:r>
      <w:r w:rsidR="006F506E" w:rsidRPr="006F506E">
        <w:t>“Der ‘Gott der Festungen</w:t>
      </w:r>
      <w:r w:rsidR="006F506E">
        <w:t>,</w:t>
      </w:r>
      <w:r w:rsidR="006F506E" w:rsidRPr="006F506E">
        <w:t>’</w:t>
      </w:r>
      <w:r w:rsidR="006F506E">
        <w:t>”</w:t>
      </w:r>
      <w:r w:rsidRPr="002B376E">
        <w:t xml:space="preserve"> 170): see </w:t>
      </w:r>
      <w:r w:rsidRPr="006F506E">
        <w:rPr>
          <w:i/>
        </w:rPr>
        <w:t>Comment</w:t>
      </w:r>
      <w:r w:rsidRPr="002B376E">
        <w:t>.</w:t>
      </w:r>
    </w:p>
    <w:p w:rsidR="002B376E" w:rsidRPr="002B376E" w:rsidRDefault="002B376E" w:rsidP="002B376E">
      <w:r w:rsidRPr="002B376E">
        <w:t xml:space="preserve">37.b. Grammatically </w:t>
      </w:r>
      <w:r w:rsidRPr="002B376E">
        <w:rPr>
          <w:rFonts w:ascii="Arial" w:hAnsi="Arial" w:cs="Arial"/>
        </w:rPr>
        <w:t>נשים</w:t>
      </w:r>
      <w:r w:rsidRPr="002B376E">
        <w:t xml:space="preserve"> </w:t>
      </w:r>
      <w:r w:rsidR="006C7087" w:rsidRPr="006C7087">
        <w:rPr>
          <w:rFonts w:ascii="Arial" w:hAnsi="Arial" w:cs="Arial"/>
        </w:rPr>
        <w:t>חמדת</w:t>
      </w:r>
      <w:r w:rsidR="006C7087" w:rsidRPr="006C7087">
        <w:t xml:space="preserve"> </w:t>
      </w:r>
      <w:r w:rsidRPr="002B376E">
        <w:t xml:space="preserve">“the love </w:t>
      </w:r>
      <w:r w:rsidR="005F0C74">
        <w:t>of women” could</w:t>
      </w:r>
      <w:r w:rsidR="006C7087">
        <w:t xml:space="preserve"> be objective genitive</w:t>
      </w:r>
      <w:r w:rsidRPr="002B376E">
        <w:t xml:space="preserve"> “love for women,” but this does not fit contextually.</w:t>
      </w:r>
    </w:p>
    <w:p w:rsidR="002B376E" w:rsidRPr="002B376E" w:rsidRDefault="002B376E" w:rsidP="002B376E">
      <w:r w:rsidRPr="002B376E">
        <w:t xml:space="preserve">37.c-c. 2 </w:t>
      </w:r>
      <w:r w:rsidR="003F4DB6" w:rsidRPr="003F4DB6">
        <w:t xml:space="preserve">medieval </w:t>
      </w:r>
      <w:r w:rsidRPr="002B376E">
        <w:t>mss omit (cf. OG).</w:t>
      </w:r>
    </w:p>
    <w:p w:rsidR="002B376E" w:rsidRPr="002B376E" w:rsidRDefault="002B376E" w:rsidP="002B376E">
      <w:r w:rsidRPr="002B376E">
        <w:t xml:space="preserve">38.a. </w:t>
      </w:r>
      <w:r w:rsidRPr="002B376E">
        <w:rPr>
          <w:rFonts w:ascii="Arial" w:hAnsi="Arial" w:cs="Arial"/>
        </w:rPr>
        <w:t>כנו</w:t>
      </w:r>
      <w:r w:rsidR="006C7087">
        <w:rPr>
          <w:rFonts w:ascii="Arial" w:hAnsi="Arial" w:cs="Arial"/>
        </w:rPr>
        <w:t xml:space="preserve"> </w:t>
      </w:r>
      <w:r w:rsidR="006C7087" w:rsidRPr="006C7087">
        <w:rPr>
          <w:rFonts w:ascii="Arial" w:hAnsi="Arial" w:cs="Arial"/>
        </w:rPr>
        <w:t>על</w:t>
      </w:r>
      <w:r w:rsidRPr="002B376E">
        <w:t xml:space="preserve">: the antecedent is “his fathers’ god,” the one this new god replaces. </w:t>
      </w:r>
      <w:r w:rsidR="006C7087">
        <w:t>“On his stand</w:t>
      </w:r>
      <w:r w:rsidRPr="002B376E">
        <w:t>”</w:t>
      </w:r>
      <w:r w:rsidR="006C7087">
        <w:t xml:space="preserve"> (</w:t>
      </w:r>
      <w:r w:rsidR="006C7087" w:rsidRPr="006C7087">
        <w:t>Hartman/Di Lella</w:t>
      </w:r>
      <w:r w:rsidR="006C7087">
        <w:t xml:space="preserve">) </w:t>
      </w:r>
      <w:r w:rsidRPr="002B376E">
        <w:t>involves</w:t>
      </w:r>
      <w:r w:rsidR="006C7087">
        <w:t xml:space="preserve"> reordering the words to fit </w:t>
      </w:r>
      <w:r w:rsidRPr="002B376E">
        <w:t>the context, and the meaning as in vv 7, 20, 21 is more natural.</w:t>
      </w:r>
    </w:p>
    <w:p w:rsidR="006C7087" w:rsidRDefault="002B376E" w:rsidP="002B376E">
      <w:r w:rsidRPr="002B376E">
        <w:t xml:space="preserve">38.b. </w:t>
      </w:r>
      <w:r w:rsidR="006C7087" w:rsidRPr="006C7087">
        <w:rPr>
          <w:rFonts w:ascii="Arial" w:hAnsi="Arial" w:cs="Arial"/>
        </w:rPr>
        <w:t>מעזים</w:t>
      </w:r>
      <w:r w:rsidR="006C7087">
        <w:rPr>
          <w:rFonts w:ascii="Arial" w:hAnsi="Arial" w:cs="Arial"/>
        </w:rPr>
        <w:t xml:space="preserve"> </w:t>
      </w:r>
      <w:r w:rsidR="006C7087" w:rsidRPr="006C7087">
        <w:rPr>
          <w:rFonts w:ascii="Arial" w:hAnsi="Arial" w:cs="Arial"/>
        </w:rPr>
        <w:t>אלה</w:t>
      </w:r>
      <w:r w:rsidR="006C7087">
        <w:t>, l</w:t>
      </w:r>
      <w:r w:rsidR="006C7087" w:rsidRPr="006C7087">
        <w:t>it. “god of strongholds</w:t>
      </w:r>
      <w:r w:rsidR="006C7087">
        <w:t>,</w:t>
      </w:r>
      <w:r w:rsidR="006C7087" w:rsidRPr="006C7087">
        <w:t xml:space="preserve">” </w:t>
      </w:r>
      <w:r w:rsidR="006C7087">
        <w:t>p</w:t>
      </w:r>
      <w:r w:rsidRPr="002B376E">
        <w:t xml:space="preserve">receded by </w:t>
      </w:r>
      <w:r w:rsidRPr="002B376E">
        <w:rPr>
          <w:rFonts w:ascii="Arial" w:hAnsi="Arial" w:cs="Arial"/>
        </w:rPr>
        <w:t>ל</w:t>
      </w:r>
      <w:r w:rsidRPr="002B376E">
        <w:t xml:space="preserve"> marking the o</w:t>
      </w:r>
      <w:r w:rsidR="002073C0">
        <w:t>bject</w:t>
      </w:r>
      <w:r w:rsidR="006C7087">
        <w:t xml:space="preserve"> (BDB</w:t>
      </w:r>
      <w:r w:rsidR="00E80CCC">
        <w:t>,</w:t>
      </w:r>
      <w:r w:rsidR="006C7087">
        <w:t xml:space="preserve"> 512). </w:t>
      </w:r>
    </w:p>
    <w:p w:rsidR="002B376E" w:rsidRPr="002B376E" w:rsidRDefault="002B376E" w:rsidP="002B376E">
      <w:r w:rsidRPr="002B376E">
        <w:t xml:space="preserve">38.c. Taking the </w:t>
      </w:r>
      <w:r w:rsidRPr="002B376E">
        <w:rPr>
          <w:rFonts w:ascii="Arial" w:hAnsi="Arial" w:cs="Arial"/>
        </w:rPr>
        <w:t>ו</w:t>
      </w:r>
      <w:r w:rsidR="006C7087">
        <w:t xml:space="preserve"> as explicative (cf. NEB</w:t>
      </w:r>
      <w:r w:rsidRPr="002B376E">
        <w:t>): see n. 6:29.a.</w:t>
      </w:r>
    </w:p>
    <w:p w:rsidR="002B376E" w:rsidRPr="002B376E" w:rsidRDefault="002B376E" w:rsidP="002B376E">
      <w:r w:rsidRPr="002B376E">
        <w:t xml:space="preserve">39.a. </w:t>
      </w:r>
      <w:r w:rsidRPr="002B376E">
        <w:rPr>
          <w:rFonts w:ascii="Arial" w:hAnsi="Arial" w:cs="Arial"/>
        </w:rPr>
        <w:t>ל</w:t>
      </w:r>
      <w:r w:rsidR="00FB7F03">
        <w:rPr>
          <w:rFonts w:ascii="Arial" w:hAnsi="Arial" w:cs="Arial"/>
        </w:rPr>
        <w:t xml:space="preserve"> </w:t>
      </w:r>
      <w:r w:rsidR="00FB7F03" w:rsidRPr="00FB7F03">
        <w:rPr>
          <w:rFonts w:ascii="Arial" w:hAnsi="Arial" w:cs="Arial"/>
        </w:rPr>
        <w:t>עשה</w:t>
      </w:r>
      <w:r w:rsidRPr="002B376E">
        <w:t xml:space="preserve">: as with other occurrences of </w:t>
      </w:r>
      <w:r w:rsidRPr="002B376E">
        <w:rPr>
          <w:rFonts w:ascii="Arial" w:hAnsi="Arial" w:cs="Arial"/>
        </w:rPr>
        <w:t>עשה</w:t>
      </w:r>
      <w:r w:rsidRPr="002B376E">
        <w:t xml:space="preserve"> in chap. 11, the </w:t>
      </w:r>
      <w:r w:rsidR="002B61F2">
        <w:t>verb</w:t>
      </w:r>
      <w:r w:rsidRPr="002B376E">
        <w:t>’s me</w:t>
      </w:r>
      <w:r w:rsidR="00FB7F03">
        <w:t xml:space="preserve">aning is further defined by the </w:t>
      </w:r>
      <w:r w:rsidRPr="002B376E">
        <w:t xml:space="preserve">following </w:t>
      </w:r>
      <w:r w:rsidR="002B61F2">
        <w:t>verb</w:t>
      </w:r>
      <w:r w:rsidRPr="002B376E">
        <w:t>(s), with whi</w:t>
      </w:r>
      <w:r w:rsidR="005F0C74">
        <w:t>ch it forms a compound idea. See</w:t>
      </w:r>
      <w:r w:rsidRPr="002B376E">
        <w:t xml:space="preserve"> also Josh 8:2 for the construction in v 39 (Keil).</w:t>
      </w:r>
    </w:p>
    <w:p w:rsidR="002B376E" w:rsidRPr="002B376E" w:rsidRDefault="002B376E" w:rsidP="002B376E">
      <w:r w:rsidRPr="002B376E">
        <w:t xml:space="preserve">39.b. Taking </w:t>
      </w:r>
      <w:r w:rsidRPr="002B376E">
        <w:rPr>
          <w:rFonts w:ascii="Arial" w:hAnsi="Arial" w:cs="Arial"/>
        </w:rPr>
        <w:t>מבצרי</w:t>
      </w:r>
      <w:r w:rsidRPr="002B376E">
        <w:t xml:space="preserve"> as pl. of extension/amplification (cf. GKC 124abe), referring to Jerusalem (Lacocque).</w:t>
      </w:r>
    </w:p>
    <w:p w:rsidR="002B376E" w:rsidRPr="002B376E" w:rsidRDefault="002B376E" w:rsidP="002B376E">
      <w:r w:rsidRPr="002B376E">
        <w:t xml:space="preserve">39.c. </w:t>
      </w:r>
      <w:r w:rsidRPr="002B376E">
        <w:rPr>
          <w:rFonts w:ascii="Arial" w:hAnsi="Arial" w:cs="Arial"/>
        </w:rPr>
        <w:t>עִם</w:t>
      </w:r>
      <w:r w:rsidR="00FB7F03">
        <w:t xml:space="preserve"> “with.” NEB, NAB, JB</w:t>
      </w:r>
      <w:r w:rsidRPr="002B376E">
        <w:t xml:space="preserve"> repoint </w:t>
      </w:r>
      <w:r w:rsidRPr="002B376E">
        <w:rPr>
          <w:rFonts w:ascii="Arial" w:hAnsi="Arial" w:cs="Arial"/>
        </w:rPr>
        <w:t>עַם</w:t>
      </w:r>
      <w:r w:rsidRPr="002B376E">
        <w:t xml:space="preserve"> to provide </w:t>
      </w:r>
      <w:r w:rsidRPr="002B376E">
        <w:rPr>
          <w:rFonts w:ascii="Arial" w:hAnsi="Arial" w:cs="Arial"/>
        </w:rPr>
        <w:t>עשה</w:t>
      </w:r>
      <w:r w:rsidRPr="002B376E">
        <w:t xml:space="preserve"> with an o</w:t>
      </w:r>
      <w:r w:rsidR="002073C0">
        <w:t>bject</w:t>
      </w:r>
      <w:r w:rsidRPr="002B376E">
        <w:t>, but the resultant expression is dubious, and see n. 39.a.</w:t>
      </w:r>
    </w:p>
    <w:p w:rsidR="002B376E" w:rsidRPr="002B376E" w:rsidRDefault="002B376E" w:rsidP="002B376E">
      <w:r w:rsidRPr="002B376E">
        <w:t xml:space="preserve">39.d. </w:t>
      </w:r>
      <w:r w:rsidRPr="002B376E">
        <w:rPr>
          <w:rFonts w:ascii="Arial" w:hAnsi="Arial" w:cs="Arial"/>
        </w:rPr>
        <w:t>הכיר</w:t>
      </w:r>
      <w:r w:rsidR="00FB7F03">
        <w:rPr>
          <w:rFonts w:ascii="Arial" w:hAnsi="Arial" w:cs="Arial"/>
        </w:rPr>
        <w:t xml:space="preserve"> </w:t>
      </w:r>
      <w:r w:rsidR="00FB7F03" w:rsidRPr="00FB7F03">
        <w:rPr>
          <w:rFonts w:ascii="Arial" w:hAnsi="Arial" w:cs="Arial"/>
        </w:rPr>
        <w:t>אשר</w:t>
      </w:r>
      <w:r w:rsidR="00F23C08">
        <w:t>; JPSV</w:t>
      </w:r>
      <w:r w:rsidR="00FB7F03">
        <w:t>, JB</w:t>
      </w:r>
      <w:r w:rsidRPr="002B376E">
        <w:t xml:space="preserve"> “the man who regards him,” but this changes su</w:t>
      </w:r>
      <w:r w:rsidR="002073C0">
        <w:t>bject</w:t>
      </w:r>
      <w:r w:rsidRPr="002B376E">
        <w:t xml:space="preserve"> between this </w:t>
      </w:r>
      <w:r w:rsidR="005F0C74">
        <w:t xml:space="preserve">verb </w:t>
      </w:r>
      <w:r w:rsidRPr="002B376E">
        <w:t xml:space="preserve">and the next </w:t>
      </w:r>
      <w:r w:rsidR="005F0C74">
        <w:t>one</w:t>
      </w:r>
      <w:r w:rsidRPr="002B376E">
        <w:t xml:space="preserve"> and changes number between this </w:t>
      </w:r>
      <w:r w:rsidR="005F0C74">
        <w:t xml:space="preserve">word </w:t>
      </w:r>
      <w:r w:rsidRPr="002B376E">
        <w:t xml:space="preserve">and the following </w:t>
      </w:r>
      <w:r w:rsidR="002B61F2">
        <w:t>verb</w:t>
      </w:r>
      <w:r w:rsidRPr="002B376E">
        <w:t xml:space="preserve">’s suffix. Q </w:t>
      </w:r>
      <w:r w:rsidRPr="002B376E">
        <w:rPr>
          <w:rFonts w:ascii="Arial" w:hAnsi="Arial" w:cs="Arial"/>
        </w:rPr>
        <w:t>יכיר</w:t>
      </w:r>
      <w:r w:rsidR="00FB7F03">
        <w:t xml:space="preserve"> looks like</w:t>
      </w:r>
      <w:r w:rsidRPr="002B376E">
        <w:t xml:space="preserve"> a correction of K </w:t>
      </w:r>
      <w:r w:rsidRPr="002B376E">
        <w:rPr>
          <w:rFonts w:ascii="Arial" w:hAnsi="Arial" w:cs="Arial"/>
        </w:rPr>
        <w:t>הכיר</w:t>
      </w:r>
      <w:r w:rsidRPr="002B376E">
        <w:t xml:space="preserve"> (Bevan).</w:t>
      </w:r>
    </w:p>
    <w:p w:rsidR="002B376E" w:rsidRPr="002B376E" w:rsidRDefault="002B376E" w:rsidP="002B376E">
      <w:r w:rsidRPr="002B376E">
        <w:t xml:space="preserve">39.e. </w:t>
      </w:r>
      <w:r w:rsidRPr="002B376E">
        <w:rPr>
          <w:rFonts w:ascii="Arial" w:hAnsi="Arial" w:cs="Arial"/>
        </w:rPr>
        <w:t>וחלק</w:t>
      </w:r>
      <w:r w:rsidRPr="002B376E">
        <w:t xml:space="preserve">, following its </w:t>
      </w:r>
      <w:r w:rsidR="00FB7F03">
        <w:t xml:space="preserve">extraposed </w:t>
      </w:r>
      <w:r w:rsidRPr="002B376E">
        <w:t>o</w:t>
      </w:r>
      <w:r w:rsidR="002073C0">
        <w:t>bject</w:t>
      </w:r>
      <w:r w:rsidRPr="002B376E">
        <w:t xml:space="preserve"> (</w:t>
      </w:r>
      <w:r w:rsidR="00FB7F03">
        <w:t xml:space="preserve">cf. </w:t>
      </w:r>
      <w:r w:rsidRPr="00FB7F03">
        <w:rPr>
          <w:i/>
        </w:rPr>
        <w:t>TTH</w:t>
      </w:r>
      <w:r w:rsidRPr="002B376E">
        <w:t xml:space="preserve"> 123).</w:t>
      </w:r>
    </w:p>
    <w:p w:rsidR="002B376E" w:rsidRPr="002B376E" w:rsidRDefault="002B376E" w:rsidP="002B376E">
      <w:r w:rsidRPr="002B376E">
        <w:t xml:space="preserve">40.a. </w:t>
      </w:r>
      <w:r w:rsidRPr="002B376E">
        <w:rPr>
          <w:rFonts w:ascii="Arial" w:hAnsi="Arial" w:cs="Arial"/>
        </w:rPr>
        <w:t>ועבר</w:t>
      </w:r>
      <w:r w:rsidRPr="002B376E">
        <w:t xml:space="preserve"> </w:t>
      </w:r>
      <w:r w:rsidR="00FB7F03" w:rsidRPr="00FB7F03">
        <w:rPr>
          <w:rFonts w:ascii="Arial" w:hAnsi="Arial" w:cs="Arial"/>
        </w:rPr>
        <w:t>ושטף</w:t>
      </w:r>
      <w:r w:rsidR="00FB7F03" w:rsidRPr="00FB7F03">
        <w:t xml:space="preserve"> </w:t>
      </w:r>
      <w:r w:rsidRPr="002B376E">
        <w:t>“and pour through and overwhelm.”</w:t>
      </w:r>
    </w:p>
    <w:p w:rsidR="002B376E" w:rsidRPr="002B376E" w:rsidRDefault="002B376E" w:rsidP="002B376E">
      <w:r w:rsidRPr="002B376E">
        <w:t xml:space="preserve">41.a. </w:t>
      </w:r>
      <w:r w:rsidRPr="002B376E">
        <w:rPr>
          <w:rFonts w:ascii="Arial" w:hAnsi="Arial" w:cs="Arial"/>
        </w:rPr>
        <w:t>רַבּוֹת</w:t>
      </w:r>
      <w:r w:rsidR="00FB7F03">
        <w:t xml:space="preserve">, apparently referring to </w:t>
      </w:r>
      <w:r w:rsidRPr="002B376E">
        <w:t xml:space="preserve">the </w:t>
      </w:r>
      <w:r w:rsidRPr="002B376E">
        <w:rPr>
          <w:rFonts w:ascii="Arial" w:hAnsi="Arial" w:cs="Arial"/>
        </w:rPr>
        <w:t>ארצות</w:t>
      </w:r>
      <w:r w:rsidR="00FB7F03">
        <w:t xml:space="preserve"> of v 40. </w:t>
      </w:r>
      <w:r w:rsidR="00E008EC">
        <w:t>EVV</w:t>
      </w:r>
      <w:r w:rsidRPr="002B376E">
        <w:t xml:space="preserve"> repoint </w:t>
      </w:r>
      <w:r w:rsidRPr="002B376E">
        <w:rPr>
          <w:rFonts w:ascii="Arial" w:hAnsi="Arial" w:cs="Arial"/>
        </w:rPr>
        <w:t>רִבּוֹת</w:t>
      </w:r>
      <w:r w:rsidRPr="002B376E">
        <w:t xml:space="preserve"> “ten thousands” (so Sym; cf. n. 12.d).</w:t>
      </w:r>
    </w:p>
    <w:p w:rsidR="002B376E" w:rsidRPr="002B376E" w:rsidRDefault="002B376E" w:rsidP="002B376E">
      <w:r w:rsidRPr="002B376E">
        <w:t xml:space="preserve">41.b. Taking the </w:t>
      </w:r>
      <w:r w:rsidR="00F91222">
        <w:t xml:space="preserve">clause </w:t>
      </w:r>
      <w:r w:rsidRPr="002B376E">
        <w:t xml:space="preserve">beginning </w:t>
      </w:r>
      <w:r w:rsidRPr="002B376E">
        <w:rPr>
          <w:rFonts w:ascii="Arial" w:hAnsi="Arial" w:cs="Arial"/>
        </w:rPr>
        <w:t>ואלה</w:t>
      </w:r>
      <w:r w:rsidRPr="002B376E">
        <w:t xml:space="preserve"> as circumstantial.</w:t>
      </w:r>
    </w:p>
    <w:p w:rsidR="002B376E" w:rsidRPr="002B376E" w:rsidRDefault="002B376E" w:rsidP="002B376E">
      <w:r w:rsidRPr="002B376E">
        <w:t xml:space="preserve">41.c. </w:t>
      </w:r>
      <w:r w:rsidRPr="002B376E">
        <w:rPr>
          <w:rFonts w:ascii="Arial" w:hAnsi="Arial" w:cs="Arial"/>
        </w:rPr>
        <w:t>ראשית</w:t>
      </w:r>
      <w:r w:rsidRPr="002B376E">
        <w:t xml:space="preserve"> suggests the flower of a people (Pss 78:</w:t>
      </w:r>
      <w:r w:rsidR="00370229">
        <w:t xml:space="preserve">51; 105:36; Baldwin). </w:t>
      </w:r>
      <w:r w:rsidR="005A7A16">
        <w:t>Syr implies</w:t>
      </w:r>
      <w:r w:rsidRPr="002B376E">
        <w:t xml:space="preserve"> </w:t>
      </w:r>
      <w:r w:rsidRPr="002B376E">
        <w:rPr>
          <w:rFonts w:ascii="Arial" w:hAnsi="Arial" w:cs="Arial"/>
        </w:rPr>
        <w:t>שארית</w:t>
      </w:r>
      <w:r w:rsidRPr="002B376E">
        <w:t xml:space="preserve"> “remnant”; but cf. Num 24:20; Jer 49:35; Amos 6:1.</w:t>
      </w:r>
    </w:p>
    <w:p w:rsidR="002B376E" w:rsidRPr="002B376E" w:rsidRDefault="002B376E" w:rsidP="002B376E">
      <w:r w:rsidRPr="002B376E">
        <w:t>42.a. The phrase can indicate plottin</w:t>
      </w:r>
      <w:r w:rsidR="00035CD9">
        <w:t xml:space="preserve">g rather than </w:t>
      </w:r>
      <w:r w:rsidR="00370229">
        <w:t>action (Tawill, “Two Notes,”</w:t>
      </w:r>
      <w:r w:rsidRPr="002B376E">
        <w:t xml:space="preserve"> 36)</w:t>
      </w:r>
      <w:r w:rsidR="00370229">
        <w:t xml:space="preserve">, but the usage is rarer and </w:t>
      </w:r>
      <w:r w:rsidRPr="002B376E">
        <w:t>not indicated by the context here.</w:t>
      </w:r>
    </w:p>
    <w:p w:rsidR="002B376E" w:rsidRPr="002B376E" w:rsidRDefault="002B376E" w:rsidP="002B376E">
      <w:r w:rsidRPr="002B376E">
        <w:t xml:space="preserve">42.b. </w:t>
      </w:r>
      <w:r w:rsidRPr="002B376E">
        <w:rPr>
          <w:rFonts w:ascii="Arial" w:hAnsi="Arial" w:cs="Arial"/>
        </w:rPr>
        <w:t>בַארצות</w:t>
      </w:r>
      <w:r w:rsidRPr="002B376E">
        <w:t xml:space="preserve">; some </w:t>
      </w:r>
      <w:r w:rsidR="003F4DB6" w:rsidRPr="003F4DB6">
        <w:t xml:space="preserve">medieval </w:t>
      </w:r>
      <w:r w:rsidRPr="002B376E">
        <w:t xml:space="preserve">mss </w:t>
      </w:r>
      <w:r w:rsidRPr="002B376E">
        <w:rPr>
          <w:rFonts w:ascii="Arial" w:hAnsi="Arial" w:cs="Arial"/>
        </w:rPr>
        <w:t>בָארצות</w:t>
      </w:r>
    </w:p>
    <w:p w:rsidR="002B376E" w:rsidRPr="002B376E" w:rsidRDefault="002B376E" w:rsidP="002B376E">
      <w:r w:rsidRPr="002B376E">
        <w:t xml:space="preserve">43.a. </w:t>
      </w:r>
      <w:r w:rsidRPr="002B376E">
        <w:rPr>
          <w:rFonts w:ascii="Arial" w:hAnsi="Arial" w:cs="Arial"/>
        </w:rPr>
        <w:t>במצעדיו</w:t>
      </w:r>
      <w:r w:rsidR="00370229">
        <w:t>: Kopf (“</w:t>
      </w:r>
      <w:r w:rsidR="00370229" w:rsidRPr="00370229">
        <w:t>Arabische Etymologien</w:t>
      </w:r>
      <w:r w:rsidR="00370229">
        <w:t>,”</w:t>
      </w:r>
      <w:r w:rsidRPr="002B376E">
        <w:t xml:space="preserve"> 272–73) </w:t>
      </w:r>
      <w:r w:rsidR="00035CD9">
        <w:t xml:space="preserve">translates </w:t>
      </w:r>
      <w:r w:rsidRPr="002B376E">
        <w:t>“to his power,” on the basis of Arabic.</w:t>
      </w:r>
    </w:p>
    <w:p w:rsidR="002B376E" w:rsidRPr="002B376E" w:rsidRDefault="002B376E" w:rsidP="002B376E">
      <w:r w:rsidRPr="002B376E">
        <w:t>44.a.</w:t>
      </w:r>
      <w:r w:rsidR="00370229">
        <w:t xml:space="preserve"> Driver</w:t>
      </w:r>
      <w:r w:rsidR="00370229" w:rsidRPr="00370229">
        <w:t xml:space="preserve"> </w:t>
      </w:r>
      <w:r w:rsidR="00370229">
        <w:t>(</w:t>
      </w:r>
      <w:r w:rsidR="00370229" w:rsidRPr="00370229">
        <w:t>“Hebrew Homonyms,” 56</w:t>
      </w:r>
      <w:r w:rsidR="00370229">
        <w:t>–59) derives</w:t>
      </w:r>
      <w:r w:rsidRPr="002B376E">
        <w:t xml:space="preserve"> </w:t>
      </w:r>
      <w:r w:rsidRPr="002B376E">
        <w:rPr>
          <w:rFonts w:ascii="Arial" w:hAnsi="Arial" w:cs="Arial"/>
        </w:rPr>
        <w:t>ולהחרים</w:t>
      </w:r>
      <w:r w:rsidR="00370229">
        <w:t xml:space="preserve"> </w:t>
      </w:r>
      <w:r w:rsidRPr="002B376E">
        <w:t xml:space="preserve">from </w:t>
      </w:r>
      <w:r w:rsidRPr="002B376E">
        <w:rPr>
          <w:rFonts w:ascii="Arial" w:hAnsi="Arial" w:cs="Arial"/>
        </w:rPr>
        <w:t>חרם</w:t>
      </w:r>
      <w:r w:rsidR="00370229">
        <w:t xml:space="preserve"> ii “cut off</w:t>
      </w:r>
      <w:r w:rsidRPr="002B376E">
        <w:t xml:space="preserve">” not </w:t>
      </w:r>
      <w:r w:rsidRPr="002B376E">
        <w:rPr>
          <w:rFonts w:ascii="Arial" w:hAnsi="Arial" w:cs="Arial"/>
        </w:rPr>
        <w:t>חרם</w:t>
      </w:r>
      <w:r w:rsidR="00370229">
        <w:t xml:space="preserve"> i “devote” (see BDB).</w:t>
      </w:r>
    </w:p>
    <w:p w:rsidR="002B376E" w:rsidRPr="002B376E" w:rsidRDefault="002B376E" w:rsidP="002B376E">
      <w:r w:rsidRPr="002B376E">
        <w:t xml:space="preserve">45.a. </w:t>
      </w:r>
      <w:r w:rsidRPr="002B376E">
        <w:rPr>
          <w:rFonts w:ascii="Arial" w:hAnsi="Arial" w:cs="Arial"/>
        </w:rPr>
        <w:t>אפדנו</w:t>
      </w:r>
      <w:r w:rsidRPr="002B376E">
        <w:t xml:space="preserve"> </w:t>
      </w:r>
      <w:r w:rsidR="00370229">
        <w:t xml:space="preserve"> </w:t>
      </w:r>
      <w:r w:rsidR="00370229" w:rsidRPr="00370229">
        <w:rPr>
          <w:rFonts w:ascii="Arial" w:hAnsi="Arial" w:cs="Arial"/>
        </w:rPr>
        <w:t>אהלי</w:t>
      </w:r>
      <w:r w:rsidR="00370229">
        <w:rPr>
          <w:rFonts w:ascii="Arial" w:hAnsi="Arial" w:cs="Arial"/>
        </w:rPr>
        <w:t>,</w:t>
      </w:r>
      <w:r w:rsidR="00370229" w:rsidRPr="00370229">
        <w:t xml:space="preserve"> </w:t>
      </w:r>
      <w:r w:rsidRPr="002B376E">
        <w:t xml:space="preserve">“the tents of his pavilion.” </w:t>
      </w:r>
      <w:r w:rsidRPr="002B376E">
        <w:rPr>
          <w:rFonts w:ascii="Arial" w:hAnsi="Arial" w:cs="Arial"/>
        </w:rPr>
        <w:t>אפדנו</w:t>
      </w:r>
      <w:r w:rsidR="00370229">
        <w:t xml:space="preserve"> comes from a Persian</w:t>
      </w:r>
      <w:r w:rsidRPr="002B376E">
        <w:t xml:space="preserve"> word for a colonnaded audience hall; it entered Aram. via late Babylonian </w:t>
      </w:r>
      <w:r w:rsidR="003D23BC">
        <w:t>(see Itō, Old Persian a pa da a na</w:t>
      </w:r>
      <w:r w:rsidR="003D23BC" w:rsidRPr="003D23BC">
        <w:t>”</w:t>
      </w:r>
      <w:r w:rsidRPr="002B376E">
        <w:t xml:space="preserve">; Wagner, </w:t>
      </w:r>
      <w:r w:rsidRPr="003D23BC">
        <w:rPr>
          <w:i/>
        </w:rPr>
        <w:lastRenderedPageBreak/>
        <w:t>Aramaismen</w:t>
      </w:r>
      <w:r w:rsidRPr="002B376E">
        <w:t xml:space="preserve">, 28). On the magnificent palace complexes at Susa and Persepolis see Olmstead, </w:t>
      </w:r>
      <w:r w:rsidRPr="003D23BC">
        <w:rPr>
          <w:i/>
        </w:rPr>
        <w:t>History</w:t>
      </w:r>
      <w:r w:rsidR="003D23BC" w:rsidRPr="003D23BC">
        <w:rPr>
          <w:i/>
        </w:rPr>
        <w:t xml:space="preserve"> of the Persian Empire</w:t>
      </w:r>
      <w:r w:rsidRPr="002B376E">
        <w:t xml:space="preserve">, 272–87; Cook, </w:t>
      </w:r>
      <w:r w:rsidR="003D23BC" w:rsidRPr="003D23BC">
        <w:rPr>
          <w:i/>
        </w:rPr>
        <w:t xml:space="preserve">The </w:t>
      </w:r>
      <w:r w:rsidRPr="003D23BC">
        <w:rPr>
          <w:i/>
        </w:rPr>
        <w:t>Persian Empire</w:t>
      </w:r>
      <w:r w:rsidRPr="002B376E">
        <w:t>, 158–63.</w:t>
      </w:r>
    </w:p>
    <w:p w:rsidR="002B376E" w:rsidRPr="002B376E" w:rsidRDefault="002B376E" w:rsidP="002B376E">
      <w:r w:rsidRPr="002B376E">
        <w:t xml:space="preserve">45.b. Taking </w:t>
      </w:r>
      <w:r w:rsidRPr="002B376E">
        <w:rPr>
          <w:rFonts w:ascii="Arial" w:hAnsi="Arial" w:cs="Arial"/>
        </w:rPr>
        <w:t>ימים</w:t>
      </w:r>
      <w:r w:rsidRPr="002B376E">
        <w:t xml:space="preserve"> “seas” as pl. of extension (cf. GKC 124b) and </w:t>
      </w:r>
      <w:r w:rsidR="003D23BC">
        <w:t xml:space="preserve">as </w:t>
      </w:r>
      <w:r w:rsidRPr="002B376E">
        <w:t>referring to the Mediterranean (as</w:t>
      </w:r>
      <w:r w:rsidR="003D23BC">
        <w:t xml:space="preserve"> Judg 5:17; cf. Montgomery). NIV</w:t>
      </w:r>
      <w:r w:rsidR="001A65B4">
        <w:t xml:space="preserve"> “between the seas, at …</w:t>
      </w:r>
      <w:r w:rsidRPr="002B376E">
        <w:t xml:space="preserve">” is possible, but its </w:t>
      </w:r>
      <w:r w:rsidR="002B61F2">
        <w:t xml:space="preserve">reference </w:t>
      </w:r>
      <w:r w:rsidRPr="002B376E">
        <w:t>is unclear.</w:t>
      </w:r>
    </w:p>
    <w:p w:rsidR="002B376E" w:rsidRPr="002B376E" w:rsidRDefault="006E6962" w:rsidP="002B376E">
      <w:r>
        <w:t xml:space="preserve">12:1.a. That is, </w:t>
      </w:r>
      <w:r w:rsidR="002B376E" w:rsidRPr="002B376E">
        <w:t>one of the supreme heavenly beings (not the sole one), sev</w:t>
      </w:r>
      <w:r>
        <w:t>eral of whom appear in chaps. 8 and</w:t>
      </w:r>
      <w:r w:rsidR="002B376E" w:rsidRPr="002B376E">
        <w:t xml:space="preserve"> 10.</w:t>
      </w:r>
    </w:p>
    <w:p w:rsidR="002B376E" w:rsidRPr="002B376E" w:rsidRDefault="002B376E" w:rsidP="002B376E">
      <w:r w:rsidRPr="002B376E">
        <w:t xml:space="preserve">1.b. </w:t>
      </w:r>
      <w:r w:rsidRPr="002B376E">
        <w:rPr>
          <w:rFonts w:ascii="Arial" w:hAnsi="Arial" w:cs="Arial"/>
        </w:rPr>
        <w:t>על</w:t>
      </w:r>
      <w:r w:rsidR="00C75E61">
        <w:rPr>
          <w:rFonts w:ascii="Arial" w:hAnsi="Arial" w:cs="Arial"/>
        </w:rPr>
        <w:t xml:space="preserve"> </w:t>
      </w:r>
      <w:r w:rsidR="00C75E61" w:rsidRPr="00C75E61">
        <w:rPr>
          <w:rFonts w:ascii="Arial" w:hAnsi="Arial" w:cs="Arial"/>
        </w:rPr>
        <w:t>העמד</w:t>
      </w:r>
      <w:r w:rsidR="006E6962">
        <w:t>; cf. NEB</w:t>
      </w:r>
      <w:r w:rsidRPr="002B376E">
        <w:t xml:space="preserve"> “who stands guard over.”</w:t>
      </w:r>
    </w:p>
    <w:p w:rsidR="002B376E" w:rsidRPr="002B376E" w:rsidRDefault="002B376E" w:rsidP="002B376E">
      <w:r w:rsidRPr="002B376E">
        <w:t xml:space="preserve">1.c. </w:t>
      </w:r>
      <w:r w:rsidRPr="002B376E">
        <w:rPr>
          <w:rFonts w:ascii="Arial" w:hAnsi="Arial" w:cs="Arial"/>
        </w:rPr>
        <w:t>עמך</w:t>
      </w:r>
      <w:r w:rsidRPr="002B376E">
        <w:t xml:space="preserve"> </w:t>
      </w:r>
      <w:r w:rsidR="006E6962" w:rsidRPr="006E6962">
        <w:rPr>
          <w:rFonts w:ascii="Arial" w:hAnsi="Arial" w:cs="Arial"/>
        </w:rPr>
        <w:t>בני</w:t>
      </w:r>
      <w:r w:rsidR="006E6962" w:rsidRPr="006E6962">
        <w:t xml:space="preserve"> </w:t>
      </w:r>
      <w:r w:rsidRPr="002B376E">
        <w:t>“the sons of your people.</w:t>
      </w:r>
      <w:r w:rsidR="00C75E61">
        <w:t xml:space="preserve">” There is no </w:t>
      </w:r>
      <w:r w:rsidRPr="002B376E">
        <w:t xml:space="preserve">reason to limit the phrase’s </w:t>
      </w:r>
      <w:r w:rsidR="002B61F2">
        <w:t xml:space="preserve">reference </w:t>
      </w:r>
      <w:r w:rsidR="006E6962">
        <w:t xml:space="preserve">to the seer’s own group (Collins, </w:t>
      </w:r>
      <w:r w:rsidR="006E6962" w:rsidRPr="006E6962">
        <w:t>“The Mythology of Holy War</w:t>
      </w:r>
      <w:r w:rsidR="006E6962">
        <w:t>,”</w:t>
      </w:r>
      <w:r w:rsidRPr="002B376E">
        <w:t xml:space="preserve"> 603, against Plöger).</w:t>
      </w:r>
    </w:p>
    <w:p w:rsidR="002B376E" w:rsidRPr="002B376E" w:rsidRDefault="002B376E" w:rsidP="002B376E">
      <w:r w:rsidRPr="002B376E">
        <w:t>1.d. But see n. 2:1.c.</w:t>
      </w:r>
    </w:p>
    <w:p w:rsidR="002B376E" w:rsidRPr="002B376E" w:rsidRDefault="002B376E" w:rsidP="002B376E">
      <w:r w:rsidRPr="002B376E">
        <w:t xml:space="preserve">1.e. Grammatically it is easier to take </w:t>
      </w:r>
      <w:r w:rsidRPr="002B376E">
        <w:rPr>
          <w:rFonts w:ascii="Arial" w:hAnsi="Arial" w:cs="Arial"/>
        </w:rPr>
        <w:t>גוי</w:t>
      </w:r>
      <w:r w:rsidRPr="002B376E">
        <w:t xml:space="preserve"> as su</w:t>
      </w:r>
      <w:r w:rsidR="002073C0">
        <w:t>bject</w:t>
      </w:r>
      <w:r w:rsidRPr="002B376E">
        <w:t xml:space="preserve"> of </w:t>
      </w:r>
      <w:r w:rsidRPr="002B376E">
        <w:rPr>
          <w:rFonts w:ascii="Arial" w:hAnsi="Arial" w:cs="Arial"/>
        </w:rPr>
        <w:t>היות</w:t>
      </w:r>
      <w:r w:rsidRPr="002B376E">
        <w:t xml:space="preserve"> (</w:t>
      </w:r>
      <w:r w:rsidR="00E008EC">
        <w:t>EVV</w:t>
      </w:r>
      <w:r w:rsidRPr="002B376E">
        <w:t xml:space="preserve">), but taking it as complement gives a better meaning (Spronk, </w:t>
      </w:r>
      <w:r w:rsidR="00E80CCC" w:rsidRPr="00F51754">
        <w:rPr>
          <w:i/>
          <w:iCs/>
        </w:rPr>
        <w:t xml:space="preserve">Beatific </w:t>
      </w:r>
      <w:r w:rsidRPr="00E80CCC">
        <w:rPr>
          <w:i/>
        </w:rPr>
        <w:t>Afterlife</w:t>
      </w:r>
      <w:r w:rsidRPr="002B376E">
        <w:t>, 339).</w:t>
      </w:r>
    </w:p>
    <w:p w:rsidR="002B376E" w:rsidRPr="002B376E" w:rsidRDefault="002B376E" w:rsidP="002B376E">
      <w:r w:rsidRPr="002B376E">
        <w:t xml:space="preserve">2.a. “Many who sleep” (which might then mean “all who sleep”—all Jews or all people) would require taking </w:t>
      </w:r>
      <w:r w:rsidRPr="002B376E">
        <w:rPr>
          <w:rFonts w:ascii="Arial" w:hAnsi="Arial" w:cs="Arial"/>
        </w:rPr>
        <w:t>מן</w:t>
      </w:r>
      <w:r w:rsidRPr="002B376E">
        <w:t xml:space="preserve"> as explicative, which is rare (BDB</w:t>
      </w:r>
      <w:r w:rsidR="00E80CCC">
        <w:t>,</w:t>
      </w:r>
      <w:r w:rsidRPr="002B376E">
        <w:t xml:space="preserve"> 581), unlikely with </w:t>
      </w:r>
      <w:r w:rsidRPr="002B376E">
        <w:rPr>
          <w:rFonts w:ascii="Arial" w:hAnsi="Arial" w:cs="Arial"/>
        </w:rPr>
        <w:t>רבים</w:t>
      </w:r>
      <w:r w:rsidRPr="002B376E">
        <w:t xml:space="preserve"> (contrast Qoh 3:12; Esth 8:17; 2 Chr 30:18), and not indicated by the context.</w:t>
      </w:r>
    </w:p>
    <w:p w:rsidR="002B376E" w:rsidRPr="002B376E" w:rsidRDefault="002B376E" w:rsidP="002B376E">
      <w:r w:rsidRPr="002B376E">
        <w:t xml:space="preserve">2.b. </w:t>
      </w:r>
      <w:r w:rsidRPr="002B376E">
        <w:rPr>
          <w:rFonts w:ascii="Arial" w:hAnsi="Arial" w:cs="Arial"/>
        </w:rPr>
        <w:t>עפר</w:t>
      </w:r>
      <w:r w:rsidR="00E80CCC">
        <w:rPr>
          <w:rFonts w:ascii="Arial" w:hAnsi="Arial" w:cs="Arial"/>
        </w:rPr>
        <w:t xml:space="preserve"> </w:t>
      </w:r>
      <w:r w:rsidR="00E80CCC" w:rsidRPr="00E80CCC">
        <w:rPr>
          <w:rFonts w:ascii="Arial" w:hAnsi="Arial" w:cs="Arial"/>
        </w:rPr>
        <w:t>אדמת</w:t>
      </w:r>
      <w:r w:rsidRPr="002B376E">
        <w:t xml:space="preserve">: not “the dust of the earth,” both because of the word order, and because </w:t>
      </w:r>
      <w:r w:rsidRPr="002B376E">
        <w:rPr>
          <w:rFonts w:ascii="Arial" w:hAnsi="Arial" w:cs="Arial"/>
        </w:rPr>
        <w:t>עפר</w:t>
      </w:r>
      <w:r w:rsidRPr="002B376E">
        <w:t xml:space="preserve"> means “soil” (</w:t>
      </w:r>
      <w:r w:rsidR="00CA3A41">
        <w:t>Hartman/Di Lella</w:t>
      </w:r>
      <w:r w:rsidR="00E80CCC">
        <w:t>, cf. BDB) and this translation</w:t>
      </w:r>
      <w:r w:rsidRPr="002B376E">
        <w:t xml:space="preserve"> is more natural in a quasi-geographical expression (Nickelsburg, </w:t>
      </w:r>
      <w:r w:rsidRPr="00E80CCC">
        <w:rPr>
          <w:i/>
        </w:rPr>
        <w:t>Resurrection</w:t>
      </w:r>
      <w:r w:rsidR="00E80CCC">
        <w:rPr>
          <w:i/>
        </w:rPr>
        <w:t>,</w:t>
      </w:r>
      <w:r w:rsidR="00E80CCC" w:rsidRPr="00E80CCC">
        <w:t xml:space="preserve"> </w:t>
      </w:r>
      <w:r w:rsidR="00E80CCC">
        <w:t xml:space="preserve">17). </w:t>
      </w:r>
      <w:r w:rsidRPr="002B376E">
        <w:t>Talmo</w:t>
      </w:r>
      <w:r w:rsidR="00C75E61">
        <w:t>n (“Double Readings</w:t>
      </w:r>
      <w:r w:rsidR="00E80CCC">
        <w:t>,”</w:t>
      </w:r>
      <w:r w:rsidRPr="002B376E">
        <w:t xml:space="preserve"> 167–68) takes the phrase as a conflation of two readings.</w:t>
      </w:r>
      <w:r w:rsidR="004F2986">
        <w:t xml:space="preserve"> </w:t>
      </w:r>
      <w:r w:rsidR="004F2986" w:rsidRPr="004F2986">
        <w:rPr>
          <w:iCs/>
        </w:rPr>
        <w:t>Doukhan</w:t>
      </w:r>
      <w:r w:rsidR="004F2986">
        <w:rPr>
          <w:iCs/>
        </w:rPr>
        <w:t xml:space="preserve"> (“From Dust to Stars,” 90) links the strange expression to Gen 3:19 where the words come in this order.</w:t>
      </w:r>
    </w:p>
    <w:p w:rsidR="002B376E" w:rsidRPr="002B376E" w:rsidRDefault="002B376E" w:rsidP="002B376E">
      <w:r w:rsidRPr="002B376E">
        <w:t xml:space="preserve">2.c. </w:t>
      </w:r>
      <w:r w:rsidR="00E80CCC">
        <w:t>Alfrink (</w:t>
      </w:r>
      <w:r w:rsidR="00C75E61">
        <w:t>“L’idée de résurrection</w:t>
      </w:r>
      <w:r w:rsidR="00E80CCC">
        <w:t>”) begins</w:t>
      </w:r>
      <w:r w:rsidRPr="002B376E">
        <w:t xml:space="preserve"> a new </w:t>
      </w:r>
      <w:r w:rsidR="00F91222">
        <w:t xml:space="preserve">clause </w:t>
      </w:r>
      <w:r w:rsidR="00E80CCC">
        <w:t>here,</w:t>
      </w:r>
      <w:r w:rsidRPr="002B376E">
        <w:t xml:space="preserve"> “they will go to lasting life, while others wi</w:t>
      </w:r>
      <w:r w:rsidR="00E80CCC">
        <w:t>ll go to utter shame</w:t>
      </w:r>
      <w:r w:rsidRPr="002B376E">
        <w:t>,</w:t>
      </w:r>
      <w:r w:rsidR="00E80CCC">
        <w:t>”</w:t>
      </w:r>
      <w:r w:rsidRPr="002B376E">
        <w:t xml:space="preserve"> though the second lacks an antecedent (Hasslberger, </w:t>
      </w:r>
      <w:r w:rsidRPr="00E008EC">
        <w:rPr>
          <w:i/>
        </w:rPr>
        <w:t>Hoffnung</w:t>
      </w:r>
      <w:r w:rsidR="00E008EC">
        <w:rPr>
          <w:i/>
        </w:rPr>
        <w:t xml:space="preserve"> </w:t>
      </w:r>
      <w:r w:rsidR="00E008EC" w:rsidRPr="00E008EC">
        <w:rPr>
          <w:i/>
        </w:rPr>
        <w:t>in der Bedrängnis</w:t>
      </w:r>
      <w:r w:rsidRPr="002B376E">
        <w:t>). The idea of the wicked being awakened in order to be exposed and condemned seem</w:t>
      </w:r>
      <w:r w:rsidR="00E80CCC">
        <w:t>s bizarre, but the idea of</w:t>
      </w:r>
      <w:r w:rsidR="00C75E61">
        <w:t xml:space="preserve"> exposure and condemnation</w:t>
      </w:r>
      <w:r w:rsidRPr="002B376E">
        <w:t xml:space="preserve"> after death without such awakening is little less so, and the problem arises from taking vv 1–2 literalistically. The notion of a double resurrection is not clearly stated elsewhere for two centuries (2 Esd 7:32–44; Rev 20).</w:t>
      </w:r>
    </w:p>
    <w:p w:rsidR="002B376E" w:rsidRPr="002B376E" w:rsidRDefault="002B376E" w:rsidP="002B376E">
      <w:r w:rsidRPr="002B376E">
        <w:t xml:space="preserve">2.d. </w:t>
      </w:r>
      <w:r w:rsidRPr="002B376E">
        <w:rPr>
          <w:rFonts w:ascii="Arial" w:hAnsi="Arial" w:cs="Arial"/>
        </w:rPr>
        <w:t>עולם</w:t>
      </w:r>
      <w:r w:rsidRPr="002B376E">
        <w:t>: see on 2:20.</w:t>
      </w:r>
    </w:p>
    <w:p w:rsidR="002B376E" w:rsidRDefault="002B376E" w:rsidP="002B376E">
      <w:r w:rsidRPr="002B376E">
        <w:t xml:space="preserve">2.e. </w:t>
      </w:r>
      <w:r w:rsidRPr="002B376E">
        <w:rPr>
          <w:rFonts w:ascii="Arial" w:hAnsi="Arial" w:cs="Arial"/>
        </w:rPr>
        <w:t>לחרפות</w:t>
      </w:r>
      <w:r w:rsidRPr="002B376E">
        <w:t xml:space="preserve"> (“to shames</w:t>
      </w:r>
      <w:r w:rsidR="00C75E61">
        <w:t>,” pl. of amplification—</w:t>
      </w:r>
      <w:r w:rsidRPr="002B376E">
        <w:t xml:space="preserve">GKC 124e); perhaps a </w:t>
      </w:r>
      <w:r w:rsidR="00791296">
        <w:t xml:space="preserve">gloss </w:t>
      </w:r>
      <w:r w:rsidRPr="002B376E">
        <w:t xml:space="preserve">on the less familiar </w:t>
      </w:r>
      <w:r w:rsidRPr="002B376E">
        <w:rPr>
          <w:rFonts w:ascii="Arial" w:hAnsi="Arial" w:cs="Arial"/>
        </w:rPr>
        <w:t>דראון</w:t>
      </w:r>
      <w:r w:rsidRPr="002B376E">
        <w:t xml:space="preserve"> (“abhorrence,” only here and Isa 66:24).</w:t>
      </w:r>
    </w:p>
    <w:p w:rsidR="00BF13A7" w:rsidRPr="00BF13A7" w:rsidRDefault="00BF13A7" w:rsidP="002B376E">
      <w:r>
        <w:t xml:space="preserve">3.a. Cf. </w:t>
      </w:r>
      <w:r w:rsidRPr="00BF13A7">
        <w:t xml:space="preserve">Wolters, </w:t>
      </w:r>
      <w:r w:rsidRPr="00BF13A7">
        <w:rPr>
          <w:bCs/>
        </w:rPr>
        <w:t>“Zōhar Hārāqîa</w:t>
      </w:r>
      <w:r w:rsidR="00C75E61">
        <w:rPr>
          <w:bCs/>
        </w:rPr>
        <w:t>,</w:t>
      </w:r>
      <w:r w:rsidRPr="00BF13A7">
        <w:rPr>
          <w:bCs/>
        </w:rPr>
        <w:t>‘</w:t>
      </w:r>
      <w:r>
        <w:rPr>
          <w:bCs/>
        </w:rPr>
        <w:t xml:space="preserve">” </w:t>
      </w:r>
      <w:r w:rsidR="00C75E61">
        <w:rPr>
          <w:bCs/>
        </w:rPr>
        <w:t>for the meaning “luminary</w:t>
      </w:r>
      <w:r w:rsidR="00D2026D">
        <w:rPr>
          <w:bCs/>
        </w:rPr>
        <w:t>”</w:t>
      </w:r>
      <w:r w:rsidR="00C75E61">
        <w:rPr>
          <w:bCs/>
        </w:rPr>
        <w:t>;</w:t>
      </w:r>
      <w:r w:rsidR="00D2026D">
        <w:rPr>
          <w:bCs/>
        </w:rPr>
        <w:t xml:space="preserve"> </w:t>
      </w:r>
      <w:r>
        <w:rPr>
          <w:bCs/>
        </w:rPr>
        <w:t>his specific reference to Halley’</w:t>
      </w:r>
      <w:r w:rsidR="00C75E61">
        <w:rPr>
          <w:bCs/>
        </w:rPr>
        <w:t>s Comet is less convi</w:t>
      </w:r>
      <w:r>
        <w:rPr>
          <w:bCs/>
        </w:rPr>
        <w:t xml:space="preserve">ncing (cf. Lucas, </w:t>
      </w:r>
      <w:r>
        <w:rPr>
          <w:bCs/>
          <w:i/>
        </w:rPr>
        <w:t>Daniel</w:t>
      </w:r>
      <w:r>
        <w:rPr>
          <w:bCs/>
        </w:rPr>
        <w:t>, 263</w:t>
      </w:r>
      <w:r w:rsidR="00D2026D">
        <w:rPr>
          <w:bCs/>
        </w:rPr>
        <w:t>)</w:t>
      </w:r>
      <w:r>
        <w:rPr>
          <w:bCs/>
        </w:rPr>
        <w:t>.</w:t>
      </w:r>
    </w:p>
    <w:p w:rsidR="002B376E" w:rsidRPr="002B376E" w:rsidRDefault="00BF13A7" w:rsidP="002B376E">
      <w:r>
        <w:t>3.b</w:t>
      </w:r>
      <w:r w:rsidR="002B376E" w:rsidRPr="002B376E">
        <w:t xml:space="preserve">. Or “vindicate,” a common meaning of </w:t>
      </w:r>
      <w:r w:rsidR="002B376E" w:rsidRPr="002B376E">
        <w:rPr>
          <w:rFonts w:ascii="Arial" w:hAnsi="Arial" w:cs="Arial"/>
        </w:rPr>
        <w:t>הצדיק</w:t>
      </w:r>
      <w:r w:rsidR="002B376E" w:rsidRPr="002B376E">
        <w:t xml:space="preserve"> in Dan 7–12. “Justify” in the sense of “atone for” (Delcor) is not suggested by the context.</w:t>
      </w:r>
    </w:p>
    <w:p w:rsidR="002B376E" w:rsidRPr="002B376E" w:rsidRDefault="002B376E" w:rsidP="002B376E">
      <w:r w:rsidRPr="002B376E">
        <w:t xml:space="preserve">4.a. </w:t>
      </w:r>
      <w:r w:rsidRPr="002B376E">
        <w:rPr>
          <w:rFonts w:ascii="Arial" w:hAnsi="Arial" w:cs="Arial"/>
        </w:rPr>
        <w:t>ישׁטטו</w:t>
      </w:r>
      <w:r w:rsidRPr="002B376E">
        <w:t xml:space="preserve">: BHS suggests emending to </w:t>
      </w:r>
      <w:r w:rsidRPr="002B376E">
        <w:rPr>
          <w:rFonts w:ascii="Arial" w:hAnsi="Arial" w:cs="Arial"/>
        </w:rPr>
        <w:t>ישׂטטו</w:t>
      </w:r>
      <w:r w:rsidRPr="002B376E">
        <w:t xml:space="preserve"> “will fall away.” </w:t>
      </w:r>
      <w:r w:rsidRPr="002B376E">
        <w:rPr>
          <w:rFonts w:ascii="Arial" w:hAnsi="Arial" w:cs="Arial"/>
        </w:rPr>
        <w:t>שׁטט</w:t>
      </w:r>
      <w:r w:rsidRPr="002B376E">
        <w:t xml:space="preserve"> can hardly refer to searching the book (against Delcor).</w:t>
      </w:r>
    </w:p>
    <w:p w:rsidR="002B376E" w:rsidRPr="002B376E" w:rsidRDefault="002B376E" w:rsidP="002B376E">
      <w:r w:rsidRPr="002B376E">
        <w:t xml:space="preserve">4.b. </w:t>
      </w:r>
      <w:r w:rsidR="00E008EC">
        <w:t>EVV</w:t>
      </w:r>
      <w:r w:rsidRPr="002B376E">
        <w:t xml:space="preserve"> “knowledge” f</w:t>
      </w:r>
      <w:r w:rsidR="007506EA">
        <w:t>its ill</w:t>
      </w:r>
      <w:r w:rsidR="00E80CCC">
        <w:t xml:space="preserve"> in the context; hence JB’s “wickedness,” </w:t>
      </w:r>
      <w:r w:rsidRPr="002B376E">
        <w:t xml:space="preserve">emending </w:t>
      </w:r>
      <w:r w:rsidRPr="002B376E">
        <w:rPr>
          <w:rFonts w:ascii="Arial" w:hAnsi="Arial" w:cs="Arial"/>
        </w:rPr>
        <w:t>דעת</w:t>
      </w:r>
      <w:r w:rsidRPr="002B376E">
        <w:t xml:space="preserve"> to </w:t>
      </w:r>
      <w:r w:rsidRPr="002B376E">
        <w:rPr>
          <w:rFonts w:ascii="Arial" w:hAnsi="Arial" w:cs="Arial"/>
        </w:rPr>
        <w:t>רעה</w:t>
      </w:r>
      <w:r w:rsidR="00E80CCC">
        <w:t xml:space="preserve"> (cf. OG). Rather follow NEB</w:t>
      </w:r>
      <w:r w:rsidRPr="002B376E">
        <w:t xml:space="preserve"> in linking </w:t>
      </w:r>
      <w:r w:rsidRPr="002B376E">
        <w:rPr>
          <w:rFonts w:ascii="Arial" w:hAnsi="Arial" w:cs="Arial"/>
        </w:rPr>
        <w:t>דעת</w:t>
      </w:r>
      <w:r w:rsidRPr="002B376E">
        <w:t xml:space="preserve"> to a </w:t>
      </w:r>
      <w:r w:rsidRPr="002B376E">
        <w:rPr>
          <w:rFonts w:ascii="Arial" w:hAnsi="Arial" w:cs="Arial"/>
        </w:rPr>
        <w:t>ידע</w:t>
      </w:r>
      <w:r w:rsidRPr="002B376E">
        <w:t xml:space="preserve"> ii meaning “be still, submissive” different from </w:t>
      </w:r>
      <w:r w:rsidRPr="002B376E">
        <w:rPr>
          <w:rFonts w:ascii="Arial" w:hAnsi="Arial" w:cs="Arial"/>
        </w:rPr>
        <w:t>ע</w:t>
      </w:r>
      <w:r w:rsidR="007506EA">
        <w:rPr>
          <w:rFonts w:ascii="Arial" w:hAnsi="Arial" w:cs="Arial"/>
        </w:rPr>
        <w:t xml:space="preserve"> </w:t>
      </w:r>
      <w:r w:rsidR="007506EA" w:rsidRPr="007506EA">
        <w:rPr>
          <w:rFonts w:ascii="Arial" w:hAnsi="Arial" w:cs="Arial"/>
        </w:rPr>
        <w:t>ד</w:t>
      </w:r>
      <w:r w:rsidRPr="002B376E">
        <w:t xml:space="preserve"> </w:t>
      </w:r>
      <w:r w:rsidR="007506EA" w:rsidRPr="007506EA">
        <w:rPr>
          <w:rFonts w:ascii="Arial" w:hAnsi="Arial" w:cs="Arial"/>
        </w:rPr>
        <w:t>י</w:t>
      </w:r>
      <w:r w:rsidR="007506EA" w:rsidRPr="007506EA">
        <w:t xml:space="preserve"> </w:t>
      </w:r>
      <w:r w:rsidRPr="002B376E">
        <w:t>“kno</w:t>
      </w:r>
      <w:r w:rsidR="00E80CCC">
        <w:t xml:space="preserve">w” (cf. Thomas, </w:t>
      </w:r>
      <w:r w:rsidR="00E80CCC" w:rsidRPr="00E80CCC">
        <w:t xml:space="preserve">“Note on </w:t>
      </w:r>
      <w:r w:rsidR="00E80CCC" w:rsidRPr="00E80CCC">
        <w:rPr>
          <w:rFonts w:ascii="Arial" w:hAnsi="Arial" w:cs="Arial"/>
        </w:rPr>
        <w:t>הדעת</w:t>
      </w:r>
      <w:r w:rsidR="00E80CCC">
        <w:t xml:space="preserve"> in Daniel xii.4</w:t>
      </w:r>
      <w:r w:rsidR="00E80CCC" w:rsidRPr="00E80CCC">
        <w:t>”</w:t>
      </w:r>
      <w:r w:rsidR="00E80CCC">
        <w:t>; Emerton, “</w:t>
      </w:r>
      <w:r w:rsidR="00E80CCC" w:rsidRPr="00E80CCC">
        <w:t xml:space="preserve">A Consideration of Some Alleged Meanings of </w:t>
      </w:r>
      <w:r w:rsidR="00E80CCC" w:rsidRPr="00E80CCC">
        <w:rPr>
          <w:rFonts w:ascii="Arial" w:hAnsi="Arial" w:cs="Arial"/>
        </w:rPr>
        <w:t>ידע</w:t>
      </w:r>
      <w:r w:rsidR="00E80CCC" w:rsidRPr="00E80CCC">
        <w:t xml:space="preserve"> in Hebrew</w:t>
      </w:r>
      <w:r w:rsidR="00E80CCC">
        <w:t xml:space="preserve">,” 150, 177; Day, </w:t>
      </w:r>
      <w:r w:rsidR="00E80CCC" w:rsidRPr="00E80CCC">
        <w:t>“Da‘</w:t>
      </w:r>
      <w:r w:rsidR="00E80CCC">
        <w:t>at ‘Humiliation,</w:t>
      </w:r>
      <w:r w:rsidR="00E80CCC" w:rsidRPr="00E80CCC">
        <w:t xml:space="preserve">’” </w:t>
      </w:r>
      <w:r w:rsidRPr="002B376E">
        <w:t>98–99).</w:t>
      </w:r>
    </w:p>
    <w:p w:rsidR="002B376E" w:rsidRPr="002B376E" w:rsidRDefault="002B376E" w:rsidP="002B376E">
      <w:r w:rsidRPr="002B376E">
        <w:t xml:space="preserve">5.a. Not </w:t>
      </w:r>
      <w:r w:rsidRPr="002B376E">
        <w:rPr>
          <w:rFonts w:ascii="Arial" w:hAnsi="Arial" w:cs="Arial"/>
        </w:rPr>
        <w:t>נהר</w:t>
      </w:r>
      <w:r w:rsidRPr="002B376E">
        <w:t xml:space="preserve"> as in 10:4 but </w:t>
      </w:r>
      <w:r w:rsidRPr="002B376E">
        <w:rPr>
          <w:rFonts w:ascii="Arial" w:hAnsi="Arial" w:cs="Arial"/>
        </w:rPr>
        <w:t>יאר</w:t>
      </w:r>
      <w:r w:rsidRPr="002B376E">
        <w:t>, a loan-word from Egyptian, usually referring to the Nile, derived here from the Joseph story (see the several verbal links between 12:5–7 and Gen 41:1; cf. n. 6.a-a).</w:t>
      </w:r>
    </w:p>
    <w:p w:rsidR="002B376E" w:rsidRPr="002B376E" w:rsidRDefault="002B376E" w:rsidP="002B376E">
      <w:r w:rsidRPr="002B376E">
        <w:t xml:space="preserve">6.a-a. </w:t>
      </w:r>
      <w:r w:rsidRPr="002B376E">
        <w:rPr>
          <w:rFonts w:ascii="Arial" w:hAnsi="Arial" w:cs="Arial"/>
        </w:rPr>
        <w:t>היאר</w:t>
      </w:r>
      <w:r w:rsidRPr="002B376E">
        <w:t xml:space="preserve"> </w:t>
      </w:r>
      <w:r w:rsidR="00E80CCC" w:rsidRPr="00E80CCC">
        <w:rPr>
          <w:rFonts w:ascii="Arial" w:hAnsi="Arial" w:cs="Arial"/>
        </w:rPr>
        <w:t>למימי</w:t>
      </w:r>
      <w:r w:rsidR="00E80CCC">
        <w:t xml:space="preserve"> </w:t>
      </w:r>
      <w:r w:rsidR="00E80CCC" w:rsidRPr="00E80CCC">
        <w:rPr>
          <w:rFonts w:ascii="Arial" w:hAnsi="Arial" w:cs="Arial"/>
        </w:rPr>
        <w:t>ממעל</w:t>
      </w:r>
      <w:r w:rsidR="00E80CCC" w:rsidRPr="00E80CCC">
        <w:t xml:space="preserve"> </w:t>
      </w:r>
      <w:r w:rsidRPr="002B376E">
        <w:t>“above in relation to the waters of the river”—b</w:t>
      </w:r>
      <w:r w:rsidR="00E80CCC">
        <w:t xml:space="preserve">ut this hardly means in the air </w:t>
      </w:r>
      <w:r w:rsidRPr="002B376E">
        <w:t xml:space="preserve">(against </w:t>
      </w:r>
      <w:r w:rsidR="00E008EC">
        <w:t>EVV</w:t>
      </w:r>
      <w:r w:rsidRPr="002B376E">
        <w:t xml:space="preserve">); cf. n. 9:21.c-c., also </w:t>
      </w:r>
      <w:r w:rsidRPr="002B376E">
        <w:rPr>
          <w:rFonts w:ascii="Arial" w:hAnsi="Arial" w:cs="Arial"/>
        </w:rPr>
        <w:t>על</w:t>
      </w:r>
      <w:r w:rsidRPr="002B376E">
        <w:t xml:space="preserve"> in Gen 41:1.</w:t>
      </w:r>
    </w:p>
    <w:p w:rsidR="002B376E" w:rsidRPr="002B376E" w:rsidRDefault="002B376E" w:rsidP="002B376E">
      <w:r w:rsidRPr="002B376E">
        <w:t xml:space="preserve">6.b. Taking </w:t>
      </w:r>
      <w:r w:rsidRPr="002B376E">
        <w:rPr>
          <w:rFonts w:ascii="Arial" w:hAnsi="Arial" w:cs="Arial"/>
        </w:rPr>
        <w:t>ויאמר</w:t>
      </w:r>
      <w:r w:rsidRPr="002B376E">
        <w:t xml:space="preserve"> as in</w:t>
      </w:r>
      <w:r w:rsidR="002B61F2">
        <w:t xml:space="preserve">definite </w:t>
      </w:r>
      <w:r w:rsidRPr="002B376E">
        <w:t>3rd s</w:t>
      </w:r>
      <w:r w:rsidR="000310CF">
        <w:t>.</w:t>
      </w:r>
      <w:r w:rsidRPr="002B376E">
        <w:t xml:space="preserve"> (cf. GKC 144d), rather than inferring that one of the figures in v 5 is the su</w:t>
      </w:r>
      <w:r w:rsidR="002073C0">
        <w:t>bject</w:t>
      </w:r>
      <w:r w:rsidR="000310CF">
        <w:t xml:space="preserve"> (NIV, JB</w:t>
      </w:r>
      <w:r w:rsidRPr="002B376E">
        <w:t>); cf. Gen</w:t>
      </w:r>
      <w:r w:rsidR="000310CF">
        <w:t xml:space="preserve"> 19:17; 38:28. There is no</w:t>
      </w:r>
      <w:r w:rsidRPr="002B376E">
        <w:t xml:space="preserve"> need to emend to </w:t>
      </w:r>
      <w:r w:rsidRPr="002B376E">
        <w:rPr>
          <w:rFonts w:ascii="Arial" w:hAnsi="Arial" w:cs="Arial"/>
        </w:rPr>
        <w:t>ואמר</w:t>
      </w:r>
      <w:r w:rsidR="000310CF">
        <w:t xml:space="preserve"> (NEB, RSV</w:t>
      </w:r>
      <w:r w:rsidRPr="002B376E">
        <w:t>, cf. OG</w:t>
      </w:r>
      <w:r w:rsidR="00690E99">
        <w:t>—but the versional evidence is un</w:t>
      </w:r>
      <w:r w:rsidR="007506EA">
        <w:t>certain (</w:t>
      </w:r>
      <w:r w:rsidR="00690E99">
        <w:t>B</w:t>
      </w:r>
      <w:r w:rsidR="00690E99" w:rsidRPr="00690E99">
        <w:t xml:space="preserve">arthélemy, </w:t>
      </w:r>
      <w:r w:rsidR="00690E99" w:rsidRPr="00690E99">
        <w:rPr>
          <w:i/>
        </w:rPr>
        <w:t>Critique textuelle de l’AT</w:t>
      </w:r>
      <w:r w:rsidR="00690E99">
        <w:t xml:space="preserve"> 3:494</w:t>
      </w:r>
      <w:r w:rsidRPr="002B376E">
        <w:t>).</w:t>
      </w:r>
    </w:p>
    <w:p w:rsidR="002B376E" w:rsidRPr="002B376E" w:rsidRDefault="000310CF" w:rsidP="002B376E">
      <w:r>
        <w:t>6.c. At Qumran</w:t>
      </w:r>
      <w:r w:rsidR="002B376E" w:rsidRPr="002B376E">
        <w:t xml:space="preserve"> </w:t>
      </w:r>
      <w:r w:rsidR="002B376E" w:rsidRPr="002B376E">
        <w:rPr>
          <w:rFonts w:ascii="Arial" w:hAnsi="Arial" w:cs="Arial"/>
        </w:rPr>
        <w:t>קץ</w:t>
      </w:r>
      <w:r w:rsidR="002B376E" w:rsidRPr="002B376E">
        <w:t xml:space="preserve"> ofte</w:t>
      </w:r>
      <w:r>
        <w:t>n means “time,” which</w:t>
      </w:r>
      <w:r w:rsidR="002B376E" w:rsidRPr="002B376E">
        <w:t xml:space="preserve"> is possible here; but “end” fits well (cf. vv 7–9) and corres</w:t>
      </w:r>
      <w:r>
        <w:t>ponds to usage elsewhere in Daniel.</w:t>
      </w:r>
    </w:p>
    <w:p w:rsidR="002B376E" w:rsidRPr="002B376E" w:rsidRDefault="002B376E" w:rsidP="002B376E">
      <w:r w:rsidRPr="002B376E">
        <w:lastRenderedPageBreak/>
        <w:t>7.a. See n. 4:1</w:t>
      </w:r>
      <w:r w:rsidR="00D94DE6">
        <w:t>6.a</w:t>
      </w:r>
      <w:r w:rsidRPr="002B376E">
        <w:t>.</w:t>
      </w:r>
    </w:p>
    <w:p w:rsidR="002B376E" w:rsidRPr="002B376E" w:rsidRDefault="002B376E" w:rsidP="002B376E">
      <w:r w:rsidRPr="002B376E">
        <w:t xml:space="preserve">7.b. </w:t>
      </w:r>
      <w:r w:rsidRPr="002B376E">
        <w:rPr>
          <w:rFonts w:ascii="Arial" w:hAnsi="Arial" w:cs="Arial"/>
        </w:rPr>
        <w:t>נַפֵּץ</w:t>
      </w:r>
      <w:r w:rsidRPr="002B376E">
        <w:t>: the Heb. is unusua</w:t>
      </w:r>
      <w:r w:rsidR="000310CF">
        <w:t>l and often emended (NEB</w:t>
      </w:r>
      <w:r w:rsidRPr="002B376E">
        <w:t xml:space="preserve"> </w:t>
      </w:r>
      <w:r w:rsidRPr="002B376E">
        <w:rPr>
          <w:rFonts w:ascii="Arial" w:hAnsi="Arial" w:cs="Arial"/>
        </w:rPr>
        <w:t>נִפֹּץ</w:t>
      </w:r>
      <w:r w:rsidR="000310CF">
        <w:t>, JB</w:t>
      </w:r>
      <w:r w:rsidRPr="002B376E">
        <w:t xml:space="preserve"> </w:t>
      </w:r>
      <w:r w:rsidRPr="002B376E">
        <w:rPr>
          <w:rFonts w:ascii="Arial" w:hAnsi="Arial" w:cs="Arial"/>
        </w:rPr>
        <w:t>נֹפֵץ</w:t>
      </w:r>
      <w:r w:rsidRPr="002B376E">
        <w:t xml:space="preserve">, interchanged with the next word </w:t>
      </w:r>
      <w:r w:rsidRPr="002B376E">
        <w:rPr>
          <w:rFonts w:ascii="Arial" w:hAnsi="Arial" w:cs="Arial"/>
        </w:rPr>
        <w:t>יד</w:t>
      </w:r>
      <w:r w:rsidRPr="002B376E">
        <w:t>), but no one em</w:t>
      </w:r>
      <w:r w:rsidR="000310CF">
        <w:t>endation carries conviction. NEB</w:t>
      </w:r>
      <w:r w:rsidRPr="002B376E">
        <w:t xml:space="preserve"> also derives the word from</w:t>
      </w:r>
      <w:r w:rsidR="000310CF">
        <w:t xml:space="preserve"> </w:t>
      </w:r>
      <w:r w:rsidR="000310CF" w:rsidRPr="000310CF">
        <w:rPr>
          <w:rFonts w:ascii="Arial" w:hAnsi="Arial" w:cs="Arial"/>
        </w:rPr>
        <w:t>נפץ</w:t>
      </w:r>
      <w:r w:rsidR="000310CF">
        <w:t xml:space="preserve"> ii “scatter</w:t>
      </w:r>
      <w:r w:rsidRPr="002B376E">
        <w:t xml:space="preserve">” not </w:t>
      </w:r>
      <w:r w:rsidRPr="002B376E">
        <w:rPr>
          <w:rFonts w:ascii="Arial" w:hAnsi="Arial" w:cs="Arial"/>
        </w:rPr>
        <w:t>נפץ</w:t>
      </w:r>
      <w:r w:rsidRPr="002B376E">
        <w:t xml:space="preserve"> i “shatter.”</w:t>
      </w:r>
    </w:p>
    <w:p w:rsidR="002B376E" w:rsidRPr="002B376E" w:rsidRDefault="002B376E" w:rsidP="002B376E">
      <w:r w:rsidRPr="002B376E">
        <w:t xml:space="preserve">7.c. </w:t>
      </w:r>
      <w:r w:rsidRPr="002B376E">
        <w:rPr>
          <w:rFonts w:ascii="Arial" w:hAnsi="Arial" w:cs="Arial"/>
        </w:rPr>
        <w:t>ככלות</w:t>
      </w:r>
      <w:r w:rsidRPr="002B376E">
        <w:t>: “stopped” rather than</w:t>
      </w:r>
      <w:r w:rsidR="000310CF">
        <w:t xml:space="preserve"> “brought to completion” (so NIV</w:t>
      </w:r>
      <w:r w:rsidRPr="002B376E">
        <w:t>?); see n. 9:24.d-d.</w:t>
      </w:r>
    </w:p>
    <w:p w:rsidR="002B376E" w:rsidRPr="002B376E" w:rsidRDefault="002B376E" w:rsidP="002B376E">
      <w:r w:rsidRPr="002B376E">
        <w:t xml:space="preserve">8.a. </w:t>
      </w:r>
      <w:r w:rsidRPr="002B376E">
        <w:rPr>
          <w:rFonts w:ascii="Arial" w:hAnsi="Arial" w:cs="Arial"/>
        </w:rPr>
        <w:t>אחרית</w:t>
      </w:r>
      <w:r w:rsidRPr="002B376E">
        <w:t xml:space="preserve">, not </w:t>
      </w:r>
      <w:r w:rsidRPr="002B376E">
        <w:rPr>
          <w:rFonts w:ascii="Arial" w:hAnsi="Arial" w:cs="Arial"/>
        </w:rPr>
        <w:t>קץ</w:t>
      </w:r>
      <w:r w:rsidRPr="002B376E">
        <w:t xml:space="preserve"> “end”: cf. Driver.</w:t>
      </w:r>
    </w:p>
    <w:p w:rsidR="00282B9F" w:rsidRDefault="00282B9F" w:rsidP="002B376E">
      <w:r>
        <w:t>9.a. Paul (</w:t>
      </w:r>
      <w:r w:rsidRPr="00282B9F">
        <w:t>“</w:t>
      </w:r>
      <w:r>
        <w:t>Daniel 12:9</w:t>
      </w:r>
      <w:r w:rsidRPr="00282B9F">
        <w:t>”</w:t>
      </w:r>
      <w:r>
        <w:t>)</w:t>
      </w:r>
      <w:r w:rsidRPr="00282B9F">
        <w:t xml:space="preserve"> </w:t>
      </w:r>
      <w:r>
        <w:t>identifies this double expression as the equivalent of a technical Akkadian term.</w:t>
      </w:r>
    </w:p>
    <w:p w:rsidR="00677229" w:rsidRDefault="00677229" w:rsidP="002B376E">
      <w:r>
        <w:t xml:space="preserve">10.a. </w:t>
      </w:r>
      <w:r w:rsidRPr="00677229">
        <w:t xml:space="preserve">Rhythm and parallelism suggest taking </w:t>
      </w:r>
      <w:r w:rsidR="000D1837">
        <w:t>v</w:t>
      </w:r>
      <w:r w:rsidRPr="00677229">
        <w:t xml:space="preserve"> 10 as a double bicolon, which works abb’a’.</w:t>
      </w:r>
    </w:p>
    <w:p w:rsidR="002B376E" w:rsidRPr="002B376E" w:rsidRDefault="00677229" w:rsidP="002B376E">
      <w:r>
        <w:t>10.b</w:t>
      </w:r>
      <w:r w:rsidR="002B376E" w:rsidRPr="002B376E">
        <w:t xml:space="preserve">. </w:t>
      </w:r>
      <w:r w:rsidR="002B376E" w:rsidRPr="002B376E">
        <w:rPr>
          <w:rFonts w:ascii="Arial" w:hAnsi="Arial" w:cs="Arial"/>
        </w:rPr>
        <w:t>יצרפו</w:t>
      </w:r>
      <w:r w:rsidR="002B376E" w:rsidRPr="002B376E">
        <w:t xml:space="preserve">; C </w:t>
      </w:r>
      <w:r w:rsidR="002B376E" w:rsidRPr="002B376E">
        <w:rPr>
          <w:rFonts w:ascii="Arial" w:hAnsi="Arial" w:cs="Arial"/>
        </w:rPr>
        <w:t>יתצרפו</w:t>
      </w:r>
      <w:r w:rsidR="002B376E" w:rsidRPr="002B376E">
        <w:t xml:space="preserve">, 4QFlor </w:t>
      </w:r>
      <w:r w:rsidR="002B376E" w:rsidRPr="002B376E">
        <w:rPr>
          <w:rFonts w:ascii="Arial" w:hAnsi="Arial" w:cs="Arial"/>
        </w:rPr>
        <w:t>יצטרפו</w:t>
      </w:r>
      <w:r w:rsidR="002B376E" w:rsidRPr="002B376E">
        <w:t>, both hit</w:t>
      </w:r>
      <w:r w:rsidR="000310CF">
        <w:t>pael</w:t>
      </w:r>
      <w:r w:rsidR="002B376E" w:rsidRPr="002B376E">
        <w:t>.</w:t>
      </w:r>
    </w:p>
    <w:p w:rsidR="002B376E" w:rsidRPr="002B376E" w:rsidRDefault="00677229" w:rsidP="002B376E">
      <w:r>
        <w:t>10.c</w:t>
      </w:r>
      <w:r w:rsidR="002B376E" w:rsidRPr="002B376E">
        <w:t>.</w:t>
      </w:r>
      <w:r w:rsidR="000310CF">
        <w:t xml:space="preserve"> “Explain [it]” (Lebram, “</w:t>
      </w:r>
      <w:r w:rsidR="000310CF" w:rsidRPr="000310CF">
        <w:t>The Pi</w:t>
      </w:r>
      <w:r w:rsidR="000310CF">
        <w:t>ety of the Jewish Apocalyptists,</w:t>
      </w:r>
      <w:r w:rsidR="002B376E" w:rsidRPr="002B376E">
        <w:t xml:space="preserve">” 179) is oversubtle, esp. given the rarity of </w:t>
      </w:r>
      <w:r w:rsidR="002B376E" w:rsidRPr="002B376E">
        <w:rPr>
          <w:rFonts w:ascii="Arial" w:hAnsi="Arial" w:cs="Arial"/>
        </w:rPr>
        <w:t>בין</w:t>
      </w:r>
      <w:r w:rsidR="002B376E" w:rsidRPr="002B376E">
        <w:t xml:space="preserve"> </w:t>
      </w:r>
      <w:r w:rsidR="002B61F2">
        <w:t xml:space="preserve">hiphil </w:t>
      </w:r>
      <w:r w:rsidR="002B376E" w:rsidRPr="002B376E">
        <w:t>used absolutely.</w:t>
      </w:r>
    </w:p>
    <w:p w:rsidR="002B376E" w:rsidRPr="002B376E" w:rsidRDefault="00690E99" w:rsidP="002B376E">
      <w:r>
        <w:t>13.a. G omits</w:t>
      </w:r>
      <w:r w:rsidR="002B376E" w:rsidRPr="002B376E">
        <w:t xml:space="preserve"> </w:t>
      </w:r>
      <w:r w:rsidR="002B376E" w:rsidRPr="002B376E">
        <w:rPr>
          <w:rFonts w:ascii="Arial" w:hAnsi="Arial" w:cs="Arial"/>
        </w:rPr>
        <w:t>לקץ</w:t>
      </w:r>
      <w:r w:rsidR="002B376E" w:rsidRPr="002B376E">
        <w:t xml:space="preserve"> (“un</w:t>
      </w:r>
      <w:r>
        <w:t>til the end”—i.e., your death), which might be</w:t>
      </w:r>
      <w:r w:rsidR="002B376E" w:rsidRPr="002B376E">
        <w:t xml:space="preserve"> dittog from the next line.</w:t>
      </w:r>
    </w:p>
    <w:p w:rsidR="002B376E" w:rsidRPr="002B376E" w:rsidRDefault="002B376E" w:rsidP="002B376E">
      <w:r w:rsidRPr="002B376E">
        <w:t xml:space="preserve">13.b. </w:t>
      </w:r>
      <w:r w:rsidRPr="002B376E">
        <w:rPr>
          <w:rFonts w:ascii="Arial" w:hAnsi="Arial" w:cs="Arial"/>
        </w:rPr>
        <w:t>עמד</w:t>
      </w:r>
      <w:r w:rsidRPr="002B376E">
        <w:t xml:space="preserve"> is used as an equivalent to </w:t>
      </w:r>
      <w:r w:rsidRPr="002B376E">
        <w:rPr>
          <w:rFonts w:ascii="Arial" w:hAnsi="Arial" w:cs="Arial"/>
        </w:rPr>
        <w:t>קום</w:t>
      </w:r>
      <w:r w:rsidR="00E83B20">
        <w:t xml:space="preserve"> in Late Biblical Hebrew</w:t>
      </w:r>
      <w:r w:rsidRPr="002B376E">
        <w:t xml:space="preserve"> (BDB</w:t>
      </w:r>
      <w:r w:rsidR="00E80CCC">
        <w:t>,</w:t>
      </w:r>
      <w:r w:rsidRPr="002B376E">
        <w:t xml:space="preserve"> 764a).</w:t>
      </w:r>
    </w:p>
    <w:p w:rsidR="002B376E" w:rsidRPr="002B376E" w:rsidRDefault="002B376E" w:rsidP="002B376E">
      <w:pPr>
        <w:pStyle w:val="Heading2"/>
      </w:pPr>
      <w:r w:rsidRPr="002B376E">
        <w:t>Form/Structure/Setting</w:t>
      </w:r>
    </w:p>
    <w:p w:rsidR="002B376E" w:rsidRPr="002B376E" w:rsidRDefault="002B376E" w:rsidP="002B376E">
      <w:pPr>
        <w:pStyle w:val="Heading3"/>
      </w:pPr>
      <w:r w:rsidRPr="002B376E">
        <w:t>Form</w:t>
      </w:r>
    </w:p>
    <w:p w:rsidR="002B376E" w:rsidRDefault="002B376E" w:rsidP="002B376E"/>
    <w:p w:rsidR="003700EC" w:rsidRDefault="00ED1C62" w:rsidP="003700EC">
      <w:r>
        <w:t xml:space="preserve">See </w:t>
      </w:r>
      <w:r w:rsidR="002B376E" w:rsidRPr="002B376E">
        <w:t xml:space="preserve">chap. 2 </w:t>
      </w:r>
      <w:r w:rsidR="002B376E" w:rsidRPr="00ED1C62">
        <w:rPr>
          <w:i/>
        </w:rPr>
        <w:t>Form</w:t>
      </w:r>
      <w:r w:rsidR="002B376E" w:rsidRPr="002B376E">
        <w:t>. Dan 10–12 i</w:t>
      </w:r>
      <w:r>
        <w:t>s the</w:t>
      </w:r>
      <w:r w:rsidR="00AA0821">
        <w:t xml:space="preserve"> report of a vision and auditory experience</w:t>
      </w:r>
      <w:r>
        <w:t xml:space="preserve"> given</w:t>
      </w:r>
      <w:r w:rsidR="002B376E" w:rsidRPr="002B376E">
        <w:t xml:space="preserve"> to a human being by a supernatural being.</w:t>
      </w:r>
      <w:r w:rsidR="00AA0821">
        <w:t xml:space="preserve"> T</w:t>
      </w:r>
      <w:r w:rsidR="002B376E" w:rsidRPr="002B376E">
        <w:t xml:space="preserve">he </w:t>
      </w:r>
      <w:r w:rsidR="00AA0821">
        <w:t>vision prepares for the auditory experience</w:t>
      </w:r>
      <w:r w:rsidR="002B376E" w:rsidRPr="002B376E">
        <w:t xml:space="preserve"> rather than conveying the</w:t>
      </w:r>
      <w:r w:rsidR="00AA0821">
        <w:t xml:space="preserve"> content of the revelation, as</w:t>
      </w:r>
      <w:r w:rsidR="002B376E" w:rsidRPr="002B376E">
        <w:t xml:space="preserve"> a prophetic vision</w:t>
      </w:r>
      <w:r w:rsidR="00AA0821">
        <w:t xml:space="preserve"> does; t</w:t>
      </w:r>
      <w:r w:rsidR="00AA0821" w:rsidRPr="00AA0821">
        <w:t xml:space="preserve">he revelation’s content </w:t>
      </w:r>
      <w:r w:rsidR="00AA0821">
        <w:t>lies in the auditory event</w:t>
      </w:r>
      <w:r w:rsidR="002B376E" w:rsidRPr="002B376E">
        <w:t>.</w:t>
      </w:r>
      <w:r>
        <w:rPr>
          <w:rStyle w:val="FootnoteReference"/>
        </w:rPr>
        <w:footnoteReference w:id="591"/>
      </w:r>
      <w:r w:rsidR="002B376E" w:rsidRPr="002B376E">
        <w:t xml:space="preserve"> The content is expressed less allusively and more directly than is the cas</w:t>
      </w:r>
      <w:r>
        <w:t>e in any of the other visions. While c</w:t>
      </w:r>
      <w:r w:rsidR="002B376E" w:rsidRPr="002B376E">
        <w:t xml:space="preserve">haps. </w:t>
      </w:r>
      <w:r>
        <w:t xml:space="preserve">10–12 include some mythic motifs, </w:t>
      </w:r>
      <w:r w:rsidR="002B376E" w:rsidRPr="002B376E">
        <w:t xml:space="preserve">in general </w:t>
      </w:r>
      <w:r>
        <w:t xml:space="preserve">they </w:t>
      </w:r>
      <w:r w:rsidR="002B376E" w:rsidRPr="002B376E">
        <w:t xml:space="preserve">communicate more by means of ciphers and less </w:t>
      </w:r>
      <w:r>
        <w:t>by means of symbols than the preceding</w:t>
      </w:r>
      <w:r w:rsidR="002B376E" w:rsidRPr="002B376E">
        <w:t xml:space="preserve"> visions</w:t>
      </w:r>
      <w:r>
        <w:t xml:space="preserve"> do</w:t>
      </w:r>
      <w:r w:rsidR="003700EC">
        <w:t>.</w:t>
      </w:r>
    </w:p>
    <w:p w:rsidR="003700EC" w:rsidRPr="003700EC" w:rsidRDefault="002B376E" w:rsidP="003700EC">
      <w:r w:rsidRPr="002B376E">
        <w:t>The revelatory message concerns present, past, and future, illustrating how apocalypses have a much broader interest than the preoccupa</w:t>
      </w:r>
      <w:r w:rsidR="004F74A8">
        <w:t>tion with questions about</w:t>
      </w:r>
      <w:r w:rsidRPr="002B376E">
        <w:t xml:space="preserve"> the future th</w:t>
      </w:r>
      <w:r w:rsidR="00ED1C62">
        <w:t>at is often attributed to them</w:t>
      </w:r>
      <w:r w:rsidRPr="002B376E">
        <w:t>.</w:t>
      </w:r>
      <w:r w:rsidR="00ED1C62">
        <w:rPr>
          <w:rStyle w:val="FootnoteReference"/>
        </w:rPr>
        <w:footnoteReference w:id="592"/>
      </w:r>
      <w:r w:rsidRPr="002B376E">
        <w:t xml:space="preserve"> But </w:t>
      </w:r>
      <w:r w:rsidR="00AA0821">
        <w:t>the central part of the auditory revelation</w:t>
      </w:r>
      <w:r w:rsidRPr="002B376E">
        <w:t xml:space="preserve"> is a regnal prophecy outlining the rise, activities, achievements, and fall of a series of kings</w:t>
      </w:r>
      <w:r w:rsidR="00ED1C62">
        <w:t>,</w:t>
      </w:r>
      <w:r w:rsidRPr="002B376E">
        <w:t xml:space="preserve"> who are unnamed but can be identified on the basis of the events referred to. </w:t>
      </w:r>
      <w:r w:rsidR="00134A2E">
        <w:t xml:space="preserve">Thus </w:t>
      </w:r>
      <w:r w:rsidR="00134A2E">
        <w:rPr>
          <w:rFonts w:eastAsiaTheme="minorHAnsi" w:cs="Times New Roman"/>
        </w:rPr>
        <w:t>“t</w:t>
      </w:r>
      <w:r w:rsidR="003700EC" w:rsidRPr="003700EC">
        <w:rPr>
          <w:rFonts w:eastAsiaTheme="minorHAnsi" w:cs="Times New Roman"/>
        </w:rPr>
        <w:t>his vision is more</w:t>
      </w:r>
      <w:r w:rsidR="003700EC">
        <w:rPr>
          <w:rFonts w:eastAsiaTheme="minorHAnsi" w:cs="Times New Roman"/>
        </w:rPr>
        <w:t xml:space="preserve"> </w:t>
      </w:r>
      <w:r w:rsidR="003700EC" w:rsidRPr="003700EC">
        <w:rPr>
          <w:rFonts w:eastAsiaTheme="minorHAnsi" w:cs="Times New Roman"/>
        </w:rPr>
        <w:t>firmly and obviously rooted in human history than any of the others</w:t>
      </w:r>
      <w:r w:rsidR="003700EC">
        <w:rPr>
          <w:rFonts w:eastAsiaTheme="minorHAnsi" w:cs="Times New Roman"/>
        </w:rPr>
        <w:t>,”</w:t>
      </w:r>
      <w:r w:rsidR="003700EC" w:rsidRPr="003700EC">
        <w:rPr>
          <w:rFonts w:eastAsiaTheme="minorHAnsi" w:cs="Times New Roman"/>
          <w:vertAlign w:val="superscript"/>
        </w:rPr>
        <w:t xml:space="preserve"> </w:t>
      </w:r>
      <w:r w:rsidR="003700EC" w:rsidRPr="003700EC">
        <w:rPr>
          <w:rFonts w:eastAsiaTheme="minorHAnsi" w:cs="Times New Roman"/>
          <w:vertAlign w:val="superscript"/>
        </w:rPr>
        <w:footnoteReference w:id="593"/>
      </w:r>
      <w:r w:rsidR="003700EC">
        <w:rPr>
          <w:rFonts w:eastAsiaTheme="minorHAnsi" w:cs="Times New Roman"/>
          <w:vertAlign w:val="superscript"/>
        </w:rPr>
        <w:t xml:space="preserve"> </w:t>
      </w:r>
      <w:r w:rsidR="00134A2E">
        <w:t>even though</w:t>
      </w:r>
      <w:r w:rsidR="003700EC">
        <w:t xml:space="preserve"> it names no names.</w:t>
      </w:r>
    </w:p>
    <w:p w:rsidR="002B376E" w:rsidRDefault="002B376E" w:rsidP="002B376E">
      <w:r w:rsidRPr="002B376E">
        <w:t xml:space="preserve">Such prophecies have no parallels elsewhere in the OT, but </w:t>
      </w:r>
      <w:r w:rsidR="00A47E72">
        <w:t xml:space="preserve">have </w:t>
      </w:r>
      <w:r w:rsidRPr="002B376E">
        <w:t>a number outside it from Mesopotamia, Egypt, and Greece</w:t>
      </w:r>
      <w:r w:rsidR="00A47E72">
        <w:t>,</w:t>
      </w:r>
      <w:r w:rsidRPr="002B376E">
        <w:t xml:space="preserve"> from the late second millennium to the Hellenistic period. </w:t>
      </w:r>
      <w:r w:rsidR="00A47E72">
        <w:t xml:space="preserve">An Assyrian example reads: </w:t>
      </w:r>
    </w:p>
    <w:p w:rsidR="00A47E72" w:rsidRPr="002B376E" w:rsidRDefault="00A47E72" w:rsidP="002B376E"/>
    <w:p w:rsidR="002B376E" w:rsidRPr="002B376E" w:rsidRDefault="00A47E72" w:rsidP="002B376E">
      <w:r>
        <w:t xml:space="preserve">… </w:t>
      </w:r>
      <w:r w:rsidR="002B376E" w:rsidRPr="002B376E">
        <w:t>A ruler will arise, he will rule for thirteen years.</w:t>
      </w:r>
    </w:p>
    <w:p w:rsidR="002B376E" w:rsidRPr="002B376E" w:rsidRDefault="002B376E" w:rsidP="002B376E">
      <w:r w:rsidRPr="002B376E">
        <w:t>There will be an attack of Elam against Akkad, and</w:t>
      </w:r>
    </w:p>
    <w:p w:rsidR="002B376E" w:rsidRPr="002B376E" w:rsidRDefault="002B376E" w:rsidP="002B376E">
      <w:r w:rsidRPr="002B376E">
        <w:t>the booty of Akkad will be carried off.</w:t>
      </w:r>
    </w:p>
    <w:p w:rsidR="00A47E72" w:rsidRDefault="002B376E" w:rsidP="00A47E72">
      <w:pPr>
        <w:ind w:left="1080" w:hanging="360"/>
      </w:pPr>
      <w:r w:rsidRPr="002B376E">
        <w:t>The temples of the great gods will be destroyed, the defeat of Akkad will</w:t>
      </w:r>
      <w:r w:rsidR="00A47E72">
        <w:t xml:space="preserve"> be decreed [by the gods].</w:t>
      </w:r>
    </w:p>
    <w:p w:rsidR="00A47E72" w:rsidRDefault="002B376E" w:rsidP="00A47E72">
      <w:pPr>
        <w:ind w:left="1080" w:hanging="360"/>
      </w:pPr>
      <w:r w:rsidRPr="002B376E">
        <w:t xml:space="preserve">There will be confusion, disturbance, and </w:t>
      </w:r>
      <w:r w:rsidR="00A47E72">
        <w:t>unhappy events in the land, and</w:t>
      </w:r>
    </w:p>
    <w:p w:rsidR="002B376E" w:rsidRPr="002B376E" w:rsidRDefault="002B376E" w:rsidP="00A47E72">
      <w:pPr>
        <w:ind w:left="1080" w:hanging="360"/>
      </w:pPr>
      <w:r w:rsidRPr="002B376E">
        <w:t>the reign will diminish [in power]; another man, whose name is not</w:t>
      </w:r>
      <w:r w:rsidR="00A47E72">
        <w:t xml:space="preserve"> </w:t>
      </w:r>
      <w:r w:rsidRPr="002B376E">
        <w:t>mentioned [as a successor] will arise, and</w:t>
      </w:r>
    </w:p>
    <w:p w:rsidR="002B376E" w:rsidRPr="002B376E" w:rsidRDefault="002B376E" w:rsidP="002B376E">
      <w:r w:rsidRPr="002B376E">
        <w:lastRenderedPageBreak/>
        <w:t xml:space="preserve">will seize the throne as king and will </w:t>
      </w:r>
      <w:r w:rsidR="00A47E72">
        <w:t>put to death his officials….</w:t>
      </w:r>
      <w:r w:rsidR="00A47E72">
        <w:rPr>
          <w:rStyle w:val="FootnoteReference"/>
        </w:rPr>
        <w:footnoteReference w:id="594"/>
      </w:r>
    </w:p>
    <w:p w:rsidR="00A47E72" w:rsidRDefault="00A47E72" w:rsidP="002B376E"/>
    <w:p w:rsidR="00137859" w:rsidRPr="002B376E" w:rsidRDefault="002B376E" w:rsidP="00134A2E">
      <w:r w:rsidRPr="002B376E">
        <w:t xml:space="preserve">These texts are for the most part </w:t>
      </w:r>
      <w:r w:rsidR="00A47E72">
        <w:t xml:space="preserve">quasi-predictionrather than </w:t>
      </w:r>
      <w:r w:rsidRPr="002B376E">
        <w:t>ac</w:t>
      </w:r>
      <w:r w:rsidR="00134A2E">
        <w:t>tual prediction. T</w:t>
      </w:r>
      <w:r w:rsidR="00A47E72">
        <w:t>hey</w:t>
      </w:r>
      <w:r w:rsidRPr="002B376E">
        <w:t xml:space="preserve"> combine extensive qu</w:t>
      </w:r>
      <w:r w:rsidR="00A47E72">
        <w:t>asi-prediction</w:t>
      </w:r>
      <w:r w:rsidRPr="002B376E">
        <w:t xml:space="preserve"> of events before the writer’s day w</w:t>
      </w:r>
      <w:r w:rsidR="00A47E72">
        <w:t>ith more limited actual prediction</w:t>
      </w:r>
      <w:r w:rsidRPr="002B376E">
        <w:t xml:space="preserve"> of events still to come. The formulae and the detail </w:t>
      </w:r>
      <w:r w:rsidR="00A47E72">
        <w:t xml:space="preserve">in the texts </w:t>
      </w:r>
      <w:r w:rsidRPr="002B376E">
        <w:t>compare with Daniel; so does the anti-Hellenistic na</w:t>
      </w:r>
      <w:r w:rsidR="00134A2E">
        <w:t>ture of instances from this</w:t>
      </w:r>
      <w:r w:rsidRPr="002B376E">
        <w:t xml:space="preserve"> period. On Grayson’s interpretation, the “Dynastic Prophecy” from the Hellenistic age, which covers the history of the Assyrian, Babylonian, Persian, and Hellenistic empires, ends </w:t>
      </w:r>
      <w:r w:rsidR="00BC66A3">
        <w:t>in a way that is particularly similar</w:t>
      </w:r>
      <w:r w:rsidRPr="002B376E">
        <w:t xml:space="preserve"> to Dan 10–12, with an actual prediction of the fall of the Seleucid empire and a rubric regarding keeping the prophecy secret.</w:t>
      </w:r>
      <w:r w:rsidR="00BC66A3">
        <w:rPr>
          <w:rStyle w:val="FootnoteReference"/>
        </w:rPr>
        <w:footnoteReference w:id="595"/>
      </w:r>
      <w:r w:rsidR="00134A2E">
        <w:t xml:space="preserve"> </w:t>
      </w:r>
    </w:p>
    <w:p w:rsidR="002B376E" w:rsidRPr="002B376E" w:rsidRDefault="00BC66A3" w:rsidP="002B376E">
      <w:r>
        <w:t xml:space="preserve">As is the case with </w:t>
      </w:r>
      <w:r w:rsidR="002B376E" w:rsidRPr="002B376E">
        <w:t xml:space="preserve">other parts of the OT, </w:t>
      </w:r>
      <w:r>
        <w:t>Dan 11</w:t>
      </w:r>
      <w:r w:rsidR="002B376E" w:rsidRPr="002B376E">
        <w:t xml:space="preserve"> </w:t>
      </w:r>
      <w:r>
        <w:t xml:space="preserve">becomes clearer when </w:t>
      </w:r>
      <w:r w:rsidR="002B376E" w:rsidRPr="002B376E">
        <w:t>seen against its ancient Near Eastern backgroun</w:t>
      </w:r>
      <w:r w:rsidR="004F74A8">
        <w:t>d. A</w:t>
      </w:r>
      <w:r w:rsidR="00894BF3">
        <w:t xml:space="preserve">s with other such parallels, the implication is not that </w:t>
      </w:r>
      <w:r w:rsidR="00894BF3" w:rsidRPr="00894BF3">
        <w:t>the quasi-pr</w:t>
      </w:r>
      <w:r w:rsidR="00894BF3">
        <w:t>edictions in Daniel are</w:t>
      </w:r>
      <w:r w:rsidR="00894BF3" w:rsidRPr="00894BF3">
        <w:t xml:space="preserve"> directly d</w:t>
      </w:r>
      <w:r w:rsidR="004F74A8">
        <w:t>ependent on such Assyrian texts,</w:t>
      </w:r>
      <w:r w:rsidR="00894BF3" w:rsidRPr="00894BF3">
        <w:rPr>
          <w:vertAlign w:val="superscript"/>
        </w:rPr>
        <w:footnoteReference w:id="596"/>
      </w:r>
      <w:r w:rsidR="004F74A8">
        <w:t xml:space="preserve"> but this m</w:t>
      </w:r>
      <w:r w:rsidR="00134A2E">
        <w:t xml:space="preserve">aterial </w:t>
      </w:r>
      <w:r w:rsidR="00894BF3">
        <w:t>does indicate</w:t>
      </w:r>
      <w:r w:rsidR="00463B9F">
        <w:t xml:space="preserve"> that </w:t>
      </w:r>
      <w:r w:rsidR="00134A2E">
        <w:t>in the</w:t>
      </w:r>
      <w:r w:rsidR="00894BF3">
        <w:t xml:space="preserve">ir context </w:t>
      </w:r>
      <w:r w:rsidR="00463B9F">
        <w:t>the Danielic visions</w:t>
      </w:r>
      <w:r w:rsidR="002B376E" w:rsidRPr="002B376E">
        <w:t xml:space="preserve"> </w:t>
      </w:r>
      <w:r w:rsidR="00894BF3">
        <w:t>would be</w:t>
      </w:r>
      <w:r w:rsidR="002B376E" w:rsidRPr="002B376E">
        <w:t xml:space="preserve"> mostly quasi-prediction</w:t>
      </w:r>
      <w:r w:rsidR="004F74A8">
        <w:t>. W</w:t>
      </w:r>
      <w:r w:rsidR="00463B9F">
        <w:t xml:space="preserve">e would require evidence if we were to think that </w:t>
      </w:r>
      <w:r w:rsidR="00134A2E">
        <w:t>the author has turned a known</w:t>
      </w:r>
      <w:r w:rsidR="00463B9F">
        <w:t xml:space="preserve"> way of formulating quasi-prediction</w:t>
      </w:r>
      <w:r w:rsidR="002B376E" w:rsidRPr="002B376E">
        <w:t xml:space="preserve">s into </w:t>
      </w:r>
      <w:r w:rsidR="00463B9F">
        <w:t>a way of giving actual predictions</w:t>
      </w:r>
      <w:r w:rsidR="00134A2E">
        <w:t>, for which there are no parallels in the OT</w:t>
      </w:r>
      <w:r w:rsidR="00463B9F">
        <w:t>. “T</w:t>
      </w:r>
      <w:r w:rsidR="002B376E" w:rsidRPr="002B376E">
        <w:t>he burden of proof must fall on those who wish to argue that Daniel is different from th</w:t>
      </w:r>
      <w:r w:rsidR="00463B9F">
        <w:t>e other examples of the genre</w:t>
      </w:r>
      <w:r w:rsidR="002B376E" w:rsidRPr="002B376E">
        <w:t>.</w:t>
      </w:r>
      <w:r w:rsidR="00463B9F">
        <w:t>”</w:t>
      </w:r>
      <w:r w:rsidR="00463B9F">
        <w:rPr>
          <w:rStyle w:val="FootnoteReference"/>
        </w:rPr>
        <w:footnoteReference w:id="597"/>
      </w:r>
      <w:r w:rsidR="002B376E" w:rsidRPr="002B376E">
        <w:t xml:space="preserve"> The difference in Daniel’s theology does not invalidate this </w:t>
      </w:r>
      <w:r w:rsidR="00463B9F">
        <w:t>assumption;</w:t>
      </w:r>
      <w:r w:rsidR="00463B9F">
        <w:rPr>
          <w:rStyle w:val="FootnoteReference"/>
        </w:rPr>
        <w:footnoteReference w:id="598"/>
      </w:r>
      <w:r w:rsidR="00463B9F">
        <w:t xml:space="preserve"> </w:t>
      </w:r>
      <w:r w:rsidR="002B376E" w:rsidRPr="002B376E">
        <w:t>these quasi-predictions “are distinctively Jewish, yet are a Jewish form of a wides</w:t>
      </w:r>
      <w:r w:rsidR="00463B9F">
        <w:t>pread contemporary phenomenon</w:t>
      </w:r>
      <w:r w:rsidR="002B376E" w:rsidRPr="002B376E">
        <w:t>.</w:t>
      </w:r>
      <w:r w:rsidR="00463B9F">
        <w:t>”</w:t>
      </w:r>
      <w:r w:rsidR="00463B9F">
        <w:rPr>
          <w:rStyle w:val="FootnoteReference"/>
        </w:rPr>
        <w:footnoteReference w:id="599"/>
      </w:r>
    </w:p>
    <w:p w:rsidR="002B376E" w:rsidRPr="002B376E" w:rsidRDefault="009E70F5" w:rsidP="002B376E">
      <w:r>
        <w:t xml:space="preserve">In </w:t>
      </w:r>
      <w:r w:rsidR="003D7C69">
        <w:t>unveiling its revelation, c</w:t>
      </w:r>
      <w:r w:rsidR="002B376E" w:rsidRPr="002B376E">
        <w:t>haps. 10–12 take up motifs from chap. 7: with 7:25 compare the characterization of the northern king in 11:36 and the limit placed on the time</w:t>
      </w:r>
      <w:r w:rsidR="003D7C69">
        <w:t xml:space="preserve"> of trouble in 12:7. It has further</w:t>
      </w:r>
      <w:r w:rsidR="002B376E" w:rsidRPr="002B376E">
        <w:t xml:space="preserve"> links with</w:t>
      </w:r>
      <w:r w:rsidR="005B3509">
        <w:t xml:space="preserve"> ch</w:t>
      </w:r>
      <w:r w:rsidR="003D7C69">
        <w:t>ap. 9: w</w:t>
      </w:r>
      <w:r w:rsidR="002B376E" w:rsidRPr="002B376E">
        <w:t>ith the account of Daniel’s preparation for and receiving of his revelation in 9:3, 21–23 compare 10:1–3, 9–11; with the content of the revelation in 9:24–27, compare 11:10, 16, 22, 31, 36 (floodlike destruction, the removal of the anointed/leader, the suspension of regular sacrifices and the desolating abomination, the implementing of what has been determined). Many of these motifs</w:t>
      </w:r>
      <w:r w:rsidR="003D7C69">
        <w:t xml:space="preserve"> have also appeared in chap. 8</w:t>
      </w:r>
      <w:r w:rsidR="002B376E" w:rsidRPr="002B376E">
        <w:t>, and it is with chap. 8 that chaps. 10–12 have mo</w:t>
      </w:r>
      <w:r w:rsidR="003D7C69">
        <w:t>st detailed points of contact. Indeed, r</w:t>
      </w:r>
      <w:r w:rsidR="002B376E" w:rsidRPr="002B376E">
        <w:t xml:space="preserve">eminiscences of almost every </w:t>
      </w:r>
      <w:r w:rsidR="001563E1">
        <w:t>verse of chap. 8 reappear here</w:t>
      </w:r>
      <w:r w:rsidR="002B376E" w:rsidRPr="002B376E">
        <w:t>.</w:t>
      </w:r>
      <w:r w:rsidR="001563E1">
        <w:rPr>
          <w:rStyle w:val="FootnoteReference"/>
        </w:rPr>
        <w:footnoteReference w:id="600"/>
      </w:r>
      <w:r w:rsidR="001563E1">
        <w:t xml:space="preserve"> One can thus see chaps. 10–12 as </w:t>
      </w:r>
      <w:r w:rsidR="002B376E" w:rsidRPr="002B376E">
        <w:t>a rew</w:t>
      </w:r>
      <w:r w:rsidR="001563E1">
        <w:t>orking of those earlier visions, and in particular of chap. 8.</w:t>
      </w:r>
      <w:r w:rsidR="001563E1">
        <w:rPr>
          <w:rStyle w:val="FootnoteReference"/>
        </w:rPr>
        <w:footnoteReference w:id="601"/>
      </w:r>
    </w:p>
    <w:p w:rsidR="002B376E" w:rsidRPr="002B376E" w:rsidRDefault="001563E1" w:rsidP="002B376E">
      <w:r>
        <w:t>L</w:t>
      </w:r>
      <w:r w:rsidR="002B376E" w:rsidRPr="002B376E">
        <w:t xml:space="preserve">ike the previous visions, </w:t>
      </w:r>
      <w:r>
        <w:t xml:space="preserve">Dan 10–12 </w:t>
      </w:r>
      <w:r w:rsidR="002B376E" w:rsidRPr="002B376E">
        <w:t xml:space="preserve">is also shaped by earlier </w:t>
      </w:r>
      <w:r>
        <w:t>s</w:t>
      </w:r>
      <w:r w:rsidR="002B376E" w:rsidRPr="002B376E">
        <w:t>cripture</w:t>
      </w:r>
      <w:r>
        <w:t>s; it is in part</w:t>
      </w:r>
      <w:r w:rsidR="002B376E" w:rsidRPr="002B376E">
        <w:t xml:space="preserve"> another situational midrash. Clearest influence in chap. 10 is exercised by the accounts of God’s appearing in Ezek 1–3; 9–10:</w:t>
      </w:r>
      <w:r w:rsidR="00985B92">
        <w:rPr>
          <w:rStyle w:val="FootnoteReference"/>
        </w:rPr>
        <w:footnoteReference w:id="602"/>
      </w:r>
      <w:r w:rsidR="002B376E" w:rsidRPr="002B376E">
        <w:t xml:space="preserve"> the detailed chronological reference, the river setting, the man dressed in linen, each detail of his description (v 6), Daniel’s reaction (v 9), the man’s response (vv 10–11), </w:t>
      </w:r>
      <w:r>
        <w:t xml:space="preserve">and </w:t>
      </w:r>
      <w:r w:rsidR="002B376E" w:rsidRPr="002B376E">
        <w:t>the one of human appearance (</w:t>
      </w:r>
      <w:r w:rsidR="002B376E" w:rsidRPr="002B376E">
        <w:rPr>
          <w:rFonts w:ascii="Arial" w:hAnsi="Arial" w:cs="Arial"/>
        </w:rPr>
        <w:t>דמות</w:t>
      </w:r>
      <w:r w:rsidR="002B376E" w:rsidRPr="002B376E">
        <w:t xml:space="preserve">, v 16). Behind </w:t>
      </w:r>
      <w:r w:rsidR="003D7C69">
        <w:t>Ezekiel’s description of his receiving</w:t>
      </w:r>
      <w:r>
        <w:t xml:space="preserve"> his vision is </w:t>
      </w:r>
      <w:r w:rsidR="002B376E" w:rsidRPr="002B376E">
        <w:t xml:space="preserve">a long tradition </w:t>
      </w:r>
      <w:r w:rsidR="002B376E" w:rsidRPr="002B376E">
        <w:lastRenderedPageBreak/>
        <w:t>concerning the seeking and recei</w:t>
      </w:r>
      <w:r>
        <w:t>ving of oracles, going back to Mari</w:t>
      </w:r>
      <w:r w:rsidR="002B376E" w:rsidRPr="002B376E">
        <w:t>.</w:t>
      </w:r>
      <w:r>
        <w:rPr>
          <w:rStyle w:val="FootnoteReference"/>
        </w:rPr>
        <w:footnoteReference w:id="603"/>
      </w:r>
      <w:r w:rsidR="002B376E" w:rsidRPr="002B376E">
        <w:t xml:space="preserve"> The address of the supernatural being as “my lord” corresponds t</w:t>
      </w:r>
      <w:r w:rsidR="00211BB5">
        <w:t>o Zech 1:9; 4:4, 5, 13; 6:4; his</w:t>
      </w:r>
      <w:r w:rsidR="002B376E" w:rsidRPr="002B376E">
        <w:t xml:space="preserve"> rhetorical question in v 20 also compares </w:t>
      </w:r>
      <w:r w:rsidR="003D7C69">
        <w:t>with such questions in Zech 1–6,</w:t>
      </w:r>
      <w:r w:rsidR="002B376E" w:rsidRPr="002B376E">
        <w:t xml:space="preserve"> </w:t>
      </w:r>
      <w:r w:rsidR="00211BB5">
        <w:t xml:space="preserve">and </w:t>
      </w:r>
      <w:r w:rsidR="002B376E" w:rsidRPr="002B376E">
        <w:t>his touching Daniel corresponds to Jer 1 and Isa 6, though with different significance. For v 14, cf. Gen 49:1.</w:t>
      </w:r>
    </w:p>
    <w:p w:rsidR="002B376E" w:rsidRPr="002B376E" w:rsidRDefault="004F74A8" w:rsidP="002B376E">
      <w:r>
        <w:t>Some key words in</w:t>
      </w:r>
      <w:r w:rsidR="002B376E" w:rsidRPr="002B376E">
        <w:t xml:space="preserve"> Dan 11 parallel the warning of Jerusalem’</w:t>
      </w:r>
      <w:r w:rsidR="003D7C69">
        <w:t>s destruction in Ezek 7:19–27: t</w:t>
      </w:r>
      <w:r w:rsidR="002B376E" w:rsidRPr="002B376E">
        <w:t>he temple as the fairest (v 16) will be attacked by violators (v 14); people who seek a vision (v 14) will fall over (</w:t>
      </w:r>
      <w:r w:rsidR="002B376E" w:rsidRPr="002B376E">
        <w:rPr>
          <w:rFonts w:ascii="Arial" w:hAnsi="Arial" w:cs="Arial"/>
        </w:rPr>
        <w:t>כשל</w:t>
      </w:r>
      <w:r w:rsidR="002B376E" w:rsidRPr="002B376E">
        <w:t>, v 14) the stumbling block (</w:t>
      </w:r>
      <w:r w:rsidR="002B376E" w:rsidRPr="002B376E">
        <w:rPr>
          <w:rFonts w:ascii="Arial" w:hAnsi="Arial" w:cs="Arial"/>
        </w:rPr>
        <w:t>מכשל</w:t>
      </w:r>
      <w:r w:rsidR="002B376E" w:rsidRPr="002B376E">
        <w:t xml:space="preserve">) of their iniquity; the sanctuary/strong[hold] will be desecrated by abominations and made a desolation (v 31); people </w:t>
      </w:r>
      <w:r w:rsidR="003D7C69">
        <w:t xml:space="preserve">will </w:t>
      </w:r>
      <w:r w:rsidR="002B376E" w:rsidRPr="002B376E">
        <w:t xml:space="preserve">hear reports that alarm them (v 44). More generally, the vision </w:t>
      </w:r>
      <w:r w:rsidR="00211BB5">
        <w:t xml:space="preserve">takes up aspects of </w:t>
      </w:r>
      <w:r w:rsidR="003D7C69">
        <w:t>Isaiah that</w:t>
      </w:r>
      <w:r w:rsidR="002B376E" w:rsidRPr="002B376E">
        <w:t xml:space="preserve"> m</w:t>
      </w:r>
      <w:r w:rsidR="00211BB5">
        <w:t>ay have seemed enigmatic</w:t>
      </w:r>
      <w:r w:rsidR="003D7C69">
        <w:t>:</w:t>
      </w:r>
      <w:r w:rsidR="00211BB5">
        <w:t xml:space="preserve"> in </w:t>
      </w:r>
      <w:r w:rsidR="003D7C69">
        <w:t>light of events,</w:t>
      </w:r>
      <w:r w:rsidR="002B376E" w:rsidRPr="002B376E">
        <w:t xml:space="preserve"> the seer seeks, receives, and relates illumination on what these texts now sign</w:t>
      </w:r>
      <w:r w:rsidR="002F0D0E">
        <w:t xml:space="preserve">ify. Thus he begins in 10:1 with allusions to Isa 40:1–11 with its </w:t>
      </w:r>
      <w:r w:rsidR="002B376E" w:rsidRPr="002B376E">
        <w:t>references to conflict/servitude (</w:t>
      </w:r>
      <w:r w:rsidR="002B376E" w:rsidRPr="002B376E">
        <w:rPr>
          <w:rFonts w:ascii="Arial" w:hAnsi="Arial" w:cs="Arial"/>
        </w:rPr>
        <w:t>צבא</w:t>
      </w:r>
      <w:r w:rsidR="002B376E" w:rsidRPr="002B376E">
        <w:t>, v 2), to the reliability of God’s message (v 8), and to some</w:t>
      </w:r>
      <w:r w:rsidR="00211BB5">
        <w:t xml:space="preserve">thing being revealed (v 5); </w:t>
      </w:r>
      <w:r w:rsidR="002F0D0E">
        <w:t>for</w:t>
      </w:r>
      <w:r w:rsidR="002B376E" w:rsidRPr="002B376E">
        <w:t xml:space="preserve"> the vision’s setting in the re</w:t>
      </w:r>
      <w:r w:rsidR="00211BB5">
        <w:t>ign of Cyrus, compare Isa 45:1</w:t>
      </w:r>
      <w:r w:rsidR="002B376E" w:rsidRPr="002B376E">
        <w:t>.</w:t>
      </w:r>
      <w:r w:rsidR="00211BB5">
        <w:rPr>
          <w:rStyle w:val="FootnoteReference"/>
        </w:rPr>
        <w:footnoteReference w:id="604"/>
      </w:r>
      <w:r w:rsidR="00211BB5">
        <w:t xml:space="preserve"> T</w:t>
      </w:r>
      <w:r w:rsidR="002B376E" w:rsidRPr="002B376E">
        <w:t>he bo</w:t>
      </w:r>
      <w:r w:rsidR="00211BB5">
        <w:t xml:space="preserve">dy of the revelation reflects </w:t>
      </w:r>
      <w:r w:rsidR="002B376E" w:rsidRPr="002B376E">
        <w:t>the influence of earlier passages from Isaiah concerning the Assyrians, upon which Dan 11 is an actualizing commentary in the m</w:t>
      </w:r>
      <w:r w:rsidR="00211BB5">
        <w:t>anner of the Qumran literature</w:t>
      </w:r>
      <w:r w:rsidR="002B376E" w:rsidRPr="002B376E">
        <w:t>.</w:t>
      </w:r>
      <w:r w:rsidR="00211BB5">
        <w:rPr>
          <w:rStyle w:val="FootnoteReference"/>
        </w:rPr>
        <w:footnoteReference w:id="605"/>
      </w:r>
      <w:r w:rsidR="002B376E" w:rsidRPr="002B376E">
        <w:t xml:space="preserve"> Allusions to armies flooding through the land </w:t>
      </w:r>
      <w:r w:rsidR="00ED23EB">
        <w:t xml:space="preserve">and to many stumbling and falling </w:t>
      </w:r>
      <w:r w:rsidR="002B376E" w:rsidRPr="002B376E">
        <w:t xml:space="preserve">(vv 10, </w:t>
      </w:r>
      <w:r w:rsidR="00ED23EB">
        <w:t xml:space="preserve">18-19, </w:t>
      </w:r>
      <w:r w:rsidR="002B376E" w:rsidRPr="002B376E">
        <w:t xml:space="preserve">22, 26, </w:t>
      </w:r>
      <w:r w:rsidR="00ED23EB">
        <w:t xml:space="preserve">33-35, </w:t>
      </w:r>
      <w:r w:rsidR="002B376E" w:rsidRPr="002B376E">
        <w:t>40) recall Isa 8:7–8</w:t>
      </w:r>
      <w:r w:rsidR="00ED23EB">
        <w:t>, 14-15</w:t>
      </w:r>
      <w:r w:rsidR="002B376E" w:rsidRPr="002B376E">
        <w:t xml:space="preserve">. The characterization of </w:t>
      </w:r>
      <w:r w:rsidR="00ED23EB">
        <w:t>the last northern king (vv 36–39</w:t>
      </w:r>
      <w:r w:rsidR="002B376E" w:rsidRPr="002B376E">
        <w:t xml:space="preserve">) recalls that of the Assyrians in Isa 10, especially vv 5–6, 12, 15 (cf. </w:t>
      </w:r>
      <w:r w:rsidR="00ED23EB">
        <w:t xml:space="preserve">14:12-15; </w:t>
      </w:r>
      <w:r w:rsidR="002B376E" w:rsidRPr="002B376E">
        <w:t>33:10),</w:t>
      </w:r>
      <w:r w:rsidR="00D44B1C">
        <w:rPr>
          <w:rStyle w:val="FootnoteReference"/>
        </w:rPr>
        <w:footnoteReference w:id="606"/>
      </w:r>
      <w:r w:rsidR="002B376E" w:rsidRPr="002B376E">
        <w:t xml:space="preserve"> while the desolations that are determined</w:t>
      </w:r>
      <w:r w:rsidR="00ED23EB">
        <w:t xml:space="preserve"> (v 36) reflect Isa 10:22–26</w:t>
      </w:r>
      <w:r w:rsidR="002B376E" w:rsidRPr="002B376E">
        <w:t xml:space="preserve"> (cf. 28:22). See also </w:t>
      </w:r>
      <w:r w:rsidR="00ED23EB">
        <w:t xml:space="preserve">Isa 7:5-7 (cf. </w:t>
      </w:r>
      <w:r w:rsidR="000D1837">
        <w:t>v</w:t>
      </w:r>
      <w:r w:rsidR="00ED23EB">
        <w:t xml:space="preserve"> 17), </w:t>
      </w:r>
      <w:r w:rsidR="002B376E" w:rsidRPr="002B376E">
        <w:t>17:12 (cf. v 10), 30:18 (cf. 12:12); 34:17 (cf. 11:39; 12:13). Phrases from servant passages in Isa 40–55 appear at several points. Clearest are allusions to Isa 52:13–53:12</w:t>
      </w:r>
      <w:r w:rsidR="002F0D0E">
        <w:t xml:space="preserve"> in 12:1–4: the role of the discerning</w:t>
      </w:r>
      <w:r w:rsidR="002B376E" w:rsidRPr="002B376E">
        <w:t xml:space="preserve"> (</w:t>
      </w:r>
      <w:r w:rsidR="002B376E" w:rsidRPr="002B376E">
        <w:rPr>
          <w:rFonts w:ascii="Arial" w:hAnsi="Arial" w:cs="Arial"/>
        </w:rPr>
        <w:t>משכילים</w:t>
      </w:r>
      <w:r w:rsidR="002B376E" w:rsidRPr="002B376E">
        <w:t xml:space="preserve">, cf. Isa 52:13 </w:t>
      </w:r>
      <w:r w:rsidR="002B376E" w:rsidRPr="002B376E">
        <w:rPr>
          <w:rFonts w:ascii="Arial" w:hAnsi="Arial" w:cs="Arial"/>
        </w:rPr>
        <w:t>ישכיל</w:t>
      </w:r>
      <w:r w:rsidR="002B376E" w:rsidRPr="002B376E">
        <w:t>); their setting the multitude right (cf. 53:11); also perhaps their shining like stars (cf. 53:11 1QIsa</w:t>
      </w:r>
      <w:r w:rsidR="002B376E" w:rsidRPr="00F74F65">
        <w:rPr>
          <w:vertAlign w:val="superscript"/>
        </w:rPr>
        <w:t>a</w:t>
      </w:r>
      <w:r w:rsidR="002B376E" w:rsidRPr="002B376E">
        <w:t>);</w:t>
      </w:r>
      <w:r w:rsidR="00F74F65">
        <w:rPr>
          <w:rStyle w:val="FootnoteReference"/>
        </w:rPr>
        <w:footnoteReference w:id="607"/>
      </w:r>
      <w:r w:rsidR="002B376E" w:rsidRPr="002B376E">
        <w:t xml:space="preserve"> and the increase in </w:t>
      </w:r>
      <w:r w:rsidR="002B376E" w:rsidRPr="002B376E">
        <w:rPr>
          <w:rFonts w:ascii="Arial" w:hAnsi="Arial" w:cs="Arial"/>
        </w:rPr>
        <w:t>דעת</w:t>
      </w:r>
      <w:r w:rsidR="002B376E" w:rsidRPr="002B376E">
        <w:t xml:space="preserve"> (“suffering”</w:t>
      </w:r>
      <w:r w:rsidR="00F74F65">
        <w:t xml:space="preserve"> [see n. 12:4.b], cf. Isa 53:11</w:t>
      </w:r>
      <w:r w:rsidR="002B376E" w:rsidRPr="002B376E">
        <w:t>).</w:t>
      </w:r>
      <w:r w:rsidR="00F74F65">
        <w:rPr>
          <w:rStyle w:val="FootnoteReference"/>
        </w:rPr>
        <w:footnoteReference w:id="608"/>
      </w:r>
      <w:r w:rsidR="002B376E" w:rsidRPr="002B376E">
        <w:t xml:space="preserve"> See also 10:8, the seer’s face being disfigured (</w:t>
      </w:r>
      <w:r w:rsidR="002B376E" w:rsidRPr="002B376E">
        <w:rPr>
          <w:rFonts w:ascii="Arial" w:hAnsi="Arial" w:cs="Arial"/>
        </w:rPr>
        <w:t>משחית</w:t>
      </w:r>
      <w:r w:rsidR="002B376E" w:rsidRPr="002B376E">
        <w:t>, cf. Isa 52:14); 11:12 (</w:t>
      </w:r>
      <w:r w:rsidR="002B376E" w:rsidRPr="002B376E">
        <w:rPr>
          <w:rFonts w:ascii="Arial" w:hAnsi="Arial" w:cs="Arial"/>
        </w:rPr>
        <w:t>נשא</w:t>
      </w:r>
      <w:r w:rsidR="002B376E" w:rsidRPr="002B376E">
        <w:t xml:space="preserve"> and </w:t>
      </w:r>
      <w:r w:rsidR="002B376E" w:rsidRPr="002B376E">
        <w:rPr>
          <w:rFonts w:ascii="Arial" w:hAnsi="Arial" w:cs="Arial"/>
        </w:rPr>
        <w:t>ירום</w:t>
      </w:r>
      <w:r w:rsidR="002B376E" w:rsidRPr="002B376E">
        <w:t xml:space="preserve">, cf. Isa 52:13); and 11:22, 28, 30, 32 for the use of “covenant” to refer </w:t>
      </w:r>
      <w:r w:rsidR="00F74F65">
        <w:t>to people (cf. Isa 42:6; 49:8)</w:t>
      </w:r>
      <w:r w:rsidR="002B376E" w:rsidRPr="002B376E">
        <w:t>.</w:t>
      </w:r>
      <w:r w:rsidR="00F74F65">
        <w:rPr>
          <w:rStyle w:val="FootnoteReference"/>
        </w:rPr>
        <w:footnoteReference w:id="609"/>
      </w:r>
    </w:p>
    <w:p w:rsidR="002F0D0E" w:rsidRDefault="002F0D0E" w:rsidP="002B376E">
      <w:r>
        <w:t>From other passages in</w:t>
      </w:r>
      <w:r w:rsidR="002B376E" w:rsidRPr="002B376E">
        <w:t xml:space="preserve"> </w:t>
      </w:r>
      <w:r w:rsidR="00F74F65">
        <w:t>the prophets an</w:t>
      </w:r>
      <w:r>
        <w:t>d elsewhere, 11:20 contrasts with Zech 9:8, and</w:t>
      </w:r>
      <w:r w:rsidR="002B376E" w:rsidRPr="002B376E">
        <w:t xml:space="preserve"> 11:21 with 1 Chr 29:25. The end awaiting its time (10:14; 11:27, 35; cf. 8:17) takes up </w:t>
      </w:r>
      <w:r>
        <w:t>Hab 2:3. The ships from Kittim</w:t>
      </w:r>
      <w:r w:rsidR="002B376E" w:rsidRPr="002B376E">
        <w:t xml:space="preserve"> (11:30) are those of the prophecy in Num 24:24. The account of the last northern king’s end (11:40–45) is shaped as a whole as well as in specific detail by the OT tradition of the attack of a gentile foe who is defeated and killed near the gates of Jerusalem (e.g., Pss 2; 46; 48; 76), a tradition already reworked in prophetic passages such as Isa 10; 14:24–25; 31; </w:t>
      </w:r>
      <w:r w:rsidR="00F74F65">
        <w:t>Ezek 38–39; Joel 2:20; Zech 14</w:t>
      </w:r>
      <w:r w:rsidR="002B376E" w:rsidRPr="002B376E">
        <w:t>,</w:t>
      </w:r>
      <w:r w:rsidR="00F74F65">
        <w:rPr>
          <w:rStyle w:val="FootnoteReference"/>
        </w:rPr>
        <w:footnoteReference w:id="610"/>
      </w:r>
      <w:r w:rsidR="002B376E" w:rsidRPr="002B376E">
        <w:t xml:space="preserve"> as well as by the prophetic portrayals of judgment on Egypt (Isa 19; Jer 43:8–13; 46; Ezek 29–32; and for the Libyans and Sudanese, e.g., Nah 3:9, but also Ezek 30:5 [see BHS]). </w:t>
      </w:r>
    </w:p>
    <w:p w:rsidR="0002094C" w:rsidRPr="002B376E" w:rsidRDefault="002B376E" w:rsidP="002B376E">
      <w:r w:rsidRPr="002B376E">
        <w:t>In chap. 12, the time of trouble (v 1) recalls Jer 30:7. The awakening</w:t>
      </w:r>
      <w:r w:rsidR="002F0D0E">
        <w:t xml:space="preserve"> of some who sleep in the dirt</w:t>
      </w:r>
      <w:r w:rsidRPr="002B376E">
        <w:t xml:space="preserve"> and the consigning of some to abhorrence (v 2) combines phrases from Isa 26:19 and 66:24; Isa 26:17–21 also includes the ideas of an experience of trouble and o</w:t>
      </w:r>
      <w:r w:rsidR="00F74F65">
        <w:t>f the punishment of the wicked.</w:t>
      </w:r>
      <w:r w:rsidR="00F74F65">
        <w:rPr>
          <w:rStyle w:val="FootnoteReference"/>
        </w:rPr>
        <w:footnoteReference w:id="611"/>
      </w:r>
      <w:r w:rsidRPr="002B376E">
        <w:t xml:space="preserve"> </w:t>
      </w:r>
      <w:r w:rsidRPr="002B376E">
        <w:lastRenderedPageBreak/>
        <w:t>The hurrying to and fro during the time that God’s words are hidden (v 4) takes up Amos 8:12.</w:t>
      </w:r>
      <w:r w:rsidR="002F0D0E">
        <w:t xml:space="preserve"> </w:t>
      </w:r>
      <w:r w:rsidR="0002094C">
        <w:t>Expressions and ideas in 12:1-2 take up Gen 3 and other passages that talk about lasting death and lasting life.</w:t>
      </w:r>
      <w:r w:rsidR="0002094C">
        <w:rPr>
          <w:rStyle w:val="FootnoteReference"/>
        </w:rPr>
        <w:footnoteReference w:id="612"/>
      </w:r>
    </w:p>
    <w:p w:rsidR="002B376E" w:rsidRPr="002B376E" w:rsidRDefault="002B376E" w:rsidP="002B376E">
      <w:r w:rsidRPr="002B376E">
        <w:t>Dan 10–12 is situational midrash r</w:t>
      </w:r>
      <w:r w:rsidR="00F74F65">
        <w:t xml:space="preserve">ather than expository midrash; its starting point is </w:t>
      </w:r>
      <w:r w:rsidR="002F0D0E">
        <w:t>question</w:t>
      </w:r>
      <w:r w:rsidRPr="002B376E">
        <w:t>s raised by present experience, which the interprete</w:t>
      </w:r>
      <w:r w:rsidR="00F74F65">
        <w:t>r seeks to address by means of the s</w:t>
      </w:r>
      <w:r w:rsidRPr="002B376E">
        <w:t>cripture</w:t>
      </w:r>
      <w:r w:rsidR="00F74F65">
        <w:t>s</w:t>
      </w:r>
      <w:r w:rsidRPr="002B376E">
        <w:t xml:space="preserve">, </w:t>
      </w:r>
      <w:r w:rsidR="00F74F65">
        <w:t xml:space="preserve">rather </w:t>
      </w:r>
      <w:r w:rsidR="002F0D0E">
        <w:t>than questions raised by studying</w:t>
      </w:r>
      <w:r w:rsidRPr="002B376E">
        <w:t xml:space="preserve"> the text in its own right. Or perhaps we may say that it </w:t>
      </w:r>
      <w:r w:rsidR="00F74F65">
        <w:t>re</w:t>
      </w:r>
      <w:r w:rsidRPr="002B376E">
        <w:t>solves one problem, the apparent meaninglessness of present history, by first bringing to the surface a sec</w:t>
      </w:r>
      <w:r w:rsidR="002F0D0E">
        <w:t>ond, the enigmas of ancient prophecy, and</w:t>
      </w:r>
      <w:r w:rsidR="00F74F65">
        <w:t xml:space="preserve"> solves both problems by setting them </w:t>
      </w:r>
      <w:r w:rsidRPr="002B376E">
        <w:t>along</w:t>
      </w:r>
      <w:r w:rsidR="002F0D0E">
        <w:t>side each other. The seer</w:t>
      </w:r>
      <w:r w:rsidRPr="002B376E">
        <w:t xml:space="preserve"> promises that the ancient word is to be fulfilled</w:t>
      </w:r>
      <w:r w:rsidR="002F0D0E">
        <w:t xml:space="preserve"> or filled out</w:t>
      </w:r>
      <w:r w:rsidRPr="002B376E">
        <w:t xml:space="preserve"> in a way that will restore mea</w:t>
      </w:r>
      <w:r w:rsidR="00F74F65">
        <w:t>ning to present experience. The anthologizing of the s</w:t>
      </w:r>
      <w:r w:rsidRPr="002B376E">
        <w:t>cripture</w:t>
      </w:r>
      <w:r w:rsidR="00F74F65">
        <w:t>s</w:t>
      </w:r>
      <w:r w:rsidRPr="002B376E">
        <w:t xml:space="preserve"> that has been a feature of chaps. 7–9 becomes central in chaps. 10–12: it enables the seer to develop a systematic interpretation of past,</w:t>
      </w:r>
      <w:r w:rsidR="00F74F65">
        <w:t xml:space="preserve"> present, and future </w:t>
      </w:r>
      <w:r w:rsidR="002F0D0E">
        <w:t>that will help</w:t>
      </w:r>
      <w:r w:rsidR="00F74F65">
        <w:t xml:space="preserve"> his people to live with them</w:t>
      </w:r>
      <w:r w:rsidRPr="002B376E">
        <w:t>.</w:t>
      </w:r>
    </w:p>
    <w:p w:rsidR="008E1F58" w:rsidRDefault="008E1F58" w:rsidP="002B376E">
      <w:r>
        <w:t>T</w:t>
      </w:r>
      <w:r w:rsidR="00124DD1">
        <w:t>he quasi-predictions contribute to</w:t>
      </w:r>
      <w:r w:rsidR="002B376E" w:rsidRPr="002B376E">
        <w:t xml:space="preserve"> this process by int</w:t>
      </w:r>
      <w:r w:rsidR="00124DD1">
        <w:t>erpreting recent history in light of the s</w:t>
      </w:r>
      <w:r w:rsidR="002B376E" w:rsidRPr="002B376E">
        <w:t>cripture</w:t>
      </w:r>
      <w:r>
        <w:t>s. They are not engaged</w:t>
      </w:r>
      <w:r w:rsidR="00124DD1">
        <w:t xml:space="preserve"> in </w:t>
      </w:r>
      <w:r w:rsidR="002B376E" w:rsidRPr="002B376E">
        <w:t>apologetic</w:t>
      </w:r>
      <w:r w:rsidR="00124DD1">
        <w:t xml:space="preserve">s, </w:t>
      </w:r>
      <w:r>
        <w:t xml:space="preserve">in proving something, </w:t>
      </w:r>
      <w:r w:rsidR="00194D92">
        <w:t>but in theological need</w:t>
      </w:r>
      <w:r w:rsidR="002B376E" w:rsidRPr="002B376E">
        <w:t>.</w:t>
      </w:r>
      <w:r w:rsidR="00124DD1">
        <w:rPr>
          <w:rStyle w:val="FootnoteReference"/>
        </w:rPr>
        <w:footnoteReference w:id="613"/>
      </w:r>
      <w:r w:rsidR="00194D92">
        <w:t xml:space="preserve"> Nor must</w:t>
      </w:r>
      <w:r w:rsidR="002B376E" w:rsidRPr="002B376E">
        <w:t xml:space="preserve"> it </w:t>
      </w:r>
      <w:r w:rsidR="00124DD1">
        <w:t xml:space="preserve">be </w:t>
      </w:r>
      <w:r w:rsidR="002B376E" w:rsidRPr="002B376E">
        <w:t>t</w:t>
      </w:r>
      <w:r w:rsidR="00124DD1">
        <w:t>he case t</w:t>
      </w:r>
      <w:r>
        <w:t xml:space="preserve">hat a </w:t>
      </w:r>
      <w:r w:rsidR="00124DD1">
        <w:t>pretended</w:t>
      </w:r>
      <w:r>
        <w:t xml:space="preserve"> </w:t>
      </w:r>
      <w:r w:rsidR="002B376E" w:rsidRPr="002B376E">
        <w:t>ability to predict the future in 11:2–39 gives grounds f</w:t>
      </w:r>
      <w:r w:rsidR="00124DD1">
        <w:t>or believing the actual prediction</w:t>
      </w:r>
      <w:r>
        <w:t>s in 11:40–12:3. R</w:t>
      </w:r>
      <w:r w:rsidR="002B376E" w:rsidRPr="002B376E">
        <w:t>ather</w:t>
      </w:r>
      <w:r>
        <w:t>,</w:t>
      </w:r>
      <w:r w:rsidR="002B376E" w:rsidRPr="002B376E">
        <w:t xml:space="preserve"> the quasi-predictions’ ability to make sense of the past</w:t>
      </w:r>
      <w:r>
        <w:t>,</w:t>
      </w:r>
      <w:r w:rsidR="002B376E" w:rsidRPr="002B376E">
        <w:t xml:space="preserve"> by relating it in the </w:t>
      </w:r>
      <w:r w:rsidR="00124DD1">
        <w:t>light of the s</w:t>
      </w:r>
      <w:r w:rsidR="002B376E" w:rsidRPr="002B376E">
        <w:t>cripture</w:t>
      </w:r>
      <w:r w:rsidR="00124DD1">
        <w:t>s</w:t>
      </w:r>
      <w:r>
        <w:t>,</w:t>
      </w:r>
      <w:r w:rsidR="002B376E" w:rsidRPr="002B376E">
        <w:t xml:space="preserve"> implies grounds </w:t>
      </w:r>
      <w:r w:rsidR="00124DD1">
        <w:t>for trusting the actual prediction</w:t>
      </w:r>
      <w:r w:rsidR="002B376E" w:rsidRPr="002B376E">
        <w:t>s</w:t>
      </w:r>
      <w:r>
        <w:t>’</w:t>
      </w:r>
      <w:r w:rsidR="002B376E" w:rsidRPr="002B376E">
        <w:t xml:space="preserve"> portrait of what the future will bring, </w:t>
      </w:r>
      <w:r>
        <w:t xml:space="preserve">a portrait </w:t>
      </w:r>
      <w:r w:rsidR="002B376E" w:rsidRPr="002B376E">
        <w:t>pa</w:t>
      </w:r>
      <w:r w:rsidR="00124DD1">
        <w:t>inted in the light of the same s</w:t>
      </w:r>
      <w:r w:rsidR="002B376E" w:rsidRPr="002B376E">
        <w:t>cripture</w:t>
      </w:r>
      <w:r w:rsidR="00124DD1">
        <w:t>s</w:t>
      </w:r>
      <w:r w:rsidR="002B376E" w:rsidRPr="002B376E">
        <w:t>. When they speak about the past, they do so on the basis of having historical data and scriptural text as a means of interpretation. When they speak about the future, they</w:t>
      </w:r>
      <w:r>
        <w:t xml:space="preserve"> have only scriptural text. </w:t>
      </w:r>
      <w:r w:rsidRPr="008E1F58">
        <w:t xml:space="preserve">The seer “did not draw a clear-cut line between past and contemporaneous events which already had been realized in accordance with God’s </w:t>
      </w:r>
      <w:r w:rsidRPr="008E1F58">
        <w:rPr>
          <w:i/>
        </w:rPr>
        <w:t>predestined</w:t>
      </w:r>
      <w:r w:rsidRPr="008E1F58">
        <w:t xml:space="preserve"> course of history, and the impending eschatological events predicted by the prophets, whose words were </w:t>
      </w:r>
      <w:r w:rsidRPr="008E1F58">
        <w:rPr>
          <w:i/>
        </w:rPr>
        <w:t xml:space="preserve">iinspired </w:t>
      </w:r>
      <w:r w:rsidRPr="00194D92">
        <w:t>by the same Lord.</w:t>
      </w:r>
      <w:r w:rsidR="00194D92">
        <w:t>”</w:t>
      </w:r>
      <w:r w:rsidRPr="00194D92">
        <w:rPr>
          <w:vertAlign w:val="superscript"/>
        </w:rPr>
        <w:footnoteReference w:id="614"/>
      </w:r>
      <w:r>
        <w:rPr>
          <w:i/>
        </w:rPr>
        <w:t xml:space="preserve"> </w:t>
      </w:r>
      <w:r>
        <w:t>The seer</w:t>
      </w:r>
      <w:r w:rsidR="00124DD1">
        <w:t xml:space="preserve"> </w:t>
      </w:r>
      <w:r>
        <w:t>is</w:t>
      </w:r>
      <w:r w:rsidR="002B376E" w:rsidRPr="002B376E">
        <w:t xml:space="preserve"> </w:t>
      </w:r>
      <w:r>
        <w:t xml:space="preserve">then </w:t>
      </w:r>
      <w:r w:rsidR="002B376E" w:rsidRPr="002B376E">
        <w:t>providing an imaginary scenario, a possibl</w:t>
      </w:r>
      <w:r>
        <w:t>e embodiment of that text. It</w:t>
      </w:r>
      <w:r w:rsidR="002B376E" w:rsidRPr="002B376E">
        <w:t xml:space="preserve"> is not to be pressed to provide (or be judged by) </w:t>
      </w:r>
      <w:r>
        <w:t xml:space="preserve">literal </w:t>
      </w:r>
      <w:r w:rsidR="002B376E" w:rsidRPr="002B376E">
        <w:t>historical data</w:t>
      </w:r>
      <w:r>
        <w:t>, any more than is the case with the prophets</w:t>
      </w:r>
      <w:r w:rsidR="002B376E" w:rsidRPr="002B376E">
        <w:t>. Its object i</w:t>
      </w:r>
      <w:r w:rsidR="00124DD1">
        <w:t xml:space="preserve">s not to provide </w:t>
      </w:r>
      <w:r>
        <w:t xml:space="preserve">literal </w:t>
      </w:r>
      <w:r w:rsidR="00124DD1">
        <w:t>historical facts</w:t>
      </w:r>
      <w:r w:rsidR="002B376E" w:rsidRPr="002B376E">
        <w:t xml:space="preserve"> but to provide sc</w:t>
      </w:r>
      <w:r w:rsidR="00194D92">
        <w:t>riptural interpretation of the events that will come</w:t>
      </w:r>
      <w:r w:rsidR="002B376E" w:rsidRPr="002B376E">
        <w:t>.</w:t>
      </w:r>
      <w:r>
        <w:t xml:space="preserve"> </w:t>
      </w:r>
      <w:r w:rsidR="00124DD1">
        <w:t>While t</w:t>
      </w:r>
      <w:r w:rsidR="002B376E" w:rsidRPr="002B376E">
        <w:t>he seer implicitly wishes to commend a certain form of behavior, namely, resistance to</w:t>
      </w:r>
      <w:r w:rsidR="00124DD1">
        <w:t xml:space="preserve"> Seleucid/reformist pressures, h</w:t>
      </w:r>
      <w:r w:rsidR="002B376E" w:rsidRPr="002B376E">
        <w:t>is explicit focus</w:t>
      </w:r>
      <w:r w:rsidR="00124DD1">
        <w:t xml:space="preserve"> is cognitive</w:t>
      </w:r>
      <w:r w:rsidR="002B376E" w:rsidRPr="002B376E">
        <w:t>. He aims to provide a way for conservative Jews to unders</w:t>
      </w:r>
      <w:r w:rsidR="00124DD1">
        <w:t xml:space="preserve">tand their present experience, by looking at it in </w:t>
      </w:r>
      <w:r>
        <w:t>light of some</w:t>
      </w:r>
      <w:r w:rsidR="002B376E" w:rsidRPr="002B376E">
        <w:t xml:space="preserve"> scriptural texts. </w:t>
      </w:r>
    </w:p>
    <w:p w:rsidR="002B376E" w:rsidRPr="002B376E" w:rsidRDefault="002B376E" w:rsidP="002B376E">
      <w:r w:rsidRPr="002B376E">
        <w:t xml:space="preserve">The supernatural being provides this </w:t>
      </w:r>
      <w:r w:rsidR="00124DD1">
        <w:t xml:space="preserve">understanding </w:t>
      </w:r>
      <w:r w:rsidRPr="002B376E">
        <w:t>for the seer (10:1, 14); the “discerning” provide it for the multitude (11:33).</w:t>
      </w:r>
      <w:r w:rsidR="008E1F58">
        <w:t xml:space="preserve"> While a</w:t>
      </w:r>
      <w:r w:rsidRPr="002B376E">
        <w:t xml:space="preserve">spects of </w:t>
      </w:r>
      <w:r w:rsidR="008E1F58">
        <w:t xml:space="preserve">his and </w:t>
      </w:r>
      <w:r w:rsidRPr="002B376E">
        <w:t>the</w:t>
      </w:r>
      <w:r w:rsidR="008E1F58">
        <w:t xml:space="preserve">ir ideas </w:t>
      </w:r>
      <w:r w:rsidR="00124DD1">
        <w:t xml:space="preserve">may </w:t>
      </w:r>
      <w:r w:rsidR="008E1F58">
        <w:t xml:space="preserve">have a Persian background, </w:t>
      </w:r>
      <w:r w:rsidR="00124DD1">
        <w:t>there are no clear pointers in</w:t>
      </w:r>
      <w:r w:rsidRPr="002B376E">
        <w:t xml:space="preserve"> this</w:t>
      </w:r>
      <w:r w:rsidR="00124DD1">
        <w:t xml:space="preserve"> direction</w:t>
      </w:r>
      <w:r w:rsidRPr="002B376E">
        <w:t xml:space="preserve">. </w:t>
      </w:r>
      <w:r w:rsidR="00176DCD">
        <w:t>At Qumran, t</w:t>
      </w:r>
      <w:r w:rsidR="00D561D3" w:rsidRPr="00D561D3">
        <w:t>he dualism of light and darkness, Michael and Belial</w:t>
      </w:r>
      <w:r w:rsidR="00176DCD">
        <w:t>,</w:t>
      </w:r>
      <w:r w:rsidR="00D561D3" w:rsidRPr="00D561D3">
        <w:t xml:space="preserve"> represents a way of thinking that </w:t>
      </w:r>
      <w:r w:rsidR="00C922A7">
        <w:t>might more plausibly be thought</w:t>
      </w:r>
      <w:r w:rsidR="00D561D3" w:rsidRPr="00D561D3">
        <w:t xml:space="preserve"> to </w:t>
      </w:r>
      <w:r w:rsidR="00C922A7">
        <w:t>indicate Persian influence</w:t>
      </w:r>
      <w:r w:rsidR="00D561D3" w:rsidRPr="00D561D3">
        <w:t>.</w:t>
      </w:r>
      <w:r w:rsidR="00D561D3" w:rsidRPr="00D561D3">
        <w:rPr>
          <w:vertAlign w:val="superscript"/>
        </w:rPr>
        <w:footnoteReference w:id="615"/>
      </w:r>
      <w:r w:rsidR="00D561D3">
        <w:t xml:space="preserve"> </w:t>
      </w:r>
      <w:r w:rsidR="00124DD1">
        <w:t>T</w:t>
      </w:r>
      <w:r w:rsidRPr="002B376E">
        <w:t xml:space="preserve">here is </w:t>
      </w:r>
      <w:r w:rsidR="00124DD1">
        <w:t xml:space="preserve">apparently </w:t>
      </w:r>
      <w:r w:rsidRPr="002B376E">
        <w:t>no Persian equivalent to the idea of heavenly beings identified with particular peoples,</w:t>
      </w:r>
      <w:r w:rsidR="00124DD1">
        <w:rPr>
          <w:rStyle w:val="FootnoteReference"/>
        </w:rPr>
        <w:footnoteReference w:id="616"/>
      </w:r>
      <w:r w:rsidRPr="002B376E">
        <w:t xml:space="preserve"> which is more likely a development of OT ideas (e.g., Deut 32:8</w:t>
      </w:r>
      <w:r w:rsidR="00CF1FF8">
        <w:t xml:space="preserve"> </w:t>
      </w:r>
      <w:r w:rsidR="00CF1FF8" w:rsidRPr="00CF1FF8">
        <w:t>4QDeut, LXX</w:t>
      </w:r>
      <w:r w:rsidRPr="002B376E">
        <w:t>). The picture of the celestial beings’ activities</w:t>
      </w:r>
      <w:r w:rsidR="008E1F58">
        <w:t xml:space="preserve"> in 10:13; 10:20–11:1, and </w:t>
      </w:r>
      <w:r w:rsidRPr="002B376E">
        <w:t xml:space="preserve">of the discerning </w:t>
      </w:r>
      <w:r w:rsidR="00124DD1">
        <w:t>who join</w:t>
      </w:r>
      <w:r w:rsidRPr="002B376E">
        <w:t xml:space="preserve"> them in 12:1–3, provides crucial insight on the “metaphysical back</w:t>
      </w:r>
      <w:r w:rsidR="00D561D3">
        <w:t>drop” to current events.</w:t>
      </w:r>
      <w:r w:rsidR="00124DD1">
        <w:rPr>
          <w:rStyle w:val="FootnoteReference"/>
        </w:rPr>
        <w:footnoteReference w:id="617"/>
      </w:r>
      <w:r w:rsidR="00D561D3">
        <w:t xml:space="preserve"> The picture</w:t>
      </w:r>
      <w:r w:rsidRPr="002B376E">
        <w:t xml:space="preserve"> likely reflects visionary experience of the kind chaps. 10–12 testify to, building on scriptural reflection. The </w:t>
      </w:r>
      <w:r w:rsidRPr="002B376E">
        <w:lastRenderedPageBreak/>
        <w:t>promise of resurrection in chap. 12 conflates the prophetic eschatological hope and its stress on the realization of God’s sovereignty in relation to Israel as a whole with the concern for the destiny of the individual characteristic of the wisdom tradition and the Psalms.</w:t>
      </w:r>
      <w:r w:rsidR="00A14A6D">
        <w:rPr>
          <w:rStyle w:val="FootnoteReference"/>
        </w:rPr>
        <w:footnoteReference w:id="618"/>
      </w:r>
      <w:r w:rsidRPr="002B376E">
        <w:t xml:space="preserve"> It does not require an explanation in terms of Persian influence.</w:t>
      </w:r>
      <w:r w:rsidR="00A14A6D">
        <w:rPr>
          <w:rStyle w:val="FootnoteReference"/>
        </w:rPr>
        <w:footnoteReference w:id="619"/>
      </w:r>
      <w:r w:rsidRPr="002B376E">
        <w:t xml:space="preserve"> If extra-</w:t>
      </w:r>
      <w:r w:rsidR="00A14A6D">
        <w:t>Israelite traditions appear</w:t>
      </w:r>
      <w:r w:rsidRPr="002B376E">
        <w:t>, they are old Canaanite ideas about human life being subsumed into the life of th</w:t>
      </w:r>
      <w:r w:rsidR="00A14A6D">
        <w:t>e celestial world</w:t>
      </w:r>
      <w:r w:rsidRPr="002B376E">
        <w:t>.</w:t>
      </w:r>
      <w:r w:rsidR="00A14A6D">
        <w:rPr>
          <w:rStyle w:val="FootnoteReference"/>
        </w:rPr>
        <w:footnoteReference w:id="620"/>
      </w:r>
      <w:r w:rsidRPr="002B376E">
        <w:t xml:space="preserve"> The evidence for Egyptian background</w:t>
      </w:r>
      <w:r w:rsidR="00A14A6D">
        <w:t xml:space="preserve"> for the portrait of Antiochus</w:t>
      </w:r>
      <w:r w:rsidR="00A14A6D">
        <w:rPr>
          <w:rStyle w:val="FootnoteReference"/>
        </w:rPr>
        <w:footnoteReference w:id="621"/>
      </w:r>
      <w:r w:rsidR="00A14A6D">
        <w:t xml:space="preserve"> </w:t>
      </w:r>
      <w:r w:rsidRPr="002B376E">
        <w:t>is rather circumstantial.</w:t>
      </w:r>
    </w:p>
    <w:p w:rsidR="002B376E" w:rsidRPr="002B376E" w:rsidRDefault="002B376E" w:rsidP="002B376E">
      <w:pPr>
        <w:pStyle w:val="Heading3"/>
      </w:pPr>
      <w:r w:rsidRPr="002B376E">
        <w:t>Structure</w:t>
      </w:r>
    </w:p>
    <w:p w:rsidR="002B376E" w:rsidRDefault="002B376E" w:rsidP="002B376E"/>
    <w:p w:rsidR="008E250B" w:rsidRDefault="00A063CE" w:rsidP="002B376E">
      <w:r w:rsidRPr="00A063CE">
        <w:t>MT divides the section as 10:1-3; 10:4-45; 11:1—12:3; and 12:4-13</w:t>
      </w:r>
      <w:r>
        <w:t>, possibly a slightly more illuminating understanding than that of t</w:t>
      </w:r>
      <w:r w:rsidR="008E250B">
        <w:t>he medieval chapter division</w:t>
      </w:r>
      <w:r w:rsidR="00D561D3">
        <w:t>s</w:t>
      </w:r>
      <w:r w:rsidR="008E250B">
        <w:t xml:space="preserve"> </w:t>
      </w:r>
      <w:r>
        <w:t>in printed English and Hebrew Bibles. I understand</w:t>
      </w:r>
      <w:r w:rsidR="00D561D3">
        <w:t xml:space="preserve"> the structure of the section</w:t>
      </w:r>
      <w:r w:rsidR="008E250B">
        <w:t xml:space="preserve"> approximately as follow</w:t>
      </w:r>
      <w:r w:rsidR="00D561D3">
        <w:t>s</w:t>
      </w:r>
      <w:r w:rsidR="008E250B">
        <w:t>.</w:t>
      </w:r>
    </w:p>
    <w:p w:rsidR="008E250B" w:rsidRDefault="008E250B" w:rsidP="002B376E"/>
    <w:p w:rsidR="002B376E" w:rsidRPr="002B376E" w:rsidRDefault="002B376E" w:rsidP="002B376E">
      <w:r w:rsidRPr="002B376E">
        <w:t>10:1 Narrative introduction and summary</w:t>
      </w:r>
    </w:p>
    <w:p w:rsidR="002B376E" w:rsidRPr="002B376E" w:rsidRDefault="002B376E" w:rsidP="002B376E">
      <w:r w:rsidRPr="002B376E">
        <w:t>10:2–19 Opening appearance of supernatural beings</w:t>
      </w:r>
    </w:p>
    <w:p w:rsidR="002B376E" w:rsidRPr="002B376E" w:rsidRDefault="009C0DAE" w:rsidP="002B376E">
      <w:r>
        <w:tab/>
      </w:r>
      <w:r w:rsidR="002B376E" w:rsidRPr="002B376E">
        <w:t>2–3 Seer’s preparation</w:t>
      </w:r>
    </w:p>
    <w:p w:rsidR="002B376E" w:rsidRPr="002B376E" w:rsidRDefault="009C0DAE" w:rsidP="002B376E">
      <w:r>
        <w:tab/>
      </w:r>
      <w:r w:rsidR="002B376E" w:rsidRPr="002B376E">
        <w:t>4–19 Appearing and address of supernatural being</w:t>
      </w:r>
    </w:p>
    <w:p w:rsidR="002B376E" w:rsidRPr="002B376E" w:rsidRDefault="009C0DAE" w:rsidP="002B376E">
      <w:r>
        <w:tab/>
      </w:r>
      <w:r>
        <w:tab/>
      </w:r>
      <w:r w:rsidR="002B376E" w:rsidRPr="002B376E">
        <w:t>4–6 Appearing</w:t>
      </w:r>
    </w:p>
    <w:p w:rsidR="002B376E" w:rsidRPr="002B376E" w:rsidRDefault="009C0DAE" w:rsidP="002B376E">
      <w:r>
        <w:tab/>
      </w:r>
      <w:r>
        <w:tab/>
      </w:r>
      <w:r w:rsidR="002B376E" w:rsidRPr="002B376E">
        <w:t>7–9 Daniel’s response</w:t>
      </w:r>
    </w:p>
    <w:p w:rsidR="002B376E" w:rsidRPr="002B376E" w:rsidRDefault="009C0DAE" w:rsidP="002B376E">
      <w:r>
        <w:tab/>
      </w:r>
      <w:r>
        <w:tab/>
      </w:r>
      <w:r>
        <w:tab/>
      </w:r>
      <w:r w:rsidR="002B376E" w:rsidRPr="002B376E">
        <w:t>7–8 to the sight</w:t>
      </w:r>
    </w:p>
    <w:p w:rsidR="002B376E" w:rsidRPr="002B376E" w:rsidRDefault="009C0DAE" w:rsidP="002B376E">
      <w:r>
        <w:tab/>
      </w:r>
      <w:r>
        <w:tab/>
      </w:r>
      <w:r>
        <w:tab/>
      </w:r>
      <w:r w:rsidR="002B376E" w:rsidRPr="002B376E">
        <w:t>9 to the sound</w:t>
      </w:r>
    </w:p>
    <w:p w:rsidR="002B376E" w:rsidRPr="002B376E" w:rsidRDefault="009C0DAE" w:rsidP="002B376E">
      <w:r>
        <w:tab/>
      </w:r>
      <w:r>
        <w:tab/>
      </w:r>
      <w:r w:rsidR="002B376E" w:rsidRPr="002B376E">
        <w:t>10–11 Twofold elevation of Daniel</w:t>
      </w:r>
    </w:p>
    <w:p w:rsidR="002B376E" w:rsidRPr="002B376E" w:rsidRDefault="009C0DAE" w:rsidP="002B376E">
      <w:r>
        <w:tab/>
      </w:r>
      <w:r>
        <w:tab/>
      </w:r>
      <w:r w:rsidR="002B376E" w:rsidRPr="002B376E">
        <w:t>12–14 Preliminary address by supernatural being</w:t>
      </w:r>
    </w:p>
    <w:p w:rsidR="002B376E" w:rsidRPr="002B376E" w:rsidRDefault="009C0DAE" w:rsidP="002B376E">
      <w:r>
        <w:tab/>
      </w:r>
      <w:r>
        <w:tab/>
      </w:r>
      <w:r w:rsidR="002B376E" w:rsidRPr="002B376E">
        <w:t xml:space="preserve">15–17 Daniel’s response to </w:t>
      </w:r>
      <w:r w:rsidR="00D561D3">
        <w:t xml:space="preserve">the </w:t>
      </w:r>
      <w:r w:rsidR="002B376E" w:rsidRPr="002B376E">
        <w:t>address</w:t>
      </w:r>
    </w:p>
    <w:p w:rsidR="002B376E" w:rsidRPr="002B376E" w:rsidRDefault="009C0DAE" w:rsidP="002B376E">
      <w:r>
        <w:tab/>
      </w:r>
      <w:r>
        <w:tab/>
      </w:r>
      <w:r w:rsidR="002B376E" w:rsidRPr="002B376E">
        <w:t>18–19 Reassurance of Daniel</w:t>
      </w:r>
    </w:p>
    <w:p w:rsidR="002B376E" w:rsidRPr="002B376E" w:rsidRDefault="002B376E" w:rsidP="002B376E">
      <w:r w:rsidRPr="002B376E">
        <w:t>10:20–12:4 Main address by supernatural being</w:t>
      </w:r>
    </w:p>
    <w:p w:rsidR="002B376E" w:rsidRPr="002B376E" w:rsidRDefault="009C0DAE" w:rsidP="002B376E">
      <w:r>
        <w:tab/>
      </w:r>
      <w:r w:rsidR="002B376E" w:rsidRPr="002B376E">
        <w:t>10:20–11:2a Introduction</w:t>
      </w:r>
    </w:p>
    <w:p w:rsidR="002B376E" w:rsidRPr="002B376E" w:rsidRDefault="009C0DAE" w:rsidP="002B376E">
      <w:r>
        <w:tab/>
      </w:r>
      <w:r w:rsidR="002B376E" w:rsidRPr="002B376E">
        <w:t>11:2b–12:3 Announcement of events to come</w:t>
      </w:r>
    </w:p>
    <w:p w:rsidR="002B376E" w:rsidRPr="002B376E" w:rsidRDefault="009C0DAE" w:rsidP="002B376E">
      <w:r>
        <w:tab/>
      </w:r>
      <w:r>
        <w:tab/>
      </w:r>
      <w:r w:rsidR="002B376E" w:rsidRPr="002B376E">
        <w:t>11:2b Persian kings</w:t>
      </w:r>
    </w:p>
    <w:p w:rsidR="002B376E" w:rsidRPr="002B376E" w:rsidRDefault="009C0DAE" w:rsidP="002B376E">
      <w:r>
        <w:tab/>
      </w:r>
      <w:r>
        <w:tab/>
      </w:r>
      <w:r w:rsidR="002B376E" w:rsidRPr="002B376E">
        <w:t>11:3–4 A warrior king</w:t>
      </w:r>
    </w:p>
    <w:p w:rsidR="002B376E" w:rsidRPr="002B376E" w:rsidRDefault="009C0DAE" w:rsidP="002B376E">
      <w:r>
        <w:tab/>
      </w:r>
      <w:r>
        <w:tab/>
      </w:r>
      <w:r w:rsidR="002B376E" w:rsidRPr="002B376E">
        <w:t>11:5–19 Conflicts of southern and northern kings</w:t>
      </w:r>
    </w:p>
    <w:p w:rsidR="002B376E" w:rsidRPr="002B376E" w:rsidRDefault="009C0DAE" w:rsidP="002B376E">
      <w:r>
        <w:tab/>
      </w:r>
      <w:r>
        <w:tab/>
      </w:r>
      <w:r>
        <w:tab/>
      </w:r>
      <w:r w:rsidR="00D561D3">
        <w:t>5 R</w:t>
      </w:r>
      <w:r w:rsidR="002B376E" w:rsidRPr="002B376E">
        <w:t>ise of the southern king’s lieutenant</w:t>
      </w:r>
    </w:p>
    <w:p w:rsidR="002B376E" w:rsidRPr="002B376E" w:rsidRDefault="009C0DAE" w:rsidP="002B376E">
      <w:r>
        <w:tab/>
      </w:r>
      <w:r>
        <w:tab/>
      </w:r>
      <w:r>
        <w:tab/>
      </w:r>
      <w:r w:rsidR="00D561D3">
        <w:t>6 A</w:t>
      </w:r>
      <w:r w:rsidR="002B376E" w:rsidRPr="002B376E">
        <w:t>lliance between north and south</w:t>
      </w:r>
    </w:p>
    <w:p w:rsidR="002B376E" w:rsidRPr="002B376E" w:rsidRDefault="009C0DAE" w:rsidP="002B376E">
      <w:r>
        <w:tab/>
      </w:r>
      <w:r>
        <w:tab/>
      </w:r>
      <w:r>
        <w:tab/>
      </w:r>
      <w:r w:rsidR="002B376E" w:rsidRPr="002B376E">
        <w:t>7–8a Invasion by the southern king</w:t>
      </w:r>
    </w:p>
    <w:p w:rsidR="002B376E" w:rsidRPr="002B376E" w:rsidRDefault="009C0DAE" w:rsidP="002B376E">
      <w:r>
        <w:tab/>
      </w:r>
      <w:r>
        <w:tab/>
      </w:r>
      <w:r>
        <w:tab/>
      </w:r>
      <w:r w:rsidR="002B376E" w:rsidRPr="002B376E">
        <w:t>8b–9 Invasion by the northern king</w:t>
      </w:r>
    </w:p>
    <w:p w:rsidR="002B376E" w:rsidRPr="002B376E" w:rsidRDefault="009C0DAE" w:rsidP="002B376E">
      <w:r>
        <w:tab/>
      </w:r>
      <w:r>
        <w:tab/>
      </w:r>
      <w:r>
        <w:tab/>
      </w:r>
      <w:r w:rsidR="002B376E" w:rsidRPr="002B376E">
        <w:t>10–12 Further invasion by the northern kings</w:t>
      </w:r>
    </w:p>
    <w:p w:rsidR="002B376E" w:rsidRPr="002B376E" w:rsidRDefault="009C0DAE" w:rsidP="002B376E">
      <w:r>
        <w:tab/>
      </w:r>
      <w:r>
        <w:tab/>
      </w:r>
      <w:r>
        <w:tab/>
      </w:r>
      <w:r w:rsidR="002B376E" w:rsidRPr="002B376E">
        <w:t>13–15 Further invasion by the northern king</w:t>
      </w:r>
    </w:p>
    <w:p w:rsidR="002B376E" w:rsidRPr="002B376E" w:rsidRDefault="009C0DAE" w:rsidP="002B376E">
      <w:r>
        <w:tab/>
      </w:r>
      <w:r>
        <w:tab/>
      </w:r>
      <w:r>
        <w:tab/>
      </w:r>
      <w:r w:rsidR="002B376E" w:rsidRPr="002B376E">
        <w:t>16–19 The northern king’s triumph and eventual fall</w:t>
      </w:r>
    </w:p>
    <w:p w:rsidR="002B376E" w:rsidRPr="002B376E" w:rsidRDefault="009C0DAE" w:rsidP="002B376E">
      <w:r>
        <w:tab/>
      </w:r>
      <w:r>
        <w:tab/>
      </w:r>
      <w:r w:rsidR="002B376E" w:rsidRPr="002B376E">
        <w:t>11:20 A northern king who sends round an oppressor</w:t>
      </w:r>
    </w:p>
    <w:p w:rsidR="002B376E" w:rsidRPr="002B376E" w:rsidRDefault="009C0DAE" w:rsidP="002B376E">
      <w:r>
        <w:tab/>
      </w:r>
      <w:r>
        <w:tab/>
      </w:r>
      <w:r w:rsidR="002B376E" w:rsidRPr="002B376E">
        <w:t>11:21–45 The last northern king</w:t>
      </w:r>
    </w:p>
    <w:p w:rsidR="009C0DAE" w:rsidRDefault="009C0DAE" w:rsidP="009C0DAE">
      <w:r>
        <w:lastRenderedPageBreak/>
        <w:tab/>
      </w:r>
      <w:r>
        <w:tab/>
      </w:r>
      <w:r>
        <w:tab/>
      </w:r>
      <w:r w:rsidR="002B376E" w:rsidRPr="002B376E">
        <w:t>21–24 His rise and</w:t>
      </w:r>
      <w:r>
        <w:t xml:space="preserve"> success (until a certain time)</w:t>
      </w:r>
    </w:p>
    <w:p w:rsidR="002B376E" w:rsidRPr="002B376E" w:rsidRDefault="002B376E" w:rsidP="009C0DAE">
      <w:pPr>
        <w:ind w:left="3600" w:hanging="720"/>
      </w:pPr>
      <w:r w:rsidRPr="002B376E">
        <w:t>25–28 His invasion of the south and his attack on a covenant (but the end waits)</w:t>
      </w:r>
    </w:p>
    <w:p w:rsidR="002B376E" w:rsidRPr="002B376E" w:rsidRDefault="002B376E" w:rsidP="009C0DAE">
      <w:pPr>
        <w:ind w:left="3600" w:hanging="720"/>
      </w:pPr>
      <w:r w:rsidRPr="002B376E">
        <w:t>29–35 His further invasion and attacks (at the set moment; but the end still waits)</w:t>
      </w:r>
    </w:p>
    <w:p w:rsidR="002B376E" w:rsidRPr="002B376E" w:rsidRDefault="009C0DAE" w:rsidP="002B376E">
      <w:r>
        <w:tab/>
      </w:r>
      <w:r>
        <w:tab/>
      </w:r>
      <w:r>
        <w:tab/>
      </w:r>
      <w:r w:rsidR="002B376E" w:rsidRPr="002B376E">
        <w:t>36–39 His attack on God (until wrath is complete)</w:t>
      </w:r>
    </w:p>
    <w:p w:rsidR="002B376E" w:rsidRPr="002B376E" w:rsidRDefault="009C0DAE" w:rsidP="002B376E">
      <w:r>
        <w:tab/>
      </w:r>
      <w:r>
        <w:tab/>
      </w:r>
      <w:r>
        <w:tab/>
      </w:r>
      <w:r w:rsidR="002B376E" w:rsidRPr="002B376E">
        <w:t>40–45 His last invasion, attack, and fall (at the time of the end)</w:t>
      </w:r>
    </w:p>
    <w:p w:rsidR="002B376E" w:rsidRPr="002B376E" w:rsidRDefault="009C0DAE" w:rsidP="002B376E">
      <w:r>
        <w:tab/>
      </w:r>
      <w:r w:rsidR="002B376E" w:rsidRPr="002B376E">
        <w:t>12:1–3 The deliverance of the faithful (at that time)</w:t>
      </w:r>
    </w:p>
    <w:p w:rsidR="002B376E" w:rsidRPr="002B376E" w:rsidRDefault="002B376E" w:rsidP="002B376E">
      <w:r w:rsidRPr="002B376E">
        <w:t>12:4 Conclusion</w:t>
      </w:r>
    </w:p>
    <w:p w:rsidR="002B376E" w:rsidRPr="002B376E" w:rsidRDefault="00D561D3" w:rsidP="002B376E">
      <w:r>
        <w:t xml:space="preserve">12:5–13 Closing dialogue with </w:t>
      </w:r>
      <w:r w:rsidR="002B376E" w:rsidRPr="002B376E">
        <w:t>supernatural beings</w:t>
      </w:r>
    </w:p>
    <w:p w:rsidR="002B376E" w:rsidRPr="002B376E" w:rsidRDefault="009C0DAE" w:rsidP="002B376E">
      <w:r>
        <w:tab/>
      </w:r>
      <w:r w:rsidR="00D561D3">
        <w:t>5 Their appearing</w:t>
      </w:r>
    </w:p>
    <w:p w:rsidR="002B376E" w:rsidRPr="002B376E" w:rsidRDefault="009C0DAE" w:rsidP="002B376E">
      <w:r>
        <w:tab/>
      </w:r>
      <w:r w:rsidR="002B376E" w:rsidRPr="002B376E">
        <w:t>6–7 Seer overhears their conversation</w:t>
      </w:r>
    </w:p>
    <w:p w:rsidR="002B376E" w:rsidRPr="002B376E" w:rsidRDefault="009C0DAE" w:rsidP="002B376E">
      <w:r>
        <w:tab/>
      </w:r>
      <w:r w:rsidR="002B376E" w:rsidRPr="002B376E">
        <w:t>8 Seer asks for explanation of it</w:t>
      </w:r>
    </w:p>
    <w:p w:rsidR="002B376E" w:rsidRPr="002B376E" w:rsidRDefault="009C0DAE" w:rsidP="002B376E">
      <w:r>
        <w:tab/>
      </w:r>
      <w:r w:rsidR="002B376E" w:rsidRPr="002B376E">
        <w:t>9–13 Closing address by supernatural being</w:t>
      </w:r>
    </w:p>
    <w:p w:rsidR="002B376E" w:rsidRPr="002B376E" w:rsidRDefault="009C0DAE" w:rsidP="002B376E">
      <w:r>
        <w:tab/>
      </w:r>
      <w:r>
        <w:tab/>
      </w:r>
      <w:r w:rsidR="002B376E" w:rsidRPr="002B376E">
        <w:t>9 Command to seer and explanation</w:t>
      </w:r>
    </w:p>
    <w:p w:rsidR="002B376E" w:rsidRPr="002B376E" w:rsidRDefault="009C0DAE" w:rsidP="002B376E">
      <w:r>
        <w:tab/>
      </w:r>
      <w:r>
        <w:tab/>
      </w:r>
      <w:r w:rsidR="002B376E" w:rsidRPr="002B376E">
        <w:t>10–12 Summary announcements of events to come</w:t>
      </w:r>
    </w:p>
    <w:p w:rsidR="002B376E" w:rsidRPr="002B376E" w:rsidRDefault="009C0DAE" w:rsidP="002B376E">
      <w:r>
        <w:tab/>
      </w:r>
      <w:r>
        <w:tab/>
      </w:r>
      <w:r w:rsidR="002B376E" w:rsidRPr="002B376E">
        <w:t>13 Command to seer and promise</w:t>
      </w:r>
    </w:p>
    <w:p w:rsidR="009C0DAE" w:rsidRDefault="00B51680" w:rsidP="00B51680">
      <w:pPr>
        <w:tabs>
          <w:tab w:val="left" w:pos="2955"/>
        </w:tabs>
      </w:pPr>
      <w:r>
        <w:tab/>
      </w:r>
    </w:p>
    <w:p w:rsidR="002B376E" w:rsidRPr="002B376E" w:rsidRDefault="002B376E" w:rsidP="002B376E">
      <w:r w:rsidRPr="002B376E">
        <w:t>The narrative introduction and summary (10:1) empha</w:t>
      </w:r>
      <w:r w:rsidR="00BA29DA">
        <w:t xml:space="preserve">size the importance of this final vision; it is the first </w:t>
      </w:r>
      <w:r w:rsidRPr="002B376E">
        <w:t>third-person i</w:t>
      </w:r>
      <w:r w:rsidR="00DC0CFF">
        <w:t>ntroduction since chap. 7. They</w:t>
      </w:r>
      <w:r w:rsidR="00BA29DA" w:rsidRPr="00BA29DA">
        <w:t xml:space="preserve"> </w:t>
      </w:r>
      <w:r w:rsidR="00DC0CFF">
        <w:t>also introduce some</w:t>
      </w:r>
      <w:r w:rsidRPr="002B376E">
        <w:t xml:space="preserve"> su</w:t>
      </w:r>
      <w:r w:rsidR="00BA29DA">
        <w:t xml:space="preserve">spense into the section as they </w:t>
      </w:r>
      <w:r w:rsidR="00DC0CFF">
        <w:t xml:space="preserve">hint </w:t>
      </w:r>
      <w:r w:rsidRPr="002B376E">
        <w:t>allusively</w:t>
      </w:r>
      <w:r w:rsidR="00DC0CFF">
        <w:t xml:space="preserve"> </w:t>
      </w:r>
      <w:r w:rsidRPr="002B376E">
        <w:t>at the content that will follow. The elaborate opening appearance of supernatural being(s) and the dialogue with the seer (10:2–19) fur</w:t>
      </w:r>
      <w:r w:rsidR="00D561D3">
        <w:t xml:space="preserve">ther underline the authority and </w:t>
      </w:r>
      <w:r w:rsidRPr="002B376E">
        <w:t xml:space="preserve">significance of the </w:t>
      </w:r>
      <w:r w:rsidR="00BA29DA" w:rsidRPr="00BA29DA">
        <w:t>revelation</w:t>
      </w:r>
      <w:r w:rsidR="00BA29DA">
        <w:t>’s content</w:t>
      </w:r>
      <w:r w:rsidRPr="002B376E">
        <w:t>. Daniel’s apprehensiveness and reluctance on account of his sense of unworthiness parallel features of prophetic call narratives and thus imply that the reve</w:t>
      </w:r>
      <w:r w:rsidR="00BA29DA">
        <w:t>lation has prophetic authority</w:t>
      </w:r>
      <w:r w:rsidRPr="002B376E">
        <w:t>.</w:t>
      </w:r>
      <w:r w:rsidR="00BA29DA">
        <w:rPr>
          <w:rStyle w:val="FootnoteReference"/>
        </w:rPr>
        <w:footnoteReference w:id="622"/>
      </w:r>
      <w:r w:rsidRPr="002B376E">
        <w:t xml:space="preserve"> The dialogue also opens up a key point of substance regarding the perspective on history to which the revelation invites its audience (v 13), and perhaps implies an anticipatory contrast with the </w:t>
      </w:r>
      <w:r w:rsidR="00DC0CFF">
        <w:t xml:space="preserve">action of the last northern king in </w:t>
      </w:r>
      <w:r w:rsidRPr="002B376E">
        <w:t xml:space="preserve">11:20–45: </w:t>
      </w:r>
      <w:r w:rsidR="00BA29DA">
        <w:t xml:space="preserve">whereas </w:t>
      </w:r>
      <w:r w:rsidRPr="002B376E">
        <w:t>he will seek to st</w:t>
      </w:r>
      <w:r w:rsidR="00BA29DA">
        <w:t>orm heaven and will be put down,</w:t>
      </w:r>
      <w:r w:rsidRPr="002B376E">
        <w:t xml:space="preserve"> heaven reaches down to Daniel and</w:t>
      </w:r>
      <w:r w:rsidR="00D561D3">
        <w:t xml:space="preserve"> he hesitates to raise his head but </w:t>
      </w:r>
      <w:r w:rsidRPr="002B376E">
        <w:t>is lifted up. There is contact between earth and heaven, in the experience of the seer and in the realities of his people’s history.</w:t>
      </w:r>
    </w:p>
    <w:p w:rsidR="002B376E" w:rsidRPr="002B376E" w:rsidRDefault="002B376E" w:rsidP="002B376E">
      <w:r w:rsidRPr="002B376E">
        <w:t xml:space="preserve">The main address opens (10:20–11:2a) by recapitulating this point and by emphasizing the reliability of what is to follow. Its announcement of events to come begins with a series of kings who seem to have the capacity to achieve much, but </w:t>
      </w:r>
      <w:r w:rsidR="00BA29DA">
        <w:t xml:space="preserve">who </w:t>
      </w:r>
      <w:r w:rsidRPr="002B376E">
        <w:t>eventually fail or f</w:t>
      </w:r>
      <w:r w:rsidR="00BA29DA">
        <w:t>all (11:2b–9). There follows a northern king</w:t>
      </w:r>
      <w:r w:rsidRPr="002B376E">
        <w:t>—not clearly distinguished from his predecessors</w:t>
      </w:r>
      <w:r w:rsidR="00B51680">
        <w:t>—</w:t>
      </w:r>
      <w:r w:rsidR="00DC0CFF">
        <w:t xml:space="preserve">who </w:t>
      </w:r>
      <w:r w:rsidR="00DC0CFF" w:rsidRPr="00DC0CFF">
        <w:t xml:space="preserve"> foreshadow</w:t>
      </w:r>
      <w:r w:rsidR="00DC0CFF">
        <w:t>s</w:t>
      </w:r>
      <w:r w:rsidR="00DC0CFF" w:rsidRPr="00DC0CFF">
        <w:t xml:space="preserve"> acts of the last northern king (11:10–19</w:t>
      </w:r>
      <w:r w:rsidR="00DC0CFF">
        <w:t xml:space="preserve">) by his </w:t>
      </w:r>
      <w:r w:rsidR="00B51680">
        <w:t>two campaigns against a</w:t>
      </w:r>
      <w:r w:rsidRPr="002B376E">
        <w:t xml:space="preserve"> southern king, his being checked by a third force, his receiving support among Daniel’s own people, and his campaigning in the fairest land</w:t>
      </w:r>
      <w:r w:rsidR="00B51680">
        <w:t>. A</w:t>
      </w:r>
      <w:r w:rsidRPr="002B376E">
        <w:t>nother northern king foreshadows a different aspect of the last king’s activity, his viol</w:t>
      </w:r>
      <w:r w:rsidR="00DC0CFF">
        <w:t>ation of the Jerusalem temple; h</w:t>
      </w:r>
      <w:r w:rsidRPr="002B376E">
        <w:t>e, too, then falls (11:20). The main address comes to a climax with a lengthy description of the last northern kin</w:t>
      </w:r>
      <w:r w:rsidR="00B51680">
        <w:t xml:space="preserve">g (11:21–45), whose career </w:t>
      </w:r>
      <w:r w:rsidRPr="002B376E">
        <w:t>follows that of his foreshadowing types, but goes beyond it—</w:t>
      </w:r>
      <w:r w:rsidR="00B51680">
        <w:t>he acts</w:t>
      </w:r>
      <w:r w:rsidRPr="002B376E">
        <w:t xml:space="preserve"> “as his fathers did not”—in his achievement, his intrigues, his campaigns, </w:t>
      </w:r>
      <w:r w:rsidR="00B51680">
        <w:t>his unconscious fulfillment of the s</w:t>
      </w:r>
      <w:r w:rsidRPr="002B376E">
        <w:t>cripture</w:t>
      </w:r>
      <w:r w:rsidR="00B51680">
        <w:t>s</w:t>
      </w:r>
      <w:r w:rsidRPr="002B376E">
        <w:t>, his dealings with a covenant people and their sanctuary, his god-like and god-defying assertiveness, his plunder, and his fall. The momentousness as well as the divine determination of his reign is marked by recurrent references to waiting for the “set moment.”</w:t>
      </w:r>
      <w:r w:rsidR="00B51680">
        <w:rPr>
          <w:rStyle w:val="FootnoteReference"/>
        </w:rPr>
        <w:footnoteReference w:id="623"/>
      </w:r>
      <w:r w:rsidRPr="002B376E">
        <w:t xml:space="preserve"> The “rise” of a quite different leader, with the deliverance of the faithful who have been under attack during the last king’s reign, completes the announcement of events to come (12:1–3</w:t>
      </w:r>
      <w:r w:rsidR="002E4C44">
        <w:t>; MT puts a petuchah here</w:t>
      </w:r>
      <w:r w:rsidRPr="002B376E">
        <w:t xml:space="preserve">). These verses manifest features of poetry (rhythm, parallelism, metaphor, simile), which </w:t>
      </w:r>
      <w:r w:rsidRPr="002B376E">
        <w:lastRenderedPageBreak/>
        <w:t>emphasize their significance at the high point of the main address, as happens with the other visions.</w:t>
      </w:r>
      <w:r w:rsidR="00DC0CFF" w:rsidRPr="00DC0CFF">
        <w:rPr>
          <w:vertAlign w:val="superscript"/>
        </w:rPr>
        <w:footnoteReference w:id="624"/>
      </w:r>
      <w:r w:rsidRPr="002B376E">
        <w:t xml:space="preserve"> The main address is c</w:t>
      </w:r>
      <w:r w:rsidR="002E4C44">
        <w:t>losed off with words to Daniel</w:t>
      </w:r>
      <w:r w:rsidRPr="002B376E">
        <w:t xml:space="preserve"> (12:4). The vision then returns to the dialogue between seer and supernatural figures </w:t>
      </w:r>
      <w:r w:rsidR="00DC0CFF">
        <w:t>with which it began (12:5–13). T</w:t>
      </w:r>
      <w:r w:rsidRPr="002B376E">
        <w:t>he function of this further dialogue is to add reassurance regarding the limits set to the events that have been presaged, and to stiffen the resolve of those who will be put under pressure by them.</w:t>
      </w:r>
      <w:r w:rsidR="006F7BC1">
        <w:rPr>
          <w:rStyle w:val="FootnoteReference"/>
        </w:rPr>
        <w:footnoteReference w:id="625"/>
      </w:r>
    </w:p>
    <w:p w:rsidR="002B376E" w:rsidRDefault="002B376E" w:rsidP="002B376E">
      <w:r w:rsidRPr="002B376E">
        <w:t>Chaps. 10–12 are again written in idiosyncratic Hebrew influenced by Aramaic and p</w:t>
      </w:r>
      <w:r w:rsidR="00B51680">
        <w:t>erhaps translated from Aramaic</w:t>
      </w:r>
      <w:r w:rsidRPr="002B376E">
        <w:t>.</w:t>
      </w:r>
      <w:r w:rsidR="00B51680">
        <w:rPr>
          <w:rStyle w:val="FootnoteReference"/>
        </w:rPr>
        <w:footnoteReference w:id="626"/>
      </w:r>
      <w:r w:rsidR="00052E34">
        <w:t xml:space="preserve"> They</w:t>
      </w:r>
      <w:r w:rsidRPr="002B376E">
        <w:t xml:space="preserve"> include a number of instances of </w:t>
      </w:r>
      <w:r w:rsidR="00B51680">
        <w:t>extraposed phrases (</w:t>
      </w:r>
      <w:r w:rsidRPr="002B376E">
        <w:t>casus pendens</w:t>
      </w:r>
      <w:r w:rsidR="00B51680">
        <w:t>)</w:t>
      </w:r>
      <w:r w:rsidRPr="002B376E">
        <w:t xml:space="preserve"> f</w:t>
      </w:r>
      <w:r w:rsidR="00B51680">
        <w:t xml:space="preserve">ollowed by </w:t>
      </w:r>
      <w:r w:rsidR="00B51680" w:rsidRPr="003A423E">
        <w:rPr>
          <w:i/>
        </w:rPr>
        <w:t>waw</w:t>
      </w:r>
      <w:r w:rsidR="00B51680">
        <w:t xml:space="preserve"> (11:5, 7</w:t>
      </w:r>
      <w:r w:rsidRPr="002B376E">
        <w:t xml:space="preserve">, 17), </w:t>
      </w:r>
      <w:r w:rsidR="00B51680">
        <w:t xml:space="preserve">of </w:t>
      </w:r>
      <w:r w:rsidRPr="002B376E">
        <w:t xml:space="preserve">emphatic </w:t>
      </w:r>
      <w:r w:rsidRPr="003A423E">
        <w:rPr>
          <w:i/>
        </w:rPr>
        <w:t>waw</w:t>
      </w:r>
      <w:r w:rsidRPr="002B376E">
        <w:t xml:space="preserve"> (11:6, 15), and </w:t>
      </w:r>
      <w:r w:rsidR="00B51680">
        <w:t xml:space="preserve">of </w:t>
      </w:r>
      <w:r w:rsidRPr="002B376E">
        <w:t xml:space="preserve">the combining of </w:t>
      </w:r>
      <w:r w:rsidRPr="002B376E">
        <w:rPr>
          <w:rFonts w:ascii="Arial" w:hAnsi="Arial" w:cs="Arial"/>
        </w:rPr>
        <w:t>עשה</w:t>
      </w:r>
      <w:r w:rsidRPr="002B376E">
        <w:t xml:space="preserve"> and another verb in hendiadys (11:7, 30, 32, cf 28). At the same time, chap. 11 in particular is characterized by the use of a variety of terms within certain</w:t>
      </w:r>
      <w:r w:rsidR="00B51680">
        <w:t xml:space="preserve"> fields of meaning that help </w:t>
      </w:r>
      <w:r w:rsidRPr="002B376E">
        <w:t>give i</w:t>
      </w:r>
      <w:r w:rsidR="00052E34">
        <w:t xml:space="preserve">t a particular cast: terms suggesting </w:t>
      </w:r>
      <w:r w:rsidRPr="002B376E">
        <w:t>royal authority and power (√</w:t>
      </w:r>
      <w:r w:rsidRPr="002B376E">
        <w:rPr>
          <w:rFonts w:ascii="Arial" w:hAnsi="Arial" w:cs="Arial"/>
        </w:rPr>
        <w:t>מלך</w:t>
      </w:r>
      <w:r w:rsidRPr="002B376E">
        <w:t>, √</w:t>
      </w:r>
      <w:r w:rsidRPr="002B376E">
        <w:rPr>
          <w:rFonts w:ascii="Arial" w:hAnsi="Arial" w:cs="Arial"/>
        </w:rPr>
        <w:t>משל</w:t>
      </w:r>
      <w:r w:rsidRPr="002B376E">
        <w:t xml:space="preserve">, </w:t>
      </w:r>
      <w:r w:rsidRPr="002B376E">
        <w:rPr>
          <w:rFonts w:ascii="Arial" w:hAnsi="Arial" w:cs="Arial"/>
        </w:rPr>
        <w:t>תקף</w:t>
      </w:r>
      <w:r w:rsidRPr="002B376E">
        <w:t xml:space="preserve">, </w:t>
      </w:r>
      <w:r w:rsidRPr="002B376E">
        <w:rPr>
          <w:rFonts w:ascii="Arial" w:hAnsi="Arial" w:cs="Arial"/>
        </w:rPr>
        <w:t>יד</w:t>
      </w:r>
      <w:r w:rsidRPr="002B376E">
        <w:t xml:space="preserve">, </w:t>
      </w:r>
      <w:r w:rsidRPr="002B376E">
        <w:rPr>
          <w:rFonts w:ascii="Arial" w:hAnsi="Arial" w:cs="Arial"/>
        </w:rPr>
        <w:t>כח</w:t>
      </w:r>
      <w:r w:rsidRPr="002B376E">
        <w:t xml:space="preserve">, </w:t>
      </w:r>
      <w:r w:rsidRPr="002B376E">
        <w:rPr>
          <w:rFonts w:ascii="Arial" w:hAnsi="Arial" w:cs="Arial"/>
        </w:rPr>
        <w:t>זרוע</w:t>
      </w:r>
      <w:r w:rsidR="00052E34">
        <w:t xml:space="preserve">), </w:t>
      </w:r>
      <w:r w:rsidRPr="002B376E">
        <w:t>its acts and achievements (</w:t>
      </w:r>
      <w:r w:rsidRPr="002B376E">
        <w:rPr>
          <w:rFonts w:ascii="Arial" w:hAnsi="Arial" w:cs="Arial"/>
        </w:rPr>
        <w:t>עשה</w:t>
      </w:r>
      <w:r w:rsidRPr="002B376E">
        <w:t xml:space="preserve"> [</w:t>
      </w:r>
      <w:r w:rsidRPr="002B376E">
        <w:rPr>
          <w:rFonts w:ascii="Arial" w:hAnsi="Arial" w:cs="Arial"/>
        </w:rPr>
        <w:t>כרצון</w:t>
      </w:r>
      <w:r w:rsidRPr="002B376E">
        <w:t xml:space="preserve">], </w:t>
      </w:r>
      <w:r w:rsidRPr="002B376E">
        <w:rPr>
          <w:rFonts w:ascii="Arial" w:hAnsi="Arial" w:cs="Arial"/>
        </w:rPr>
        <w:t>חזק</w:t>
      </w:r>
      <w:r w:rsidRPr="002B376E">
        <w:t xml:space="preserve">, </w:t>
      </w:r>
      <w:r w:rsidRPr="002B376E">
        <w:rPr>
          <w:rFonts w:ascii="Arial" w:hAnsi="Arial" w:cs="Arial"/>
        </w:rPr>
        <w:t>בשלוה</w:t>
      </w:r>
      <w:r w:rsidRPr="002B376E">
        <w:t xml:space="preserve">, </w:t>
      </w:r>
      <w:r w:rsidRPr="002B376E">
        <w:rPr>
          <w:rFonts w:ascii="Arial" w:hAnsi="Arial" w:cs="Arial"/>
        </w:rPr>
        <w:t>עשר</w:t>
      </w:r>
      <w:r w:rsidRPr="002B376E">
        <w:t xml:space="preserve">, </w:t>
      </w:r>
      <w:r w:rsidRPr="002B376E">
        <w:rPr>
          <w:rFonts w:ascii="Arial" w:hAnsi="Arial" w:cs="Arial"/>
        </w:rPr>
        <w:t>לבבו</w:t>
      </w:r>
      <w:r w:rsidRPr="002B376E">
        <w:t xml:space="preserve">, </w:t>
      </w:r>
      <w:r w:rsidRPr="002B376E">
        <w:rPr>
          <w:rFonts w:ascii="Arial" w:hAnsi="Arial" w:cs="Arial"/>
        </w:rPr>
        <w:t>ירום</w:t>
      </w:r>
      <w:r w:rsidRPr="002B376E">
        <w:t xml:space="preserve">, </w:t>
      </w:r>
      <w:r w:rsidRPr="002B376E">
        <w:rPr>
          <w:rFonts w:ascii="Arial" w:hAnsi="Arial" w:cs="Arial"/>
        </w:rPr>
        <w:t>גדל</w:t>
      </w:r>
      <w:r w:rsidRPr="002B376E">
        <w:t xml:space="preserve">, </w:t>
      </w:r>
      <w:r w:rsidRPr="002B376E">
        <w:rPr>
          <w:rFonts w:ascii="Arial" w:hAnsi="Arial" w:cs="Arial"/>
        </w:rPr>
        <w:t>רב</w:t>
      </w:r>
      <w:r w:rsidRPr="002B376E">
        <w:t xml:space="preserve">, </w:t>
      </w:r>
      <w:r w:rsidRPr="002B376E">
        <w:rPr>
          <w:rFonts w:ascii="Arial" w:hAnsi="Arial" w:cs="Arial"/>
        </w:rPr>
        <w:t>פנים</w:t>
      </w:r>
      <w:r w:rsidR="00B51680">
        <w:rPr>
          <w:rFonts w:ascii="Arial" w:hAnsi="Arial" w:cs="Arial"/>
        </w:rPr>
        <w:t xml:space="preserve"> </w:t>
      </w:r>
      <w:r w:rsidR="00B51680" w:rsidRPr="00B51680">
        <w:rPr>
          <w:rFonts w:ascii="Arial" w:hAnsi="Arial" w:cs="Arial"/>
        </w:rPr>
        <w:t>שים</w:t>
      </w:r>
      <w:r w:rsidRPr="002B376E">
        <w:t xml:space="preserve">, </w:t>
      </w:r>
      <w:r w:rsidRPr="002B376E">
        <w:rPr>
          <w:rFonts w:ascii="Arial" w:hAnsi="Arial" w:cs="Arial"/>
        </w:rPr>
        <w:t>חלקלקות</w:t>
      </w:r>
      <w:r w:rsidR="00B51680">
        <w:t>)</w:t>
      </w:r>
      <w:r w:rsidR="00052E34">
        <w:t xml:space="preserve">, </w:t>
      </w:r>
      <w:r w:rsidRPr="002B376E">
        <w:t>the rise and fall of kings and their empires ([</w:t>
      </w:r>
      <w:r w:rsidRPr="002B376E">
        <w:rPr>
          <w:rFonts w:ascii="Arial" w:hAnsi="Arial" w:cs="Arial"/>
        </w:rPr>
        <w:t>כנו</w:t>
      </w:r>
      <w:r w:rsidR="006A3371" w:rsidRPr="006A3371">
        <w:rPr>
          <w:rFonts w:ascii="Arial" w:hAnsi="Arial" w:cs="Arial"/>
        </w:rPr>
        <w:t xml:space="preserve"> לע</w:t>
      </w:r>
      <w:r w:rsidRPr="002B376E">
        <w:t xml:space="preserve">] </w:t>
      </w:r>
      <w:r w:rsidRPr="002B376E">
        <w:rPr>
          <w:rFonts w:ascii="Arial" w:hAnsi="Arial" w:cs="Arial"/>
        </w:rPr>
        <w:t>עמד</w:t>
      </w:r>
      <w:r w:rsidRPr="002B376E">
        <w:t xml:space="preserve">, </w:t>
      </w:r>
      <w:r w:rsidRPr="002B376E">
        <w:rPr>
          <w:rFonts w:ascii="Arial" w:hAnsi="Arial" w:cs="Arial"/>
        </w:rPr>
        <w:t>כשל</w:t>
      </w:r>
      <w:r w:rsidRPr="002B376E">
        <w:t xml:space="preserve">, </w:t>
      </w:r>
      <w:r w:rsidRPr="002B376E">
        <w:rPr>
          <w:rFonts w:ascii="Arial" w:hAnsi="Arial" w:cs="Arial"/>
        </w:rPr>
        <w:t>נפל</w:t>
      </w:r>
      <w:r w:rsidRPr="002B376E">
        <w:t xml:space="preserve">, </w:t>
      </w:r>
      <w:r w:rsidRPr="002B376E">
        <w:rPr>
          <w:rFonts w:ascii="Arial" w:hAnsi="Arial" w:cs="Arial"/>
        </w:rPr>
        <w:t>שבר</w:t>
      </w:r>
      <w:r w:rsidRPr="002B376E">
        <w:t xml:space="preserve">, </w:t>
      </w:r>
      <w:r w:rsidRPr="002B376E">
        <w:rPr>
          <w:rFonts w:ascii="Arial" w:hAnsi="Arial" w:cs="Arial"/>
        </w:rPr>
        <w:t>נתש</w:t>
      </w:r>
      <w:r w:rsidRPr="002B376E">
        <w:t xml:space="preserve">, </w:t>
      </w:r>
      <w:r w:rsidRPr="002B376E">
        <w:rPr>
          <w:rFonts w:ascii="Arial" w:hAnsi="Arial" w:cs="Arial"/>
        </w:rPr>
        <w:t>חצה</w:t>
      </w:r>
      <w:r w:rsidRPr="002B376E">
        <w:t xml:space="preserve">, </w:t>
      </w:r>
      <w:r w:rsidRPr="002B376E">
        <w:rPr>
          <w:rFonts w:ascii="Arial" w:hAnsi="Arial" w:cs="Arial"/>
        </w:rPr>
        <w:t>כח</w:t>
      </w:r>
      <w:r w:rsidRPr="002B376E">
        <w:t xml:space="preserve">, </w:t>
      </w:r>
      <w:r w:rsidRPr="002B376E">
        <w:rPr>
          <w:rFonts w:ascii="Arial" w:hAnsi="Arial" w:cs="Arial"/>
        </w:rPr>
        <w:t>עצר</w:t>
      </w:r>
      <w:r w:rsidR="00052E34">
        <w:t xml:space="preserve">), </w:t>
      </w:r>
      <w:r w:rsidRPr="002B376E">
        <w:t>military matters (</w:t>
      </w:r>
      <w:r w:rsidRPr="002B376E">
        <w:rPr>
          <w:rFonts w:ascii="Arial" w:hAnsi="Arial" w:cs="Arial"/>
        </w:rPr>
        <w:t>חיל</w:t>
      </w:r>
      <w:r w:rsidRPr="002B376E">
        <w:t xml:space="preserve">, </w:t>
      </w:r>
      <w:r w:rsidRPr="002B376E">
        <w:rPr>
          <w:rFonts w:ascii="Arial" w:hAnsi="Arial" w:cs="Arial"/>
        </w:rPr>
        <w:t>המון</w:t>
      </w:r>
      <w:r w:rsidRPr="002B376E">
        <w:t xml:space="preserve">, </w:t>
      </w:r>
      <w:r w:rsidRPr="002B376E">
        <w:rPr>
          <w:rFonts w:ascii="Arial" w:hAnsi="Arial" w:cs="Arial"/>
        </w:rPr>
        <w:t>שר</w:t>
      </w:r>
      <w:r w:rsidRPr="002B376E">
        <w:t xml:space="preserve">, </w:t>
      </w:r>
      <w:r w:rsidRPr="002B376E">
        <w:rPr>
          <w:rFonts w:ascii="Arial" w:hAnsi="Arial" w:cs="Arial"/>
        </w:rPr>
        <w:t>מבצר</w:t>
      </w:r>
      <w:r w:rsidRPr="002B376E">
        <w:t xml:space="preserve">, </w:t>
      </w:r>
      <w:r w:rsidRPr="002B376E">
        <w:rPr>
          <w:rFonts w:ascii="Arial" w:hAnsi="Arial" w:cs="Arial"/>
        </w:rPr>
        <w:t>מעוז</w:t>
      </w:r>
      <w:r w:rsidRPr="002B376E">
        <w:t xml:space="preserve">, </w:t>
      </w:r>
      <w:r w:rsidRPr="002B376E">
        <w:rPr>
          <w:rFonts w:ascii="Arial" w:hAnsi="Arial" w:cs="Arial"/>
        </w:rPr>
        <w:t>אף</w:t>
      </w:r>
      <w:r w:rsidRPr="002B376E">
        <w:t xml:space="preserve">, </w:t>
      </w:r>
      <w:r w:rsidRPr="002B376E">
        <w:rPr>
          <w:rFonts w:ascii="Arial" w:hAnsi="Arial" w:cs="Arial"/>
        </w:rPr>
        <w:t>מלחמה</w:t>
      </w:r>
      <w:r w:rsidR="00973D30">
        <w:t>),</w:t>
      </w:r>
      <w:r w:rsidR="00052E34">
        <w:t xml:space="preserve"> </w:t>
      </w:r>
      <w:r w:rsidRPr="002B376E">
        <w:t>military act</w:t>
      </w:r>
      <w:r w:rsidR="006A3371">
        <w:t>ion, victory, and defeat (</w:t>
      </w:r>
      <w:r w:rsidRPr="002B376E">
        <w:rPr>
          <w:rFonts w:ascii="Arial" w:hAnsi="Arial" w:cs="Arial"/>
        </w:rPr>
        <w:t>ב</w:t>
      </w:r>
      <w:r w:rsidR="006A3371">
        <w:rPr>
          <w:rFonts w:ascii="Arial" w:hAnsi="Arial" w:cs="Arial"/>
        </w:rPr>
        <w:t xml:space="preserve"> </w:t>
      </w:r>
      <w:r w:rsidR="006A3371" w:rsidRPr="006A3371">
        <w:rPr>
          <w:rFonts w:ascii="Arial" w:hAnsi="Arial" w:cs="Arial"/>
        </w:rPr>
        <w:t>בא</w:t>
      </w:r>
      <w:r w:rsidRPr="002B376E">
        <w:t xml:space="preserve">, </w:t>
      </w:r>
      <w:r w:rsidRPr="002B376E">
        <w:rPr>
          <w:rFonts w:ascii="Arial" w:hAnsi="Arial" w:cs="Arial"/>
        </w:rPr>
        <w:t>נלחם</w:t>
      </w:r>
      <w:r w:rsidRPr="002B376E">
        <w:t xml:space="preserve">, </w:t>
      </w:r>
      <w:r w:rsidRPr="002B376E">
        <w:rPr>
          <w:rFonts w:ascii="Arial" w:hAnsi="Arial" w:cs="Arial"/>
        </w:rPr>
        <w:t>עור</w:t>
      </w:r>
      <w:r w:rsidRPr="002B376E">
        <w:t xml:space="preserve">, </w:t>
      </w:r>
      <w:r w:rsidRPr="002B376E">
        <w:rPr>
          <w:rFonts w:ascii="Arial" w:hAnsi="Arial" w:cs="Arial"/>
        </w:rPr>
        <w:t>גרה</w:t>
      </w:r>
      <w:r w:rsidRPr="002B376E">
        <w:t xml:space="preserve">, </w:t>
      </w:r>
      <w:r w:rsidRPr="002B376E">
        <w:rPr>
          <w:rFonts w:ascii="Arial" w:hAnsi="Arial" w:cs="Arial"/>
        </w:rPr>
        <w:t>סלל</w:t>
      </w:r>
      <w:r w:rsidRPr="002B376E">
        <w:t xml:space="preserve">, </w:t>
      </w:r>
      <w:r w:rsidRPr="002B376E">
        <w:rPr>
          <w:rFonts w:ascii="Arial" w:hAnsi="Arial" w:cs="Arial"/>
        </w:rPr>
        <w:t>שטף</w:t>
      </w:r>
      <w:r w:rsidRPr="002B376E">
        <w:t xml:space="preserve">, </w:t>
      </w:r>
      <w:r w:rsidRPr="002B376E">
        <w:rPr>
          <w:rFonts w:ascii="Arial" w:hAnsi="Arial" w:cs="Arial"/>
        </w:rPr>
        <w:t>מעוז</w:t>
      </w:r>
      <w:r w:rsidRPr="002B376E">
        <w:t xml:space="preserve">, </w:t>
      </w:r>
      <w:r w:rsidRPr="002B376E">
        <w:rPr>
          <w:rFonts w:ascii="Arial" w:hAnsi="Arial" w:cs="Arial"/>
        </w:rPr>
        <w:t>שבר</w:t>
      </w:r>
      <w:r w:rsidRPr="002B376E">
        <w:t xml:space="preserve">, </w:t>
      </w:r>
      <w:r w:rsidRPr="002B376E">
        <w:rPr>
          <w:rFonts w:ascii="Arial" w:hAnsi="Arial" w:cs="Arial"/>
        </w:rPr>
        <w:t>נתן</w:t>
      </w:r>
      <w:r w:rsidRPr="002B376E">
        <w:t xml:space="preserve">, </w:t>
      </w:r>
      <w:r w:rsidRPr="002B376E">
        <w:rPr>
          <w:rFonts w:ascii="Arial" w:hAnsi="Arial" w:cs="Arial"/>
        </w:rPr>
        <w:t>נשא</w:t>
      </w:r>
      <w:r w:rsidR="00052E34">
        <w:t xml:space="preserve">), and </w:t>
      </w:r>
      <w:r w:rsidRPr="002B376E">
        <w:t>movement more generally (</w:t>
      </w:r>
      <w:r w:rsidRPr="002B376E">
        <w:rPr>
          <w:rFonts w:ascii="Arial" w:hAnsi="Arial" w:cs="Arial"/>
        </w:rPr>
        <w:t>בא</w:t>
      </w:r>
      <w:r w:rsidRPr="002B376E">
        <w:t xml:space="preserve">, </w:t>
      </w:r>
      <w:r w:rsidRPr="002B376E">
        <w:rPr>
          <w:rFonts w:ascii="Arial" w:hAnsi="Arial" w:cs="Arial"/>
        </w:rPr>
        <w:t>יצא</w:t>
      </w:r>
      <w:r w:rsidRPr="002B376E">
        <w:t xml:space="preserve">, </w:t>
      </w:r>
      <w:r w:rsidRPr="002B376E">
        <w:rPr>
          <w:rFonts w:ascii="Arial" w:hAnsi="Arial" w:cs="Arial"/>
        </w:rPr>
        <w:t>שוב</w:t>
      </w:r>
      <w:r w:rsidRPr="002B376E">
        <w:t>).</w:t>
      </w:r>
      <w:r w:rsidR="00052E34" w:rsidRPr="00052E34">
        <w:rPr>
          <w:vertAlign w:val="superscript"/>
        </w:rPr>
        <w:footnoteReference w:id="627"/>
      </w:r>
      <w:r w:rsidRPr="002B376E">
        <w:t xml:space="preserve"> Family words are drawn in, often in the context of the making of alliances (</w:t>
      </w:r>
      <w:r w:rsidR="006A3371" w:rsidRPr="006A3371">
        <w:rPr>
          <w:rFonts w:ascii="Arial" w:hAnsi="Arial" w:cs="Arial"/>
        </w:rPr>
        <w:t>בת</w:t>
      </w:r>
      <w:r w:rsidR="006A3371" w:rsidRPr="006A3371">
        <w:t>,</w:t>
      </w:r>
      <w:r w:rsidR="006A3371">
        <w:t xml:space="preserve"> </w:t>
      </w:r>
      <w:r w:rsidR="006A3371" w:rsidRPr="006A3371">
        <w:rPr>
          <w:rFonts w:ascii="Arial" w:hAnsi="Arial" w:cs="Arial"/>
        </w:rPr>
        <w:t>ההילד</w:t>
      </w:r>
      <w:r w:rsidR="006A3371">
        <w:t xml:space="preserve">, </w:t>
      </w:r>
      <w:r w:rsidR="006A3371" w:rsidRPr="006A3371">
        <w:rPr>
          <w:rFonts w:ascii="Arial" w:hAnsi="Arial" w:cs="Arial"/>
        </w:rPr>
        <w:t>אבות</w:t>
      </w:r>
      <w:r w:rsidR="006A3371">
        <w:t xml:space="preserve">, </w:t>
      </w:r>
      <w:r w:rsidR="006A3371" w:rsidRPr="006A3371">
        <w:rPr>
          <w:rFonts w:ascii="Arial" w:hAnsi="Arial" w:cs="Arial"/>
        </w:rPr>
        <w:t>אחרית</w:t>
      </w:r>
      <w:r w:rsidR="006A3371">
        <w:t xml:space="preserve">, </w:t>
      </w:r>
      <w:r w:rsidR="006A3371" w:rsidRPr="006A3371">
        <w:rPr>
          <w:rFonts w:ascii="Arial" w:hAnsi="Arial" w:cs="Arial"/>
        </w:rPr>
        <w:t>זרע</w:t>
      </w:r>
      <w:r w:rsidR="006A3371">
        <w:t xml:space="preserve">, </w:t>
      </w:r>
      <w:r w:rsidR="006A3371" w:rsidRPr="006A3371">
        <w:rPr>
          <w:rFonts w:ascii="Arial" w:hAnsi="Arial" w:cs="Arial"/>
        </w:rPr>
        <w:t>חבר</w:t>
      </w:r>
      <w:r w:rsidR="006A3371">
        <w:t xml:space="preserve">, </w:t>
      </w:r>
      <w:r w:rsidRPr="002B376E">
        <w:rPr>
          <w:rFonts w:ascii="Arial" w:hAnsi="Arial" w:cs="Arial"/>
        </w:rPr>
        <w:t>ישרים</w:t>
      </w:r>
      <w:r w:rsidR="006A3371">
        <w:rPr>
          <w:rFonts w:ascii="Arial" w:eastAsiaTheme="minorHAnsi" w:hAnsi="Arial" w:cs="Arial"/>
        </w:rPr>
        <w:t>[</w:t>
      </w:r>
      <w:r w:rsidR="006A3371" w:rsidRPr="006A3371">
        <w:rPr>
          <w:rFonts w:ascii="Arial" w:hAnsi="Arial" w:cs="Arial"/>
        </w:rPr>
        <w:t>מ</w:t>
      </w:r>
      <w:r w:rsidR="006A3371">
        <w:rPr>
          <w:rFonts w:ascii="Arial" w:hAnsi="Arial" w:cs="Arial"/>
        </w:rPr>
        <w:t>]</w:t>
      </w:r>
      <w:r w:rsidRPr="002B376E">
        <w:t>), as are religious terms such as words for God, gods, idols, and sacred vessels, and expressions for time (</w:t>
      </w:r>
      <w:r w:rsidR="006A3371" w:rsidRPr="006A3371">
        <w:rPr>
          <w:rFonts w:ascii="Arial" w:hAnsi="Arial" w:cs="Arial"/>
        </w:rPr>
        <w:t>עת</w:t>
      </w:r>
      <w:r w:rsidR="006A3371">
        <w:t xml:space="preserve">, </w:t>
      </w:r>
      <w:r w:rsidRPr="002B376E">
        <w:rPr>
          <w:rFonts w:ascii="Arial" w:hAnsi="Arial" w:cs="Arial"/>
        </w:rPr>
        <w:t>שנים</w:t>
      </w:r>
      <w:r w:rsidRPr="002B376E">
        <w:t>,</w:t>
      </w:r>
      <w:r w:rsidR="006A3371">
        <w:t xml:space="preserve"> </w:t>
      </w:r>
      <w:r w:rsidR="006A3371" w:rsidRPr="006A3371">
        <w:rPr>
          <w:rFonts w:ascii="Arial" w:hAnsi="Arial" w:cs="Arial"/>
        </w:rPr>
        <w:t>קץ</w:t>
      </w:r>
      <w:r w:rsidR="006A3371">
        <w:t xml:space="preserve">, </w:t>
      </w:r>
      <w:r w:rsidR="006A3371" w:rsidRPr="006A3371">
        <w:rPr>
          <w:rFonts w:ascii="Arial" w:hAnsi="Arial" w:cs="Arial"/>
        </w:rPr>
        <w:t>מועד</w:t>
      </w:r>
      <w:r w:rsidRPr="002B376E">
        <w:t xml:space="preserve">). Several words appear with particular frequency: </w:t>
      </w:r>
      <w:r w:rsidRPr="002B376E">
        <w:rPr>
          <w:rFonts w:ascii="Arial" w:hAnsi="Arial" w:cs="Arial"/>
        </w:rPr>
        <w:t>עמד</w:t>
      </w:r>
      <w:r w:rsidR="006A3371">
        <w:t xml:space="preserve"> (arise/stand/raise,</w:t>
      </w:r>
      <w:r w:rsidRPr="002B376E">
        <w:t xml:space="preserve"> sixteen times), </w:t>
      </w:r>
      <w:r w:rsidRPr="002B376E">
        <w:rPr>
          <w:rFonts w:ascii="Arial" w:hAnsi="Arial" w:cs="Arial"/>
        </w:rPr>
        <w:t>בא</w:t>
      </w:r>
      <w:r w:rsidR="006A3371">
        <w:t xml:space="preserve"> (come/attack/bring,</w:t>
      </w:r>
      <w:r w:rsidRPr="002B376E">
        <w:t xml:space="preserve"> twelve times), </w:t>
      </w:r>
      <w:r w:rsidRPr="002B376E">
        <w:rPr>
          <w:rFonts w:ascii="Arial" w:hAnsi="Arial" w:cs="Arial"/>
        </w:rPr>
        <w:t>שוב</w:t>
      </w:r>
      <w:r w:rsidR="006A3371">
        <w:t xml:space="preserve"> (turn/return/do again,</w:t>
      </w:r>
      <w:r w:rsidRPr="002B376E">
        <w:t xml:space="preserve"> twelve times), </w:t>
      </w:r>
      <w:r w:rsidRPr="002B376E">
        <w:rPr>
          <w:rFonts w:ascii="Arial" w:hAnsi="Arial" w:cs="Arial"/>
        </w:rPr>
        <w:t>עשה</w:t>
      </w:r>
      <w:r w:rsidR="006A3371">
        <w:t xml:space="preserve"> (</w:t>
      </w:r>
      <w:r w:rsidRPr="002B376E">
        <w:t>make/act/</w:t>
      </w:r>
      <w:r w:rsidR="006A3371">
        <w:t>do,</w:t>
      </w:r>
      <w:r w:rsidRPr="002B376E">
        <w:t xml:space="preserve"> ten times). These verbal phenomena contribute to the drawin</w:t>
      </w:r>
      <w:r w:rsidR="006A3371">
        <w:t>g of patterns in history</w:t>
      </w:r>
      <w:r w:rsidRPr="002B376E">
        <w:t>: for example, kings who seem to have the power to do as they will but who are then frustrated and fall (vv 3, 16, 36); kings who seek to seal alliances by means of marriages, and fail (vv 6, 17); more generally, the ceaseless movement and warring between north and south, the unending rise and fall of rulers and empires with their awesome power and authority yet their less acknowledged constraints and transience</w:t>
      </w:r>
      <w:r w:rsidR="006A3371">
        <w:t>. Some of the terms are taken on</w:t>
      </w:r>
      <w:r w:rsidRPr="002B376E">
        <w:t xml:space="preserve"> from chap.</w:t>
      </w:r>
      <w:r w:rsidR="006A3371">
        <w:t xml:space="preserve"> 10 into chap. 11 or </w:t>
      </w:r>
      <w:r w:rsidRPr="002B376E">
        <w:t xml:space="preserve">from chap. 11 into chap. 12 (e.g., </w:t>
      </w:r>
      <w:r w:rsidRPr="002B376E">
        <w:rPr>
          <w:rFonts w:ascii="Arial" w:hAnsi="Arial" w:cs="Arial"/>
        </w:rPr>
        <w:t>עמד</w:t>
      </w:r>
      <w:r w:rsidRPr="002B376E">
        <w:t xml:space="preserve">; </w:t>
      </w:r>
      <w:r w:rsidRPr="002B376E">
        <w:rPr>
          <w:rFonts w:ascii="Arial" w:hAnsi="Arial" w:cs="Arial"/>
        </w:rPr>
        <w:t>חזק</w:t>
      </w:r>
      <w:r w:rsidR="005E7AF6">
        <w:t xml:space="preserve"> and other terms for strength</w:t>
      </w:r>
      <w:r w:rsidRPr="002B376E">
        <w:t>);</w:t>
      </w:r>
      <w:r w:rsidR="005E7AF6">
        <w:rPr>
          <w:rStyle w:val="FootnoteReference"/>
        </w:rPr>
        <w:footnoteReference w:id="628"/>
      </w:r>
      <w:r w:rsidRPr="002B376E">
        <w:t xml:space="preserve"> they thus establish links and contrasts between the different forms of s</w:t>
      </w:r>
      <w:r w:rsidR="005E7AF6">
        <w:t>trength and authority that the</w:t>
      </w:r>
      <w:r w:rsidRPr="002B376E">
        <w:t xml:space="preserve"> chapters portray.</w:t>
      </w:r>
      <w:r w:rsidR="003C02F9">
        <w:t xml:space="preserve"> The book of Daniel “redefines ‘strength</w:t>
      </w:r>
      <w:r w:rsidR="00F347E3">
        <w:t>’ for the faithful in stark contrast to that of the battling powers of Antiochus and his armies.”</w:t>
      </w:r>
      <w:r w:rsidR="00F347E3" w:rsidRPr="00F347E3">
        <w:rPr>
          <w:vertAlign w:val="superscript"/>
        </w:rPr>
        <w:footnoteReference w:id="629"/>
      </w:r>
    </w:p>
    <w:p w:rsidR="002B376E" w:rsidRPr="002B376E" w:rsidRDefault="002B376E" w:rsidP="002B376E">
      <w:r w:rsidRPr="002B376E">
        <w:t>On the basis of overlaps, repetitions, and unevennesses, it has been suggested that an earlier form of the section lacked some of 10:1; 10:20–11:1; 12:5–13, in whole or in part,</w:t>
      </w:r>
      <w:r w:rsidR="006322F1">
        <w:t xml:space="preserve"> or conversely lacked the bulk of chap. 11,</w:t>
      </w:r>
      <w:r w:rsidR="005E7AF6">
        <w:rPr>
          <w:rStyle w:val="FootnoteReference"/>
        </w:rPr>
        <w:footnoteReference w:id="630"/>
      </w:r>
      <w:r w:rsidR="00F74682">
        <w:t xml:space="preserve"> along with</w:t>
      </w:r>
      <w:r w:rsidRPr="002B376E">
        <w:t xml:space="preserve"> some explanatory phrases such as “the northern king” in 11:11 (BHS) and the explicit reference in Egypt in </w:t>
      </w:r>
      <w:r w:rsidR="005E7AF6">
        <w:t>11:8</w:t>
      </w:r>
      <w:r w:rsidRPr="002B376E">
        <w:t>.</w:t>
      </w:r>
      <w:r w:rsidR="005E7AF6">
        <w:rPr>
          <w:rStyle w:val="FootnoteReference"/>
        </w:rPr>
        <w:footnoteReference w:id="631"/>
      </w:r>
      <w:r w:rsidRPr="002B376E">
        <w:t xml:space="preserve"> Carroll looks at the </w:t>
      </w:r>
      <w:r w:rsidR="00F74682">
        <w:t xml:space="preserve">developing </w:t>
      </w:r>
      <w:r w:rsidRPr="002B376E">
        <w:t>sequence of estimated periods in 12:7, 11–12 in the light of Festinger’s studies of how groups cope wit</w:t>
      </w:r>
      <w:r w:rsidR="005E7AF6">
        <w:t>h nonfulfillment of prophecies</w:t>
      </w:r>
      <w:r w:rsidRPr="002B376E">
        <w:t>.</w:t>
      </w:r>
      <w:r w:rsidR="005E7AF6">
        <w:rPr>
          <w:rStyle w:val="FootnoteReference"/>
        </w:rPr>
        <w:footnoteReference w:id="632"/>
      </w:r>
    </w:p>
    <w:p w:rsidR="002B376E" w:rsidRPr="002B376E" w:rsidRDefault="002B376E" w:rsidP="002B376E">
      <w:pPr>
        <w:pStyle w:val="Heading3"/>
      </w:pPr>
      <w:r w:rsidRPr="002B376E">
        <w:lastRenderedPageBreak/>
        <w:t>Setting</w:t>
      </w:r>
    </w:p>
    <w:p w:rsidR="002B376E" w:rsidRDefault="002B376E" w:rsidP="002B376E"/>
    <w:p w:rsidR="00916917" w:rsidRDefault="005E7AF6" w:rsidP="002B376E">
      <w:r>
        <w:t>T</w:t>
      </w:r>
      <w:r w:rsidR="002B376E" w:rsidRPr="002B376E">
        <w:t xml:space="preserve">he Hellenistic period </w:t>
      </w:r>
      <w:r>
        <w:t xml:space="preserve">has been described </w:t>
      </w:r>
      <w:r w:rsidR="002B376E" w:rsidRPr="002B376E">
        <w:t>as one of secularization, materialism, economic activity, exploitation, and militarization,</w:t>
      </w:r>
      <w:r>
        <w:rPr>
          <w:rStyle w:val="FootnoteReference"/>
        </w:rPr>
        <w:footnoteReference w:id="633"/>
      </w:r>
      <w:r w:rsidR="00F74682">
        <w:t xml:space="preserve"> and more of </w:t>
      </w:r>
      <w:r w:rsidR="00CF4C1D">
        <w:t>the element</w:t>
      </w:r>
      <w:r w:rsidR="00E70E66">
        <w:t>s</w:t>
      </w:r>
      <w:r w:rsidR="00CF4C1D">
        <w:t xml:space="preserve"> in </w:t>
      </w:r>
      <w:r w:rsidR="00F74682">
        <w:t>such a profile</w:t>
      </w:r>
      <w:r w:rsidR="00CF4C1D">
        <w:t xml:space="preserve"> are</w:t>
      </w:r>
      <w:r w:rsidR="002B376E" w:rsidRPr="002B376E">
        <w:t xml:space="preserve"> visible as the background of cha</w:t>
      </w:r>
      <w:r w:rsidR="00E70E66">
        <w:t>ps. 10–12 than were visible in</w:t>
      </w:r>
      <w:r w:rsidR="002B376E" w:rsidRPr="002B376E">
        <w:t xml:space="preserve"> earlier c</w:t>
      </w:r>
      <w:r>
        <w:t xml:space="preserve">hapters. While Greek rule </w:t>
      </w:r>
      <w:r w:rsidR="00223B05">
        <w:t xml:space="preserve">and culture thus </w:t>
      </w:r>
      <w:r w:rsidR="002B376E" w:rsidRPr="002B376E">
        <w:t>had a prof</w:t>
      </w:r>
      <w:r w:rsidR="00E70E66">
        <w:t>ound influence on Palestine, Ba‘</w:t>
      </w:r>
      <w:r w:rsidR="002B376E" w:rsidRPr="002B376E">
        <w:t>al Šamem is a S</w:t>
      </w:r>
      <w:r w:rsidR="00223B05">
        <w:t>yrian god, and t</w:t>
      </w:r>
      <w:r w:rsidR="002B376E" w:rsidRPr="002B376E">
        <w:t>h</w:t>
      </w:r>
      <w:r>
        <w:t xml:space="preserve">e Antiochene period </w:t>
      </w:r>
      <w:r w:rsidR="00223B05">
        <w:t>once more brings to a head questions about the relationship between Israel’s faith and that of other Middle Eastern religions</w:t>
      </w:r>
      <w:r w:rsidR="00B4371D">
        <w:t>,</w:t>
      </w:r>
      <w:r w:rsidR="00223B05">
        <w:t xml:space="preserve"> </w:t>
      </w:r>
      <w:r w:rsidR="00B4371D">
        <w:t>as well as its</w:t>
      </w:r>
      <w:r>
        <w:t xml:space="preserve"> relationship to Hellenism</w:t>
      </w:r>
      <w:r w:rsidR="002B376E" w:rsidRPr="002B376E">
        <w:t>.</w:t>
      </w:r>
      <w:r>
        <w:rPr>
          <w:rStyle w:val="FootnoteReference"/>
        </w:rPr>
        <w:footnoteReference w:id="634"/>
      </w:r>
      <w:r w:rsidR="002B376E" w:rsidRPr="002B376E">
        <w:t xml:space="preserve"> The chapters’ specific historical setting a</w:t>
      </w:r>
      <w:r>
        <w:t>t the point where quasi-prediction gives way to actual prediction</w:t>
      </w:r>
      <w:r w:rsidR="002B376E" w:rsidRPr="002B376E">
        <w:t xml:space="preserve"> lies after the outbreak of resistance to Antiochus IV so</w:t>
      </w:r>
      <w:r w:rsidR="001455F4">
        <w:t>me time between 167 and 164</w:t>
      </w:r>
      <w:r>
        <w:t>.</w:t>
      </w:r>
      <w:r w:rsidR="002B376E" w:rsidRPr="002B376E">
        <w:t xml:space="preserve"> It reflects the beliefs and pressures of conservative Jews, </w:t>
      </w:r>
      <w:r w:rsidR="00F74682">
        <w:t xml:space="preserve">who might be identified with </w:t>
      </w:r>
      <w:r w:rsidR="002B376E" w:rsidRPr="002B376E">
        <w:t>the</w:t>
      </w:r>
      <w:r w:rsidR="00A5406F">
        <w:t xml:space="preserve"> “ḥ</w:t>
      </w:r>
      <w:r>
        <w:t xml:space="preserve">asidim” </w:t>
      </w:r>
      <w:r w:rsidR="00F74682">
        <w:t xml:space="preserve">or “committed” </w:t>
      </w:r>
      <w:r>
        <w:t>of 1 Macc 2:42. The</w:t>
      </w:r>
      <w:r w:rsidR="002B376E" w:rsidRPr="002B376E">
        <w:t xml:space="preserve"> </w:t>
      </w:r>
      <w:r w:rsidR="00A5406F">
        <w:t>ḥ</w:t>
      </w:r>
      <w:r>
        <w:t>asidim</w:t>
      </w:r>
      <w:r w:rsidRPr="005E7AF6">
        <w:t xml:space="preserve"> </w:t>
      </w:r>
      <w:r w:rsidR="002B376E" w:rsidRPr="002B376E">
        <w:t>can later be divided into more and less militarist groups; here this divi</w:t>
      </w:r>
      <w:r w:rsidR="00F74682">
        <w:t xml:space="preserve">sion is possible </w:t>
      </w:r>
      <w:r w:rsidR="00A5406F">
        <w:t>but not explicit. Although the ḥ</w:t>
      </w:r>
      <w:r w:rsidR="00F74682">
        <w:t>asidim</w:t>
      </w:r>
      <w:r w:rsidR="002B376E" w:rsidRPr="002B376E">
        <w:t xml:space="preserve"> may be characterized as a transformationist sect set over against reformist Jews (see chap. 7 </w:t>
      </w:r>
      <w:r w:rsidR="002B376E" w:rsidRPr="005E7AF6">
        <w:rPr>
          <w:i/>
        </w:rPr>
        <w:t>Setting</w:t>
      </w:r>
      <w:r w:rsidR="002B376E" w:rsidRPr="002B376E">
        <w:t>), their emphasis on the multitude, the main body of the community, indicates that they had a vision for the people as a whole; in this sense the</w:t>
      </w:r>
      <w:r>
        <w:t>ir mentality was not sectarian</w:t>
      </w:r>
      <w:r w:rsidR="002B376E" w:rsidRPr="002B376E">
        <w:t>.</w:t>
      </w:r>
      <w:r>
        <w:rPr>
          <w:rStyle w:val="FootnoteReference"/>
        </w:rPr>
        <w:footnoteReference w:id="635"/>
      </w:r>
      <w:r w:rsidR="002B376E" w:rsidRPr="002B376E">
        <w:t xml:space="preserve"> They are anti-Seleucid but not explicitly anti-Hellenistic or pro-Ptolemaic. </w:t>
      </w:r>
      <w:r w:rsidR="00727AFE">
        <w:t xml:space="preserve">Dan </w:t>
      </w:r>
      <w:r w:rsidR="002B376E" w:rsidRPr="002B376E">
        <w:t xml:space="preserve">10:2–3 suggests that the group </w:t>
      </w:r>
      <w:r w:rsidR="002577E5">
        <w:t xml:space="preserve">was one that </w:t>
      </w:r>
      <w:r w:rsidR="002B376E" w:rsidRPr="002B376E">
        <w:t xml:space="preserve">respected </w:t>
      </w:r>
      <w:r w:rsidR="002577E5">
        <w:t>“</w:t>
      </w:r>
      <w:r w:rsidR="002B376E" w:rsidRPr="002B376E">
        <w:t>mantic activity</w:t>
      </w:r>
      <w:r w:rsidR="002577E5">
        <w:t xml:space="preserve">” </w:t>
      </w:r>
      <w:r w:rsidR="000F78B0">
        <w:t xml:space="preserve">in the sense of </w:t>
      </w:r>
      <w:r w:rsidR="002577E5">
        <w:t>the attempt to open oneself to God in a way that might lead to God revealing something</w:t>
      </w:r>
      <w:r w:rsidR="002B376E" w:rsidRPr="002B376E">
        <w:t xml:space="preserve">. </w:t>
      </w:r>
    </w:p>
    <w:p w:rsidR="00A14C8D" w:rsidRPr="00A14C8D" w:rsidRDefault="002B376E" w:rsidP="00A14C8D">
      <w:r w:rsidRPr="002B376E">
        <w:t xml:space="preserve">Stylistic differences </w:t>
      </w:r>
      <w:r w:rsidR="00916917">
        <w:t xml:space="preserve">in chaps. 10—12 </w:t>
      </w:r>
      <w:r w:rsidRPr="002B376E">
        <w:t xml:space="preserve">may indicate a different author </w:t>
      </w:r>
      <w:r w:rsidR="00727AFE">
        <w:t>from that of previous chapters</w:t>
      </w:r>
      <w:r w:rsidRPr="002B376E">
        <w:t>,</w:t>
      </w:r>
      <w:r w:rsidR="00727AFE">
        <w:rPr>
          <w:rStyle w:val="FootnoteReference"/>
        </w:rPr>
        <w:footnoteReference w:id="636"/>
      </w:r>
      <w:r w:rsidRPr="002B376E">
        <w:t xml:space="preserve"> but if so, the author comes from the same group.</w:t>
      </w:r>
      <w:r w:rsidR="004F04A3">
        <w:t xml:space="preserve"> The</w:t>
      </w:r>
      <w:r w:rsidR="00916917">
        <w:t xml:space="preserve"> chapters</w:t>
      </w:r>
      <w:r w:rsidR="002577E5">
        <w:t xml:space="preserve"> gain</w:t>
      </w:r>
      <w:r w:rsidRPr="002B376E">
        <w:t xml:space="preserve"> special emphasis by their length and their location at the end of the book. The</w:t>
      </w:r>
      <w:r w:rsidR="002577E5">
        <w:t xml:space="preserve">ir introduction </w:t>
      </w:r>
      <w:r w:rsidRPr="002B376E">
        <w:t>is particularly complex and awesome, with a number</w:t>
      </w:r>
      <w:r w:rsidR="004F04A3">
        <w:t xml:space="preserve"> of celestial beings involved. I</w:t>
      </w:r>
      <w:r w:rsidR="00B4371D">
        <w:t xml:space="preserve">t provides a </w:t>
      </w:r>
      <w:r w:rsidRPr="002B376E">
        <w:t>concrete “metaphysical</w:t>
      </w:r>
      <w:r w:rsidR="002577E5">
        <w:t xml:space="preserve"> backdrop” to the quasi-prediction</w:t>
      </w:r>
      <w:r w:rsidR="00B4371D">
        <w:t xml:space="preserve"> in chap. 11.</w:t>
      </w:r>
      <w:r w:rsidR="002577E5">
        <w:rPr>
          <w:rStyle w:val="FootnoteReference"/>
        </w:rPr>
        <w:footnoteReference w:id="637"/>
      </w:r>
      <w:r w:rsidR="00B4371D">
        <w:t xml:space="preserve"> F</w:t>
      </w:r>
      <w:r w:rsidRPr="002B376E">
        <w:t>ollowing on the symbolic dream and vision of chaps. 7 and 8 and the still cryptic script</w:t>
      </w:r>
      <w:r w:rsidR="00B4371D">
        <w:t>ural exposition of chap. 9, chap. 11</w:t>
      </w:r>
      <w:r w:rsidRPr="002B376E">
        <w:t xml:space="preserve"> offers the plainest and most </w:t>
      </w:r>
      <w:r w:rsidR="002577E5">
        <w:t>clear-cut of the quasi-predictions</w:t>
      </w:r>
      <w:r w:rsidRPr="002B376E">
        <w:t>, explain</w:t>
      </w:r>
      <w:r w:rsidR="002577E5">
        <w:t>ing and decoding what precedes</w:t>
      </w:r>
      <w:r w:rsidRPr="002B376E">
        <w:t>.</w:t>
      </w:r>
      <w:r w:rsidR="002577E5">
        <w:rPr>
          <w:rStyle w:val="FootnoteReference"/>
        </w:rPr>
        <w:footnoteReference w:id="638"/>
      </w:r>
      <w:r w:rsidRPr="002B376E">
        <w:t xml:space="preserve"> The account of the End </w:t>
      </w:r>
      <w:r w:rsidR="00B4371D">
        <w:t xml:space="preserve">in 11:40—12:3 </w:t>
      </w:r>
      <w:r w:rsidRPr="002B376E">
        <w:t xml:space="preserve">complements the earlier portrait of the lasting reign of the holy ones, the vindication of the temple, and the downfall of the desolater, by working out some of their implications for people whom death seems to rob of the chance to see or </w:t>
      </w:r>
      <w:r w:rsidR="004F04A3">
        <w:t>share in them. Th</w:t>
      </w:r>
      <w:r w:rsidR="00D76621">
        <w:t xml:space="preserve">roughout, </w:t>
      </w:r>
      <w:r w:rsidR="004F04A3">
        <w:t>links with</w:t>
      </w:r>
      <w:r w:rsidRPr="002B376E">
        <w:t xml:space="preserve"> the </w:t>
      </w:r>
      <w:r w:rsidR="004F04A3">
        <w:t xml:space="preserve">earlier </w:t>
      </w:r>
      <w:r w:rsidRPr="002B376E">
        <w:t>visions are pointed</w:t>
      </w:r>
      <w:r w:rsidR="002577E5">
        <w:t xml:space="preserve"> up by links of vocabulary</w:t>
      </w:r>
      <w:r w:rsidR="009F7333">
        <w:t>, with a possible implication that Daniel “grows” as a seer through the book</w:t>
      </w:r>
      <w:r w:rsidRPr="002B376E">
        <w:t>.</w:t>
      </w:r>
      <w:r w:rsidR="009F7333">
        <w:rPr>
          <w:rStyle w:val="FootnoteReference"/>
        </w:rPr>
        <w:footnoteReference w:id="639"/>
      </w:r>
      <w:r w:rsidRPr="002B376E">
        <w:t xml:space="preserve"> The repeated concluding instructions (12:4, 9, 13) enhance </w:t>
      </w:r>
      <w:r w:rsidR="00D76621">
        <w:t>a sense that the book is coming to its end,</w:t>
      </w:r>
      <w:r w:rsidR="002577E5">
        <w:rPr>
          <w:rStyle w:val="FootnoteReference"/>
        </w:rPr>
        <w:footnoteReference w:id="640"/>
      </w:r>
      <w:r w:rsidR="00A14C8D">
        <w:t xml:space="preserve"> and “m</w:t>
      </w:r>
      <w:r w:rsidR="00A14C8D" w:rsidRPr="00A14C8D">
        <w:t>ention of Daniel’s death in 12:13 clearly indicates the closure of the book.”</w:t>
      </w:r>
      <w:r w:rsidR="00A14C8D" w:rsidRPr="00A14C8D">
        <w:rPr>
          <w:vertAlign w:val="superscript"/>
        </w:rPr>
        <w:footnoteReference w:id="641"/>
      </w:r>
    </w:p>
    <w:p w:rsidR="002B376E" w:rsidRDefault="002B376E" w:rsidP="002B376E">
      <w:r w:rsidRPr="002B376E">
        <w:t xml:space="preserve">This closing section of Daniel </w:t>
      </w:r>
      <w:r w:rsidR="004F04A3">
        <w:t xml:space="preserve">also </w:t>
      </w:r>
      <w:r w:rsidRPr="002B376E">
        <w:t xml:space="preserve">links back to its opening chapter. 10:1 introduces chaps. 10–12 as a story about Daniel like chaps. 1–6, uses the name Belteshazzar, refers to Cyrus, and relates an incident in the king’s third year (cf. 1:1, 7, 21). 10:2–3 recalls 1:8–16 as well as 9:3. We are to read a </w:t>
      </w:r>
      <w:r w:rsidRPr="002B376E">
        <w:lastRenderedPageBreak/>
        <w:t>vision received by the hero portrayed in chaps. 1–6.</w:t>
      </w:r>
      <w:r w:rsidR="002577E5">
        <w:rPr>
          <w:rStyle w:val="FootnoteReference"/>
        </w:rPr>
        <w:footnoteReference w:id="642"/>
      </w:r>
      <w:r w:rsidRPr="002B376E">
        <w:t xml:space="preserve"> It is a vision relating to leaders experiencing the same afflictions as are described in chaps. 1–6—sword (2:6, 12–13), fire (chap. 3), exile (chap. 1), and becoming prey (chap. 6): see 11:33. They are confronti</w:t>
      </w:r>
      <w:r w:rsidR="00D76621">
        <w:t>ng an overweening king like th</w:t>
      </w:r>
      <w:r w:rsidRPr="002B376E">
        <w:t xml:space="preserve">e </w:t>
      </w:r>
      <w:r w:rsidR="00D76621">
        <w:t>kings of chaps. 4–5: see 11:36. I</w:t>
      </w:r>
      <w:r w:rsidRPr="002B376E">
        <w:t>f he does not turn like the first</w:t>
      </w:r>
      <w:r w:rsidR="002577E5">
        <w:t xml:space="preserve"> king</w:t>
      </w:r>
      <w:r w:rsidRPr="002B376E">
        <w:t>, he will fall like the second</w:t>
      </w:r>
      <w:r w:rsidR="002577E5">
        <w:t xml:space="preserve"> king</w:t>
      </w:r>
      <w:r w:rsidRPr="002B376E">
        <w:t xml:space="preserve">. They are challenged to acknowledge their God and offer firm resistance (cf. chaps. 3; 6) and to purify themselves (cf. chap. 1): see 11:32, 35; 12:10. They are to be steadfast in sharing the fruits of their discernment (cf. chaps. 1–2; 4–5, especially the use of </w:t>
      </w:r>
      <w:r w:rsidRPr="002B376E">
        <w:rPr>
          <w:rFonts w:ascii="Arial" w:hAnsi="Arial" w:cs="Arial"/>
        </w:rPr>
        <w:t>שכל</w:t>
      </w:r>
      <w:r w:rsidRPr="002B376E">
        <w:t xml:space="preserve"> and </w:t>
      </w:r>
      <w:r w:rsidRPr="002B376E">
        <w:rPr>
          <w:rFonts w:ascii="Arial" w:hAnsi="Arial" w:cs="Arial"/>
        </w:rPr>
        <w:t>בין</w:t>
      </w:r>
      <w:r w:rsidRPr="002B376E">
        <w:t xml:space="preserve"> in 1:4, 17, 20): see 11:33.</w:t>
      </w:r>
      <w:r w:rsidR="000E5135">
        <w:t xml:space="preserve"> The promise of resurrection in chap. 12 takes up the motif of miraculous deliverance from death in chaps. 3 and 6.</w:t>
      </w:r>
      <w:r w:rsidR="000E5135">
        <w:rPr>
          <w:rStyle w:val="FootnoteReference"/>
        </w:rPr>
        <w:footnoteReference w:id="643"/>
      </w:r>
    </w:p>
    <w:p w:rsidR="002B376E" w:rsidRPr="002B376E" w:rsidRDefault="002B376E" w:rsidP="002B376E">
      <w:pPr>
        <w:pStyle w:val="Heading2"/>
      </w:pPr>
      <w:r w:rsidRPr="002B376E">
        <w:t>Comment</w:t>
      </w:r>
    </w:p>
    <w:p w:rsidR="002B376E" w:rsidRPr="002B376E" w:rsidRDefault="002B376E" w:rsidP="002B376E">
      <w:r w:rsidRPr="0064348D">
        <w:rPr>
          <w:b/>
        </w:rPr>
        <w:t>10:1</w:t>
      </w:r>
      <w:r w:rsidRPr="002B376E">
        <w:t xml:space="preserve"> The opening verse sum</w:t>
      </w:r>
      <w:r w:rsidR="00903F9C">
        <w:t>marizes chaps. 10–12 as a whole by introducing</w:t>
      </w:r>
      <w:r w:rsidRPr="002B376E">
        <w:t xml:space="preserve"> the motifs of the </w:t>
      </w:r>
      <w:r w:rsidR="00903F9C">
        <w:t xml:space="preserve">trustworthy </w:t>
      </w:r>
      <w:r w:rsidRPr="002B376E">
        <w:t xml:space="preserve">revelation </w:t>
      </w:r>
      <w:r w:rsidR="0064348D">
        <w:t>that comes to Daniel</w:t>
      </w:r>
      <w:r w:rsidRPr="002B376E">
        <w:t>, the conflicts chap. 11 describes, and the understanding Dani</w:t>
      </w:r>
      <w:r w:rsidR="00903F9C">
        <w:t>el then receives</w:t>
      </w:r>
      <w:r w:rsidRPr="002B376E">
        <w:t xml:space="preserve">. The date “in the third year of Cyrus” fits the pattern of other Danielic dates (see 1:1 </w:t>
      </w:r>
      <w:r w:rsidRPr="00903F9C">
        <w:rPr>
          <w:i/>
        </w:rPr>
        <w:t>Comment</w:t>
      </w:r>
      <w:r w:rsidRPr="002B376E">
        <w:t xml:space="preserve">, 2:1 </w:t>
      </w:r>
      <w:r w:rsidRPr="00903F9C">
        <w:rPr>
          <w:i/>
        </w:rPr>
        <w:t>Comment</w:t>
      </w:r>
      <w:r w:rsidRPr="002B376E">
        <w:t>) but it may be significant in its own right: it takes us beyond the first year of Cyrus mentioned in 1:21, which should herald the fulfillment of Jeremiah’s seventy-years prophecy and the restoration of the temple as the exiles are free to return to Jerusalem (Ezra 1:1–3), into and apparently beyond “the second year of their arrival” (Ezra 3:8), when they were able to begin the restoration but were soon caused to give up (Ezra 4:24). The disappointment associated with the beginning of Israel’s restoration from exile is countered by a promise of final restoration (12:1–3).</w:t>
      </w:r>
      <w:r w:rsidR="00903F9C">
        <w:rPr>
          <w:rStyle w:val="FootnoteReference"/>
        </w:rPr>
        <w:footnoteReference w:id="644"/>
      </w:r>
    </w:p>
    <w:p w:rsidR="002B376E" w:rsidRPr="002B376E" w:rsidRDefault="002B376E" w:rsidP="002B376E">
      <w:r w:rsidRPr="00903F9C">
        <w:rPr>
          <w:b/>
        </w:rPr>
        <w:t>10:2–3</w:t>
      </w:r>
      <w:r w:rsidR="00903F9C">
        <w:t xml:space="preserve"> The date </w:t>
      </w:r>
      <w:r w:rsidRPr="002B376E">
        <w:t xml:space="preserve">thus provides the background to the “mourning” of vv 2–3, which emerges from a context parallel to that of 9:1–2 and has similar significance to Daniel’s seeking God in 9:3 (see 9:3–23 </w:t>
      </w:r>
      <w:r w:rsidRPr="00AA3D36">
        <w:rPr>
          <w:i/>
        </w:rPr>
        <w:t>Comment</w:t>
      </w:r>
      <w:r w:rsidRPr="002B376E">
        <w:t xml:space="preserve"> [h]). Mourning (</w:t>
      </w:r>
      <w:r w:rsidRPr="002B376E">
        <w:rPr>
          <w:rFonts w:ascii="Arial" w:hAnsi="Arial" w:cs="Arial"/>
        </w:rPr>
        <w:t>אבל</w:t>
      </w:r>
      <w:r w:rsidRPr="002B376E">
        <w:t>) is the response to the stat</w:t>
      </w:r>
      <w:r w:rsidR="002A4EF6">
        <w:t>e of Jerusalem in Isa 66:10; see</w:t>
      </w:r>
      <w:r w:rsidRPr="002B376E">
        <w:t xml:space="preserve"> also 60:20; 61:2–3; Neh 1:4; 8:9. There is less ground here than in chap. 9 for taking the mourni</w:t>
      </w:r>
      <w:r w:rsidR="00AA3D36">
        <w:t>ng to denote penance (against JB</w:t>
      </w:r>
      <w:r w:rsidRPr="002B376E">
        <w:t xml:space="preserve">). As in chap. 9, mourning expresses itself in fasting in the </w:t>
      </w:r>
      <w:r w:rsidR="00AA3D36">
        <w:t>sense of abstention</w:t>
      </w:r>
      <w:r w:rsidRPr="002B376E">
        <w:t xml:space="preserve"> from festal food and even from the everyday grooming of a respectable person (2 Sam 12:20; 14:2; Qoh 9:7–10; Jdt 10:3). The three-week period will be explained by v 13; </w:t>
      </w:r>
      <w:r w:rsidR="009A3BD2">
        <w:t>Daniel commits himself to fasting until he gets a response from God. T</w:t>
      </w:r>
      <w:r w:rsidRPr="002B376E">
        <w:t>here is also perhaps an implication that Daniel’s self-affliction goes far beyond the three-day perio</w:t>
      </w:r>
      <w:r w:rsidR="00AA3D36">
        <w:t>ds of Exod 19:10–16; Esth 4:16</w:t>
      </w:r>
      <w:r w:rsidRPr="002B376E">
        <w:t>.</w:t>
      </w:r>
      <w:r w:rsidR="00AA3D36">
        <w:rPr>
          <w:rStyle w:val="FootnoteReference"/>
        </w:rPr>
        <w:footnoteReference w:id="645"/>
      </w:r>
    </w:p>
    <w:p w:rsidR="002B376E" w:rsidRPr="002B376E" w:rsidRDefault="002B376E" w:rsidP="002B376E">
      <w:r w:rsidRPr="00AA3D36">
        <w:rPr>
          <w:b/>
        </w:rPr>
        <w:t>10:4</w:t>
      </w:r>
      <w:r w:rsidR="00AA3D36">
        <w:t xml:space="preserve"> The date implie</w:t>
      </w:r>
      <w:r w:rsidRPr="002B376E">
        <w:t>s that Daniel’s fast will have included the feasts of Passover and Unleavened Bread, which Antiochus “turned into mourning” as he made them impossible of proper observance (1 Macc 1:39, 45). Daniel shares in anticipation in this “mourning.” Twenty-fou</w:t>
      </w:r>
      <w:r w:rsidR="00AA3D36">
        <w:t>r days also equals 3 1/2 weeks, which might</w:t>
      </w:r>
      <w:r w:rsidRPr="002B376E">
        <w:t xml:space="preserve"> indicate that the vision comes halfway through a week of years.</w:t>
      </w:r>
      <w:r w:rsidR="00AA3D36">
        <w:rPr>
          <w:rStyle w:val="FootnoteReference"/>
        </w:rPr>
        <w:footnoteReference w:id="646"/>
      </w:r>
    </w:p>
    <w:p w:rsidR="002B376E" w:rsidRPr="002B376E" w:rsidRDefault="002B376E" w:rsidP="002B376E">
      <w:r w:rsidRPr="00AA3D36">
        <w:rPr>
          <w:b/>
        </w:rPr>
        <w:t>10:5–</w:t>
      </w:r>
      <w:r w:rsidR="0039350B">
        <w:rPr>
          <w:b/>
        </w:rPr>
        <w:t>6</w:t>
      </w:r>
      <w:r w:rsidRPr="002B376E">
        <w:t xml:space="preserve"> The appearing of the man in linen (vv 5–6) reflects that of the supernatural beings in Ezek 1; 9–10 (see </w:t>
      </w:r>
      <w:r w:rsidRPr="00C0126B">
        <w:rPr>
          <w:i/>
        </w:rPr>
        <w:t>Form</w:t>
      </w:r>
      <w:r w:rsidRPr="002B376E">
        <w:t>). Linen is the garb of a priest; here as in Ezek 9–10 the servants of the heavenly temple concern themselves with the affairs of its earthly equivalent. The details of the description in v 6, as in Ezek 1, combine to suggest the impression of the dazzling brightness and awesome splendor of a heavenly being.</w:t>
      </w:r>
    </w:p>
    <w:p w:rsidR="00A9465D" w:rsidRDefault="0039350B" w:rsidP="002B376E">
      <w:pPr>
        <w:rPr>
          <w:rFonts w:eastAsia="Times New Roman" w:cs="Times New Roman"/>
        </w:rPr>
      </w:pPr>
      <w:r>
        <w:rPr>
          <w:b/>
        </w:rPr>
        <w:t>10:7</w:t>
      </w:r>
      <w:r w:rsidRPr="0039350B">
        <w:rPr>
          <w:b/>
        </w:rPr>
        <w:t>–19</w:t>
      </w:r>
      <w:r w:rsidRPr="0039350B">
        <w:t xml:space="preserve"> </w:t>
      </w:r>
      <w:r w:rsidR="002B376E" w:rsidRPr="002B376E">
        <w:t>This effect c</w:t>
      </w:r>
      <w:r>
        <w:t>ontinues in</w:t>
      </w:r>
      <w:r w:rsidR="00CF1FF8">
        <w:t xml:space="preserve"> the </w:t>
      </w:r>
      <w:r>
        <w:t xml:space="preserve">description of the </w:t>
      </w:r>
      <w:r w:rsidR="00CF1FF8">
        <w:t>dismayed reactions of Daniel’</w:t>
      </w:r>
      <w:r w:rsidR="002B376E" w:rsidRPr="002B376E">
        <w:t xml:space="preserve">s companions and of Daniel himself to the sight and sound reported in vv 4–6, and the stages by which Daniel is restored. The man in linen is not described as a “holy one,” but the verses illustrate “the idea of the holy” as suggesting fundamentally a splendor that inspires awe rather than a purity </w:t>
      </w:r>
      <w:r>
        <w:t xml:space="preserve">that evokes an </w:t>
      </w:r>
      <w:r>
        <w:lastRenderedPageBreak/>
        <w:t>awareness of sin.</w:t>
      </w:r>
      <w:r w:rsidR="00C0126B">
        <w:rPr>
          <w:rStyle w:val="FootnoteReference"/>
        </w:rPr>
        <w:footnoteReference w:id="647"/>
      </w:r>
      <w:r>
        <w:t xml:space="preserve"> Daniel is</w:t>
      </w:r>
      <w:r w:rsidR="002B376E" w:rsidRPr="002B376E">
        <w:t xml:space="preserve"> almost seeing God and hearing God, and almost losing his life as a consequence (see Exod 3</w:t>
      </w:r>
      <w:r w:rsidR="00C0126B">
        <w:t>3:20; Deut 4:33; Judg 6:22–23).</w:t>
      </w:r>
      <w:r w:rsidR="00C0126B">
        <w:rPr>
          <w:rStyle w:val="FootnoteReference"/>
        </w:rPr>
        <w:footnoteReference w:id="648"/>
      </w:r>
      <w:r w:rsidR="00C0126B">
        <w:t xml:space="preserve"> </w:t>
      </w:r>
      <w:r w:rsidR="002B376E" w:rsidRPr="002B376E">
        <w:t xml:space="preserve">We are told successively how his companions fled in terror, how Daniel was overcome by weakness, and how he fell into a trance (see 8:18 </w:t>
      </w:r>
      <w:r w:rsidR="002B376E" w:rsidRPr="00C0126B">
        <w:rPr>
          <w:i/>
        </w:rPr>
        <w:t>Comment</w:t>
      </w:r>
      <w:r w:rsidR="002B376E" w:rsidRPr="002B376E">
        <w:t>). We are then told successively how he was touched and</w:t>
      </w:r>
      <w:r w:rsidR="00C0126B">
        <w:t xml:space="preserve"> raised to his hands and knees and </w:t>
      </w:r>
      <w:r w:rsidR="002B376E" w:rsidRPr="002B376E">
        <w:t>then to a standing but bowed position, then touched and enabled to voice his weakness, then touched and encouraged to listen to the messenger. It is perhaps significant that he is now addressed as “man held in high regard” (v 11, contrast 9:23</w:t>
      </w:r>
      <w:r>
        <w:t xml:space="preserve">): he has been devastated, </w:t>
      </w:r>
      <w:r w:rsidR="002B376E" w:rsidRPr="002B376E">
        <w:t>given the life of an animal on all fours, then restored to his human st</w:t>
      </w:r>
      <w:r w:rsidR="00AA3D36">
        <w:t>anding (cf. chap. 7).</w:t>
      </w:r>
      <w:r w:rsidR="00AA3D36" w:rsidRPr="00AA3D36">
        <w:rPr>
          <w:vertAlign w:val="superscript"/>
        </w:rPr>
        <w:footnoteReference w:id="649"/>
      </w:r>
      <w:r w:rsidR="00A9465D">
        <w:t xml:space="preserve"> “</w:t>
      </w:r>
      <w:r w:rsidR="00A9465D" w:rsidRPr="00A9465D">
        <w:rPr>
          <w:rFonts w:eastAsia="Times New Roman" w:cs="Times New Roman"/>
        </w:rPr>
        <w:t>It is especially important that Daniel pay heed to the angel’s words because he is</w:t>
      </w:r>
      <w:r w:rsidR="00A9465D">
        <w:rPr>
          <w:rFonts w:eastAsia="Times New Roman" w:cs="Times New Roman"/>
        </w:rPr>
        <w:t xml:space="preserve"> not offering any quick resolu</w:t>
      </w:r>
      <w:r w:rsidR="00A9465D" w:rsidRPr="00A9465D">
        <w:rPr>
          <w:rFonts w:eastAsia="Times New Roman" w:cs="Times New Roman"/>
        </w:rPr>
        <w:t>tion to Daniel’s grief; there are yet many sorrows to come</w:t>
      </w:r>
      <w:r w:rsidR="00A9465D">
        <w:rPr>
          <w:rFonts w:eastAsia="Times New Roman" w:cs="Times New Roman"/>
        </w:rPr>
        <w:t>.”</w:t>
      </w:r>
      <w:r w:rsidR="00A9465D">
        <w:rPr>
          <w:rStyle w:val="FootnoteReference"/>
          <w:rFonts w:eastAsia="Times New Roman" w:cs="Times New Roman"/>
        </w:rPr>
        <w:footnoteReference w:id="650"/>
      </w:r>
    </w:p>
    <w:p w:rsidR="002B376E" w:rsidRPr="002B376E" w:rsidRDefault="002B376E" w:rsidP="002B376E">
      <w:r w:rsidRPr="002B376E">
        <w:t xml:space="preserve">It is not clear how many </w:t>
      </w:r>
      <w:r w:rsidR="00C0126B">
        <w:t>supernatural beings appear</w:t>
      </w:r>
      <w:r w:rsidR="0039350B">
        <w:t xml:space="preserve"> in the section</w:t>
      </w:r>
      <w:r w:rsidRPr="002B376E">
        <w:t>. In 12:5–6 there are two others apart from the m</w:t>
      </w:r>
      <w:r w:rsidR="0039350B">
        <w:t xml:space="preserve">an in linen, and so it may </w:t>
      </w:r>
      <w:r w:rsidRPr="002B376E">
        <w:t xml:space="preserve">be here, but the seer does not make it explicit. The man in linen (vv 5–6) may be Michael </w:t>
      </w:r>
      <w:r w:rsidR="00625E8E">
        <w:t xml:space="preserve">(on whom see 7:12-13 </w:t>
      </w:r>
      <w:r w:rsidR="00625E8E">
        <w:rPr>
          <w:i/>
        </w:rPr>
        <w:t>Comment</w:t>
      </w:r>
      <w:r w:rsidR="00625E8E">
        <w:t>)</w:t>
      </w:r>
      <w:r w:rsidR="00625E8E">
        <w:rPr>
          <w:i/>
        </w:rPr>
        <w:t xml:space="preserve"> </w:t>
      </w:r>
      <w:r w:rsidRPr="002B376E">
        <w:t>and the subsequent speaker</w:t>
      </w:r>
      <w:r w:rsidR="00625E8E">
        <w:t xml:space="preserve"> may be</w:t>
      </w:r>
      <w:r w:rsidRPr="002B376E">
        <w:t xml:space="preserve"> Gabriel, though—if so—it is odd </w:t>
      </w:r>
      <w:r w:rsidR="00C0126B">
        <w:t xml:space="preserve">that the names are not </w:t>
      </w:r>
      <w:r w:rsidRPr="002B376E">
        <w:t xml:space="preserve">applied to the figures, nor are the links noted (contrast 9:21); nor does the reference to </w:t>
      </w:r>
      <w:r w:rsidR="00625E8E">
        <w:t>Michael in 10</w:t>
      </w:r>
      <w:r w:rsidR="00C0126B">
        <w:t>:</w:t>
      </w:r>
      <w:r w:rsidR="00625E8E">
        <w:t>2</w:t>
      </w:r>
      <w:r w:rsidR="00C0126B">
        <w:t>1 mention his being</w:t>
      </w:r>
      <w:r w:rsidRPr="002B376E">
        <w:t xml:space="preserve"> present. </w:t>
      </w:r>
      <w:r w:rsidR="00276CD1" w:rsidRPr="00276CD1">
        <w:t>The figure in v</w:t>
      </w:r>
      <w:r w:rsidR="00276CD1">
        <w:t>v</w:t>
      </w:r>
      <w:r w:rsidR="00276CD1" w:rsidRPr="00276CD1">
        <w:t xml:space="preserve"> 11</w:t>
      </w:r>
      <w:r w:rsidR="00276CD1">
        <w:t>-12</w:t>
      </w:r>
      <w:r w:rsidR="00276CD1" w:rsidRPr="00276CD1">
        <w:t xml:space="preserve"> has t</w:t>
      </w:r>
      <w:r w:rsidR="00276CD1">
        <w:t>he task of speaking,</w:t>
      </w:r>
      <w:r w:rsidR="00276CD1" w:rsidRPr="00276CD1">
        <w:t xml:space="preserve"> </w:t>
      </w:r>
      <w:r w:rsidR="00276CD1">
        <w:t xml:space="preserve">not acting, </w:t>
      </w:r>
      <w:r w:rsidR="00276CD1" w:rsidRPr="00276CD1">
        <w:t>and the</w:t>
      </w:r>
      <w:r w:rsidR="00276CD1">
        <w:t xml:space="preserve"> description of his role</w:t>
      </w:r>
      <w:r w:rsidR="00276CD1" w:rsidRPr="00276CD1">
        <w:t xml:space="preserve"> corresponds to that of Gabriel in 9:20–23; so also v 14.</w:t>
      </w:r>
      <w:r w:rsidR="0039350B">
        <w:t xml:space="preserve"> If Gabriel</w:t>
      </w:r>
      <w:r w:rsidR="00276CD1">
        <w:t xml:space="preserve"> is</w:t>
      </w:r>
      <w:r w:rsidR="0039350B">
        <w:t xml:space="preserve"> the man in linen, then he i</w:t>
      </w:r>
      <w:r w:rsidR="00276CD1">
        <w:t>s be</w:t>
      </w:r>
      <w:r w:rsidR="0039350B">
        <w:t>ing</w:t>
      </w:r>
      <w:r w:rsidR="00276CD1">
        <w:t xml:space="preserve"> </w:t>
      </w:r>
      <w:r w:rsidRPr="002B376E">
        <w:t>described in m</w:t>
      </w:r>
      <w:r w:rsidR="00276CD1">
        <w:t>ore awesome terms than were</w:t>
      </w:r>
      <w:r w:rsidR="0039350B">
        <w:t xml:space="preserve"> used of Gabriel previously.</w:t>
      </w:r>
      <w:r w:rsidR="00276CD1">
        <w:t xml:space="preserve"> </w:t>
      </w:r>
      <w:r w:rsidR="0039350B">
        <w:t xml:space="preserve">They are terms </w:t>
      </w:r>
      <w:r w:rsidR="00276CD1">
        <w:t>l</w:t>
      </w:r>
      <w:r w:rsidR="0039350B">
        <w:t>ike those used of God in Ezek 1, though</w:t>
      </w:r>
      <w:r w:rsidRPr="002B376E">
        <w:t xml:space="preserve"> they need not </w:t>
      </w:r>
      <w:r w:rsidR="0039350B">
        <w:t>indicate that the person is God</w:t>
      </w:r>
      <w:r w:rsidRPr="002B376E">
        <w:t xml:space="preserve"> or represents God (like the messenger of Yahweh, e.g., Gen 16), only that the passage</w:t>
      </w:r>
      <w:r w:rsidR="00C0126B">
        <w:t>s have this literary connection.</w:t>
      </w:r>
      <w:r w:rsidR="00C0126B">
        <w:rPr>
          <w:rStyle w:val="FootnoteReference"/>
        </w:rPr>
        <w:footnoteReference w:id="651"/>
      </w:r>
      <w:r w:rsidR="00C0126B">
        <w:t xml:space="preserve"> </w:t>
      </w:r>
      <w:r w:rsidR="0039350B">
        <w:t>The man in linen</w:t>
      </w:r>
      <w:r w:rsidRPr="002B376E">
        <w:t xml:space="preserve"> might be the one who spoke with Gabriel in 8:16.</w:t>
      </w:r>
      <w:r w:rsidR="00C0126B">
        <w:rPr>
          <w:rStyle w:val="FootnoteReference"/>
        </w:rPr>
        <w:footnoteReference w:id="652"/>
      </w:r>
      <w:r w:rsidR="0039350B">
        <w:t xml:space="preserve"> </w:t>
      </w:r>
      <w:r w:rsidRPr="002B376E">
        <w:t>There is no reason to link any o</w:t>
      </w:r>
      <w:r w:rsidR="0039350B">
        <w:t xml:space="preserve">f the figures here </w:t>
      </w:r>
      <w:r w:rsidRPr="002B376E">
        <w:t xml:space="preserve">with the humanlike figure of 7:13. Like chap. 7, </w:t>
      </w:r>
      <w:r w:rsidR="0039350B">
        <w:t xml:space="preserve">then, </w:t>
      </w:r>
      <w:r w:rsidRPr="002B376E">
        <w:t xml:space="preserve">the scene has the allusiveness that often characterizes vision reports and the visionary experience itself, and </w:t>
      </w:r>
      <w:r w:rsidR="0039350B">
        <w:t>exegesis has to</w:t>
      </w:r>
      <w:r w:rsidRPr="002B376E">
        <w:t xml:space="preserve"> preserve this allusiveness. It heightens the awesomeness of what is described.</w:t>
      </w:r>
    </w:p>
    <w:p w:rsidR="002B376E" w:rsidRDefault="002B376E" w:rsidP="002B376E">
      <w:r w:rsidRPr="002B376E">
        <w:t>Like other ancient Near Eastern writings, the OT assumes that the results of battles on earth reflect the involvement of heaven. Usually the picture is of heavenly forces</w:t>
      </w:r>
      <w:r w:rsidR="00CF1FF8">
        <w:t xml:space="preserve"> aiding Israel and enabling it</w:t>
      </w:r>
      <w:r w:rsidRPr="002B376E">
        <w:t xml:space="preserve"> to win against otherwise overwhelming earthly forces. Yahweh and his armies fight with Israel’s armies: hence Israel’s victories against impossible odds (Num 10:35–36; Deut 33:2–3; Judg 5:19–20; cf. 1QM 12; Ha</w:t>
      </w:r>
      <w:r w:rsidR="0039350B">
        <w:t xml:space="preserve">b 3; Ps 68). There is a </w:t>
      </w:r>
      <w:r w:rsidRPr="002B376E">
        <w:t xml:space="preserve">parallel between the structure of heaven as </w:t>
      </w:r>
      <w:r w:rsidR="00461A8E">
        <w:t>portrayed in Canaanite myths</w:t>
      </w:r>
      <w:r w:rsidRPr="002B376E">
        <w:t xml:space="preserve"> and as t</w:t>
      </w:r>
      <w:r w:rsidR="00CF1FF8">
        <w:t>he OT sees it, but in the OT</w:t>
      </w:r>
      <w:r w:rsidRPr="002B376E">
        <w:t xml:space="preserve"> the “gods” are merely the servants of the one Yahweh. The exodus story gives Yahweh’s mess</w:t>
      </w:r>
      <w:r w:rsidR="00276CD1">
        <w:t>enger a key role in connection with</w:t>
      </w:r>
      <w:r w:rsidRPr="002B376E">
        <w:t xml:space="preserve"> Israel’s victorious progress (Exod 14:19; 23:20</w:t>
      </w:r>
      <w:r w:rsidR="00461A8E">
        <w:t>, 23; 32:34; 33:2); the Joshua</w:t>
      </w:r>
      <w:r w:rsidRPr="002B376E">
        <w:t xml:space="preserve"> story pictures the involvement of the commander of Yahweh’s armies (Josh 5:14–15). Where Israel </w:t>
      </w:r>
      <w:r w:rsidR="00461A8E">
        <w:t xml:space="preserve">loses, it means </w:t>
      </w:r>
      <w:r w:rsidR="00CF1FF8">
        <w:t xml:space="preserve">he </w:t>
      </w:r>
      <w:r w:rsidR="00461A8E">
        <w:t>has been fighting</w:t>
      </w:r>
      <w:r w:rsidR="00CF1FF8">
        <w:t xml:space="preserve"> against them; o</w:t>
      </w:r>
      <w:r w:rsidRPr="002B376E">
        <w:t xml:space="preserve">ther heavenly powers </w:t>
      </w:r>
      <w:r w:rsidR="00461A8E">
        <w:t xml:space="preserve">may </w:t>
      </w:r>
      <w:r w:rsidRPr="002B376E">
        <w:t xml:space="preserve">still </w:t>
      </w:r>
      <w:r w:rsidR="00461A8E">
        <w:t xml:space="preserve">be </w:t>
      </w:r>
      <w:r w:rsidRPr="002B376E">
        <w:t>act</w:t>
      </w:r>
      <w:r w:rsidR="00461A8E">
        <w:t>ing</w:t>
      </w:r>
      <w:r w:rsidRPr="002B376E">
        <w:t xml:space="preserve"> as his servants (cf. Deut 29:26;</w:t>
      </w:r>
      <w:r w:rsidR="00CF1FF8">
        <w:t xml:space="preserve"> 32:8 4QDeut, LXX; </w:t>
      </w:r>
      <w:r w:rsidR="002A35EE">
        <w:t xml:space="preserve">Sirach </w:t>
      </w:r>
      <w:r w:rsidR="00CF1FF8">
        <w:t>17:17). But a few passages</w:t>
      </w:r>
      <w:r w:rsidRPr="002B376E">
        <w:t xml:space="preserve"> suggest that there are heavenly armies that oppose Yahweh, so that earthly battles reflect battles in heaven; whichever side wins in heaven, its equivalent wins on earth. Heavenly beings who oppose Yahweh are destined for punishment (Isa 24:21; Ezek 28, if the </w:t>
      </w:r>
      <w:r w:rsidR="00B13647">
        <w:t>leader</w:t>
      </w:r>
      <w:r w:rsidRPr="002B376E">
        <w:t xml:space="preserve"> of Tyre is the heavenly figure who is id</w:t>
      </w:r>
      <w:r w:rsidR="00CF1FF8">
        <w:t>entified with Tyre; Ps 82</w:t>
      </w:r>
      <w:r w:rsidRPr="002B376E">
        <w:t xml:space="preserve">; </w:t>
      </w:r>
      <w:r w:rsidRPr="00F3262F">
        <w:rPr>
          <w:i/>
        </w:rPr>
        <w:t>1 Enoch</w:t>
      </w:r>
      <w:r w:rsidRPr="002B376E">
        <w:t xml:space="preserve"> 89–90; 2 Macc 5).</w:t>
      </w:r>
    </w:p>
    <w:p w:rsidR="002B376E" w:rsidRPr="002B376E" w:rsidRDefault="00276CD1" w:rsidP="002B376E">
      <w:r>
        <w:t>It is un</w:t>
      </w:r>
      <w:r w:rsidR="002B376E" w:rsidRPr="002B376E">
        <w:t>clear how the description of affairs in heaven in</w:t>
      </w:r>
      <w:r w:rsidR="002F3D33">
        <w:t xml:space="preserve"> 10:13 and 10:20–11:1 is to be placed</w:t>
      </w:r>
      <w:r w:rsidR="002B376E" w:rsidRPr="002B376E">
        <w:t xml:space="preserve"> in relation to this broader OT material. The description is again equivocal, though perhaps for reasons </w:t>
      </w:r>
      <w:r w:rsidR="002B376E" w:rsidRPr="002B376E">
        <w:lastRenderedPageBreak/>
        <w:t>different from those that a</w:t>
      </w:r>
      <w:r w:rsidR="00CF1FF8">
        <w:t xml:space="preserve">pply to the figure(s) </w:t>
      </w:r>
      <w:r w:rsidR="002B376E" w:rsidRPr="002B376E">
        <w:t xml:space="preserve">in </w:t>
      </w:r>
      <w:r w:rsidR="00461A8E">
        <w:t>the vision, if</w:t>
      </w:r>
      <w:r w:rsidR="00CF1FF8">
        <w:t xml:space="preserve"> </w:t>
      </w:r>
      <w:r w:rsidR="00461A8E">
        <w:t>seer and audience could</w:t>
      </w:r>
      <w:r w:rsidR="00CF1FF8">
        <w:t xml:space="preserve"> </w:t>
      </w:r>
      <w:r w:rsidR="002B376E" w:rsidRPr="002B376E">
        <w:t>presuppose a frame of reference that clarified what is now unclear to us.</w:t>
      </w:r>
    </w:p>
    <w:p w:rsidR="002B376E" w:rsidRPr="002B376E" w:rsidRDefault="00CF1FF8" w:rsidP="002B376E">
      <w:r>
        <w:t>The conflict presupposed</w:t>
      </w:r>
      <w:r w:rsidR="002B376E" w:rsidRPr="002B376E">
        <w:t xml:space="preserve"> here</w:t>
      </w:r>
      <w:r w:rsidR="00AD07CC">
        <w:rPr>
          <w:rStyle w:val="FootnoteReference"/>
        </w:rPr>
        <w:footnoteReference w:id="653"/>
      </w:r>
      <w:r w:rsidR="002B376E" w:rsidRPr="002B376E">
        <w:t xml:space="preserve"> may be a verbal/legal one with the representative of Persia, as in the scenes in Zech 3 and Job 1–2,</w:t>
      </w:r>
      <w:r w:rsidR="002F3D33">
        <w:rPr>
          <w:rStyle w:val="FootnoteReference"/>
        </w:rPr>
        <w:footnoteReference w:id="654"/>
      </w:r>
      <w:r w:rsidR="002B376E" w:rsidRPr="002B376E">
        <w:t xml:space="preserve"> or one involving a warri</w:t>
      </w:r>
      <w:r w:rsidR="002F3D33">
        <w:t>or seeking to halt a messenger</w:t>
      </w:r>
      <w:r w:rsidR="002B376E" w:rsidRPr="002B376E">
        <w:t>,</w:t>
      </w:r>
      <w:r w:rsidR="002F3D33">
        <w:rPr>
          <w:rStyle w:val="FootnoteReference"/>
        </w:rPr>
        <w:footnoteReference w:id="655"/>
      </w:r>
      <w:r w:rsidR="002B376E" w:rsidRPr="002B376E">
        <w:t xml:space="preserve"> or a “physical” strugg</w:t>
      </w:r>
      <w:r w:rsidR="002F3D33">
        <w:t>le between supernatural armies</w:t>
      </w:r>
      <w:r w:rsidR="002B376E" w:rsidRPr="002B376E">
        <w:t>:</w:t>
      </w:r>
      <w:r w:rsidR="002F3D33">
        <w:rPr>
          <w:rStyle w:val="FootnoteReference"/>
        </w:rPr>
        <w:footnoteReference w:id="656"/>
      </w:r>
      <w:r w:rsidR="002F3D33">
        <w:t xml:space="preserve"> compare</w:t>
      </w:r>
      <w:r w:rsidR="002B376E" w:rsidRPr="002B376E">
        <w:t xml:space="preserve"> the appearance in the heavenly scene of the Persian kings, presumably heavenly equivalents of the earthly kings who appear in 11:2.</w:t>
      </w:r>
      <w:r w:rsidR="00461A8E" w:rsidRPr="00461A8E">
        <w:rPr>
          <w:vertAlign w:val="superscript"/>
        </w:rPr>
        <w:footnoteReference w:id="657"/>
      </w:r>
      <w:r w:rsidR="002B376E" w:rsidRPr="002B376E">
        <w:t xml:space="preserve"> The background to the Persian representative’s opposing the messenger may be the earthly</w:t>
      </w:r>
      <w:r w:rsidR="002F3D33">
        <w:t xml:space="preserve"> conflicts described in Ezra 4</w:t>
      </w:r>
      <w:r w:rsidR="002B376E" w:rsidRPr="002B376E">
        <w:t>,</w:t>
      </w:r>
      <w:r w:rsidR="002F3D33">
        <w:rPr>
          <w:rStyle w:val="FootnoteReference"/>
        </w:rPr>
        <w:footnoteReference w:id="658"/>
      </w:r>
      <w:r w:rsidR="00C51F91">
        <w:t xml:space="preserve"> or the conflicts</w:t>
      </w:r>
      <w:r w:rsidR="002B376E" w:rsidRPr="002B376E">
        <w:t xml:space="preserve"> to be announced in chap. 11: th</w:t>
      </w:r>
      <w:r w:rsidR="00C51F91">
        <w:t xml:space="preserve">e Persian representative will </w:t>
      </w:r>
      <w:r w:rsidR="002B376E" w:rsidRPr="002B376E">
        <w:t>w</w:t>
      </w:r>
      <w:r w:rsidR="00C51F91">
        <w:t>ish</w:t>
      </w:r>
      <w:r w:rsidR="002B376E" w:rsidRPr="002B376E">
        <w:t xml:space="preserve"> to avoid the declaring and thus the implementi</w:t>
      </w:r>
      <w:r w:rsidR="00C51F91">
        <w:t>ng of a message that speaks of</w:t>
      </w:r>
      <w:r w:rsidR="002B376E" w:rsidRPr="002B376E">
        <w:t xml:space="preserve"> the fall of the Persian empire, an event associated with the</w:t>
      </w:r>
      <w:r w:rsidR="002F3D33">
        <w:t xml:space="preserve"> end of the era (v 14).</w:t>
      </w:r>
      <w:r w:rsidR="002F3D33" w:rsidRPr="002F3D33">
        <w:rPr>
          <w:vertAlign w:val="superscript"/>
        </w:rPr>
        <w:footnoteReference w:id="659"/>
      </w:r>
    </w:p>
    <w:p w:rsidR="002B376E" w:rsidRPr="002B376E" w:rsidRDefault="002B376E" w:rsidP="002B376E">
      <w:r w:rsidRPr="002F3D33">
        <w:rPr>
          <w:b/>
        </w:rPr>
        <w:t>10:20–11:2a</w:t>
      </w:r>
      <w:r w:rsidRPr="002B376E">
        <w:t xml:space="preserve"> Three comments about the messenger’s purpose in coming and his intention with regard to the message (the opening of 10</w:t>
      </w:r>
      <w:r w:rsidR="000F3AAD">
        <w:t>:20, of 10:21, and of 11:2) interweave</w:t>
      </w:r>
      <w:r w:rsidRPr="002B376E">
        <w:t xml:space="preserve"> with two sayings about his conflicts (the bulk of 10:20 and of 10:21–11:1) in an a-b-a-b-a arrangement; cf. the a-b-a arrangement of similar material in 10:12–14. The effect is to tie </w:t>
      </w:r>
      <w:r w:rsidR="00625E8E" w:rsidRPr="00625E8E">
        <w:t xml:space="preserve">together </w:t>
      </w:r>
      <w:r w:rsidRPr="002B376E">
        <w:t>the delivering of the</w:t>
      </w:r>
      <w:r w:rsidR="000F3AAD">
        <w:t xml:space="preserve"> earthly message and the significance</w:t>
      </w:r>
      <w:r w:rsidRPr="002B376E">
        <w:t xml:space="preserve"> of the heavenly conflicts</w:t>
      </w:r>
      <w:r w:rsidR="00625E8E">
        <w:t xml:space="preserve">. The effect is thus also </w:t>
      </w:r>
      <w:r w:rsidR="000F3AAD">
        <w:t xml:space="preserve">to underline in </w:t>
      </w:r>
      <w:r w:rsidRPr="002B376E">
        <w:t xml:space="preserve">another way the </w:t>
      </w:r>
      <w:r w:rsidR="000F3AAD">
        <w:t xml:space="preserve">message’s importance, if its delivery was worth diverting </w:t>
      </w:r>
      <w:r w:rsidRPr="002B376E">
        <w:t>the messen</w:t>
      </w:r>
      <w:r w:rsidR="000F3AAD">
        <w:t>ger’s attention from such crucial conflicts (the sayings about the</w:t>
      </w:r>
      <w:r w:rsidRPr="002B376E">
        <w:t xml:space="preserve"> confli</w:t>
      </w:r>
      <w:r w:rsidR="000F3AAD">
        <w:t>cts are longer and thus</w:t>
      </w:r>
      <w:r w:rsidRPr="002B376E">
        <w:t xml:space="preserve"> more prominent</w:t>
      </w:r>
      <w:r w:rsidR="000F3AAD">
        <w:t>)</w:t>
      </w:r>
      <w:r w:rsidRPr="002B376E">
        <w:t>.</w:t>
      </w:r>
    </w:p>
    <w:p w:rsidR="002B376E" w:rsidRPr="002B376E" w:rsidRDefault="002B376E" w:rsidP="002B376E">
      <w:r w:rsidRPr="002B376E">
        <w:t>In v 20, the details of express</w:t>
      </w:r>
      <w:r w:rsidR="000F3AAD">
        <w:t>ion are again allusive, but apparently</w:t>
      </w:r>
      <w:r w:rsidRPr="002B376E">
        <w:t xml:space="preserve"> </w:t>
      </w:r>
      <w:r w:rsidR="000F3AAD">
        <w:t xml:space="preserve">the verse pictures the messenger </w:t>
      </w:r>
      <w:r w:rsidRPr="002B376E">
        <w:t>returning to resume the fight to ensure that Persia continues to be restrained from adversely affecting God’s purpose (espe</w:t>
      </w:r>
      <w:r w:rsidR="000F3AAD">
        <w:t xml:space="preserve">cially for Israel), but then pictures </w:t>
      </w:r>
      <w:r w:rsidRPr="002B376E">
        <w:t>the Greeks in turn taking up their attempt to implement their own will, which al</w:t>
      </w:r>
      <w:r w:rsidR="000F3AAD">
        <w:t>so threatens that purpose. The words do not imply</w:t>
      </w:r>
      <w:r w:rsidRPr="002B376E">
        <w:t xml:space="preserve"> that the nations oppose Israel in particular; Israel just happens to be in their way. </w:t>
      </w:r>
      <w:r w:rsidR="000F3AAD">
        <w:t>Chap. 11 implies t</w:t>
      </w:r>
      <w:r w:rsidRPr="002B376E">
        <w:t>he sam</w:t>
      </w:r>
      <w:r w:rsidR="000F3AAD">
        <w:t>e picture</w:t>
      </w:r>
      <w:r w:rsidR="002F3007">
        <w:t xml:space="preserve">. The celestial messenger is not speaking of the imperial nations’ </w:t>
      </w:r>
      <w:r w:rsidRPr="002B376E">
        <w:t>di</w:t>
      </w:r>
      <w:r w:rsidR="002F3007">
        <w:t>rect concern with Israel which</w:t>
      </w:r>
      <w:r w:rsidRPr="002B376E">
        <w:t xml:space="preserve"> is presupposed elsewhere when the nations are God’s agents in executing his wrath on Israel. The conflict between Persia or Greece and Israel is a politic</w:t>
      </w:r>
      <w:r w:rsidR="0004136C">
        <w:t>al, not a religious one</w:t>
      </w:r>
      <w:r w:rsidRPr="002B376E">
        <w:t>.</w:t>
      </w:r>
      <w:r w:rsidR="0004136C">
        <w:rPr>
          <w:rStyle w:val="FootnoteReference"/>
        </w:rPr>
        <w:footnoteReference w:id="660"/>
      </w:r>
      <w:r w:rsidR="002F3007">
        <w:t xml:space="preserve"> The messenger</w:t>
      </w:r>
      <w:r w:rsidRPr="002B376E">
        <w:t xml:space="preserve"> is </w:t>
      </w:r>
      <w:r w:rsidR="002F3007">
        <w:t xml:space="preserve">opposing </w:t>
      </w:r>
      <w:r w:rsidRPr="002B376E">
        <w:t>the heavenly correspondents of these earthly p</w:t>
      </w:r>
      <w:r w:rsidR="002F3007">
        <w:t xml:space="preserve">owers, supported </w:t>
      </w:r>
      <w:r w:rsidRPr="002B376E">
        <w:t xml:space="preserve">by Michael (v 21b)—not surprisingly, because the interests that </w:t>
      </w:r>
      <w:r w:rsidR="00C60CAA">
        <w:t>concern the messenger</w:t>
      </w:r>
      <w:r w:rsidRPr="002B376E">
        <w:t xml:space="preserve">, which focus on the purpose of God himself, are also the interests </w:t>
      </w:r>
      <w:r w:rsidR="0004136C">
        <w:t>of Michael’s own people, since</w:t>
      </w:r>
      <w:r w:rsidRPr="002B376E">
        <w:t xml:space="preserve"> they are central to that purpose. There is thus a common interest between the messenger and Michael,</w:t>
      </w:r>
      <w:r w:rsidR="0004136C">
        <w:t xml:space="preserve"> which made it appropriate </w:t>
      </w:r>
      <w:r w:rsidRPr="002B376E">
        <w:t xml:space="preserve">for the messenger to support Michael on another occasion (11:1). This </w:t>
      </w:r>
      <w:r w:rsidR="0004136C">
        <w:t xml:space="preserve">comment </w:t>
      </w:r>
      <w:r w:rsidRPr="002B376E">
        <w:t xml:space="preserve">might refer to the fall of Babylon to the Medes, an earlier historical event of key importance for Israel (see </w:t>
      </w:r>
      <w:r w:rsidR="0004136C">
        <w:t>5:31 [6:1</w:t>
      </w:r>
      <w:r w:rsidRPr="002B376E">
        <w:t xml:space="preserve">] </w:t>
      </w:r>
      <w:r w:rsidRPr="0004136C">
        <w:rPr>
          <w:i/>
        </w:rPr>
        <w:t>Comment</w:t>
      </w:r>
      <w:r w:rsidR="00056055">
        <w:t xml:space="preserve">), or to the </w:t>
      </w:r>
      <w:r w:rsidRPr="002B376E">
        <w:t xml:space="preserve">deliverance of Daniel (see chap. </w:t>
      </w:r>
      <w:r w:rsidR="00056055">
        <w:t xml:space="preserve">6), or to the </w:t>
      </w:r>
      <w:r w:rsidRPr="002B376E">
        <w:t>message in chap. 9 (see 9:1).</w:t>
      </w:r>
    </w:p>
    <w:p w:rsidR="002B376E" w:rsidRPr="002B376E" w:rsidRDefault="002B376E" w:rsidP="002B376E">
      <w:r w:rsidRPr="002B376E">
        <w:t>The “nevertheless” of v 21 indicates that the messenger is prepared to delay resuming his battles in order to deliver the revelation that follows. For the notion of a book detailing a program of events to take place, cf. the heavenly ta</w:t>
      </w:r>
      <w:r w:rsidR="0004136C">
        <w:t xml:space="preserve">blets of </w:t>
      </w:r>
      <w:r w:rsidR="0004136C" w:rsidRPr="00F3262F">
        <w:rPr>
          <w:i/>
        </w:rPr>
        <w:t>1 Enoch</w:t>
      </w:r>
      <w:r w:rsidR="0004136C">
        <w:t xml:space="preserve"> 81:93</w:t>
      </w:r>
      <w:r w:rsidRPr="002B376E">
        <w:t>;</w:t>
      </w:r>
      <w:r w:rsidR="0004136C">
        <w:rPr>
          <w:rStyle w:val="FootnoteReference"/>
        </w:rPr>
        <w:footnoteReference w:id="661"/>
      </w:r>
      <w:r w:rsidRPr="002B376E">
        <w:t xml:space="preserve"> regarding the individual, Ps 139:16.</w:t>
      </w:r>
    </w:p>
    <w:p w:rsidR="002B376E" w:rsidRPr="002B376E" w:rsidRDefault="002B376E" w:rsidP="002B376E">
      <w:r w:rsidRPr="0004136C">
        <w:rPr>
          <w:b/>
        </w:rPr>
        <w:t>11:2b–39</w:t>
      </w:r>
      <w:r w:rsidRPr="002B376E">
        <w:t xml:space="preserve"> The content of the message </w:t>
      </w:r>
      <w:r w:rsidR="00091B8D">
        <w:t xml:space="preserve">constitutes “a deep investigation of the intrinsic structures of history as they are disclosed by the detection of patterns in a detailed chronicle of </w:t>
      </w:r>
      <w:r w:rsidR="00091B8D">
        <w:lastRenderedPageBreak/>
        <w:t>events.”</w:t>
      </w:r>
      <w:r w:rsidR="00091B8D">
        <w:rPr>
          <w:rStyle w:val="FootnoteReference"/>
        </w:rPr>
        <w:footnoteReference w:id="662"/>
      </w:r>
      <w:r w:rsidR="00091B8D">
        <w:t xml:space="preserve"> It </w:t>
      </w:r>
      <w:r w:rsidRPr="002B376E">
        <w:t>combines a considerable amount of historical information on the Persian and Greek periods, especially the reigns of Antiochus III and IV,</w:t>
      </w:r>
      <w:r w:rsidR="00EE3CAD">
        <w:rPr>
          <w:rStyle w:val="FootnoteReference"/>
        </w:rPr>
        <w:footnoteReference w:id="663"/>
      </w:r>
      <w:r w:rsidRPr="002B376E">
        <w:t xml:space="preserve"> with interpretation by means of a considerable number</w:t>
      </w:r>
      <w:r w:rsidR="00B51680">
        <w:t xml:space="preserve"> of allusions to passages from the s</w:t>
      </w:r>
      <w:r w:rsidRPr="002B376E">
        <w:t>cripture</w:t>
      </w:r>
      <w:r w:rsidR="00B51680">
        <w:t>s</w:t>
      </w:r>
      <w:r w:rsidRPr="002B376E">
        <w:t xml:space="preserve"> (see </w:t>
      </w:r>
      <w:r w:rsidRPr="0004136C">
        <w:rPr>
          <w:i/>
        </w:rPr>
        <w:t>Form</w:t>
      </w:r>
      <w:r w:rsidRPr="002B376E">
        <w:t xml:space="preserve">). These </w:t>
      </w:r>
      <w:r w:rsidR="00394ACE">
        <w:t xml:space="preserve">allusions may imply </w:t>
      </w:r>
      <w:r w:rsidR="0004136C">
        <w:t xml:space="preserve">that the </w:t>
      </w:r>
      <w:r w:rsidR="00394ACE">
        <w:t>period’s history</w:t>
      </w:r>
      <w:r w:rsidR="0004136C">
        <w:t xml:space="preserve"> i</w:t>
      </w:r>
      <w:r w:rsidRPr="002B376E">
        <w:t>s a recapitulation of cris</w:t>
      </w:r>
      <w:r w:rsidR="00394ACE">
        <w:t>es in earlier centuries;</w:t>
      </w:r>
      <w:r w:rsidRPr="002B376E">
        <w:t xml:space="preserve"> typologically the earlier Assyrian enemy from the north stands for the Syri</w:t>
      </w:r>
      <w:r w:rsidR="0004136C">
        <w:t>ans and Sargon for Antiochus</w:t>
      </w:r>
      <w:r w:rsidRPr="002B376E">
        <w:t>.</w:t>
      </w:r>
      <w:r w:rsidR="0004136C">
        <w:rPr>
          <w:rStyle w:val="FootnoteReference"/>
        </w:rPr>
        <w:footnoteReference w:id="664"/>
      </w:r>
      <w:r w:rsidRPr="002B376E">
        <w:t xml:space="preserve"> Or they may portray this peri</w:t>
      </w:r>
      <w:r w:rsidR="00394ACE">
        <w:t xml:space="preserve">od as a fulfillment of </w:t>
      </w:r>
      <w:r w:rsidRPr="002B376E">
        <w:t>prophecies from Isaiah, Habakkuk, Numbers, and elsewhere, in the manner of 1QpHab.</w:t>
      </w:r>
      <w:r w:rsidR="0004136C">
        <w:rPr>
          <w:rStyle w:val="FootnoteReference"/>
        </w:rPr>
        <w:footnoteReference w:id="665"/>
      </w:r>
      <w:r w:rsidRPr="002B376E">
        <w:t xml:space="preserve"> Or they may simply illuminate the period without the chapte</w:t>
      </w:r>
      <w:r w:rsidR="00394ACE">
        <w:t>r presupposing a specific</w:t>
      </w:r>
      <w:r w:rsidRPr="002B376E">
        <w:t xml:space="preserve"> hermeneutical link between them and the events. Our chief sources for the history of the </w:t>
      </w:r>
      <w:r w:rsidR="00802E61">
        <w:t>events</w:t>
      </w:r>
      <w:r w:rsidRPr="002B376E">
        <w:t>, apart from Daniel itse</w:t>
      </w:r>
      <w:r w:rsidR="0004136C">
        <w:t xml:space="preserve">lf, are </w:t>
      </w:r>
      <w:r w:rsidR="00802E61" w:rsidRPr="00802E61">
        <w:t xml:space="preserve">1 and 2 Maccabees </w:t>
      </w:r>
      <w:r w:rsidR="00802E61">
        <w:t>(</w:t>
      </w:r>
      <w:r w:rsidR="00802E61" w:rsidRPr="00802E61">
        <w:t xml:space="preserve">first century BC), </w:t>
      </w:r>
      <w:r w:rsidR="0004136C">
        <w:t xml:space="preserve">the </w:t>
      </w:r>
      <w:r w:rsidRPr="002B376E">
        <w:t>Greek historian</w:t>
      </w:r>
      <w:r w:rsidR="00802E61">
        <w:t>s</w:t>
      </w:r>
      <w:r w:rsidRPr="002B376E">
        <w:t xml:space="preserve"> Polybius</w:t>
      </w:r>
      <w:r w:rsidR="0004136C">
        <w:t xml:space="preserve"> (second c</w:t>
      </w:r>
      <w:r w:rsidR="0004136C" w:rsidRPr="0004136C">
        <w:t>entury BC</w:t>
      </w:r>
      <w:r w:rsidR="0004136C">
        <w:t>)</w:t>
      </w:r>
      <w:r w:rsidR="00802E61">
        <w:t xml:space="preserve"> and </w:t>
      </w:r>
      <w:r w:rsidRPr="002B376E">
        <w:t>Diod</w:t>
      </w:r>
      <w:r w:rsidR="0004136C">
        <w:t>orus Siculus (first century BC</w:t>
      </w:r>
      <w:r w:rsidRPr="002B376E">
        <w:t>), the</w:t>
      </w:r>
      <w:r w:rsidR="0004136C">
        <w:t xml:space="preserve"> Roman historian</w:t>
      </w:r>
      <w:r w:rsidR="00802E61">
        <w:t>s</w:t>
      </w:r>
      <w:r w:rsidR="0004136C">
        <w:t xml:space="preserve"> Livy (c</w:t>
      </w:r>
      <w:r w:rsidR="00802E61">
        <w:t>.</w:t>
      </w:r>
      <w:r w:rsidR="0004136C">
        <w:t xml:space="preserve"> 59 BC—AD</w:t>
      </w:r>
      <w:r w:rsidR="00802E61">
        <w:t xml:space="preserve"> 17) and </w:t>
      </w:r>
      <w:r w:rsidR="0004136C">
        <w:t>Appian (second century AD</w:t>
      </w:r>
      <w:r w:rsidRPr="002B376E">
        <w:t xml:space="preserve">), </w:t>
      </w:r>
      <w:r w:rsidR="00802E61">
        <w:t xml:space="preserve">the Jewish historian </w:t>
      </w:r>
      <w:r w:rsidR="00802E61" w:rsidRPr="00802E61">
        <w:t>Josephus</w:t>
      </w:r>
      <w:r w:rsidR="00802E61">
        <w:t xml:space="preserve"> (first century AD)</w:t>
      </w:r>
      <w:r w:rsidR="00802E61" w:rsidRPr="00802E61">
        <w:t xml:space="preserve">, </w:t>
      </w:r>
      <w:r w:rsidRPr="002B376E">
        <w:t xml:space="preserve">and </w:t>
      </w:r>
      <w:r w:rsidR="00802E61">
        <w:t xml:space="preserve">the philosopher </w:t>
      </w:r>
      <w:r w:rsidRPr="002B376E">
        <w:t xml:space="preserve">Porphyry </w:t>
      </w:r>
      <w:r w:rsidR="00802E61">
        <w:t xml:space="preserve">(third century AD) </w:t>
      </w:r>
      <w:r w:rsidRPr="002B376E">
        <w:t>as quote</w:t>
      </w:r>
      <w:r w:rsidR="0004136C">
        <w:t>d by Jerome in his commentary on Daniel.</w:t>
      </w:r>
      <w:r w:rsidR="0004136C">
        <w:rPr>
          <w:rStyle w:val="FootnoteReference"/>
        </w:rPr>
        <w:footnoteReference w:id="666"/>
      </w:r>
    </w:p>
    <w:p w:rsidR="002B376E" w:rsidRPr="002B376E" w:rsidRDefault="002B376E" w:rsidP="002B376E">
      <w:r w:rsidRPr="002B376E">
        <w:t>Like narrative history</w:t>
      </w:r>
      <w:r w:rsidR="00802E61">
        <w:t xml:space="preserve">, quasi-predictive history </w:t>
      </w:r>
      <w:r w:rsidRPr="002B376E">
        <w:t>select</w:t>
      </w:r>
      <w:r w:rsidR="00802E61">
        <w:t>s</w:t>
      </w:r>
      <w:r w:rsidRPr="002B376E">
        <w:t xml:space="preserve"> and present</w:t>
      </w:r>
      <w:r w:rsidR="00802E61">
        <w:t>s</w:t>
      </w:r>
      <w:r w:rsidRPr="002B376E">
        <w:t xml:space="preserve"> its material on some principle, such as an interest in political or social or military or religious affairs, or in the achievements of great individuals. </w:t>
      </w:r>
      <w:r w:rsidR="00802E61">
        <w:t xml:space="preserve">Chaps. 10–12 focus more </w:t>
      </w:r>
      <w:r w:rsidR="005E0341" w:rsidRPr="002B376E">
        <w:t>on the Hellenis</w:t>
      </w:r>
      <w:r w:rsidR="00802E61">
        <w:t xml:space="preserve">tic period than </w:t>
      </w:r>
      <w:r w:rsidR="005E0341" w:rsidRPr="002B376E">
        <w:t>earlier chapters</w:t>
      </w:r>
      <w:r w:rsidR="00802E61">
        <w:t xml:space="preserve"> did</w:t>
      </w:r>
      <w:r w:rsidR="005E0341" w:rsidRPr="002B376E">
        <w:t xml:space="preserve">. While the time </w:t>
      </w:r>
      <w:r w:rsidR="00802E61">
        <w:t>of wrath may be the period beging</w:t>
      </w:r>
      <w:r w:rsidR="005E0341" w:rsidRPr="002B376E">
        <w:t xml:space="preserve"> with the ex</w:t>
      </w:r>
      <w:r w:rsidR="005E0341">
        <w:t>ile, there are fewer pointers in</w:t>
      </w:r>
      <w:r w:rsidR="005E0341" w:rsidRPr="002B376E">
        <w:t xml:space="preserve"> this </w:t>
      </w:r>
      <w:r w:rsidR="005E0341">
        <w:t xml:space="preserve">direction </w:t>
      </w:r>
      <w:r w:rsidR="005E0341" w:rsidRPr="002B376E">
        <w:t xml:space="preserve">than was the case in 8:19. </w:t>
      </w:r>
      <w:r w:rsidR="00EB1462">
        <w:t>T</w:t>
      </w:r>
      <w:r w:rsidR="005E0341">
        <w:t xml:space="preserve">he </w:t>
      </w:r>
      <w:r w:rsidR="00EB1462">
        <w:t xml:space="preserve">more specific </w:t>
      </w:r>
      <w:r w:rsidR="005E0341">
        <w:t xml:space="preserve">focus </w:t>
      </w:r>
      <w:r w:rsidR="00EB1462">
        <w:t>lie</w:t>
      </w:r>
      <w:r w:rsidRPr="002B376E">
        <w:t xml:space="preserve">s </w:t>
      </w:r>
      <w:r w:rsidR="00EB1462">
        <w:t xml:space="preserve">on </w:t>
      </w:r>
      <w:r w:rsidRPr="002B376E">
        <w:t xml:space="preserve">the career of Antiochus IV. </w:t>
      </w:r>
      <w:r w:rsidR="00EB1462">
        <w:t xml:space="preserve">The picture of him </w:t>
      </w:r>
      <w:r w:rsidR="00A60B43">
        <w:t>is “strangely lacking in individual traits”</w:t>
      </w:r>
      <w:r w:rsidR="00A60B43" w:rsidRPr="00A60B43">
        <w:rPr>
          <w:vertAlign w:val="superscript"/>
        </w:rPr>
        <w:footnoteReference w:id="667"/>
      </w:r>
      <w:r w:rsidR="00A60B43">
        <w:t xml:space="preserve"> because h</w:t>
      </w:r>
      <w:r w:rsidRPr="002B376E">
        <w:t>e is por</w:t>
      </w:r>
      <w:r w:rsidR="00CF7BA2">
        <w:t xml:space="preserve">trayed as a second-century BC </w:t>
      </w:r>
      <w:r w:rsidRPr="002B376E">
        <w:t xml:space="preserve">instance of the </w:t>
      </w:r>
      <w:r w:rsidR="00EB1462">
        <w:t xml:space="preserve">“type” of the </w:t>
      </w:r>
      <w:r w:rsidRPr="002B376E">
        <w:t xml:space="preserve">arrogant gentile warrior attacking the people of God (see </w:t>
      </w:r>
      <w:r w:rsidRPr="00CF7BA2">
        <w:rPr>
          <w:i/>
        </w:rPr>
        <w:t>Form</w:t>
      </w:r>
      <w:r w:rsidRPr="002B376E">
        <w:t xml:space="preserve">, </w:t>
      </w:r>
      <w:r w:rsidRPr="00CF7BA2">
        <w:rPr>
          <w:i/>
        </w:rPr>
        <w:t>Structure</w:t>
      </w:r>
      <w:r w:rsidRPr="002B376E">
        <w:t xml:space="preserve">). The historical facts </w:t>
      </w:r>
      <w:r w:rsidR="00EB1462">
        <w:t>that are included are ones illustrating</w:t>
      </w:r>
      <w:r w:rsidRPr="002B376E">
        <w:t xml:space="preserve"> this</w:t>
      </w:r>
      <w:r w:rsidR="00CF7BA2">
        <w:t xml:space="preserve"> portrayal</w:t>
      </w:r>
      <w:r w:rsidRPr="002B376E">
        <w:t>; the generalizations relate to the “type</w:t>
      </w:r>
      <w:r w:rsidR="00EB1462">
        <w:t>” that he</w:t>
      </w:r>
      <w:r w:rsidR="00CF7BA2">
        <w:t xml:space="preserve"> </w:t>
      </w:r>
      <w:r w:rsidRPr="002B376E">
        <w:t>fulfill</w:t>
      </w:r>
      <w:r w:rsidR="00CF7BA2">
        <w:t>s</w:t>
      </w:r>
      <w:r w:rsidRPr="002B376E">
        <w:t>, so that descriptions of his cleverness or dece</w:t>
      </w:r>
      <w:r w:rsidR="00C60CAA">
        <w:t>itfulness do not constitute</w:t>
      </w:r>
      <w:r w:rsidRPr="002B376E">
        <w:t xml:space="preserve"> attempts to characterize his personal individuality.</w:t>
      </w:r>
    </w:p>
    <w:p w:rsidR="00F03D2F" w:rsidRDefault="005E0341" w:rsidP="002B376E">
      <w:pPr>
        <w:rPr>
          <w:rFonts w:eastAsia="Times New Roman" w:cs="Times New Roman"/>
        </w:rPr>
      </w:pPr>
      <w:r>
        <w:t>Chap. 11 is “God’s mirror of the nations and their rulers. It is neither entertaining nor edifying to look into it, but it is wholesome and necessary.”</w:t>
      </w:r>
      <w:r>
        <w:rPr>
          <w:rStyle w:val="FootnoteReference"/>
        </w:rPr>
        <w:footnoteReference w:id="668"/>
      </w:r>
      <w:r>
        <w:t xml:space="preserve"> It is a story dominated by money, power, cunning, deception, </w:t>
      </w:r>
      <w:r w:rsidR="00EB1462">
        <w:t xml:space="preserve">and </w:t>
      </w:r>
      <w:r>
        <w:t xml:space="preserve">violence. </w:t>
      </w:r>
      <w:r w:rsidR="00C60CAA">
        <w:rPr>
          <w:rFonts w:eastAsia="Times New Roman" w:cs="Times New Roman"/>
        </w:rPr>
        <w:t xml:space="preserve">Given the bleakness </w:t>
      </w:r>
      <w:r w:rsidR="00F03D2F" w:rsidRPr="00F03D2F">
        <w:rPr>
          <w:rFonts w:eastAsia="Times New Roman" w:cs="Times New Roman"/>
        </w:rPr>
        <w:t xml:space="preserve">of </w:t>
      </w:r>
      <w:r>
        <w:rPr>
          <w:rFonts w:eastAsia="Times New Roman" w:cs="Times New Roman"/>
        </w:rPr>
        <w:t>this</w:t>
      </w:r>
      <w:r w:rsidR="00C60CAA">
        <w:rPr>
          <w:rFonts w:eastAsia="Times New Roman" w:cs="Times New Roman"/>
        </w:rPr>
        <w:t xml:space="preserve"> historical account</w:t>
      </w:r>
      <w:r w:rsidR="00F03D2F" w:rsidRPr="00F03D2F">
        <w:rPr>
          <w:rFonts w:eastAsia="Times New Roman" w:cs="Times New Roman"/>
        </w:rPr>
        <w:t xml:space="preserve">, why should Daniel not </w:t>
      </w:r>
      <w:r w:rsidR="00C60CAA">
        <w:rPr>
          <w:rFonts w:eastAsia="Times New Roman" w:cs="Times New Roman"/>
        </w:rPr>
        <w:t>despair? T</w:t>
      </w:r>
      <w:r w:rsidR="00F03D2F" w:rsidRPr="00F03D2F">
        <w:rPr>
          <w:rFonts w:eastAsia="Times New Roman" w:cs="Times New Roman"/>
        </w:rPr>
        <w:t>he</w:t>
      </w:r>
      <w:r w:rsidR="00EB1462">
        <w:rPr>
          <w:rFonts w:eastAsia="Times New Roman" w:cs="Times New Roman"/>
        </w:rPr>
        <w:t xml:space="preserve"> answer is that the</w:t>
      </w:r>
      <w:r w:rsidR="00F03D2F" w:rsidRPr="00F03D2F">
        <w:rPr>
          <w:rFonts w:eastAsia="Times New Roman" w:cs="Times New Roman"/>
        </w:rPr>
        <w:t xml:space="preserve">se terrors are known by God and </w:t>
      </w:r>
      <w:r w:rsidR="00C60CAA">
        <w:rPr>
          <w:rFonts w:eastAsia="Times New Roman" w:cs="Times New Roman"/>
        </w:rPr>
        <w:t xml:space="preserve">they </w:t>
      </w:r>
      <w:r w:rsidR="00F03D2F" w:rsidRPr="00F03D2F">
        <w:rPr>
          <w:rFonts w:eastAsia="Times New Roman" w:cs="Times New Roman"/>
        </w:rPr>
        <w:t>exis</w:t>
      </w:r>
      <w:r w:rsidR="00EB1462">
        <w:rPr>
          <w:rFonts w:eastAsia="Times New Roman" w:cs="Times New Roman"/>
        </w:rPr>
        <w:t>t only in the appointed time—a time</w:t>
      </w:r>
      <w:r w:rsidR="00F03D2F" w:rsidRPr="00F03D2F">
        <w:rPr>
          <w:rFonts w:eastAsia="Times New Roman" w:cs="Times New Roman"/>
        </w:rPr>
        <w:t xml:space="preserve"> that is surely limited. Antiochus’s despotism is no different from that</w:t>
      </w:r>
      <w:r w:rsidR="00EB1462">
        <w:rPr>
          <w:rFonts w:eastAsia="Times New Roman" w:cs="Times New Roman"/>
        </w:rPr>
        <w:t xml:space="preserve"> of the preceding kingdoms;</w:t>
      </w:r>
      <w:r w:rsidR="00F03D2F" w:rsidRPr="00F03D2F">
        <w:rPr>
          <w:rFonts w:eastAsia="Times New Roman" w:cs="Times New Roman"/>
        </w:rPr>
        <w:t xml:space="preserve"> </w:t>
      </w:r>
      <w:r w:rsidR="00EB1462">
        <w:rPr>
          <w:rFonts w:eastAsia="Times New Roman" w:cs="Times New Roman"/>
        </w:rPr>
        <w:t xml:space="preserve">as they have fallen, so </w:t>
      </w:r>
      <w:r w:rsidR="00F03D2F" w:rsidRPr="00F03D2F">
        <w:rPr>
          <w:rFonts w:eastAsia="Times New Roman" w:cs="Times New Roman"/>
        </w:rPr>
        <w:t xml:space="preserve">will the empire of </w:t>
      </w:r>
      <w:r w:rsidR="00EB1462">
        <w:rPr>
          <w:rFonts w:eastAsia="Times New Roman" w:cs="Times New Roman"/>
        </w:rPr>
        <w:t>Antiochus</w:t>
      </w:r>
      <w:r w:rsidR="00C60CAA">
        <w:rPr>
          <w:rFonts w:eastAsia="Times New Roman" w:cs="Times New Roman"/>
        </w:rPr>
        <w:t>,</w:t>
      </w:r>
      <w:r w:rsidR="00EB1462">
        <w:rPr>
          <w:rFonts w:eastAsia="Times New Roman" w:cs="Times New Roman"/>
        </w:rPr>
        <w:t xml:space="preserve"> the new Nebuchadnezzar. Indeed</w:t>
      </w:r>
      <w:r w:rsidR="00C60CAA">
        <w:rPr>
          <w:rFonts w:eastAsia="Times New Roman" w:cs="Times New Roman"/>
        </w:rPr>
        <w:t>, when this day arrives</w:t>
      </w:r>
      <w:r w:rsidR="00F03D2F" w:rsidRPr="00F03D2F">
        <w:rPr>
          <w:rFonts w:eastAsia="Times New Roman" w:cs="Times New Roman"/>
        </w:rPr>
        <w:t xml:space="preserve"> a </w:t>
      </w:r>
      <w:r w:rsidR="00C60CAA">
        <w:rPr>
          <w:rFonts w:eastAsia="Times New Roman" w:cs="Times New Roman"/>
        </w:rPr>
        <w:t>radical change will occur. I</w:t>
      </w:r>
      <w:r w:rsidR="00F03D2F" w:rsidRPr="00F03D2F">
        <w:rPr>
          <w:rFonts w:eastAsia="Times New Roman" w:cs="Times New Roman"/>
        </w:rPr>
        <w:t>nstead of one kingdom following yet anoth</w:t>
      </w:r>
      <w:r w:rsidR="00EB1462">
        <w:rPr>
          <w:rFonts w:eastAsia="Times New Roman" w:cs="Times New Roman"/>
        </w:rPr>
        <w:t>er, it will be the time of the E</w:t>
      </w:r>
      <w:r w:rsidR="00F03D2F" w:rsidRPr="00F03D2F">
        <w:rPr>
          <w:rFonts w:eastAsia="Times New Roman" w:cs="Times New Roman"/>
        </w:rPr>
        <w:t>nd (12:4).</w:t>
      </w:r>
      <w:r w:rsidR="00F03D2F" w:rsidRPr="00F03D2F">
        <w:rPr>
          <w:rStyle w:val="FootnoteReference"/>
          <w:rFonts w:eastAsia="Times New Roman" w:cs="Times New Roman"/>
        </w:rPr>
        <w:footnoteReference w:id="669"/>
      </w:r>
      <w:r w:rsidR="00F03D2F">
        <w:rPr>
          <w:rFonts w:eastAsia="Times New Roman" w:cs="Times New Roman"/>
        </w:rPr>
        <w:t xml:space="preserve"> </w:t>
      </w:r>
    </w:p>
    <w:p w:rsidR="005E0341" w:rsidRDefault="002B376E" w:rsidP="002B376E">
      <w:r w:rsidRPr="002B376E">
        <w:t>One aspe</w:t>
      </w:r>
      <w:r w:rsidR="00CF7BA2">
        <w:t xml:space="preserve">ct of the pattern of history </w:t>
      </w:r>
      <w:r w:rsidR="00EB1462">
        <w:t xml:space="preserve">as </w:t>
      </w:r>
      <w:r w:rsidR="00CF7BA2">
        <w:t xml:space="preserve">portrayed in chap. 11 </w:t>
      </w:r>
      <w:r w:rsidRPr="002B376E">
        <w:t>emerges immediately. It is the story of the exercise of power, but the exercise of power leads only to external conflict (v 2b), internal dissolution (vv 3–4), or eclipse by a mor</w:t>
      </w:r>
      <w:r w:rsidR="00C60CAA">
        <w:t>e powerful entity (v 5). T</w:t>
      </w:r>
      <w:r w:rsidRPr="002B376E">
        <w:t xml:space="preserve">he nature of kings </w:t>
      </w:r>
      <w:r w:rsidR="00C60CAA">
        <w:t xml:space="preserve">is </w:t>
      </w:r>
      <w:r w:rsidRPr="002B376E">
        <w:t>not to re</w:t>
      </w:r>
      <w:r w:rsidR="00CF7BA2">
        <w:t>cognize this fact; they always aspire to the</w:t>
      </w:r>
      <w:r w:rsidRPr="002B376E">
        <w:t xml:space="preserve"> elusive final victory. They seek it by marriage alliances, but </w:t>
      </w:r>
      <w:r w:rsidR="00CF7BA2">
        <w:t xml:space="preserve">they </w:t>
      </w:r>
      <w:r w:rsidRPr="002B376E">
        <w:t xml:space="preserve">fail (v 6). More commonly they seek </w:t>
      </w:r>
      <w:r w:rsidR="00CF7BA2">
        <w:t>it by the use of force, but the use of force</w:t>
      </w:r>
      <w:r w:rsidRPr="002B376E">
        <w:t xml:space="preserve"> also fails (vv 8b–9). It may</w:t>
      </w:r>
      <w:r w:rsidR="00CF7BA2">
        <w:t xml:space="preserve"> w</w:t>
      </w:r>
      <w:r w:rsidR="00EB1462">
        <w:t>in famous victories, but the vic</w:t>
      </w:r>
      <w:r w:rsidR="00CF7BA2">
        <w:t>tories</w:t>
      </w:r>
      <w:r w:rsidRPr="002B376E">
        <w:t xml:space="preserve"> always turn out to be temporary (vv 7–8a, 10–12). A first climax to the portrayal of history by this pattern comes in vv 13–19, where most of the individual features of vv 2b–12 come together. A final victory of north over south seems possible, but in the end the northern </w:t>
      </w:r>
      <w:r w:rsidRPr="002B376E">
        <w:lastRenderedPageBreak/>
        <w:t xml:space="preserve">king is stopped in his tracks by another power altogether. The talk of his standing as others are unable to stand before him (vv 15–16) is replaced by talk of his plan’s not standing and of his stumbling and falling (vv 17, 19). </w:t>
      </w:r>
    </w:p>
    <w:p w:rsidR="002B376E" w:rsidRDefault="002B376E" w:rsidP="002B376E">
      <w:r w:rsidRPr="002B376E">
        <w:t>The account of the relationship between Seleucid and Ptolemaic empires is not primarily concerned with making moral judgments. As it describes kings obtaining wealth and power, being in a position of unchallengeable authority, using marriage as a means of cementing dynastic relationships, invading the holy land, or involved in ceaseless invasion and warmongering, it is reflecting the fact that such conflicts are built into history.</w:t>
      </w:r>
      <w:r w:rsidR="00091B8D">
        <w:t xml:space="preserve"> Thus, “despite alternating patterns of aggression, neither the king of the north nor the king of the south can ‘effect a permanent rule by reason of their containment of each other.’”</w:t>
      </w:r>
      <w:r w:rsidR="00091B8D">
        <w:rPr>
          <w:rStyle w:val="FootnoteReference"/>
        </w:rPr>
        <w:footnoteReference w:id="670"/>
      </w:r>
    </w:p>
    <w:p w:rsidR="002B376E" w:rsidRDefault="00EC76E9" w:rsidP="002B376E">
      <w:r>
        <w:t xml:space="preserve">It is Antiochus IV who reaches after the overcoming of this ongoing impasse, but by </w:t>
      </w:r>
      <w:r w:rsidR="00F754BE">
        <w:t xml:space="preserve">issuing a challenge to God </w:t>
      </w:r>
      <w:r w:rsidR="005E0341">
        <w:t xml:space="preserve">he </w:t>
      </w:r>
      <w:r w:rsidR="00F754BE">
        <w:t xml:space="preserve">makes it inevitable that God overcomes the impasse in a different direction. </w:t>
      </w:r>
      <w:r w:rsidR="002B376E" w:rsidRPr="002B376E">
        <w:t xml:space="preserve">When the seer reaches his goal, the reign of Antiochus, he structures his portrayal by means of a series of time expressions, mostly reusing terms that appeared in 8:17, 19 (see </w:t>
      </w:r>
      <w:r w:rsidR="002B376E" w:rsidRPr="00CF7BA2">
        <w:rPr>
          <w:i/>
        </w:rPr>
        <w:t>Comment</w:t>
      </w:r>
      <w:r w:rsidR="002B376E" w:rsidRPr="002B376E">
        <w:t xml:space="preserve">). The repetition of </w:t>
      </w:r>
      <w:r w:rsidR="002B376E" w:rsidRPr="002B376E">
        <w:rPr>
          <w:rFonts w:ascii="Arial" w:hAnsi="Arial" w:cs="Arial"/>
        </w:rPr>
        <w:t>קץ</w:t>
      </w:r>
      <w:r w:rsidR="002B376E" w:rsidRPr="002B376E">
        <w:t xml:space="preserve"> (“end,” vv 27, 35, 40, cf. 45; also 12:4, 6, 9, 13) underlines the punctiliar, definitive actuality a</w:t>
      </w:r>
      <w:r w:rsidR="00CF7BA2">
        <w:t>n</w:t>
      </w:r>
      <w:r w:rsidR="002E4C44">
        <w:t>d finality of the reversal promised</w:t>
      </w:r>
      <w:r w:rsidR="002B376E" w:rsidRPr="002B376E">
        <w:t xml:space="preserve">. The less punctiliar term </w:t>
      </w:r>
      <w:r w:rsidR="002B376E" w:rsidRPr="002B376E">
        <w:rPr>
          <w:rFonts w:ascii="Arial" w:hAnsi="Arial" w:cs="Arial"/>
        </w:rPr>
        <w:t>אחרית</w:t>
      </w:r>
      <w:r w:rsidR="002B376E" w:rsidRPr="002B376E">
        <w:t xml:space="preserve"> (“latter part,” “last stage”: see on 2:28) comes only in 10:14; 11:4 (where it is not a temporal term), and 12:8 (where </w:t>
      </w:r>
      <w:r w:rsidR="00E008EC">
        <w:t>EVV</w:t>
      </w:r>
      <w:r w:rsidR="002B376E" w:rsidRPr="002B376E">
        <w:t xml:space="preserve"> do not take it in a temporal sense). The repetition of </w:t>
      </w:r>
      <w:r w:rsidR="002B376E" w:rsidRPr="002B376E">
        <w:rPr>
          <w:rFonts w:ascii="Arial" w:hAnsi="Arial" w:cs="Arial"/>
        </w:rPr>
        <w:t>מועד</w:t>
      </w:r>
      <w:r w:rsidR="002B376E" w:rsidRPr="002B376E">
        <w:t xml:space="preserve"> (“set time,” vv 27, 29, 35; cf. 12:7) underlines the divine control and purpose at work even in the abominations and the suffering of the Antiochene period</w:t>
      </w:r>
      <w:r w:rsidR="00EB1462">
        <w:t>. They</w:t>
      </w:r>
      <w:r w:rsidR="002B376E" w:rsidRPr="002B376E">
        <w:t xml:space="preserve"> are acknowledged by referring to it as a time of wrath (</w:t>
      </w:r>
      <w:r w:rsidR="002B376E" w:rsidRPr="002B376E">
        <w:rPr>
          <w:rFonts w:ascii="Arial" w:hAnsi="Arial" w:cs="Arial"/>
        </w:rPr>
        <w:t>זעם</w:t>
      </w:r>
      <w:r w:rsidR="00CF7BA2">
        <w:t xml:space="preserve">, v 36), </w:t>
      </w:r>
      <w:r w:rsidR="002B376E" w:rsidRPr="002B376E">
        <w:t>a time of unprecedented trouble (</w:t>
      </w:r>
      <w:r w:rsidR="002B376E" w:rsidRPr="002B376E">
        <w:rPr>
          <w:rFonts w:ascii="Arial" w:hAnsi="Arial" w:cs="Arial"/>
        </w:rPr>
        <w:t>צרה</w:t>
      </w:r>
      <w:r w:rsidR="00CF7BA2">
        <w:rPr>
          <w:rFonts w:ascii="Arial" w:hAnsi="Arial" w:cs="Arial"/>
        </w:rPr>
        <w:t xml:space="preserve"> </w:t>
      </w:r>
      <w:r w:rsidR="00CF7BA2" w:rsidRPr="00CF7BA2">
        <w:rPr>
          <w:rFonts w:ascii="Arial" w:hAnsi="Arial" w:cs="Arial"/>
        </w:rPr>
        <w:t>עת</w:t>
      </w:r>
      <w:r w:rsidR="002B376E" w:rsidRPr="002B376E">
        <w:t>, 12:1), and a time of awesome events (</w:t>
      </w:r>
      <w:r w:rsidR="002B376E" w:rsidRPr="002B376E">
        <w:rPr>
          <w:rFonts w:ascii="Arial" w:hAnsi="Arial" w:cs="Arial"/>
        </w:rPr>
        <w:t>הפלאות</w:t>
      </w:r>
      <w:r w:rsidR="00CF7BA2">
        <w:t xml:space="preserve">, 12:6); but the idea of wrath </w:t>
      </w:r>
      <w:r w:rsidR="002B376E" w:rsidRPr="002B376E">
        <w:t>being “c</w:t>
      </w:r>
      <w:r w:rsidR="00EB1462">
        <w:t>omplete” (11:36) implies that they</w:t>
      </w:r>
      <w:r w:rsidR="002B376E" w:rsidRPr="002B376E">
        <w:t xml:space="preserve"> cannot go on without limit. Exegetically, it makes best sense to refer all the indications of time to the same moment. Antiochus’s purposes are frustrated at a particular juncture because “an end will yet await the set time” (v 27), and some of the discerning later fall for th</w:t>
      </w:r>
      <w:r w:rsidR="00CF7BA2">
        <w:t xml:space="preserve">e same reason (v 35). It is this </w:t>
      </w:r>
      <w:r w:rsidR="00F40E31">
        <w:t xml:space="preserve">set </w:t>
      </w:r>
      <w:r w:rsidR="00CF7BA2">
        <w:t xml:space="preserve">moment that </w:t>
      </w:r>
      <w:r w:rsidR="002B376E" w:rsidRPr="002B376E">
        <w:t>will arrive with the last battle betwee</w:t>
      </w:r>
      <w:r w:rsidR="00CF7BA2">
        <w:t>n the two kings (v 40), and this moment that</w:t>
      </w:r>
      <w:r w:rsidR="002B376E" w:rsidRPr="002B376E">
        <w:t xml:space="preserve"> will see Michael arising (12:1). It</w:t>
      </w:r>
      <w:r w:rsidR="00F50186">
        <w:t xml:space="preserve"> is until this</w:t>
      </w:r>
      <w:r w:rsidR="002B376E" w:rsidRPr="002B376E">
        <w:t xml:space="preserve"> moment that Daniel’s book</w:t>
      </w:r>
      <w:r w:rsidR="00F50186">
        <w:t xml:space="preserve"> is to be sealed (12:4, 9), this moment that</w:t>
      </w:r>
      <w:r w:rsidR="002B376E" w:rsidRPr="002B376E">
        <w:t xml:space="preserve"> will come after a se</w:t>
      </w:r>
      <w:r w:rsidR="00F50186">
        <w:t>t time (12:6), and this</w:t>
      </w:r>
      <w:r w:rsidR="002B376E" w:rsidRPr="002B376E">
        <w:t xml:space="preserve"> moment when Daniel will arise to his destiny (12:13).</w:t>
      </w:r>
    </w:p>
    <w:p w:rsidR="002B376E" w:rsidRPr="002B376E" w:rsidRDefault="002B376E" w:rsidP="002B376E">
      <w:r w:rsidRPr="00F50186">
        <w:rPr>
          <w:b/>
        </w:rPr>
        <w:t>11:2b</w:t>
      </w:r>
      <w:r w:rsidR="003B7099">
        <w:t xml:space="preserve"> T</w:t>
      </w:r>
      <w:r w:rsidRPr="002B376E">
        <w:t>he Achaemenid kings were Cy</w:t>
      </w:r>
      <w:r w:rsidR="003F28D2">
        <w:t>rus (560/59–530</w:t>
      </w:r>
      <w:r w:rsidRPr="002B376E">
        <w:t xml:space="preserve">), Cambyses (530–522), Smerdis (522), Darius I (522–486), Xerxes I (486–465), Artaxerxes I (465–424), Xerxes II (424), Sogdianos (424–423), Darius II (423–405/4), Artaxerxes II (405/4–359/58), Artaxerxes III (359/58–338/37), Artaxerxes IV (338/37–336), </w:t>
      </w:r>
      <w:r w:rsidR="003F28D2">
        <w:t>and Darius III (336–330)</w:t>
      </w:r>
      <w:r w:rsidRPr="002B376E">
        <w:t>.</w:t>
      </w:r>
      <w:r w:rsidR="003F28D2">
        <w:rPr>
          <w:rStyle w:val="FootnoteReference"/>
        </w:rPr>
        <w:footnoteReference w:id="671"/>
      </w:r>
      <w:r w:rsidRPr="002B376E">
        <w:t xml:space="preserve"> If the assertion that “the fourth king will be far wealthier than anyone” is to be pressed, it has to allude to Xerxes I, who invaded Greece to be defeated at Salamis in 480. Strictly, there was no one Greek empire until the time of Philip of Macedon. The reference of v 2b as a whole is thus to the four kings who followed Cyrus. But the prophecy then has to leap over a century from Xerxes to Alexander. Further, the reference to the four Persian kings recalls the four </w:t>
      </w:r>
      <w:r w:rsidR="00A70DB7">
        <w:t>heads of 7:6, while “three…</w:t>
      </w:r>
      <w:r w:rsidRPr="002B376E">
        <w:t xml:space="preserve"> and the four</w:t>
      </w:r>
      <w:r w:rsidR="00481E0A">
        <w:t xml:space="preserve">th” recalls </w:t>
      </w:r>
      <w:r w:rsidRPr="002B376E">
        <w:t>numerical saying</w:t>
      </w:r>
      <w:r w:rsidR="003F28D2">
        <w:t>s</w:t>
      </w:r>
      <w:r w:rsidR="00A70DB7">
        <w:t xml:space="preserve"> in passages such as</w:t>
      </w:r>
      <w:r w:rsidR="003F28D2">
        <w:t xml:space="preserve"> Prov 30 and Amos 1–2</w:t>
      </w:r>
      <w:r w:rsidRPr="002B376E">
        <w:t>.</w:t>
      </w:r>
      <w:r w:rsidR="003F28D2">
        <w:rPr>
          <w:rStyle w:val="FootnoteReference"/>
        </w:rPr>
        <w:footnoteReference w:id="672"/>
      </w:r>
      <w:r w:rsidR="00A70DB7">
        <w:t xml:space="preserve"> Therefore</w:t>
      </w:r>
      <w:r w:rsidRPr="002B376E">
        <w:t xml:space="preserve"> the figure “four” may need not to be pressed, nor the</w:t>
      </w:r>
      <w:r w:rsidR="003F28D2">
        <w:t xml:space="preserve"> kings specifically identified, because </w:t>
      </w:r>
      <w:r w:rsidRPr="002B376E">
        <w:t>the phrase may denote t</w:t>
      </w:r>
      <w:r w:rsidR="00A70DB7">
        <w:t>he Achemenids as a whole. And/or t</w:t>
      </w:r>
      <w:r w:rsidR="003F28D2">
        <w:t>hey might be</w:t>
      </w:r>
      <w:r w:rsidRPr="002B376E">
        <w:t xml:space="preserve"> represented by the kings mentioned in the OT, Cyrus, Darius I, Xerxes I, Artaxerxes I, and the Darius of Neh 12:22 if that is Darius II or III, and if “the fourth” means the fourth of the total number, not a fourth after Cyrus. The wealth of the last is then the presumed accumulated wealth of the l</w:t>
      </w:r>
      <w:r w:rsidR="00CA3A41">
        <w:t>ast Persian king</w:t>
      </w:r>
      <w:r w:rsidRPr="002B376E">
        <w:t>,</w:t>
      </w:r>
      <w:r w:rsidR="003F28D2">
        <w:rPr>
          <w:rStyle w:val="FootnoteReference"/>
        </w:rPr>
        <w:footnoteReference w:id="673"/>
      </w:r>
      <w:r w:rsidRPr="002B376E">
        <w:t xml:space="preserve"> as the hostility to Greece denotes that of the empire as a whole.</w:t>
      </w:r>
    </w:p>
    <w:p w:rsidR="005E0341" w:rsidRDefault="003F28D2" w:rsidP="002B376E">
      <w:r w:rsidRPr="003F28D2">
        <w:rPr>
          <w:b/>
        </w:rPr>
        <w:lastRenderedPageBreak/>
        <w:t>11:3–4</w:t>
      </w:r>
      <w:r>
        <w:t xml:space="preserve"> </w:t>
      </w:r>
      <w:r w:rsidR="002B376E" w:rsidRPr="002B376E">
        <w:t xml:space="preserve">Alexander the Great came to </w:t>
      </w:r>
      <w:r w:rsidR="003B7099">
        <w:t>the throne of Macedon in 336</w:t>
      </w:r>
      <w:r w:rsidR="005E0341">
        <w:t>. H</w:t>
      </w:r>
      <w:r w:rsidR="002B376E" w:rsidRPr="002B376E">
        <w:t>e invaded and conquered the territory from Turkey to India and thus came to rule the largest empire the world had yet kno</w:t>
      </w:r>
      <w:r w:rsidR="003B7099">
        <w:t xml:space="preserve">wn. But he </w:t>
      </w:r>
      <w:r w:rsidR="002B376E" w:rsidRPr="002B376E">
        <w:t>reigned over this empire</w:t>
      </w:r>
      <w:r w:rsidR="00A60F56">
        <w:t xml:space="preserve"> less than a decade; he died of a fever in 323. His empire shattered, and four </w:t>
      </w:r>
      <w:r w:rsidR="002B376E" w:rsidRPr="002B376E">
        <w:t>units eventually emerged fr</w:t>
      </w:r>
      <w:r w:rsidR="003B7099">
        <w:t>om its fragmentation</w:t>
      </w:r>
      <w:r w:rsidR="002B376E" w:rsidRPr="002B376E">
        <w:t>,</w:t>
      </w:r>
      <w:r w:rsidR="00A60F56">
        <w:t xml:space="preserve"> centered on Macedon and Greece; Thrace;</w:t>
      </w:r>
      <w:r w:rsidR="002B376E" w:rsidRPr="002B376E">
        <w:t xml:space="preserve"> Syr</w:t>
      </w:r>
      <w:r w:rsidR="00A60F56">
        <w:t>ia and the east; and Egypt. To s</w:t>
      </w:r>
      <w:r w:rsidR="002B376E" w:rsidRPr="002B376E">
        <w:t xml:space="preserve">peak of the empire dividing </w:t>
      </w:r>
      <w:r w:rsidR="000C6CB7">
        <w:t xml:space="preserve">towards </w:t>
      </w:r>
      <w:r w:rsidR="005E0341">
        <w:t xml:space="preserve">the four winds of the heavens involves </w:t>
      </w:r>
      <w:r w:rsidR="002B376E" w:rsidRPr="002B376E">
        <w:t>a figurative e</w:t>
      </w:r>
      <w:r w:rsidR="00A60F56">
        <w:t>xpression</w:t>
      </w:r>
      <w:r w:rsidR="002B376E" w:rsidRPr="002B376E">
        <w:t xml:space="preserve"> (cf. the four horns of 8:8): the division did not correspond at all closely</w:t>
      </w:r>
      <w:r w:rsidR="003B7099">
        <w:t xml:space="preserve"> </w:t>
      </w:r>
      <w:r w:rsidR="005E0341">
        <w:t xml:space="preserve">to the points of the compass. </w:t>
      </w:r>
    </w:p>
    <w:p w:rsidR="002B376E" w:rsidRPr="002B376E" w:rsidRDefault="005E0341" w:rsidP="002B376E">
      <w:r>
        <w:t>Alexander’s empire</w:t>
      </w:r>
      <w:r w:rsidR="003B7099">
        <w:t xml:space="preserve"> did </w:t>
      </w:r>
      <w:r w:rsidR="002B376E" w:rsidRPr="002B376E">
        <w:t xml:space="preserve">not </w:t>
      </w:r>
      <w:r w:rsidR="003B7099">
        <w:t>“</w:t>
      </w:r>
      <w:r w:rsidR="002B376E" w:rsidRPr="002B376E">
        <w:t>belong to h</w:t>
      </w:r>
      <w:r w:rsidR="003B7099">
        <w:t>is surviving family</w:t>
      </w:r>
      <w:r>
        <w:t>.” H</w:t>
      </w:r>
      <w:r w:rsidR="003B7099">
        <w:t>i</w:t>
      </w:r>
      <w:r w:rsidR="002B376E" w:rsidRPr="002B376E">
        <w:t>s half-brother Philip III and his son Alexander IV were nominal rulers of the empire until thei</w:t>
      </w:r>
      <w:r w:rsidR="003B7099">
        <w:t>r deaths in 317 and 311 (or 305</w:t>
      </w:r>
      <w:r w:rsidR="002B376E" w:rsidRPr="002B376E">
        <w:t>),</w:t>
      </w:r>
      <w:r w:rsidR="003B7099">
        <w:rPr>
          <w:rStyle w:val="FootnoteReference"/>
        </w:rPr>
        <w:footnoteReference w:id="674"/>
      </w:r>
      <w:r w:rsidR="002B376E" w:rsidRPr="002B376E">
        <w:t xml:space="preserve"> but central administrative power was held by Alexander’s prime minister, Perdiccas, until his a</w:t>
      </w:r>
      <w:r w:rsidR="00A60F56">
        <w:t>ssassination in 321. And</w:t>
      </w:r>
      <w:r w:rsidR="002B376E" w:rsidRPr="002B376E">
        <w:t xml:space="preserve"> the united Macedonian empire immediately became a </w:t>
      </w:r>
      <w:r w:rsidR="003B7099">
        <w:t>fiction. Alexander’s real “successors</w:t>
      </w:r>
      <w:r w:rsidR="002B376E" w:rsidRPr="002B376E">
        <w:t>” (</w:t>
      </w:r>
      <w:r w:rsidR="002B376E" w:rsidRPr="003B7099">
        <w:rPr>
          <w:i/>
        </w:rPr>
        <w:t>diadochoi</w:t>
      </w:r>
      <w:r w:rsidR="002B376E" w:rsidRPr="002B376E">
        <w:t>) were the generals who ruled different satrapies of his empire. Among these</w:t>
      </w:r>
      <w:r w:rsidR="003B7099">
        <w:t xml:space="preserve"> were Ptolemy in</w:t>
      </w:r>
      <w:r w:rsidR="002B376E" w:rsidRPr="002B376E">
        <w:t xml:space="preserve"> Egypt, Antigonus, whose area included much of Turkey and later Syria and the east, and Seleucus, who became satrap of Babylonia in 321.</w:t>
      </w:r>
    </w:p>
    <w:p w:rsidR="002B376E" w:rsidRDefault="002B376E" w:rsidP="002B376E">
      <w:r w:rsidRPr="003B7099">
        <w:rPr>
          <w:b/>
        </w:rPr>
        <w:t>11:5</w:t>
      </w:r>
      <w:r w:rsidRPr="002B376E">
        <w:t xml:space="preserve"> In chap. 11 “the southern king” and “the northern king” are generic terms to refer to the current occupants—whoever they may be—of the Ptolemaic throne in Egypt and the Seleucid throne in Syria and Babylonia. The two realms lie either side of Palestine and thus directly concern Judea, and </w:t>
      </w:r>
      <w:r w:rsidR="003B7099">
        <w:t xml:space="preserve">they </w:t>
      </w:r>
      <w:r w:rsidRPr="002B376E">
        <w:t>are the two most powerful of the Hellenistic monarchies. Chap. 11 shows that the outline of the history of the Syrian and Egyptian empires was quite well known to the author. He alludes to thirteen of their kings, noted in the following outline of</w:t>
      </w:r>
      <w:r w:rsidR="00B826D5">
        <w:t xml:space="preserve"> their reigns</w:t>
      </w:r>
      <w:r w:rsidRPr="002B376E">
        <w:t>:</w:t>
      </w:r>
      <w:r w:rsidR="00B826D5">
        <w:t xml:space="preserve"> </w:t>
      </w:r>
    </w:p>
    <w:p w:rsidR="003B7099" w:rsidRPr="002B376E" w:rsidRDefault="003B7099" w:rsidP="002B376E"/>
    <w:tbl>
      <w:tblPr>
        <w:tblW w:w="0" w:type="auto"/>
        <w:tblLook w:val="04A0" w:firstRow="1" w:lastRow="0" w:firstColumn="1" w:lastColumn="0" w:noHBand="0" w:noVBand="1"/>
      </w:tblPr>
      <w:tblGrid>
        <w:gridCol w:w="4788"/>
        <w:gridCol w:w="4788"/>
      </w:tblGrid>
      <w:tr w:rsidR="002B376E" w:rsidRPr="002B376E" w:rsidTr="002B376E">
        <w:tc>
          <w:tcPr>
            <w:tcW w:w="4788" w:type="dxa"/>
          </w:tcPr>
          <w:p w:rsidR="002B376E" w:rsidRPr="002B376E" w:rsidRDefault="002B376E" w:rsidP="003B7099">
            <w:pPr>
              <w:ind w:firstLine="0"/>
            </w:pPr>
            <w:r w:rsidRPr="002B376E">
              <w:t>Ptolemy I Soter, son of Lagus, 322–285 (v 5a)</w:t>
            </w:r>
          </w:p>
        </w:tc>
        <w:tc>
          <w:tcPr>
            <w:tcW w:w="4788" w:type="dxa"/>
          </w:tcPr>
          <w:p w:rsidR="002B376E" w:rsidRPr="002B376E" w:rsidRDefault="002B376E" w:rsidP="003B7099">
            <w:pPr>
              <w:ind w:firstLine="0"/>
            </w:pPr>
            <w:r w:rsidRPr="002B376E">
              <w:t>Seleucus I Nicator, 312–280 (v 5b)</w:t>
            </w:r>
          </w:p>
        </w:tc>
      </w:tr>
      <w:tr w:rsidR="002B376E" w:rsidRPr="002B376E" w:rsidTr="002B376E">
        <w:tc>
          <w:tcPr>
            <w:tcW w:w="4788" w:type="dxa"/>
          </w:tcPr>
          <w:p w:rsidR="002B376E" w:rsidRPr="002B376E" w:rsidRDefault="002B376E" w:rsidP="003B7099">
            <w:pPr>
              <w:ind w:firstLine="0"/>
            </w:pPr>
            <w:r w:rsidRPr="002B376E">
              <w:t>Ptolemy II Philadelphus, 285–246 (v 6)</w:t>
            </w:r>
          </w:p>
        </w:tc>
        <w:tc>
          <w:tcPr>
            <w:tcW w:w="4788" w:type="dxa"/>
          </w:tcPr>
          <w:p w:rsidR="002B376E" w:rsidRPr="002B376E" w:rsidRDefault="002B376E" w:rsidP="003B7099">
            <w:pPr>
              <w:ind w:firstLine="0"/>
            </w:pPr>
            <w:r w:rsidRPr="002B376E">
              <w:t>Antiochus I Soter, 280–261</w:t>
            </w:r>
          </w:p>
        </w:tc>
      </w:tr>
      <w:tr w:rsidR="002B376E" w:rsidRPr="002B376E" w:rsidTr="002B376E">
        <w:tc>
          <w:tcPr>
            <w:tcW w:w="4788" w:type="dxa"/>
          </w:tcPr>
          <w:p w:rsidR="002B376E" w:rsidRPr="002B376E" w:rsidRDefault="002B376E" w:rsidP="003B7099">
            <w:pPr>
              <w:ind w:firstLine="0"/>
            </w:pPr>
            <w:r w:rsidRPr="002B376E">
              <w:t> </w:t>
            </w:r>
          </w:p>
        </w:tc>
        <w:tc>
          <w:tcPr>
            <w:tcW w:w="4788" w:type="dxa"/>
          </w:tcPr>
          <w:p w:rsidR="002B376E" w:rsidRPr="002B376E" w:rsidRDefault="002B376E" w:rsidP="003B7099">
            <w:pPr>
              <w:ind w:firstLine="0"/>
            </w:pPr>
            <w:r w:rsidRPr="002B376E">
              <w:t>Antiochus II Theos, 261–246 (v 6)</w:t>
            </w:r>
          </w:p>
        </w:tc>
      </w:tr>
      <w:tr w:rsidR="002B376E" w:rsidRPr="002B376E" w:rsidTr="002B376E">
        <w:tc>
          <w:tcPr>
            <w:tcW w:w="4788" w:type="dxa"/>
          </w:tcPr>
          <w:p w:rsidR="002B376E" w:rsidRPr="002B376E" w:rsidRDefault="002B376E" w:rsidP="003B7099">
            <w:pPr>
              <w:ind w:firstLine="0"/>
            </w:pPr>
            <w:r w:rsidRPr="002B376E">
              <w:t>Ptolemy III Euergetes, 246–221 (vv 7–9)</w:t>
            </w:r>
          </w:p>
        </w:tc>
        <w:tc>
          <w:tcPr>
            <w:tcW w:w="4788" w:type="dxa"/>
          </w:tcPr>
          <w:p w:rsidR="002B376E" w:rsidRPr="002B376E" w:rsidRDefault="002B376E" w:rsidP="003B7099">
            <w:pPr>
              <w:ind w:firstLine="0"/>
            </w:pPr>
            <w:r w:rsidRPr="002B376E">
              <w:t>Seleucus II Callinicus, 246–226 (vv 7–9)</w:t>
            </w:r>
          </w:p>
        </w:tc>
      </w:tr>
      <w:tr w:rsidR="002B376E" w:rsidRPr="002B376E" w:rsidTr="002B376E">
        <w:tc>
          <w:tcPr>
            <w:tcW w:w="4788" w:type="dxa"/>
          </w:tcPr>
          <w:p w:rsidR="002B376E" w:rsidRPr="002B376E" w:rsidRDefault="002B376E" w:rsidP="003B7099">
            <w:pPr>
              <w:ind w:firstLine="0"/>
            </w:pPr>
            <w:r w:rsidRPr="002B376E">
              <w:t> </w:t>
            </w:r>
          </w:p>
        </w:tc>
        <w:tc>
          <w:tcPr>
            <w:tcW w:w="4788" w:type="dxa"/>
          </w:tcPr>
          <w:p w:rsidR="002B376E" w:rsidRPr="002B376E" w:rsidRDefault="002B376E" w:rsidP="003B7099">
            <w:pPr>
              <w:ind w:firstLine="0"/>
            </w:pPr>
            <w:r w:rsidRPr="002B376E">
              <w:t>Seleucus III Soter Ceraunus 226–223 (v 10)</w:t>
            </w:r>
          </w:p>
        </w:tc>
      </w:tr>
      <w:tr w:rsidR="002B376E" w:rsidRPr="002B376E" w:rsidTr="002B376E">
        <w:tc>
          <w:tcPr>
            <w:tcW w:w="4788" w:type="dxa"/>
          </w:tcPr>
          <w:p w:rsidR="002B376E" w:rsidRPr="002B376E" w:rsidRDefault="002B376E" w:rsidP="003B7099">
            <w:pPr>
              <w:ind w:firstLine="0"/>
            </w:pPr>
            <w:r w:rsidRPr="002B376E">
              <w:t>Ptolemy IV Philopator, 221–203 (vv 10–12)</w:t>
            </w:r>
          </w:p>
        </w:tc>
        <w:tc>
          <w:tcPr>
            <w:tcW w:w="4788" w:type="dxa"/>
          </w:tcPr>
          <w:p w:rsidR="002B376E" w:rsidRPr="002B376E" w:rsidRDefault="002B376E" w:rsidP="003B7099">
            <w:pPr>
              <w:ind w:firstLine="0"/>
            </w:pPr>
            <w:r w:rsidRPr="002B376E">
              <w:t>Antiochus III Magnus, 223–187 (vv 10–19)</w:t>
            </w:r>
          </w:p>
        </w:tc>
      </w:tr>
      <w:tr w:rsidR="002B376E" w:rsidRPr="002B376E" w:rsidTr="002B376E">
        <w:tc>
          <w:tcPr>
            <w:tcW w:w="4788" w:type="dxa"/>
          </w:tcPr>
          <w:p w:rsidR="002B376E" w:rsidRPr="002B376E" w:rsidRDefault="002B376E" w:rsidP="003B7099">
            <w:pPr>
              <w:ind w:firstLine="0"/>
            </w:pPr>
            <w:r w:rsidRPr="002B376E">
              <w:t>Ptolemy V Epiphanes, 203–181 (vv 14–17)</w:t>
            </w:r>
          </w:p>
        </w:tc>
        <w:tc>
          <w:tcPr>
            <w:tcW w:w="4788" w:type="dxa"/>
          </w:tcPr>
          <w:p w:rsidR="002B376E" w:rsidRPr="002B376E" w:rsidRDefault="002B376E" w:rsidP="003B7099">
            <w:pPr>
              <w:ind w:firstLine="0"/>
            </w:pPr>
            <w:r w:rsidRPr="002B376E">
              <w:t>Seleucus IV Philopator, 187–175 (v 20)</w:t>
            </w:r>
          </w:p>
        </w:tc>
      </w:tr>
      <w:tr w:rsidR="002B376E" w:rsidRPr="002B376E" w:rsidTr="002B376E">
        <w:tc>
          <w:tcPr>
            <w:tcW w:w="4788" w:type="dxa"/>
          </w:tcPr>
          <w:p w:rsidR="002B376E" w:rsidRPr="002B376E" w:rsidRDefault="002B376E" w:rsidP="003B7099">
            <w:pPr>
              <w:ind w:firstLine="0"/>
            </w:pPr>
            <w:r w:rsidRPr="002B376E">
              <w:t>Ptolemy VI Philometor, 181–146 (vv 25–28)</w:t>
            </w:r>
          </w:p>
        </w:tc>
        <w:tc>
          <w:tcPr>
            <w:tcW w:w="4788" w:type="dxa"/>
          </w:tcPr>
          <w:p w:rsidR="002B376E" w:rsidRPr="002B376E" w:rsidRDefault="002B376E" w:rsidP="003B7099">
            <w:pPr>
              <w:ind w:firstLine="0"/>
            </w:pPr>
            <w:r w:rsidRPr="002B376E">
              <w:t>Antiochus IV Epiphanes, 175–163 (vv 21–45)</w:t>
            </w:r>
          </w:p>
        </w:tc>
      </w:tr>
      <w:tr w:rsidR="002B376E" w:rsidRPr="002B376E" w:rsidTr="002B376E">
        <w:tc>
          <w:tcPr>
            <w:tcW w:w="4788" w:type="dxa"/>
          </w:tcPr>
          <w:p w:rsidR="002B376E" w:rsidRPr="002B376E" w:rsidRDefault="002B376E" w:rsidP="003B7099">
            <w:pPr>
              <w:ind w:firstLine="0"/>
            </w:pPr>
            <w:r w:rsidRPr="002B376E">
              <w:t> </w:t>
            </w:r>
          </w:p>
        </w:tc>
        <w:tc>
          <w:tcPr>
            <w:tcW w:w="4788" w:type="dxa"/>
          </w:tcPr>
          <w:p w:rsidR="002B376E" w:rsidRPr="002B376E" w:rsidRDefault="002B376E" w:rsidP="003B7099">
            <w:pPr>
              <w:ind w:firstLine="0"/>
            </w:pPr>
            <w:r w:rsidRPr="002B376E">
              <w:t>Antiochus V Eupator, 163–162</w:t>
            </w:r>
          </w:p>
        </w:tc>
      </w:tr>
      <w:tr w:rsidR="002B376E" w:rsidRPr="002B376E" w:rsidTr="002B376E">
        <w:tc>
          <w:tcPr>
            <w:tcW w:w="4788" w:type="dxa"/>
          </w:tcPr>
          <w:p w:rsidR="002B376E" w:rsidRPr="002B376E" w:rsidRDefault="002B376E" w:rsidP="003B7099">
            <w:pPr>
              <w:ind w:firstLine="0"/>
            </w:pPr>
            <w:r w:rsidRPr="002B376E">
              <w:t> </w:t>
            </w:r>
          </w:p>
        </w:tc>
        <w:tc>
          <w:tcPr>
            <w:tcW w:w="4788" w:type="dxa"/>
          </w:tcPr>
          <w:p w:rsidR="002B376E" w:rsidRPr="002B376E" w:rsidRDefault="002B376E" w:rsidP="003B7099">
            <w:pPr>
              <w:ind w:firstLine="0"/>
            </w:pPr>
            <w:r w:rsidRPr="002B376E">
              <w:t>Demetrius I Soter, 162–150</w:t>
            </w:r>
          </w:p>
        </w:tc>
      </w:tr>
    </w:tbl>
    <w:p w:rsidR="003B7099" w:rsidRDefault="003B7099" w:rsidP="002B376E"/>
    <w:p w:rsidR="002B376E" w:rsidRPr="002B376E" w:rsidRDefault="002B376E" w:rsidP="002B376E">
      <w:r w:rsidRPr="002B376E">
        <w:t>The fi</w:t>
      </w:r>
      <w:r w:rsidR="003B7099">
        <w:t>rst southern king</w:t>
      </w:r>
      <w:r w:rsidR="001A0982">
        <w:t>,</w:t>
      </w:r>
      <w:r w:rsidR="003B7099">
        <w:t xml:space="preserve"> Ptolemy I, ruled Egypt from 322 but</w:t>
      </w:r>
      <w:r w:rsidRPr="002B376E">
        <w:t xml:space="preserve"> declared himself king only c</w:t>
      </w:r>
      <w:r w:rsidR="00B826D5">
        <w:t>.</w:t>
      </w:r>
      <w:r w:rsidRPr="002B376E">
        <w:t xml:space="preserve"> 305. </w:t>
      </w:r>
      <w:r w:rsidR="00A8060A">
        <w:t>The first northern king is Seleucus I, but he fled to Egypt and beca</w:t>
      </w:r>
      <w:r w:rsidR="00A8060A" w:rsidRPr="00A8060A">
        <w:t>me one of Ptolemy’s generals</w:t>
      </w:r>
      <w:r w:rsidR="00A8060A">
        <w:t xml:space="preserve"> when Antigonus </w:t>
      </w:r>
      <w:r w:rsidRPr="002B376E">
        <w:t>expa</w:t>
      </w:r>
      <w:r w:rsidR="00A8060A">
        <w:t>nded his empire in Asia and attacked Babylonia in 316</w:t>
      </w:r>
      <w:r w:rsidRPr="002B376E">
        <w:t>. Ptolemy and Seleucus defeated Antigonus’s army at Gaza in 312. Subsequently Seleucus not only recovered Babylon</w:t>
      </w:r>
      <w:r w:rsidR="00A8060A">
        <w:t>ia</w:t>
      </w:r>
      <w:r w:rsidRPr="002B376E">
        <w:t xml:space="preserve"> but also gradually won control of the rest of Antigonus’s empire, until after Antigonus’s death at the battle of Ipsus in 301 Seleucus </w:t>
      </w:r>
      <w:r w:rsidR="00E400AD">
        <w:t xml:space="preserve">became </w:t>
      </w:r>
      <w:r w:rsidR="00E400AD" w:rsidRPr="00E400AD">
        <w:t>“more powerful”</w:t>
      </w:r>
      <w:r w:rsidR="00E400AD">
        <w:t xml:space="preserve"> than</w:t>
      </w:r>
      <w:r w:rsidR="00E400AD" w:rsidRPr="00E400AD">
        <w:t xml:space="preserve"> </w:t>
      </w:r>
      <w:r w:rsidR="00E400AD">
        <w:t>Ptolemy</w:t>
      </w:r>
      <w:r w:rsidR="00DC682E">
        <w:t xml:space="preserve"> and exercised a particularly extensive rule: he </w:t>
      </w:r>
      <w:r w:rsidR="001A0982">
        <w:t>controll</w:t>
      </w:r>
      <w:r w:rsidR="00E400AD">
        <w:t xml:space="preserve">ed </w:t>
      </w:r>
      <w:r w:rsidRPr="002B376E">
        <w:t xml:space="preserve">the largest of the post-Alexander empires. Its significance in the ancient world is reflected in the fact that the Seleucid era provided a new basis </w:t>
      </w:r>
      <w:r w:rsidR="00E400AD">
        <w:t>for chronology, used in 1 Maccabees</w:t>
      </w:r>
      <w:r w:rsidRPr="002B376E">
        <w:t>. The Ptolemies, howe</w:t>
      </w:r>
      <w:r w:rsidR="001A0982">
        <w:t xml:space="preserve">ver, controlled Palestine </w:t>
      </w:r>
      <w:r w:rsidR="00E400AD">
        <w:t>through the third century, which</w:t>
      </w:r>
      <w:r w:rsidRPr="002B376E">
        <w:t xml:space="preserve"> was a source of conflict between the Ptolemaic and Seleucid empires.</w:t>
      </w:r>
    </w:p>
    <w:p w:rsidR="002B376E" w:rsidRPr="002B376E" w:rsidRDefault="002B376E" w:rsidP="002B376E">
      <w:r w:rsidRPr="00E400AD">
        <w:rPr>
          <w:b/>
        </w:rPr>
        <w:t>11:6</w:t>
      </w:r>
      <w:r w:rsidR="00E400AD">
        <w:t xml:space="preserve"> H</w:t>
      </w:r>
      <w:r w:rsidRPr="002B376E">
        <w:t xml:space="preserve">alf a century later, </w:t>
      </w:r>
      <w:r w:rsidR="00E400AD">
        <w:t xml:space="preserve">about 250, </w:t>
      </w:r>
      <w:r w:rsidRPr="002B376E">
        <w:t>Ptolemy II attempted to mend relation</w:t>
      </w:r>
      <w:r w:rsidR="00E400AD">
        <w:t>ships with the Seleucid empire</w:t>
      </w:r>
      <w:r w:rsidRPr="002B376E">
        <w:t xml:space="preserve"> by marrying his daughter Berenice to Antiochus II, who divorced his first wife, Laodice, and excluded their sons Seleucus and Antiochus from succeeding</w:t>
      </w:r>
      <w:r w:rsidR="00E400AD">
        <w:t xml:space="preserve"> him. But a</w:t>
      </w:r>
      <w:r w:rsidRPr="002B376E">
        <w:t xml:space="preserve">fter two years, Antiochus II apparently went back to Laodice, who then had him killed, along with his son by Berenice (thus clearing </w:t>
      </w:r>
      <w:r w:rsidRPr="002B376E">
        <w:lastRenderedPageBreak/>
        <w:t>the way for her own son Seleucus), Berenice herself, and a number of her Egyptian attendants. Berenice’s father also died in the same year.</w:t>
      </w:r>
    </w:p>
    <w:p w:rsidR="002B376E" w:rsidRPr="002B376E" w:rsidRDefault="002B376E" w:rsidP="002B376E">
      <w:r w:rsidRPr="00E400AD">
        <w:rPr>
          <w:b/>
        </w:rPr>
        <w:t>11:7–9</w:t>
      </w:r>
      <w:r w:rsidR="00E400AD">
        <w:t xml:space="preserve"> </w:t>
      </w:r>
      <w:r w:rsidRPr="002B376E">
        <w:t>Berenice’s brother, Ptolemy III, succeeded to their father’s throne in E</w:t>
      </w:r>
      <w:r w:rsidR="00E400AD">
        <w:t>gypt. In connection with the</w:t>
      </w:r>
      <w:r w:rsidRPr="002B376E">
        <w:t xml:space="preserve"> violent sequence of events involving his sister, his nephew, and his</w:t>
      </w:r>
      <w:r w:rsidR="00E400AD">
        <w:t xml:space="preserve"> kingdom’s subjects, he</w:t>
      </w:r>
      <w:r w:rsidRPr="002B376E">
        <w:t xml:space="preserve"> invaded the Seleucid empire, gained control of considerable areas of Syria (including </w:t>
      </w:r>
      <w:r w:rsidR="00E400AD">
        <w:t xml:space="preserve">the kingdom’s capital, </w:t>
      </w:r>
      <w:r w:rsidRPr="002B376E">
        <w:t xml:space="preserve">Antioch </w:t>
      </w:r>
      <w:r w:rsidR="00E400AD">
        <w:t xml:space="preserve">on the Orontes, </w:t>
      </w:r>
      <w:r w:rsidRPr="002B376E">
        <w:t>and Seleucia, its fortified port on the Mediterranean) and of the lands further east, avenged his sister by having Lao</w:t>
      </w:r>
      <w:r w:rsidR="00E400AD">
        <w:t>dice killed, and took much plunder</w:t>
      </w:r>
      <w:r w:rsidRPr="002B376E">
        <w:t xml:space="preserve"> back to Egypt. Taking a nation’s gods </w:t>
      </w:r>
      <w:r w:rsidR="001A3FAA">
        <w:t>(</w:t>
      </w:r>
      <w:r w:rsidR="000D1837">
        <w:t>v</w:t>
      </w:r>
      <w:r w:rsidR="001A3FAA">
        <w:t xml:space="preserve"> 8) </w:t>
      </w:r>
      <w:r w:rsidRPr="002B376E">
        <w:t>was a sign of subjugation and the exercise of power. Despite his huge successes, Ptolemy did not press on to total conquest of the Seleucid empire. In the end he had to leave the throne there to Seleucus II (son of Antiochus II by Laodice) and return to Egypt to deal with an uprising at h</w:t>
      </w:r>
      <w:r w:rsidR="001A3FAA">
        <w:t>ome. F</w:t>
      </w:r>
      <w:r w:rsidRPr="002B376E">
        <w:t>or two years there was no con</w:t>
      </w:r>
      <w:r w:rsidR="001A3FAA">
        <w:t>flict between the two empires. T</w:t>
      </w:r>
      <w:r w:rsidRPr="002B376E">
        <w:t>hen in 242 Seleucus II attempted to invade Egypt</w:t>
      </w:r>
      <w:r w:rsidR="001A3FAA">
        <w:t xml:space="preserve"> (</w:t>
      </w:r>
      <w:r w:rsidR="000D1837">
        <w:t>v</w:t>
      </w:r>
      <w:r w:rsidR="001A3FAA">
        <w:t xml:space="preserve"> 9)</w:t>
      </w:r>
      <w:r w:rsidRPr="002B376E">
        <w:t>, but had to retreat, his army decimated.</w:t>
      </w:r>
    </w:p>
    <w:p w:rsidR="002B376E" w:rsidRPr="002B376E" w:rsidRDefault="002B376E" w:rsidP="002B376E">
      <w:r w:rsidRPr="001A3FAA">
        <w:rPr>
          <w:b/>
        </w:rPr>
        <w:t>11:10–12</w:t>
      </w:r>
      <w:r w:rsidR="001A3FAA">
        <w:t xml:space="preserve"> </w:t>
      </w:r>
      <w:r w:rsidRPr="002B376E">
        <w:t>Seleucus II was succeeded by his sons, Seleucus III (226–223) and—on his murder during a campaign in Turkey—Antiochus III (223–187). The latter attempted to turn the tide of aggressive power between the Seleucids and the Ptolemies, beginning in 219 by recapturing Seleucia. He invaded Palestine and conquered a large part of it.</w:t>
      </w:r>
      <w:r w:rsidR="001A3FAA">
        <w:t xml:space="preserve"> </w:t>
      </w:r>
      <w:r w:rsidR="008D59CD">
        <w:t>The talk in terms of a flood takes up the i</w:t>
      </w:r>
      <w:r w:rsidR="002D0CC5">
        <w:t>m</w:t>
      </w:r>
      <w:r w:rsidR="008D59CD">
        <w:t>agery of Isa 8:8</w:t>
      </w:r>
      <w:r w:rsidR="00950E6C">
        <w:t xml:space="preserve"> where it referred to the Assyrians, which “lends an epic quality to the description,… though it may also subtly indicate that these events are not, finally, the outcome of the autonomous will of the kings but are part of the divine plan.”</w:t>
      </w:r>
      <w:r w:rsidR="00950E6C">
        <w:rPr>
          <w:rStyle w:val="FootnoteReference"/>
        </w:rPr>
        <w:footnoteReference w:id="675"/>
      </w:r>
      <w:r w:rsidR="00950E6C">
        <w:t xml:space="preserve"> </w:t>
      </w:r>
      <w:r w:rsidR="001A3FAA">
        <w:t>I</w:t>
      </w:r>
      <w:r w:rsidR="001A3FAA" w:rsidRPr="001A3FAA">
        <w:t xml:space="preserve">n due course </w:t>
      </w:r>
      <w:r w:rsidR="001A3FAA">
        <w:t>(</w:t>
      </w:r>
      <w:r w:rsidR="000D1837">
        <w:t>v</w:t>
      </w:r>
      <w:r w:rsidR="001A3FAA">
        <w:t xml:space="preserve"> 11) </w:t>
      </w:r>
      <w:r w:rsidRPr="002B376E">
        <w:t>Ptolemy IV (221–203) sent an army to engage with Antiochus III at Raphia, the Egyptian stronghold on the border with Palestine, in 217. According to Polybius (</w:t>
      </w:r>
      <w:r w:rsidRPr="00B826D5">
        <w:rPr>
          <w:i/>
        </w:rPr>
        <w:t>Histories</w:t>
      </w:r>
      <w:r w:rsidRPr="002B376E">
        <w:t xml:space="preserve"> 5.79), Antiochus took 62,000 infantry, 6,000 cavalry, and 102 elephants into battle against Ptolemy’s 70,000 infantry, 5,000 cavalry, and 73 elephants. Antiochus lost over 14,000 men in defeat</w:t>
      </w:r>
      <w:r w:rsidR="001A3FAA">
        <w:t xml:space="preserve"> (v 12)</w:t>
      </w:r>
      <w:r w:rsidRPr="002B376E">
        <w:t>, but Ptolemy, despite the encouragement, still lacked his father’s instinct for warmaking. He was content with victory and the regaining of Palestine and Phoenicia, and did not press his advantage, making peace with Antiochus.</w:t>
      </w:r>
      <w:r w:rsidR="00B826D5">
        <w:t xml:space="preserve"> T</w:t>
      </w:r>
      <w:r w:rsidR="001920D9">
        <w:t>he seer gives none of this exciting information; it is only by reading the verses in light of other sources that we understand more clearly what was going on. The seer is more interested in the typical nature of the event.</w:t>
      </w:r>
      <w:r w:rsidR="001920D9">
        <w:rPr>
          <w:rStyle w:val="FootnoteReference"/>
        </w:rPr>
        <w:footnoteReference w:id="676"/>
      </w:r>
    </w:p>
    <w:p w:rsidR="002B376E" w:rsidRPr="002B376E" w:rsidRDefault="002B376E" w:rsidP="002B376E">
      <w:r w:rsidRPr="001A3FAA">
        <w:rPr>
          <w:b/>
        </w:rPr>
        <w:t>11:13–15</w:t>
      </w:r>
      <w:r w:rsidR="001A3FAA">
        <w:t xml:space="preserve"> O</w:t>
      </w:r>
      <w:r w:rsidRPr="002B376E">
        <w:t>ver the next fourteen years Antiochus</w:t>
      </w:r>
      <w:r w:rsidR="001A3FAA">
        <w:t xml:space="preserve"> III</w:t>
      </w:r>
      <w:r w:rsidRPr="002B376E">
        <w:t xml:space="preserve"> campaigned in Turkey and the east and regained much of the old Seleucid empire, winning for </w:t>
      </w:r>
      <w:r w:rsidR="001A3FAA">
        <w:t xml:space="preserve">himself the title “the Great.” He then </w:t>
      </w:r>
      <w:r w:rsidRPr="002B376E">
        <w:t>raised an even larger army in alliance with Philip V of Macedon to invade the Ptolem</w:t>
      </w:r>
      <w:r w:rsidR="001A3FAA">
        <w:t>aic kingdom. T</w:t>
      </w:r>
      <w:r w:rsidRPr="002B376E">
        <w:t xml:space="preserve">here were native Egyptian rebellions </w:t>
      </w:r>
      <w:r w:rsidR="001A3FAA">
        <w:t>(</w:t>
      </w:r>
      <w:r w:rsidR="000D1837">
        <w:t>v</w:t>
      </w:r>
      <w:r w:rsidR="001A3FAA">
        <w:t xml:space="preserve"> 14a) </w:t>
      </w:r>
      <w:r w:rsidRPr="002B376E">
        <w:t>a</w:t>
      </w:r>
      <w:r w:rsidR="00F22DD2">
        <w:t>gainst Ptolemaic rule from 207, a consequence, Polybius (5.107)</w:t>
      </w:r>
      <w:r w:rsidRPr="002B376E">
        <w:t xml:space="preserve"> suggests, of the encouragement of native Egyptian morale by the Egypt</w:t>
      </w:r>
      <w:r w:rsidR="00F22DD2">
        <w:t>ian victory over Antiochus.</w:t>
      </w:r>
      <w:r w:rsidRPr="002B376E">
        <w:t xml:space="preserve"> Ptolemy IV died in mysterious circumstances, to be succeeded by his infant son Ptolemy V (203–181). The country was actually ruled by Agathocles, a chief minister under Ptolemy IV; his oppressive regency provoked insurrection in Egypt, and his assassination. But the “many” may also refer to the soldiers of Antiochus and Philip.</w:t>
      </w:r>
    </w:p>
    <w:p w:rsidR="002B376E" w:rsidRPr="002B376E" w:rsidRDefault="001A3FAA" w:rsidP="002B376E">
      <w:r>
        <w:t>T</w:t>
      </w:r>
      <w:r w:rsidR="002B376E" w:rsidRPr="002B376E">
        <w:t>he period was one of strife wi</w:t>
      </w:r>
      <w:r w:rsidR="000C2226">
        <w:t>thin the Jewish community</w:t>
      </w:r>
      <w:r>
        <w:t xml:space="preserve"> (</w:t>
      </w:r>
      <w:r w:rsidR="000D1837">
        <w:t>v</w:t>
      </w:r>
      <w:r>
        <w:t xml:space="preserve"> 14b)</w:t>
      </w:r>
      <w:r w:rsidR="002B376E" w:rsidRPr="002B376E">
        <w:t>. The high priest held supreme authority in both political and religious affairs, but Onias II h</w:t>
      </w:r>
      <w:r w:rsidR="000C2226">
        <w:t>ad been forced to share actual</w:t>
      </w:r>
      <w:r w:rsidR="002B376E" w:rsidRPr="002B376E">
        <w:t xml:space="preserve"> political power with his brother-in-law Tobias, and the Tobiads became significant political forces in Jerusalem. The Oniads were inclined to be anti-Egyptian, the Tobiads to be pro-Egyptian, though there was also conflict over policy within the Tobiad family.</w:t>
      </w:r>
      <w:r>
        <w:rPr>
          <w:rStyle w:val="FootnoteReference"/>
        </w:rPr>
        <w:footnoteReference w:id="677"/>
      </w:r>
      <w:r w:rsidR="002B376E" w:rsidRPr="002B376E">
        <w:t xml:space="preserve"> The assertiveness of the “wild men” (</w:t>
      </w:r>
      <w:r w:rsidR="002B376E" w:rsidRPr="002B376E">
        <w:rPr>
          <w:rFonts w:ascii="Arial" w:hAnsi="Arial" w:cs="Arial"/>
        </w:rPr>
        <w:t>פריצים</w:t>
      </w:r>
      <w:r w:rsidR="00C013FC">
        <w:rPr>
          <w:rFonts w:ascii="Arial" w:hAnsi="Arial" w:cs="Arial"/>
        </w:rPr>
        <w:t xml:space="preserve"> </w:t>
      </w:r>
      <w:r w:rsidR="00C013FC" w:rsidRPr="00C013FC">
        <w:rPr>
          <w:rFonts w:ascii="Arial" w:hAnsi="Arial" w:cs="Arial"/>
        </w:rPr>
        <w:t>בני</w:t>
      </w:r>
      <w:r w:rsidR="00C013FC">
        <w:t>) might</w:t>
      </w:r>
      <w:r w:rsidR="002B376E" w:rsidRPr="002B376E">
        <w:t xml:space="preserve"> refer to Jews—p</w:t>
      </w:r>
      <w:r w:rsidR="000C2226">
        <w:t>resumably Oniads—joining in the</w:t>
      </w:r>
      <w:r w:rsidR="002B376E" w:rsidRPr="002B376E">
        <w:t xml:space="preserve"> resistance to the southern king which v 14a refers to. But it is odd to say that they failed or “fell.” Apart from one short-lived victory on the part of the Egyptian general Scopas, the st</w:t>
      </w:r>
      <w:r w:rsidR="00C013FC">
        <w:t xml:space="preserve">ory of events from 201–198 </w:t>
      </w:r>
      <w:r w:rsidR="002B376E" w:rsidRPr="002B376E">
        <w:t xml:space="preserve">is of Antiochus’s triumphant conquest of </w:t>
      </w:r>
      <w:r w:rsidR="002B376E" w:rsidRPr="002B376E">
        <w:lastRenderedPageBreak/>
        <w:t>Palestine. More likely the uns</w:t>
      </w:r>
      <w:r w:rsidR="00C013FC">
        <w:t>uccessful wild men are Tobiads</w:t>
      </w:r>
      <w:r w:rsidR="002B376E" w:rsidRPr="002B376E">
        <w:t>.</w:t>
      </w:r>
      <w:r w:rsidR="006D49F7">
        <w:rPr>
          <w:rStyle w:val="FootnoteReference"/>
        </w:rPr>
        <w:footnoteReference w:id="678"/>
      </w:r>
      <w:r w:rsidR="00F22DD2">
        <w:t xml:space="preserve"> </w:t>
      </w:r>
      <w:r w:rsidR="00CF2979">
        <w:t xml:space="preserve">Further, </w:t>
      </w:r>
      <w:r w:rsidR="00F22DD2">
        <w:t>“</w:t>
      </w:r>
      <w:r w:rsidR="00CF2979">
        <w:t>w</w:t>
      </w:r>
      <w:r w:rsidR="006D49F7">
        <w:t xml:space="preserve">ild men” is </w:t>
      </w:r>
      <w:r w:rsidR="002B376E" w:rsidRPr="002B376E">
        <w:t xml:space="preserve">a term used to suggest violation of the holy rather than </w:t>
      </w:r>
      <w:r w:rsidR="00CF2979">
        <w:t>suggesting</w:t>
      </w:r>
      <w:r w:rsidR="002B376E" w:rsidRPr="002B376E">
        <w:t xml:space="preserve"> polemic against </w:t>
      </w:r>
      <w:r w:rsidR="00CF2979">
        <w:t>violent action</w:t>
      </w:r>
      <w:r w:rsidR="002B376E" w:rsidRPr="002B376E">
        <w:t>.</w:t>
      </w:r>
    </w:p>
    <w:p w:rsidR="002B376E" w:rsidRPr="002B376E" w:rsidRDefault="000C2226" w:rsidP="002B376E">
      <w:r>
        <w:t>The</w:t>
      </w:r>
      <w:r w:rsidR="00CF2979">
        <w:t xml:space="preserve"> acts of violation take place </w:t>
      </w:r>
      <w:r w:rsidR="002B376E" w:rsidRPr="002B376E">
        <w:t>in fulfillm</w:t>
      </w:r>
      <w:r w:rsidR="006D49F7">
        <w:t xml:space="preserve">ent of a </w:t>
      </w:r>
      <w:r w:rsidR="00FA49D6">
        <w:t>“vision</w:t>
      </w:r>
      <w:r w:rsidR="00CF2979">
        <w:t>”</w:t>
      </w:r>
      <w:r w:rsidR="00FA49D6">
        <w:t>; t</w:t>
      </w:r>
      <w:r w:rsidR="00CF2979">
        <w:t>hat</w:t>
      </w:r>
      <w:r w:rsidR="006D49F7">
        <w:t xml:space="preserve"> word</w:t>
      </w:r>
      <w:r w:rsidR="00CF2979">
        <w:t xml:space="preserve"> </w:t>
      </w:r>
      <w:r w:rsidR="002B376E" w:rsidRPr="002B376E">
        <w:t xml:space="preserve">occurs more frequently </w:t>
      </w:r>
      <w:r>
        <w:t xml:space="preserve">in Dan 8 </w:t>
      </w:r>
      <w:r w:rsidR="002B376E" w:rsidRPr="002B376E">
        <w:t>than i</w:t>
      </w:r>
      <w:r w:rsidR="006D49F7">
        <w:t>n a</w:t>
      </w:r>
      <w:r>
        <w:t>ny other chapter</w:t>
      </w:r>
      <w:r w:rsidR="00FA49D6">
        <w:t xml:space="preserve"> in the OT. Were the violators </w:t>
      </w:r>
      <w:r w:rsidR="002B376E" w:rsidRPr="002B376E">
        <w:t>unintentionally fulfilling Daniel’s revel</w:t>
      </w:r>
      <w:r>
        <w:t>ation?</w:t>
      </w:r>
      <w:r w:rsidR="00CF2979">
        <w:t xml:space="preserve"> But</w:t>
      </w:r>
      <w:r w:rsidR="002B376E" w:rsidRPr="002B376E">
        <w:t xml:space="preserve"> it is </w:t>
      </w:r>
      <w:r>
        <w:t xml:space="preserve">not obvious why this </w:t>
      </w:r>
      <w:r w:rsidR="002B376E" w:rsidRPr="002B376E">
        <w:t>motif in chap. 11 should be described thus. Nor is it likely that Daniel w</w:t>
      </w:r>
      <w:r w:rsidR="006D49F7">
        <w:t xml:space="preserve">ould use the term in the </w:t>
      </w:r>
      <w:r w:rsidR="002B376E" w:rsidRPr="002B376E">
        <w:t>modern sense of the people’s political v</w:t>
      </w:r>
      <w:r w:rsidR="002F3D33">
        <w:t>ision or policy</w:t>
      </w:r>
      <w:r w:rsidR="002B376E" w:rsidRPr="002B376E">
        <w:t>.</w:t>
      </w:r>
      <w:r w:rsidR="006D49F7" w:rsidRPr="006D49F7">
        <w:rPr>
          <w:vertAlign w:val="superscript"/>
        </w:rPr>
        <w:footnoteReference w:id="679"/>
      </w:r>
      <w:r w:rsidR="00FA49D6">
        <w:t xml:space="preserve"> Was the vision </w:t>
      </w:r>
      <w:r w:rsidR="002B376E" w:rsidRPr="002B376E">
        <w:t xml:space="preserve">one received within the community </w:t>
      </w:r>
      <w:r w:rsidR="00FA49D6">
        <w:t>at the time (cf. Ezek 13:6)? Or was it</w:t>
      </w:r>
      <w:r w:rsidR="002B376E" w:rsidRPr="002B376E">
        <w:t xml:space="preserve"> a passage from the prophets (cf. 9:24; also Ezek 12:22–27; Ha</w:t>
      </w:r>
      <w:r>
        <w:t>b 2:2–3)</w:t>
      </w:r>
      <w:r w:rsidR="00FA49D6">
        <w:t>?</w:t>
      </w:r>
      <w:r w:rsidR="006D49F7">
        <w:t xml:space="preserve"> OG assumes Amos 9:11</w:t>
      </w:r>
      <w:r w:rsidR="002B376E" w:rsidRPr="002B376E">
        <w:t>;</w:t>
      </w:r>
      <w:r w:rsidR="006D49F7">
        <w:rPr>
          <w:rStyle w:val="FootnoteReference"/>
        </w:rPr>
        <w:footnoteReference w:id="680"/>
      </w:r>
      <w:r w:rsidR="002B376E" w:rsidRPr="002B376E">
        <w:t xml:space="preserve"> Jerome suggests Isa 19:19, connecting the passage with Onias’s build</w:t>
      </w:r>
      <w:r w:rsidR="004265CF">
        <w:t>ing of a temple at Leontopolis,</w:t>
      </w:r>
      <w:r w:rsidR="004265CF">
        <w:rPr>
          <w:rStyle w:val="FootnoteReference"/>
        </w:rPr>
        <w:footnoteReference w:id="681"/>
      </w:r>
      <w:r w:rsidR="004265CF">
        <w:t xml:space="preserve"> </w:t>
      </w:r>
      <w:r w:rsidR="002B376E" w:rsidRPr="002B376E">
        <w:t>though this</w:t>
      </w:r>
      <w:r w:rsidR="00194A0C">
        <w:t xml:space="preserve"> understanding clashes with the idea that </w:t>
      </w:r>
      <w:r w:rsidR="000D1837">
        <w:t>v</w:t>
      </w:r>
      <w:r w:rsidR="00194A0C">
        <w:t xml:space="preserve"> 22 refers to Onias’s death (see 8:10-11 </w:t>
      </w:r>
      <w:r w:rsidR="00194A0C">
        <w:rPr>
          <w:i/>
        </w:rPr>
        <w:t>Comment</w:t>
      </w:r>
      <w:r w:rsidR="00194A0C">
        <w:t>)</w:t>
      </w:r>
      <w:r w:rsidR="002B376E" w:rsidRPr="002B376E">
        <w:t xml:space="preserve">. Daniel would </w:t>
      </w:r>
      <w:r w:rsidR="00CF2979">
        <w:t xml:space="preserve">then </w:t>
      </w:r>
      <w:r w:rsidR="002B376E" w:rsidRPr="002B376E">
        <w:t>be implying a conscious or unconscious attempt to bring about the fulfillment of God’s plan expressed i</w:t>
      </w:r>
      <w:r w:rsidR="00CF2979">
        <w:t>n these scriptures, but an attempt</w:t>
      </w:r>
      <w:r w:rsidR="002B376E" w:rsidRPr="002B376E">
        <w:t xml:space="preserve"> that fails, becaus</w:t>
      </w:r>
      <w:r>
        <w:t>e God’s time has not yet come. Dan 11-12</w:t>
      </w:r>
      <w:r w:rsidR="002B376E" w:rsidRPr="002B376E">
        <w:t xml:space="preserve"> </w:t>
      </w:r>
      <w:r>
        <w:t>will go</w:t>
      </w:r>
      <w:r w:rsidR="002B376E" w:rsidRPr="002B376E">
        <w:t xml:space="preserve"> on to indicate the further events that m</w:t>
      </w:r>
      <w:r w:rsidR="00194A0C">
        <w:t>ust take place before that End</w:t>
      </w:r>
      <w:r w:rsidR="002B376E" w:rsidRPr="002B376E">
        <w:t>.</w:t>
      </w:r>
      <w:r w:rsidR="00194A0C">
        <w:rPr>
          <w:rStyle w:val="FootnoteReference"/>
        </w:rPr>
        <w:footnoteReference w:id="682"/>
      </w:r>
      <w:r w:rsidR="00194A0C">
        <w:t xml:space="preserve"> </w:t>
      </w:r>
      <w:r w:rsidR="002B376E" w:rsidRPr="002B376E">
        <w:t xml:space="preserve">But the reference to a vision is one of the passage’s points of contact with Ezek 7 (v 26; see </w:t>
      </w:r>
      <w:r w:rsidR="002B376E" w:rsidRPr="00194A0C">
        <w:rPr>
          <w:i/>
        </w:rPr>
        <w:t>Form</w:t>
      </w:r>
      <w:r w:rsidR="002B376E" w:rsidRPr="002B376E">
        <w:t xml:space="preserve">), where it refers to people in Jerusalem seeking some vision to encourage them. More </w:t>
      </w:r>
      <w:r w:rsidR="00FA49D6">
        <w:t>likely, then, the vision is that</w:t>
      </w:r>
      <w:r w:rsidR="002B376E" w:rsidRPr="002B376E">
        <w:t xml:space="preserve"> passage in Ezek 7, which the violators unconsciously fulfill, and fall because God brings judgment on them as he warned there.</w:t>
      </w:r>
    </w:p>
    <w:p w:rsidR="002B376E" w:rsidRPr="002B376E" w:rsidRDefault="002B376E" w:rsidP="002B376E">
      <w:r w:rsidRPr="002B376E">
        <w:t>Then</w:t>
      </w:r>
      <w:r w:rsidR="00194A0C">
        <w:t>, in 199</w:t>
      </w:r>
      <w:r w:rsidRPr="002B376E">
        <w:t xml:space="preserve"> </w:t>
      </w:r>
      <w:r w:rsidR="00194A0C">
        <w:t>(</w:t>
      </w:r>
      <w:r w:rsidR="000D1837">
        <w:t>v</w:t>
      </w:r>
      <w:r w:rsidR="00194A0C">
        <w:t xml:space="preserve"> 15) </w:t>
      </w:r>
      <w:r w:rsidRPr="002B376E">
        <w:t>Antiochus defeated Scopas at Paneas (Caesarea Philippi), followed him to Sidon, an Egyptian fortified ci</w:t>
      </w:r>
      <w:r w:rsidR="00D65481">
        <w:t>ty, and laid siege to it. Next year</w:t>
      </w:r>
      <w:r w:rsidRPr="002B376E">
        <w:t xml:space="preserve"> Scopas and his troops, along with reinforcements sent from Egypt to relieve him, had to surrender.</w:t>
      </w:r>
    </w:p>
    <w:p w:rsidR="002B376E" w:rsidRPr="002B376E" w:rsidRDefault="002B376E" w:rsidP="002B376E">
      <w:r w:rsidRPr="00D65481">
        <w:rPr>
          <w:b/>
        </w:rPr>
        <w:t>11:16–19</w:t>
      </w:r>
      <w:r w:rsidR="00D65481">
        <w:t xml:space="preserve"> </w:t>
      </w:r>
      <w:r w:rsidRPr="002B376E">
        <w:t xml:space="preserve">Antiochus thus gained firm control of Palestine and Phoenicia, including Judea, and also captured some of the </w:t>
      </w:r>
      <w:r w:rsidR="00FA49D6">
        <w:t xml:space="preserve">areas on Turkish coast </w:t>
      </w:r>
      <w:r w:rsidRPr="002B376E">
        <w:t>that ha</w:t>
      </w:r>
      <w:r w:rsidR="00FA49D6">
        <w:t>d been subject to Egyptian rule,</w:t>
      </w:r>
      <w:r w:rsidRPr="002B376E">
        <w:t xml:space="preserve"> Cilicia, Lycia, and Caria. He was in a position to invade Egypt itself and destroy the Ptolemaic empire</w:t>
      </w:r>
      <w:r w:rsidR="00D65481">
        <w:t xml:space="preserve"> (</w:t>
      </w:r>
      <w:r w:rsidR="000D1837">
        <w:t>v</w:t>
      </w:r>
      <w:r w:rsidR="00D65481">
        <w:t xml:space="preserve"> 17)</w:t>
      </w:r>
      <w:r w:rsidRPr="002B376E">
        <w:t>, but</w:t>
      </w:r>
      <w:r w:rsidR="00FA49D6">
        <w:t xml:space="preserve"> he feared Roman intervention, and instead </w:t>
      </w:r>
      <w:r w:rsidRPr="002B376E">
        <w:t>made peace with Egypt in 197, betrothing his daughter Cleopatra to Ptolemy V. He hoped to further his designs on Egypt through her, but she (Egypt’s fi</w:t>
      </w:r>
      <w:r w:rsidR="00FA49D6">
        <w:t xml:space="preserve">rst Cleopatra) became </w:t>
      </w:r>
      <w:r w:rsidRPr="002B376E">
        <w:t>loyal to her husband and new homeland and encouraged an Egyptian alliance with Rome, which frustrated Antiochus’s continuing designs on the Ptolemaic area of the old empire of Alexander.</w:t>
      </w:r>
    </w:p>
    <w:p w:rsidR="002B376E" w:rsidRPr="002B376E" w:rsidRDefault="00D65481" w:rsidP="002B376E">
      <w:r>
        <w:t>I</w:t>
      </w:r>
      <w:r w:rsidR="002B376E" w:rsidRPr="002B376E">
        <w:t>n the meantime</w:t>
      </w:r>
      <w:r>
        <w:t xml:space="preserve"> (</w:t>
      </w:r>
      <w:r w:rsidR="000D1837">
        <w:t>v</w:t>
      </w:r>
      <w:r>
        <w:t xml:space="preserve"> 18)</w:t>
      </w:r>
      <w:r w:rsidR="002B376E" w:rsidRPr="002B376E">
        <w:t>, Antiochus resumed his attacks on E</w:t>
      </w:r>
      <w:r>
        <w:t>gyptian-held areas of Turkey</w:t>
      </w:r>
      <w:r w:rsidR="002B376E" w:rsidRPr="002B376E">
        <w:t xml:space="preserve"> and went on to invade Macedon, Thrace, and Greece itself. But in 191 the Romans defeated him </w:t>
      </w:r>
      <w:r w:rsidR="00FA49D6">
        <w:t>first at Thermopylae, then</w:t>
      </w:r>
      <w:r w:rsidR="002B376E" w:rsidRPr="002B376E">
        <w:t xml:space="preserve"> decisively at Magnesia near Smyrna a year later, ending his pretensions to power in the west. Antiochus became a vassal of Rome and his younger son, the later Antiochus IV, was taken to Rome</w:t>
      </w:r>
      <w:r>
        <w:t xml:space="preserve"> as a hostage. </w:t>
      </w:r>
      <w:r w:rsidR="002B376E" w:rsidRPr="002B376E">
        <w:t>Antiochus thus returned to Syria</w:t>
      </w:r>
      <w:r>
        <w:t xml:space="preserve"> (</w:t>
      </w:r>
      <w:r w:rsidR="000D1837">
        <w:t>v</w:t>
      </w:r>
      <w:r>
        <w:t xml:space="preserve"> 19). H</w:t>
      </w:r>
      <w:r w:rsidR="002B376E" w:rsidRPr="002B376E">
        <w:t>e was assassinated at Elymais in 187 while attempting to pillage the treasury of Bel, one of his own gods, to pay the tribute imposed on him by the Romans after their victory.</w:t>
      </w:r>
    </w:p>
    <w:p w:rsidR="002B376E" w:rsidRPr="002B376E" w:rsidRDefault="002B376E" w:rsidP="002B376E">
      <w:r w:rsidRPr="00D65481">
        <w:rPr>
          <w:b/>
        </w:rPr>
        <w:t>11:20</w:t>
      </w:r>
      <w:r w:rsidR="00D65481">
        <w:t xml:space="preserve"> H</w:t>
      </w:r>
      <w:r w:rsidRPr="002B376E">
        <w:t xml:space="preserve">is successor, Seleucus IV, was an unfortunate and unpopular ruler whose main concern had to be paying the tribute imposed on his father. The oppressor he sent </w:t>
      </w:r>
      <w:r w:rsidR="00CF2979">
        <w:t>a</w:t>
      </w:r>
      <w:r w:rsidRPr="002B376E">
        <w:t xml:space="preserve">round in this connection was his finance minister Heliodorus, whose acts included attempting to pillage the treasury of the temple at Jerusalem. This was </w:t>
      </w:r>
      <w:r w:rsidRPr="00D65481">
        <w:rPr>
          <w:i/>
        </w:rPr>
        <w:t>the</w:t>
      </w:r>
      <w:r w:rsidRPr="002B376E">
        <w:t xml:space="preserve"> event of Seleucus’s reign not merely because of its unexpected thwarting (2 Macc 3) but because of its being an anti-fulfillment of an OT prophecy (see </w:t>
      </w:r>
      <w:r w:rsidRPr="00D65481">
        <w:rPr>
          <w:i/>
        </w:rPr>
        <w:t>Form</w:t>
      </w:r>
      <w:r w:rsidRPr="002B376E">
        <w:t xml:space="preserve">). Seleucus died in 175. </w:t>
      </w:r>
      <w:r w:rsidRPr="002B376E">
        <w:lastRenderedPageBreak/>
        <w:t xml:space="preserve">According to Appian, </w:t>
      </w:r>
      <w:r w:rsidRPr="00CF2979">
        <w:rPr>
          <w:i/>
        </w:rPr>
        <w:t>Wars</w:t>
      </w:r>
      <w:r w:rsidRPr="002B376E">
        <w:t xml:space="preserve"> 11.8 [45], he was assassinated in a plot engineered by Heliodorus in which Seleucus’s younger brother Antiochus—now on his way back from Rome—may also have been involved (see on 7:24). There is perhaps a slur in the comment on his ignominious death, “not in the heat of battle.”</w:t>
      </w:r>
    </w:p>
    <w:p w:rsidR="000B237C" w:rsidRPr="00884655" w:rsidRDefault="002B376E" w:rsidP="000B237C">
      <w:r w:rsidRPr="00D65481">
        <w:rPr>
          <w:b/>
        </w:rPr>
        <w:t>11:21–24</w:t>
      </w:r>
      <w:r w:rsidRPr="002B376E">
        <w:t xml:space="preserve"> </w:t>
      </w:r>
      <w:r w:rsidR="000B237C" w:rsidRPr="00884655">
        <w:t xml:space="preserve">Rashi </w:t>
      </w:r>
      <w:r w:rsidR="000B237C">
        <w:t xml:space="preserve">(for instance) </w:t>
      </w:r>
      <w:r w:rsidR="000B237C" w:rsidRPr="00884655">
        <w:t>assumes that Daniel moves on at this point to describe the activity of the Romans in the Hasmonean period, and that v</w:t>
      </w:r>
      <w:r w:rsidR="000B237C">
        <w:t>v</w:t>
      </w:r>
      <w:r w:rsidR="000B237C" w:rsidRPr="00884655">
        <w:t xml:space="preserve"> 21-35 cover the period from the beginnings of Roman involvement with Palestine to the sacrilege of Titus, the fall of Jerusalem, and the faithful service of Johanan ben Zakkai and Judah Hanasi. But there is no indication in the vision of such a move. Jerome </w:t>
      </w:r>
      <w:r w:rsidR="000B237C">
        <w:t xml:space="preserve">(for instance) </w:t>
      </w:r>
      <w:r w:rsidR="000B237C" w:rsidRPr="00884655">
        <w:t>assumes that the vision refers in the immediate sense to Antiochus but that the portrait is larger than life and implies that A</w:t>
      </w:r>
      <w:r w:rsidR="000B237C">
        <w:t>ntiochus is a type of the anti-m</w:t>
      </w:r>
      <w:r w:rsidR="000B237C" w:rsidRPr="00884655">
        <w:t>essiah.</w:t>
      </w:r>
      <w:r w:rsidR="000B237C" w:rsidRPr="00884655">
        <w:rPr>
          <w:vertAlign w:val="superscript"/>
        </w:rPr>
        <w:footnoteReference w:id="683"/>
      </w:r>
      <w:r w:rsidR="000B237C">
        <w:t xml:space="preserve"> The vision’s omitting to name names encourages this approach to seeing the vision’s longer-term significance, but again there is no positive indication in the vision of such a </w:t>
      </w:r>
      <w:r w:rsidR="00D42FE1">
        <w:t>move. The prophecy describes its</w:t>
      </w:r>
      <w:r w:rsidR="000B237C">
        <w:t xml:space="preserve"> next and last northern king.</w:t>
      </w:r>
    </w:p>
    <w:p w:rsidR="002B376E" w:rsidRPr="002B376E" w:rsidRDefault="002B376E" w:rsidP="002B376E">
      <w:r w:rsidRPr="002B376E">
        <w:t xml:space="preserve">The most prominent feature of the prophecy, the </w:t>
      </w:r>
      <w:r w:rsidR="00D42FE1">
        <w:t>career of this king</w:t>
      </w:r>
      <w:r w:rsidRPr="002B376E">
        <w:t>, forms a series of episo</w:t>
      </w:r>
      <w:r w:rsidR="00D65481">
        <w:t>des, marked by time references</w:t>
      </w:r>
      <w:r w:rsidRPr="002B376E">
        <w:t>:</w:t>
      </w:r>
      <w:r w:rsidR="000B237C">
        <w:t xml:space="preserve"> vv 21–24 (“</w:t>
      </w:r>
      <w:r w:rsidRPr="002B376E">
        <w:t>until a cert</w:t>
      </w:r>
      <w:r w:rsidR="000B237C">
        <w:t>ain time”), vv 25–28 (“</w:t>
      </w:r>
      <w:r w:rsidRPr="002B376E">
        <w:t>an end will yet await th</w:t>
      </w:r>
      <w:r w:rsidR="000B237C">
        <w:t>e set time”), vv 29–35 (“a</w:t>
      </w:r>
      <w:r w:rsidRPr="002B376E">
        <w:t>t the set time . . . until the time of the end—for it will still await the</w:t>
      </w:r>
      <w:r w:rsidR="000B237C">
        <w:t xml:space="preserve"> set moment”), vv 36–39 (“until wrath is complete</w:t>
      </w:r>
      <w:r w:rsidRPr="002B376E">
        <w:t xml:space="preserve">”; and see </w:t>
      </w:r>
      <w:r w:rsidR="00766A89">
        <w:t xml:space="preserve">the </w:t>
      </w:r>
      <w:r w:rsidRPr="002B376E">
        <w:t>beginning of v 40), and vv 40–4</w:t>
      </w:r>
      <w:r w:rsidR="000B237C">
        <w:t>5 (“at the time of the end</w:t>
      </w:r>
      <w:r w:rsidRPr="002B376E">
        <w:t>”); cf. 12:1–3 (“at that time . . . to all eternity”).</w:t>
      </w:r>
      <w:r w:rsidR="005013CC">
        <w:t xml:space="preserve"> The successor of Seleucus IV was his younger brother, who became Antiochus IV</w:t>
      </w:r>
      <w:r w:rsidR="00884655">
        <w:t xml:space="preserve"> </w:t>
      </w:r>
      <w:r w:rsidR="00884655" w:rsidRPr="00884655">
        <w:t>(175–164</w:t>
      </w:r>
      <w:r w:rsidR="00884655">
        <w:t>)</w:t>
      </w:r>
      <w:r w:rsidR="005013CC">
        <w:t xml:space="preserve">. </w:t>
      </w:r>
      <w:r w:rsidRPr="002B376E">
        <w:t>The prophecy begins with an ac</w:t>
      </w:r>
      <w:r w:rsidR="00884655">
        <w:t>count of hi</w:t>
      </w:r>
      <w:r w:rsidRPr="002B376E">
        <w:t>s extraordinary rise to power, remarkable for its sh</w:t>
      </w:r>
      <w:r w:rsidR="00766A89">
        <w:t xml:space="preserve">rewdness. </w:t>
      </w:r>
      <w:r w:rsidR="00884655">
        <w:t>The</w:t>
      </w:r>
      <w:r w:rsidR="00766A89">
        <w:t xml:space="preserve"> descript</w:t>
      </w:r>
      <w:r w:rsidR="00884655">
        <w:t>ion of him</w:t>
      </w:r>
      <w:r w:rsidR="00766A89">
        <w:t>,</w:t>
      </w:r>
      <w:r w:rsidRPr="002B376E">
        <w:t xml:space="preserve"> like the epithet Epimanes, Madman (Polybius 26.1a [10]), contrasts with the claim expressed in his title [Theos] Epiphanes, [God] Manifest. There had been no reason to regard the exiled Antiochus as a potential successor to h</w:t>
      </w:r>
      <w:r w:rsidR="00884655">
        <w:t>is brother</w:t>
      </w:r>
      <w:r w:rsidR="00766A89">
        <w:t>. Seleucus’s</w:t>
      </w:r>
      <w:r w:rsidR="000B237C">
        <w:t xml:space="preserve"> heir should be</w:t>
      </w:r>
      <w:r w:rsidRPr="002B376E">
        <w:t xml:space="preserve"> his eldest son, eventually to reign as Demetrius I, but in 175 he had been sent to Rome to replace Antiochus as hostage there.</w:t>
      </w:r>
    </w:p>
    <w:p w:rsidR="00766A89" w:rsidRDefault="002B376E" w:rsidP="002B376E">
      <w:r w:rsidRPr="002B376E">
        <w:t xml:space="preserve">The details of Antiochus’s rise to power are uncertain. A plausible reconstruction is that while staying at Athens on his way home he heard that his brother had died and that Heliodorus was seeking to consolidate a position as regent, with Seleucus’s younger son, also called Antiochus, as puppet king. He hastened homewards. On the basis of being uncle to Seleucus’s son—and thus a safeguard against usurpers from outside the dynasty—he gained the support of King Eumenes of Pergamum and Attalus his brother, removed Heliodorus, and took power as guardian to and co-regent with the young Antiochus. </w:t>
      </w:r>
    </w:p>
    <w:p w:rsidR="002B376E" w:rsidRPr="002B376E" w:rsidRDefault="00766A89" w:rsidP="002B376E">
      <w:r>
        <w:t>The “overwhelming forces” (v 22) were</w:t>
      </w:r>
      <w:r w:rsidR="002B376E" w:rsidRPr="002B376E">
        <w:t xml:space="preserve"> perhaps rivals</w:t>
      </w:r>
      <w:r>
        <w:t xml:space="preserve"> to the throne; but one of them</w:t>
      </w:r>
      <w:r w:rsidR="002B376E" w:rsidRPr="002B376E">
        <w:t xml:space="preserve"> was Ptolemy VI of Egypt, son of Seleucus’s and Antiochus’s sister Cleopatra, and the language here suggests a reference to the conflict with Egypt that is a main feature of Antiochu</w:t>
      </w:r>
      <w:r w:rsidR="00D42FE1">
        <w:t>s’s reign as vv 21–45</w:t>
      </w:r>
      <w:r w:rsidR="002B376E" w:rsidRPr="002B376E">
        <w:t xml:space="preserve"> describe it, and a main feature of the Hellenistic period as chap. 11 as a whole describes it. The removal of “a covenant </w:t>
      </w:r>
      <w:r w:rsidR="00B13647">
        <w:t>leader</w:t>
      </w:r>
      <w:r w:rsidR="002B376E" w:rsidRPr="002B376E">
        <w:t>” belongs in the same context, if the phrase refers to the high priest Onias III (cf. 9:26), replaced because of his Egyptian sympathies (cf. 2 Macc 4) by Jason from the aristocra</w:t>
      </w:r>
      <w:r w:rsidR="00884655">
        <w:t>tic, pro-Syrian Tobiad party. It would be</w:t>
      </w:r>
      <w:r w:rsidR="002B376E" w:rsidRPr="002B376E">
        <w:t xml:space="preserve"> part of a logical policy on Antiochus’s part of putting his own nominees in key governmental positions within his empire.</w:t>
      </w:r>
      <w:r>
        <w:rPr>
          <w:rStyle w:val="FootnoteReference"/>
        </w:rPr>
        <w:footnoteReference w:id="684"/>
      </w:r>
    </w:p>
    <w:p w:rsidR="002B376E" w:rsidRPr="002B376E" w:rsidRDefault="002B376E" w:rsidP="002B376E">
      <w:r w:rsidRPr="002B376E">
        <w:t xml:space="preserve">Thus </w:t>
      </w:r>
      <w:r w:rsidR="00884655">
        <w:t xml:space="preserve">while Antiochus began with </w:t>
      </w:r>
      <w:r w:rsidRPr="002B376E">
        <w:t xml:space="preserve">the support of </w:t>
      </w:r>
      <w:r w:rsidR="00884655">
        <w:t xml:space="preserve">only </w:t>
      </w:r>
      <w:r w:rsidRPr="002B376E">
        <w:t>“a small group” (v</w:t>
      </w:r>
      <w:r w:rsidR="00B94827">
        <w:t xml:space="preserve"> 23), in Judea he won over the “</w:t>
      </w:r>
      <w:r w:rsidRPr="002B376E">
        <w:t xml:space="preserve">powerful ones of a province,” the Tobiads and Jason, Onias’s brother. They furthered his cause in Jerusalem; he made it possible for them to hold both civil and religious power there; and it is </w:t>
      </w:r>
      <w:r w:rsidRPr="002B376E">
        <w:lastRenderedPageBreak/>
        <w:t>presumably they who are the beneficiaries of his well-known liberality on the basis of plunder (v 24; cf. 1 Macc 3:28–31).</w:t>
      </w:r>
      <w:r w:rsidR="00B94827">
        <w:t xml:space="preserve"> </w:t>
      </w:r>
    </w:p>
    <w:p w:rsidR="002B376E" w:rsidRPr="002B376E" w:rsidRDefault="002B376E" w:rsidP="002B376E">
      <w:r w:rsidRPr="002B376E">
        <w:t xml:space="preserve">The </w:t>
      </w:r>
      <w:r w:rsidR="007B4459">
        <w:t>Tobias who gave theTobiad family its name</w:t>
      </w:r>
      <w:r w:rsidRPr="002B376E">
        <w:t xml:space="preserve"> came from across the Jordan. Whether </w:t>
      </w:r>
      <w:r w:rsidR="007B4459">
        <w:t xml:space="preserve">they were </w:t>
      </w:r>
      <w:r w:rsidRPr="002B376E">
        <w:t>gentilize</w:t>
      </w:r>
      <w:r w:rsidR="00B94827">
        <w:t>d Jews or Judaizing Gentiles, Tobias</w:t>
      </w:r>
      <w:r w:rsidRPr="002B376E">
        <w:t xml:space="preserve"> and his family were not people of conservative attitude to the Torah. The account of events </w:t>
      </w:r>
      <w:r w:rsidR="00B94827">
        <w:t xml:space="preserve">in 1 Macc 1 and 2 Macc 4 tells of </w:t>
      </w:r>
      <w:r w:rsidRPr="002B376E">
        <w:t xml:space="preserve">Jason </w:t>
      </w:r>
      <w:r w:rsidR="00B94827">
        <w:t>and his associates also proposing</w:t>
      </w:r>
      <w:r w:rsidRPr="002B376E">
        <w:t xml:space="preserve"> to Antiochus that they should establish a Hellenistic-style community in Jerusalem. The sequence of events and the significance of the Antiochene measures affecting Jerusalem are disputed.</w:t>
      </w:r>
      <w:r w:rsidR="00B94827">
        <w:rPr>
          <w:rStyle w:val="FootnoteReference"/>
        </w:rPr>
        <w:footnoteReference w:id="685"/>
      </w:r>
      <w:r w:rsidRPr="002B376E">
        <w:t xml:space="preserve"> </w:t>
      </w:r>
      <w:r w:rsidR="00B94827">
        <w:t>While they may have been an aspect</w:t>
      </w:r>
      <w:r w:rsidRPr="002B376E">
        <w:t xml:space="preserve"> of a cultural or religious concern for the Hellenization of Judea or the broad</w:t>
      </w:r>
      <w:r w:rsidR="00B94827">
        <w:t>er empire, they seem likely also to reflect</w:t>
      </w:r>
      <w:r w:rsidRPr="002B376E">
        <w:t xml:space="preserve"> Antiochus’s political concern to exercise effective</w:t>
      </w:r>
      <w:r w:rsidR="00B94827">
        <w:t xml:space="preserve"> control of his empire and </w:t>
      </w:r>
      <w:r w:rsidRPr="002B376E">
        <w:t>the Tobiads’ concern for power in Jerusalem.</w:t>
      </w:r>
      <w:r w:rsidR="00C07CC0">
        <w:t xml:space="preserve"> In other words, trouble in Jerusalem issued from the volatile interweaving of the external conflict between the Seleucids and the Ptolemies and the internal rivalry between the different powerful Judaean families.</w:t>
      </w:r>
      <w:r w:rsidR="00C07CC0">
        <w:rPr>
          <w:rStyle w:val="FootnoteReference"/>
        </w:rPr>
        <w:footnoteReference w:id="686"/>
      </w:r>
    </w:p>
    <w:p w:rsidR="00AD17F7" w:rsidRDefault="002B376E" w:rsidP="002B376E">
      <w:r w:rsidRPr="002B376E">
        <w:t>Sinc</w:t>
      </w:r>
      <w:r w:rsidR="00B94827">
        <w:t>e Arta</w:t>
      </w:r>
      <w:r w:rsidR="007B4459">
        <w:t>x</w:t>
      </w:r>
      <w:r w:rsidR="00EF2BBD">
        <w:t>erxes’</w:t>
      </w:r>
      <w:r w:rsidR="00B94827">
        <w:t xml:space="preserve"> decree in 458</w:t>
      </w:r>
      <w:r w:rsidRPr="002B376E">
        <w:t xml:space="preserve">, the Torah had been the law of the land in Judea, a situation confirmed by Antiochus III when he made the Jews a people with internal self-government on the basis of their own laws (Josephus, </w:t>
      </w:r>
      <w:r w:rsidR="00884655">
        <w:rPr>
          <w:i/>
        </w:rPr>
        <w:t>Antiquities</w:t>
      </w:r>
      <w:r w:rsidRPr="002B376E">
        <w:t xml:space="preserve"> 12.3.3 [12.135]). In accordance with the Torah, then, the government was in the hands of the priesthood, and the high priest was the means of implementing the king’s authority. He was thus naturally </w:t>
      </w:r>
      <w:r w:rsidR="00AD17F7">
        <w:t>and quite legitimately appointed,</w:t>
      </w:r>
      <w:r w:rsidR="007B4459">
        <w:t xml:space="preserve"> </w:t>
      </w:r>
      <w:r w:rsidR="00AD17F7">
        <w:t xml:space="preserve">from a priestly family, </w:t>
      </w:r>
      <w:r w:rsidRPr="002B376E">
        <w:t xml:space="preserve">by the king. He had to see that Jewish affairs were conducted in accordance with the Torah, </w:t>
      </w:r>
      <w:r w:rsidR="00AD17F7">
        <w:t xml:space="preserve">both </w:t>
      </w:r>
      <w:r w:rsidRPr="002B376E">
        <w:t>beca</w:t>
      </w:r>
      <w:r w:rsidR="00AD17F7">
        <w:t>use the king said so and because God said so. H</w:t>
      </w:r>
      <w:r w:rsidRPr="002B376E">
        <w:t xml:space="preserve">e would need the king’s permission to introduce practices differing from those in the Torah, because of the Torah’s place in the constitution approved by the king. </w:t>
      </w:r>
    </w:p>
    <w:p w:rsidR="00AD17F7" w:rsidRDefault="002B376E" w:rsidP="002B376E">
      <w:r w:rsidRPr="002B376E">
        <w:t>The implication of 1 Macc 1 and 2 Macc 4, then, is that on Antiochus’s accession the authorities in Jerusalem petitioned him for a constitutional change whereby Jerusalem ceased to be the center of a community governing itself in accordance with its own law and became a Hellenistic city-state whose citizenship would comprise those who accepted a Hellenistic way of life. From Antiochus’s perspective, the proposal would be welcome because such Hellenistic city-states provided a means of controlling his empire, and the Jerusalem leadership presumably saw it as a wise move to conform their city’s constitution and life more to the</w:t>
      </w:r>
      <w:r w:rsidR="00B94827">
        <w:t xml:space="preserve"> imperial norm. It would</w:t>
      </w:r>
      <w:r w:rsidRPr="002B376E">
        <w:t xml:space="preserve"> involve no necessary contravention of the central tenets of Jewish religion, though by conservative Jews it would be seen as an abandonment of th</w:t>
      </w:r>
      <w:r w:rsidR="00B94827">
        <w:t>e Torah and of the terms of</w:t>
      </w:r>
      <w:r w:rsidRPr="002B376E">
        <w:t xml:space="preserve"> the</w:t>
      </w:r>
      <w:r w:rsidR="00B94827">
        <w:t xml:space="preserve"> people’s</w:t>
      </w:r>
      <w:r w:rsidRPr="002B376E">
        <w:t xml:space="preserve"> covenant relationship with Yahweh, which exclude covenants with other peoples. </w:t>
      </w:r>
    </w:p>
    <w:p w:rsidR="002B376E" w:rsidRPr="002B376E" w:rsidRDefault="00B94827" w:rsidP="002B376E">
      <w:r>
        <w:t>On the other hand, i</w:t>
      </w:r>
      <w:r w:rsidR="002B376E" w:rsidRPr="002B376E">
        <w:t>t would be quite in keeping with Daniel</w:t>
      </w:r>
      <w:r>
        <w:t>’s portrayal of events</w:t>
      </w:r>
      <w:r w:rsidR="002B376E" w:rsidRPr="002B376E">
        <w:t xml:space="preserve"> if initiative for the establishment of the city-sta</w:t>
      </w:r>
      <w:r>
        <w:t>te came from Antiochus himself</w:t>
      </w:r>
      <w:r w:rsidR="002B376E" w:rsidRPr="002B376E">
        <w:t>.</w:t>
      </w:r>
      <w:r>
        <w:rPr>
          <w:rStyle w:val="FootnoteReference"/>
        </w:rPr>
        <w:footnoteReference w:id="687"/>
      </w:r>
      <w:r w:rsidR="002B376E" w:rsidRPr="002B376E">
        <w:t xml:space="preserve"> While one might have expected Dan 11 to make this explicit, since it is inclined to emphasize Antiochus’s responsibility for events, equally one might have expected Daniel to mention the fact if the reformist Jews were responsible.</w:t>
      </w:r>
      <w:r w:rsidR="00AD17F7">
        <w:t xml:space="preserve"> So</w:t>
      </w:r>
      <w:r w:rsidR="00A36D30">
        <w:t xml:space="preserve"> the ratio</w:t>
      </w:r>
      <w:r w:rsidR="000C3A65">
        <w:t>nale for Antiochus’s actions is</w:t>
      </w:r>
      <w:r w:rsidR="00A36D30">
        <w:t xml:space="preserve"> a matter of debate.</w:t>
      </w:r>
      <w:r w:rsidR="00A36D30">
        <w:rPr>
          <w:rStyle w:val="FootnoteReference"/>
        </w:rPr>
        <w:footnoteReference w:id="688"/>
      </w:r>
    </w:p>
    <w:p w:rsidR="00FD4E55" w:rsidRDefault="002B376E" w:rsidP="002B376E">
      <w:r w:rsidRPr="00B94827">
        <w:rPr>
          <w:b/>
        </w:rPr>
        <w:t>11:25–28</w:t>
      </w:r>
      <w:r w:rsidRPr="002B376E">
        <w:t xml:space="preserve"> There now begins a more detailed account of Antiochus’s involveme</w:t>
      </w:r>
      <w:r w:rsidR="00EF20BA">
        <w:t>nt with Egypt. I</w:t>
      </w:r>
      <w:r w:rsidR="00B94827">
        <w:t xml:space="preserve">n 170 </w:t>
      </w:r>
      <w:r w:rsidRPr="002B376E">
        <w:t>an Egyptian army set off to attempt to recapture Palestine. According to 2 Macc 4:21–22</w:t>
      </w:r>
      <w:r w:rsidR="007F72B9">
        <w:t>,</w:t>
      </w:r>
      <w:r w:rsidRPr="002B376E">
        <w:t xml:space="preserve"> Antiochus became aware of the need to defend Palestine; indeed, according to 1 Macc 1:16 he had designs on Egypt that mirrored Ptolemy’s </w:t>
      </w:r>
      <w:r w:rsidR="00FD4E55">
        <w:t xml:space="preserve">designs </w:t>
      </w:r>
      <w:r w:rsidRPr="002B376E">
        <w:t>on the Seleucid realm. Antiochus defeated the Egyptian army, captured the border fortress of Pelusium, entered Egypt, took his nephew Ptolemy VI prisoner, and occupied much of the country (1 Ma</w:t>
      </w:r>
      <w:r w:rsidR="00FD4E55">
        <w:t xml:space="preserve">cc 1:17–19). </w:t>
      </w:r>
    </w:p>
    <w:p w:rsidR="002B376E" w:rsidRPr="002B376E" w:rsidRDefault="00FD4E55" w:rsidP="002B376E">
      <w:r>
        <w:lastRenderedPageBreak/>
        <w:t>I</w:t>
      </w:r>
      <w:r w:rsidR="002B376E" w:rsidRPr="002B376E">
        <w:t>n some sense Ptolemy was the victim of treachery</w:t>
      </w:r>
      <w:r>
        <w:t xml:space="preserve"> (</w:t>
      </w:r>
      <w:r w:rsidR="000D1837">
        <w:t>v</w:t>
      </w:r>
      <w:r>
        <w:t xml:space="preserve"> 26)</w:t>
      </w:r>
      <w:r w:rsidR="002B376E" w:rsidRPr="002B376E">
        <w:t xml:space="preserve">. Perhaps the reference is to people who betrayed Pelusium to Antiochus, or perhaps to Ptolemy’s advisers who brought about the Egyptian defeat by urging the attack on Palestine, </w:t>
      </w:r>
      <w:r>
        <w:t xml:space="preserve">brought about </w:t>
      </w:r>
      <w:r w:rsidR="002B376E" w:rsidRPr="002B376E">
        <w:t xml:space="preserve">his capture by urging him to flee from Antiochus, and </w:t>
      </w:r>
      <w:r>
        <w:t xml:space="preserve">brought about </w:t>
      </w:r>
      <w:r w:rsidR="002B376E" w:rsidRPr="002B376E">
        <w:t>his deposition by then crowning his brother as Ptol</w:t>
      </w:r>
      <w:r>
        <w:t>emy VII in Alexandria in 169</w:t>
      </w:r>
      <w:r w:rsidR="002B376E" w:rsidRPr="002B376E">
        <w:t>. “The</w:t>
      </w:r>
      <w:r>
        <w:t>se two kings”</w:t>
      </w:r>
      <w:r w:rsidR="002B376E" w:rsidRPr="002B376E">
        <w:t xml:space="preserve"> (v 27</w:t>
      </w:r>
      <w:r>
        <w:t>),</w:t>
      </w:r>
      <w:r w:rsidR="002B376E" w:rsidRPr="002B376E">
        <w:t xml:space="preserve"> Antiochus and Ptolemy VI</w:t>
      </w:r>
      <w:r>
        <w:t>,</w:t>
      </w:r>
      <w:r w:rsidR="002B376E" w:rsidRPr="002B376E">
        <w:t xml:space="preserve"> were now united in desiring to regain the throne for the latter, as Antiochus’s puppet. Both are declared to be serving their own interests and deceiving each other but not achieving their conflicting ultimate purposes.</w:t>
      </w:r>
    </w:p>
    <w:p w:rsidR="002B376E" w:rsidRPr="002B376E" w:rsidRDefault="00FD4E55" w:rsidP="002B376E">
      <w:r>
        <w:t xml:space="preserve">In 169 Antiochus </w:t>
      </w:r>
      <w:r w:rsidRPr="00FD4E55">
        <w:t>visited Jerusalem and appropriated part of the temple treasury</w:t>
      </w:r>
      <w:r>
        <w:t xml:space="preserve"> (cf. </w:t>
      </w:r>
      <w:r w:rsidR="000D1837">
        <w:t>v</w:t>
      </w:r>
      <w:r>
        <w:t xml:space="preserve"> 28)</w:t>
      </w:r>
      <w:r w:rsidR="00C329FA">
        <w:t>. T</w:t>
      </w:r>
      <w:r w:rsidR="002B376E" w:rsidRPr="002B376E">
        <w:t>here are differences between the sources over events in Jerusalem and over Antiochus’s visit(s) there af</w:t>
      </w:r>
      <w:r w:rsidR="00C329FA">
        <w:t>ter his two Egyptian campaigns</w:t>
      </w:r>
      <w:r w:rsidR="002B376E" w:rsidRPr="002B376E">
        <w:t>.</w:t>
      </w:r>
      <w:r w:rsidR="00C329FA">
        <w:rPr>
          <w:rStyle w:val="FootnoteReference"/>
        </w:rPr>
        <w:footnoteReference w:id="689"/>
      </w:r>
      <w:r w:rsidR="002B376E" w:rsidRPr="002B376E">
        <w:t xml:space="preserve"> Dan 11 is more allusive than 1 Macc 1; 2 Macc 5; or Josephus, </w:t>
      </w:r>
      <w:r w:rsidR="00884655">
        <w:rPr>
          <w:i/>
        </w:rPr>
        <w:t>Antiquities</w:t>
      </w:r>
      <w:r w:rsidR="002B376E" w:rsidRPr="002B376E">
        <w:t xml:space="preserve"> 12.5 [12.239–50]; </w:t>
      </w:r>
      <w:r w:rsidR="007B1609">
        <w:rPr>
          <w:i/>
        </w:rPr>
        <w:t xml:space="preserve">Jewish </w:t>
      </w:r>
      <w:r w:rsidR="002B376E" w:rsidRPr="00C329FA">
        <w:rPr>
          <w:i/>
        </w:rPr>
        <w:t>War</w:t>
      </w:r>
      <w:r w:rsidR="002B376E" w:rsidRPr="002B376E">
        <w:t xml:space="preserve"> 1.1 [1.31–33]</w:t>
      </w:r>
      <w:r w:rsidR="00C329FA">
        <w:t>,</w:t>
      </w:r>
      <w:r w:rsidR="002B376E" w:rsidRPr="002B376E">
        <w:t xml:space="preserve"> and not too exposed to the charge of finding prophecy difficult even after the event. </w:t>
      </w:r>
      <w:r w:rsidR="00C329FA">
        <w:t xml:space="preserve">It may be that Antiochus </w:t>
      </w:r>
      <w:r w:rsidR="002B376E" w:rsidRPr="002B376E">
        <w:t xml:space="preserve">took action against Jerusalem in both 169 and 168 (cf. vv 28 and 30) but that on the latter occasion he acted via Apollonius (cf. 1 Macc 1; 2 Macc 5 then conflates the two sets of events into a personal visit in 168). </w:t>
      </w:r>
      <w:r w:rsidR="003B4680">
        <w:t>I</w:t>
      </w:r>
      <w:r w:rsidR="00AD17F7">
        <w:t>n a “temple-state” such as Judaea</w:t>
      </w:r>
      <w:r w:rsidR="003B4680">
        <w:rPr>
          <w:rStyle w:val="FootnoteReference"/>
        </w:rPr>
        <w:footnoteReference w:id="690"/>
      </w:r>
      <w:r w:rsidR="003B4680">
        <w:t xml:space="preserve"> t</w:t>
      </w:r>
      <w:r w:rsidR="00C329FA">
        <w:t xml:space="preserve">he temple </w:t>
      </w:r>
      <w:r w:rsidR="00C329FA" w:rsidRPr="00C329FA">
        <w:t xml:space="preserve">treasury functioned </w:t>
      </w:r>
      <w:r w:rsidR="00AD17F7">
        <w:t>as bank and state exchequer;</w:t>
      </w:r>
      <w:r w:rsidR="00C329FA">
        <w:t xml:space="preserve"> Antiochus</w:t>
      </w:r>
      <w:r w:rsidR="00AD17F7">
        <w:t xml:space="preserve"> could </w:t>
      </w:r>
      <w:r w:rsidR="00C329FA" w:rsidRPr="00C329FA">
        <w:t>haveviewed it</w:t>
      </w:r>
      <w:r w:rsidR="007F72B9">
        <w:t>s plunder as potential</w:t>
      </w:r>
      <w:r w:rsidR="00C329FA">
        <w:t xml:space="preserve"> </w:t>
      </w:r>
      <w:r w:rsidR="00C329FA" w:rsidRPr="00C329FA">
        <w:t>tribute</w:t>
      </w:r>
      <w:r w:rsidR="00C329FA" w:rsidRPr="00C329FA">
        <w:rPr>
          <w:vertAlign w:val="superscript"/>
        </w:rPr>
        <w:footnoteReference w:id="691"/>
      </w:r>
      <w:r w:rsidR="00C329FA" w:rsidRPr="00C329FA">
        <w:t xml:space="preserve"> and </w:t>
      </w:r>
      <w:r w:rsidR="007F72B9">
        <w:t xml:space="preserve">could have </w:t>
      </w:r>
      <w:r w:rsidR="00C329FA" w:rsidRPr="00C329FA">
        <w:t xml:space="preserve">acted thus because he simply needed the money. </w:t>
      </w:r>
      <w:r w:rsidR="00C329FA">
        <w:t xml:space="preserve">But he </w:t>
      </w:r>
      <w:r w:rsidR="007F72B9">
        <w:t>w</w:t>
      </w:r>
      <w:r w:rsidR="00C329FA">
        <w:t>as thus acting</w:t>
      </w:r>
      <w:r w:rsidR="00C329FA" w:rsidRPr="00C329FA">
        <w:t xml:space="preserve"> a</w:t>
      </w:r>
      <w:r w:rsidR="00C329FA">
        <w:t xml:space="preserve">gainst a </w:t>
      </w:r>
      <w:r w:rsidR="007F72B9">
        <w:t>“</w:t>
      </w:r>
      <w:r w:rsidR="00C329FA">
        <w:t>holy covenant”;</w:t>
      </w:r>
      <w:r w:rsidR="002B376E" w:rsidRPr="002B376E">
        <w:t xml:space="preserve"> </w:t>
      </w:r>
      <w:r w:rsidR="007F72B9">
        <w:t>that phrase</w:t>
      </w:r>
      <w:r w:rsidR="00C329FA" w:rsidRPr="00C329FA">
        <w:t xml:space="preserve"> is</w:t>
      </w:r>
      <w:r w:rsidR="00C329FA">
        <w:t xml:space="preserve"> a new one</w:t>
      </w:r>
      <w:r w:rsidR="002B376E" w:rsidRPr="002B376E">
        <w:t>, here denoting the covenant people (</w:t>
      </w:r>
      <w:r w:rsidR="00C329FA">
        <w:t>cf. v 30a; 1 Macc 1:15, 63</w:t>
      </w:r>
      <w:r w:rsidR="002B376E" w:rsidRPr="002B376E">
        <w:t>).</w:t>
      </w:r>
      <w:r w:rsidR="00C329FA">
        <w:rPr>
          <w:rStyle w:val="FootnoteReference"/>
        </w:rPr>
        <w:footnoteReference w:id="692"/>
      </w:r>
      <w:r w:rsidR="00AD17F7">
        <w:t xml:space="preserve"> It </w:t>
      </w:r>
      <w:r w:rsidR="002B376E" w:rsidRPr="002B376E">
        <w:t xml:space="preserve">takes up the “holy ones” of chap. 7 (especially v 27); cf. also the “holy people” of 12:7 and the “covenant </w:t>
      </w:r>
      <w:r w:rsidR="00B13647">
        <w:t>leader</w:t>
      </w:r>
      <w:r w:rsidR="002B376E" w:rsidRPr="002B376E">
        <w:t>” of v 22. They are the people who are endowed with a covenant relationship with God; there need be no suggestion of an anthropocentric view of the covenant as depending essentially on its</w:t>
      </w:r>
      <w:r w:rsidR="00C329FA">
        <w:t xml:space="preserve"> human possessor and guardians</w:t>
      </w:r>
      <w:r w:rsidR="002B376E" w:rsidRPr="002B376E">
        <w:t>.</w:t>
      </w:r>
      <w:r w:rsidR="00C329FA">
        <w:rPr>
          <w:rStyle w:val="FootnoteReference"/>
        </w:rPr>
        <w:footnoteReference w:id="693"/>
      </w:r>
    </w:p>
    <w:p w:rsidR="008037B1" w:rsidRDefault="002B376E" w:rsidP="002B376E">
      <w:r w:rsidRPr="00BA01FA">
        <w:rPr>
          <w:b/>
        </w:rPr>
        <w:t>11:29–31</w:t>
      </w:r>
      <w:r w:rsidR="00BA01FA">
        <w:t xml:space="preserve"> By the expression “a</w:t>
      </w:r>
      <w:r w:rsidRPr="002B376E">
        <w:t>t the set time</w:t>
      </w:r>
      <w:r w:rsidR="00BA01FA">
        <w:t>,”</w:t>
      </w:r>
      <w:r w:rsidRPr="002B376E">
        <w:t xml:space="preserve"> the momentous, then painful, then horr</w:t>
      </w:r>
      <w:r w:rsidR="00BA01FA">
        <w:t xml:space="preserve">ifying events to follow are </w:t>
      </w:r>
      <w:r w:rsidRPr="002B376E">
        <w:t>marked as with</w:t>
      </w:r>
      <w:r w:rsidR="00BA01FA">
        <w:t>in the control of God. A</w:t>
      </w:r>
      <w:r w:rsidRPr="002B376E">
        <w:t>fter Antiochus’s departure from Egypt the two Ptolemies had made peace and agreed to reign jointly. In 168 Antiochus invaded again, but this</w:t>
      </w:r>
      <w:r w:rsidR="00BA01FA">
        <w:t xml:space="preserve"> time with disastrous results. </w:t>
      </w:r>
    </w:p>
    <w:p w:rsidR="002B376E" w:rsidRPr="002B376E" w:rsidRDefault="00522D0A" w:rsidP="002B376E">
      <w:r>
        <w:t>The “ships from Kittim</w:t>
      </w:r>
      <w:r w:rsidR="00BA01FA">
        <w:t xml:space="preserve">” </w:t>
      </w:r>
      <w:r>
        <w:t xml:space="preserve">or the west </w:t>
      </w:r>
      <w:r w:rsidR="00BA01FA">
        <w:t>(v</w:t>
      </w:r>
      <w:r>
        <w:t xml:space="preserve"> 30) are a delegation </w:t>
      </w:r>
      <w:r w:rsidR="00BA01FA">
        <w:t xml:space="preserve">headed by Gaius Popillius Laenas when </w:t>
      </w:r>
      <w:r w:rsidR="002B376E" w:rsidRPr="002B376E">
        <w:t xml:space="preserve">Egypt had appealed </w:t>
      </w:r>
      <w:r w:rsidR="00BA01FA">
        <w:t xml:space="preserve">to Rome </w:t>
      </w:r>
      <w:r w:rsidR="002B376E" w:rsidRPr="002B376E">
        <w:t>in connection with the eve</w:t>
      </w:r>
      <w:r w:rsidR="00BA01FA">
        <w:t xml:space="preserve">nts of 169. They </w:t>
      </w:r>
      <w:r w:rsidR="002B376E" w:rsidRPr="002B376E">
        <w:t>intercepted Antiochus on his way to Alexandria and ordered him off Egyptian territory (Appian 11.11 [66]). It was a turning point in Roman history, a mark of the extent to which internationally the period from 200 to 150 is the story of the extension of Roman dominion in the Helleni</w:t>
      </w:r>
      <w:r w:rsidR="00FD4E55">
        <w:t>stic empire</w:t>
      </w:r>
      <w:r w:rsidR="002B376E" w:rsidRPr="002B376E">
        <w:t>.</w:t>
      </w:r>
      <w:r w:rsidR="00BA01FA">
        <w:rPr>
          <w:rStyle w:val="FootnoteReference"/>
        </w:rPr>
        <w:footnoteReference w:id="694"/>
      </w:r>
    </w:p>
    <w:p w:rsidR="002B376E" w:rsidRPr="002B376E" w:rsidRDefault="002B376E" w:rsidP="002B376E">
      <w:r w:rsidRPr="002B376E">
        <w:t>Following on a rumor that Antiochus had been killed in Egypt, Jason—whom Antiochus had removed from the high-priesthood—returned to Jerusalem and led a violent rebellion against his successor Menelaus and the Tobiad ruling party (2 Macc 5:5–10), and presumably against the Syrian governor (2 Macc 5:21–23a). Conservative Jews may have supported his action; he was a less objectionable person than Menelaus, who had cooperated with Antiochus’s looting of the temple the previous year. To Antiochus</w:t>
      </w:r>
      <w:r w:rsidR="007F72B9">
        <w:t>,</w:t>
      </w:r>
      <w:r w:rsidRPr="002B376E">
        <w:t xml:space="preserve"> Jason’s action amounted to an attempt to overthrow the government he had appointed and replace it by one that could be presumed to be pro-Egyptian if it was anti-Syrian. </w:t>
      </w:r>
      <w:r w:rsidRPr="002B376E">
        <w:lastRenderedPageBreak/>
        <w:t xml:space="preserve">Hence he had to “take harsh action against a holy covenant” (v 30) to put down this rebellion (2 Macc 5:11–14), sending </w:t>
      </w:r>
      <w:r w:rsidR="008037B1" w:rsidRPr="008037B1">
        <w:t xml:space="preserve">to Jerusalem </w:t>
      </w:r>
      <w:r w:rsidRPr="002B376E">
        <w:t>Apollonius, the commander of his merc</w:t>
      </w:r>
      <w:r w:rsidR="008037B1">
        <w:t>enaries from Mysia in Turkey</w:t>
      </w:r>
      <w:r w:rsidRPr="002B376E">
        <w:t xml:space="preserve"> (2 Macc 5:23</w:t>
      </w:r>
      <w:r w:rsidR="008037B1">
        <w:t xml:space="preserve">b–27; 1 Macc 1:29–32). </w:t>
      </w:r>
      <w:r w:rsidRPr="002B376E">
        <w:t>Antiochus thus reestablished the authority of the Tobiad leadership</w:t>
      </w:r>
      <w:r w:rsidR="00E35A91">
        <w:t xml:space="preserve"> (v</w:t>
      </w:r>
      <w:r w:rsidR="008037B1">
        <w:t xml:space="preserve"> 30b)</w:t>
      </w:r>
      <w:r w:rsidRPr="002B376E">
        <w:t>.</w:t>
      </w:r>
    </w:p>
    <w:p w:rsidR="002B376E" w:rsidRPr="002B376E" w:rsidRDefault="007F72B9" w:rsidP="002B376E">
      <w:r>
        <w:t>He</w:t>
      </w:r>
      <w:r w:rsidR="002B376E" w:rsidRPr="002B376E">
        <w:t xml:space="preserve"> took steps to stre</w:t>
      </w:r>
      <w:r w:rsidR="00967E31">
        <w:t>ngthen his position in Judaea</w:t>
      </w:r>
      <w:r w:rsidR="00E35A91">
        <w:t xml:space="preserve"> (v</w:t>
      </w:r>
      <w:r w:rsidR="008037B1">
        <w:t xml:space="preserve"> 31a)</w:t>
      </w:r>
      <w:r w:rsidR="002B376E" w:rsidRPr="002B376E">
        <w:t xml:space="preserve"> in the context of the conflict with Egypt and/or the resistance in Jerusalem by developing “the stronghold” from which his forces and members of the Hellenistic city-state c</w:t>
      </w:r>
      <w:r w:rsidR="008037B1">
        <w:t>ould oversee temple and city. The “stronghold”</w:t>
      </w:r>
      <w:r w:rsidR="002B376E" w:rsidRPr="002B376E">
        <w:t xml:space="preserve"> will have</w:t>
      </w:r>
      <w:r>
        <w:t xml:space="preserve"> been near the temple mount: compare the stronghold mentioned</w:t>
      </w:r>
      <w:r w:rsidR="002B376E" w:rsidRPr="002B376E">
        <w:t xml:space="preserve"> in Neh 2:8, and the later Antonia Fortress </w:t>
      </w:r>
      <w:r w:rsidR="008037B1">
        <w:t>(</w:t>
      </w:r>
      <w:r w:rsidR="002B376E" w:rsidRPr="002B376E">
        <w:t>see 1 Macc 1:29–40).</w:t>
      </w:r>
      <w:r w:rsidR="008037B1">
        <w:rPr>
          <w:rStyle w:val="FootnoteReference"/>
        </w:rPr>
        <w:footnoteReference w:id="695"/>
      </w:r>
      <w:r w:rsidR="008037B1">
        <w:t xml:space="preserve"> While t</w:t>
      </w:r>
      <w:r w:rsidR="002B376E" w:rsidRPr="002B376E">
        <w:t>he</w:t>
      </w:r>
      <w:r w:rsidR="008037B1">
        <w:t xml:space="preserve"> earlier</w:t>
      </w:r>
      <w:r w:rsidR="002B376E" w:rsidRPr="002B376E">
        <w:t xml:space="preserve"> introduction of the Hel</w:t>
      </w:r>
      <w:r w:rsidR="008037B1">
        <w:t xml:space="preserve">lenistic city-state in 175 </w:t>
      </w:r>
      <w:r w:rsidR="002B376E" w:rsidRPr="002B376E">
        <w:t>would have been an af</w:t>
      </w:r>
      <w:r w:rsidR="008037B1">
        <w:t xml:space="preserve">front to conservative Jews, </w:t>
      </w:r>
      <w:r w:rsidR="002B376E" w:rsidRPr="002B376E">
        <w:t>it had not affected the temple. The imposition of thi</w:t>
      </w:r>
      <w:r w:rsidR="008037B1">
        <w:t>s garrison, however, implies the temple’s</w:t>
      </w:r>
      <w:r w:rsidR="002B376E" w:rsidRPr="002B376E">
        <w:t xml:space="preserve"> desecration. The fortress would be a base from which gentile as well as Jewish “citizens” could enter the shrine in “their” city, which is effectively taken away from Jews who do not belong to the Hellenistic community (cf. 2 Macc 11:24–25, which records </w:t>
      </w:r>
      <w:r w:rsidR="008037B1">
        <w:t>its return to conservative Jews</w:t>
      </w:r>
      <w:r>
        <w:t>)</w:t>
      </w:r>
      <w:r w:rsidR="002B376E" w:rsidRPr="002B376E">
        <w:t>.</w:t>
      </w:r>
      <w:r w:rsidR="008037B1">
        <w:rPr>
          <w:rStyle w:val="FootnoteReference"/>
        </w:rPr>
        <w:footnoteReference w:id="696"/>
      </w:r>
      <w:r w:rsidR="008037B1">
        <w:t xml:space="preserve"> The gentile troops</w:t>
      </w:r>
      <w:r w:rsidR="002B376E" w:rsidRPr="002B376E">
        <w:t xml:space="preserve"> would naturally introduce </w:t>
      </w:r>
      <w:r w:rsidR="008037B1">
        <w:t xml:space="preserve">there </w:t>
      </w:r>
      <w:r>
        <w:t>the worship of their god Ba‘</w:t>
      </w:r>
      <w:r w:rsidR="002B376E" w:rsidRPr="002B376E">
        <w:t xml:space="preserve">al Šamem, the Syrian equivalent to Zeus and—as they would see it—to Yahweh (cf. 2 Macc 6; see </w:t>
      </w:r>
      <w:r w:rsidR="002B376E" w:rsidRPr="008037B1">
        <w:rPr>
          <w:i/>
        </w:rPr>
        <w:t>Comment</w:t>
      </w:r>
      <w:r w:rsidR="002B376E" w:rsidRPr="002B376E">
        <w:t xml:space="preserve"> on 8:13).</w:t>
      </w:r>
    </w:p>
    <w:p w:rsidR="002B376E" w:rsidRPr="002B376E" w:rsidRDefault="008037B1" w:rsidP="002B376E">
      <w:r>
        <w:t>T</w:t>
      </w:r>
      <w:r w:rsidR="002B376E" w:rsidRPr="002B376E">
        <w:t xml:space="preserve">o judge from 1 Macc 1:41–64, the suspension of the sacrificial system </w:t>
      </w:r>
      <w:r w:rsidR="00E35A91">
        <w:t xml:space="preserve">(v </w:t>
      </w:r>
      <w:r>
        <w:t>31b)</w:t>
      </w:r>
      <w:r w:rsidR="00522D0A">
        <w:t xml:space="preserve"> </w:t>
      </w:r>
      <w:r w:rsidR="002B376E" w:rsidRPr="002B376E">
        <w:t xml:space="preserve">was a separate event from the desecration of the temple by the introduction of the “desolating abomination” </w:t>
      </w:r>
      <w:r w:rsidR="00E35A91">
        <w:t xml:space="preserve">just noted. Perhaps continuing </w:t>
      </w:r>
      <w:r w:rsidR="002B376E" w:rsidRPr="002B376E">
        <w:t xml:space="preserve">conservative Jewish resistance to Antiochene/Tobiad rule and </w:t>
      </w:r>
      <w:r w:rsidR="00E35A91">
        <w:t xml:space="preserve">to </w:t>
      </w:r>
      <w:r w:rsidR="002B376E" w:rsidRPr="002B376E">
        <w:t>the effects of the gentile ga</w:t>
      </w:r>
      <w:r w:rsidR="00E35A91">
        <w:t xml:space="preserve">rrison’s presence spurred Antiochus into a </w:t>
      </w:r>
      <w:r w:rsidR="002B376E" w:rsidRPr="002B376E">
        <w:t>ban on the distinctive feature of Jewish religion. The reasoning</w:t>
      </w:r>
      <w:r w:rsidR="00E35A91">
        <w:t xml:space="preserve"> behind the ban was thus</w:t>
      </w:r>
      <w:r w:rsidR="002B376E" w:rsidRPr="002B376E">
        <w:t xml:space="preserve"> local and political. Evidence from elsewhere does not suggest that Antiochus </w:t>
      </w:r>
      <w:r w:rsidR="007F72B9">
        <w:t xml:space="preserve">generally </w:t>
      </w:r>
      <w:r w:rsidR="002B376E" w:rsidRPr="002B376E">
        <w:t>tried to abolish the various religions of his empire to make everyone worship Zeus, despite 1 Macc 1:41–42.</w:t>
      </w:r>
    </w:p>
    <w:p w:rsidR="00E35A91" w:rsidRDefault="002B376E" w:rsidP="002B376E">
      <w:r w:rsidRPr="00E35A91">
        <w:rPr>
          <w:b/>
        </w:rPr>
        <w:t>11:32–35</w:t>
      </w:r>
      <w:r w:rsidR="00E35A91">
        <w:t xml:space="preserve"> T</w:t>
      </w:r>
      <w:r w:rsidRPr="002B376E">
        <w:t>he sources do not say that the Jews who had sought the establishment of a</w:t>
      </w:r>
      <w:r w:rsidR="00967E31">
        <w:t xml:space="preserve"> Hellenistic community </w:t>
      </w:r>
      <w:r w:rsidRPr="002B376E">
        <w:t>desired the abolition of the external distinctives of Jewish religion; 1 Macc 1 implies that they found themselves drawn into cooperation with a policy that had gone beyond their original expectations. The “people that acknowledges its God” comprises those who insist on still expressing their commitment to Yahweh in t</w:t>
      </w:r>
      <w:r w:rsidR="00E35A91">
        <w:t xml:space="preserve">he ways specified by the Torah. They are </w:t>
      </w:r>
      <w:r w:rsidRPr="002B376E">
        <w:t xml:space="preserve">the </w:t>
      </w:r>
      <w:r w:rsidR="00A5406F">
        <w:t>ḥ</w:t>
      </w:r>
      <w:r w:rsidR="007F72B9">
        <w:t>asidim, the committed,</w:t>
      </w:r>
      <w:r w:rsidRPr="002B376E">
        <w:t xml:space="preserve"> of 1 Macc 2:42. </w:t>
      </w:r>
    </w:p>
    <w:p w:rsidR="002B376E" w:rsidRPr="002B376E" w:rsidRDefault="002B376E" w:rsidP="002B376E">
      <w:r w:rsidRPr="002B376E">
        <w:t xml:space="preserve">Their “firm resistance” </w:t>
      </w:r>
      <w:r w:rsidR="00E35A91">
        <w:t xml:space="preserve">(v 33) </w:t>
      </w:r>
      <w:r w:rsidR="00624551">
        <w:t>presumably includes</w:t>
      </w:r>
      <w:r w:rsidRPr="002B376E">
        <w:t xml:space="preserve"> active attempts to prevent the implementing of Antiochus’s edict. “The discerning” (</w:t>
      </w:r>
      <w:r w:rsidRPr="002B376E">
        <w:rPr>
          <w:rFonts w:ascii="Arial" w:hAnsi="Arial" w:cs="Arial"/>
        </w:rPr>
        <w:t>משכילים</w:t>
      </w:r>
      <w:r w:rsidRPr="002B376E">
        <w:t>: see n. 33.a) are conse</w:t>
      </w:r>
      <w:r w:rsidR="00E35A91">
        <w:t>rvative leaders who possess the</w:t>
      </w:r>
      <w:r w:rsidR="00481E0A">
        <w:t xml:space="preserve"> insight</w:t>
      </w:r>
      <w:r w:rsidRPr="002B376E">
        <w:t xml:space="preserve"> which consists in</w:t>
      </w:r>
      <w:r w:rsidR="00E35A91">
        <w:t xml:space="preserve"> awed submission to Yahweh</w:t>
      </w:r>
      <w:r w:rsidR="00ED7A74">
        <w:t xml:space="preserve"> (the essence of the theological ethic of the book of Daniel)</w:t>
      </w:r>
      <w:r w:rsidR="00E35A91">
        <w:t>,</w:t>
      </w:r>
      <w:r w:rsidR="00ED7A74">
        <w:rPr>
          <w:rStyle w:val="FootnoteReference"/>
        </w:rPr>
        <w:footnoteReference w:id="697"/>
      </w:r>
      <w:r w:rsidR="00E35A91">
        <w:t xml:space="preserve"> the</w:t>
      </w:r>
      <w:r w:rsidRPr="002B376E">
        <w:t xml:space="preserve"> understanding which has reflected deeply </w:t>
      </w:r>
      <w:r w:rsidR="00E35A91">
        <w:t>on his ways in history, and the</w:t>
      </w:r>
      <w:r w:rsidRPr="002B376E">
        <w:t xml:space="preserve"> insight which perceives how his cause will ultimately triumph.</w:t>
      </w:r>
      <w:r w:rsidR="00E35A91">
        <w:rPr>
          <w:rStyle w:val="FootnoteReference"/>
        </w:rPr>
        <w:footnoteReference w:id="698"/>
      </w:r>
      <w:r w:rsidRPr="002B376E">
        <w:t xml:space="preserve"> They use this </w:t>
      </w:r>
      <w:r w:rsidR="00E35A91">
        <w:t xml:space="preserve">discernment </w:t>
      </w:r>
      <w:r w:rsidRPr="002B376E">
        <w:t>to “enlighten the multitude.” The verb (</w:t>
      </w:r>
      <w:r w:rsidRPr="002B376E">
        <w:rPr>
          <w:rFonts w:ascii="Arial" w:hAnsi="Arial" w:cs="Arial"/>
        </w:rPr>
        <w:t>בין</w:t>
      </w:r>
      <w:r w:rsidR="00624551">
        <w:t xml:space="preserve">) is common </w:t>
      </w:r>
      <w:r w:rsidRPr="002B376E">
        <w:t xml:space="preserve">in Daniel, generally denoting insight into the meaning of </w:t>
      </w:r>
      <w:r w:rsidR="00E35A91">
        <w:t>dreams, visions, or prophecies</w:t>
      </w:r>
      <w:r w:rsidRPr="002B376E">
        <w:t>.</w:t>
      </w:r>
      <w:r w:rsidR="00E35A91">
        <w:rPr>
          <w:rStyle w:val="FootnoteReference"/>
        </w:rPr>
        <w:footnoteReference w:id="699"/>
      </w:r>
      <w:r w:rsidR="00967E31">
        <w:t xml:space="preserve"> It implies</w:t>
      </w:r>
      <w:r w:rsidRPr="002B376E">
        <w:t xml:space="preserve"> that the ministry of the discerning is not teaching in general or exhortation to faithfulness but the interpretation of the prophetic scriptures—and no doubt of these Danielic visions—for the persecuted community.</w:t>
      </w:r>
      <w:r w:rsidR="00A5406F">
        <w:rPr>
          <w:rStyle w:val="FootnoteReference"/>
        </w:rPr>
        <w:footnoteReference w:id="700"/>
      </w:r>
      <w:r w:rsidRPr="002B376E">
        <w:t xml:space="preserve"> “The multitude” suggests the body of the community as a w</w:t>
      </w:r>
      <w:r w:rsidR="00E35A91">
        <w:t>hole (see on 9:27) and implies</w:t>
      </w:r>
      <w:r w:rsidR="00624551">
        <w:t xml:space="preserve"> that the majority resist</w:t>
      </w:r>
      <w:r w:rsidRPr="002B376E">
        <w:t xml:space="preserve"> Antiochus; only the Tobiads and th</w:t>
      </w:r>
      <w:r w:rsidR="00624551">
        <w:t>e Hellenistic community accept</w:t>
      </w:r>
      <w:r w:rsidRPr="002B376E">
        <w:t xml:space="preserve"> the edict. In Daniel’s thinking it is “the discerning” and “the multitude” </w:t>
      </w:r>
      <w:r w:rsidRPr="002B376E">
        <w:lastRenderedPageBreak/>
        <w:t xml:space="preserve">who </w:t>
      </w:r>
      <w:r w:rsidR="00A5406F">
        <w:t xml:space="preserve">really </w:t>
      </w:r>
      <w:r w:rsidRPr="002B376E">
        <w:t>make up “the people” (vv 32, 33</w:t>
      </w:r>
      <w:r w:rsidR="00E35A91">
        <w:t>)</w:t>
      </w:r>
      <w:r w:rsidRPr="002B376E">
        <w:t>.</w:t>
      </w:r>
      <w:r w:rsidR="00E35A91">
        <w:rPr>
          <w:rStyle w:val="FootnoteReference"/>
        </w:rPr>
        <w:footnoteReference w:id="701"/>
      </w:r>
      <w:r w:rsidR="00967E31">
        <w:t xml:space="preserve"> While</w:t>
      </w:r>
      <w:r w:rsidR="00353D5A">
        <w:t xml:space="preserve"> </w:t>
      </w:r>
      <w:r w:rsidR="00624551">
        <w:t xml:space="preserve">v 35 will refer to </w:t>
      </w:r>
      <w:r w:rsidR="00353D5A">
        <w:t>t</w:t>
      </w:r>
      <w:r w:rsidRPr="002B376E">
        <w:t>he mart</w:t>
      </w:r>
      <w:r w:rsidR="00624551">
        <w:t>yrdom of some of the discerning</w:t>
      </w:r>
      <w:r w:rsidR="00353D5A">
        <w:t>,</w:t>
      </w:r>
      <w:r w:rsidR="00624551">
        <w:t xml:space="preserve"> many ordinary people </w:t>
      </w:r>
      <w:r w:rsidR="00967E31">
        <w:t xml:space="preserve">also </w:t>
      </w:r>
      <w:r w:rsidR="00624551">
        <w:t>experience sword</w:t>
      </w:r>
      <w:r w:rsidR="00353D5A">
        <w:t xml:space="preserve"> (1 Macc 2:9, 31–38), fire</w:t>
      </w:r>
      <w:r w:rsidRPr="002B376E">
        <w:t xml:space="preserve"> (2 Macc 6:11; 7:1–4</w:t>
      </w:r>
      <w:r w:rsidR="00353D5A">
        <w:t>1), captivity (1 Macc 3:41), prey</w:t>
      </w:r>
      <w:r w:rsidRPr="002B376E">
        <w:t xml:space="preserve"> (1 Macc 1:31), and other afflictions (cf. 1 Macc 1:60–64). The terms </w:t>
      </w:r>
      <w:r w:rsidR="00353D5A">
        <w:t>“</w:t>
      </w:r>
      <w:r w:rsidRPr="002B376E">
        <w:t>the discerning</w:t>
      </w:r>
      <w:r w:rsidR="00353D5A">
        <w:t>”</w:t>
      </w:r>
      <w:r w:rsidRPr="002B376E">
        <w:t xml:space="preserve"> and </w:t>
      </w:r>
      <w:r w:rsidR="00353D5A">
        <w:t>“</w:t>
      </w:r>
      <w:r w:rsidRPr="002B376E">
        <w:t>the multitude</w:t>
      </w:r>
      <w:r w:rsidR="00353D5A">
        <w:t>”</w:t>
      </w:r>
      <w:r w:rsidR="00967E31">
        <w:t xml:space="preserve"> hint </w:t>
      </w:r>
      <w:r w:rsidRPr="002B376E">
        <w:t xml:space="preserve">that the calling of the servant of Yahweh described in Isa 52:13–53:12 (see </w:t>
      </w:r>
      <w:r w:rsidRPr="00353D5A">
        <w:rPr>
          <w:i/>
        </w:rPr>
        <w:t>Form</w:t>
      </w:r>
      <w:r w:rsidRPr="002B376E">
        <w:t xml:space="preserve">) is being fulfilled here, not only by </w:t>
      </w:r>
      <w:r w:rsidR="00967E31">
        <w:t>the leadership but by the community</w:t>
      </w:r>
      <w:r w:rsidRPr="002B376E">
        <w:t xml:space="preserve"> as a whole who also suffer.</w:t>
      </w:r>
      <w:r w:rsidR="00353D5A">
        <w:rPr>
          <w:rStyle w:val="FootnoteReference"/>
        </w:rPr>
        <w:footnoteReference w:id="702"/>
      </w:r>
    </w:p>
    <w:p w:rsidR="002B376E" w:rsidRPr="002B376E" w:rsidRDefault="00C91A9D" w:rsidP="002B376E">
      <w:r>
        <w:t xml:space="preserve">The people offering a little help </w:t>
      </w:r>
      <w:r w:rsidR="00624551">
        <w:t xml:space="preserve">(v 34) are hardly </w:t>
      </w:r>
      <w:r w:rsidR="002B376E" w:rsidRPr="002B376E">
        <w:t xml:space="preserve">the Romans </w:t>
      </w:r>
      <w:r w:rsidR="00624551">
        <w:t>helping the ḥasidim, though this will happen</w:t>
      </w:r>
      <w:r>
        <w:t xml:space="preserve"> later.</w:t>
      </w:r>
      <w:r>
        <w:rPr>
          <w:rStyle w:val="FootnoteReference"/>
        </w:rPr>
        <w:footnoteReference w:id="703"/>
      </w:r>
      <w:r w:rsidR="002B376E" w:rsidRPr="002B376E">
        <w:t xml:space="preserve"> </w:t>
      </w:r>
      <w:r w:rsidR="00624551">
        <w:t>It may</w:t>
      </w:r>
      <w:r>
        <w:t xml:space="preserve"> be</w:t>
      </w:r>
      <w:r w:rsidR="002B376E" w:rsidRPr="002B376E">
        <w:t xml:space="preserve"> the disc</w:t>
      </w:r>
      <w:r>
        <w:t>erning encouraging the martyrs</w:t>
      </w:r>
      <w:r>
        <w:rPr>
          <w:rStyle w:val="FootnoteReference"/>
        </w:rPr>
        <w:footnoteReference w:id="704"/>
      </w:r>
      <w:r>
        <w:t xml:space="preserve"> </w:t>
      </w:r>
      <w:r w:rsidR="002B376E" w:rsidRPr="002B376E">
        <w:t>or other Jews coming to</w:t>
      </w:r>
      <w:r>
        <w:t xml:space="preserve"> share the martyrs’ commitment</w:t>
      </w:r>
      <w:r w:rsidR="002B376E" w:rsidRPr="002B376E">
        <w:t>,</w:t>
      </w:r>
      <w:r>
        <w:rPr>
          <w:rStyle w:val="FootnoteReference"/>
        </w:rPr>
        <w:footnoteReference w:id="705"/>
      </w:r>
      <w:r w:rsidR="002B376E" w:rsidRPr="002B376E">
        <w:t xml:space="preserve"> if either would count as “help</w:t>
      </w:r>
      <w:r>
        <w:t>,”</w:t>
      </w:r>
      <w:r w:rsidR="002B376E" w:rsidRPr="002B376E">
        <w:t xml:space="preserve"> but more likely the </w:t>
      </w:r>
      <w:r>
        <w:t xml:space="preserve">expression refers to the </w:t>
      </w:r>
      <w:r w:rsidR="002B376E" w:rsidRPr="002B376E">
        <w:t>successes</w:t>
      </w:r>
      <w:r>
        <w:t xml:space="preserve"> of the first Jewish activists (1 Macc 2–4). It</w:t>
      </w:r>
      <w:r w:rsidR="002B376E" w:rsidRPr="002B376E">
        <w:t xml:space="preserve"> is “a little help” compared with the ultimate victory, deliveran</w:t>
      </w:r>
      <w:r>
        <w:t>ce, awakening, and exaltation that will</w:t>
      </w:r>
      <w:r w:rsidR="002B376E" w:rsidRPr="002B376E">
        <w:t xml:space="preserve"> come at “the set moment” (v 35): see 11:40–12:3. One need not infer that the seer dissociates himself from the active resistance of the Maccabees (cf. v 14 </w:t>
      </w:r>
      <w:r w:rsidR="002B376E" w:rsidRPr="00C91A9D">
        <w:rPr>
          <w:i/>
        </w:rPr>
        <w:t>Comment</w:t>
      </w:r>
      <w:r>
        <w:t>).</w:t>
      </w:r>
      <w:r w:rsidR="00C14D85">
        <w:rPr>
          <w:rStyle w:val="FootnoteReference"/>
        </w:rPr>
        <w:footnoteReference w:id="706"/>
      </w:r>
      <w:r>
        <w:t xml:space="preserve"> The ḥ</w:t>
      </w:r>
      <w:r w:rsidR="00624551">
        <w:t>asidim do</w:t>
      </w:r>
      <w:r w:rsidR="002B376E" w:rsidRPr="002B376E">
        <w:t xml:space="preserve"> </w:t>
      </w:r>
      <w:r>
        <w:t xml:space="preserve">fight (1 Macc 2:40–44), but their </w:t>
      </w:r>
      <w:r w:rsidR="00624551">
        <w:t>willingness to fight does not mean that they rely</w:t>
      </w:r>
      <w:r w:rsidR="002B376E" w:rsidRPr="002B376E">
        <w:t xml:space="preserve"> on human hands rather than on the acts of God (see 1 Macc 3:16–22, </w:t>
      </w:r>
      <w:r>
        <w:t>52–53, 58–60; 4:8–11, 30–33), and we</w:t>
      </w:r>
      <w:r w:rsidR="002B376E" w:rsidRPr="002B376E">
        <w:t xml:space="preserve"> have no evidence for a pacifist group among them. To describe the achievement of the Maccabees as mere</w:t>
      </w:r>
      <w:r w:rsidR="00624551">
        <w:t>ly a little help might seem odd, as it i</w:t>
      </w:r>
      <w:r>
        <w:t>s th</w:t>
      </w:r>
      <w:r w:rsidR="00624551">
        <w:t>ey who achieve</w:t>
      </w:r>
      <w:r w:rsidR="00967E31">
        <w:t xml:space="preserve"> Jewish independence, though</w:t>
      </w:r>
      <w:r w:rsidR="002B376E" w:rsidRPr="002B376E">
        <w:t xml:space="preserve"> </w:t>
      </w:r>
      <w:r>
        <w:t>arguably the rebellion ended in failure in 157.</w:t>
      </w:r>
      <w:r>
        <w:rPr>
          <w:rStyle w:val="FootnoteReference"/>
        </w:rPr>
        <w:footnoteReference w:id="707"/>
      </w:r>
      <w:r w:rsidR="00967E31">
        <w:t xml:space="preserve"> Whereas the Maccabean stance </w:t>
      </w:r>
      <w:r w:rsidR="00624551">
        <w:t>i</w:t>
      </w:r>
      <w:r w:rsidR="002B376E" w:rsidRPr="002B376E">
        <w:t>s taken up by th</w:t>
      </w:r>
      <w:r>
        <w:t xml:space="preserve">e Zealots two centuries </w:t>
      </w:r>
      <w:r w:rsidR="00967E31">
        <w:t>later,</w:t>
      </w:r>
      <w:r>
        <w:t xml:space="preserve"> life for Judais</w:t>
      </w:r>
      <w:r w:rsidR="00624551">
        <w:t>m comes</w:t>
      </w:r>
      <w:r>
        <w:t xml:space="preserve"> </w:t>
      </w:r>
      <w:r w:rsidR="002B376E" w:rsidRPr="002B376E">
        <w:t>from the faith that Daniel was commending.</w:t>
      </w:r>
    </w:p>
    <w:p w:rsidR="002B376E" w:rsidRPr="002B376E" w:rsidRDefault="00C91A9D" w:rsidP="002B376E">
      <w:r>
        <w:t>The many who</w:t>
      </w:r>
      <w:r w:rsidR="002B376E" w:rsidRPr="002B376E">
        <w:t xml:space="preserve"> </w:t>
      </w:r>
      <w:r w:rsidR="00624551">
        <w:t xml:space="preserve">join the discerning </w:t>
      </w:r>
      <w:r>
        <w:t>with empty words (</w:t>
      </w:r>
      <w:r w:rsidR="000D1837">
        <w:t>v</w:t>
      </w:r>
      <w:r>
        <w:t xml:space="preserve"> </w:t>
      </w:r>
      <w:r w:rsidR="00624551">
        <w:t>34b) are</w:t>
      </w:r>
      <w:r w:rsidR="002B376E" w:rsidRPr="002B376E">
        <w:t xml:space="preserve"> people whose commitment to the resistance movement could not be trusted in the long run. Some may have joined out of fear of the Maccabees’ own ruthlessness (cf. </w:t>
      </w:r>
      <w:r w:rsidR="00624551">
        <w:t>1 Macc 2:44; 3:5–8; 6:18–24). The martyrdom of s</w:t>
      </w:r>
      <w:r w:rsidR="002B376E" w:rsidRPr="002B376E">
        <w:t>ome of the discernin</w:t>
      </w:r>
      <w:r w:rsidR="00624551">
        <w:t>g (</w:t>
      </w:r>
      <w:r w:rsidR="000D1837">
        <w:t>v</w:t>
      </w:r>
      <w:r w:rsidR="00624551">
        <w:t xml:space="preserve"> 35) tests how real i</w:t>
      </w:r>
      <w:r w:rsidR="002B376E" w:rsidRPr="002B376E">
        <w:t xml:space="preserve">s </w:t>
      </w:r>
      <w:r w:rsidR="00624551">
        <w:t>the commitment of people who have</w:t>
      </w:r>
      <w:r w:rsidR="002B376E" w:rsidRPr="002B376E">
        <w:t xml:space="preserve"> joined the resistance movement perhaps too lightly. That their “stumbling” is the means of their learning that violent resistance is a false path</w:t>
      </w:r>
      <w:r w:rsidR="00624551">
        <w:t xml:space="preserve"> is hardly implied by vv 32–35;</w:t>
      </w:r>
      <w:r w:rsidR="00624551">
        <w:rPr>
          <w:rStyle w:val="FootnoteReference"/>
        </w:rPr>
        <w:footnoteReference w:id="708"/>
      </w:r>
      <w:r w:rsidR="00624551">
        <w:t xml:space="preserve"> </w:t>
      </w:r>
      <w:r w:rsidR="002B376E" w:rsidRPr="002B376E">
        <w:t>in vv 14 and 19 “stumble” (</w:t>
      </w:r>
      <w:r w:rsidR="002B376E" w:rsidRPr="002B376E">
        <w:rPr>
          <w:rFonts w:ascii="Arial" w:hAnsi="Arial" w:cs="Arial"/>
        </w:rPr>
        <w:t>כשל</w:t>
      </w:r>
      <w:r w:rsidR="002B376E" w:rsidRPr="002B376E">
        <w:t>) does suggest the undoing of people who were on the wrong path, but not in vv 33, 34, 35, 41.</w:t>
      </w:r>
    </w:p>
    <w:p w:rsidR="002B376E" w:rsidRDefault="002B376E" w:rsidP="002B376E">
      <w:r w:rsidRPr="00624551">
        <w:rPr>
          <w:b/>
        </w:rPr>
        <w:t>11:36–39</w:t>
      </w:r>
      <w:r w:rsidR="005F6FD6">
        <w:t xml:space="preserve"> Jews and Christians who do not see </w:t>
      </w:r>
      <w:r w:rsidR="000D1837">
        <w:t>v</w:t>
      </w:r>
      <w:r w:rsidR="005F6FD6">
        <w:t xml:space="preserve"> 21 </w:t>
      </w:r>
      <w:r w:rsidR="00325DD1">
        <w:t>as</w:t>
      </w:r>
      <w:r w:rsidR="005F6FD6">
        <w:t xml:space="preserve"> </w:t>
      </w:r>
      <w:r w:rsidR="00325DD1">
        <w:t xml:space="preserve">marking a transition </w:t>
      </w:r>
      <w:r w:rsidR="005F6FD6">
        <w:t>from describing Antiochus</w:t>
      </w:r>
      <w:r w:rsidR="00DE5B0D">
        <w:t xml:space="preserve"> </w:t>
      </w:r>
      <w:r w:rsidR="00325DD1">
        <w:t>to describing another figure have common</w:t>
      </w:r>
      <w:r w:rsidR="00DE5B0D">
        <w:t xml:space="preserve"> assume</w:t>
      </w:r>
      <w:r w:rsidR="00325DD1">
        <w:t xml:space="preserve">d that </w:t>
      </w:r>
      <w:r w:rsidR="000D1837">
        <w:t>v</w:t>
      </w:r>
      <w:r w:rsidR="00325DD1">
        <w:t xml:space="preserve"> 36 </w:t>
      </w:r>
      <w:r w:rsidR="00A376CD">
        <w:t xml:space="preserve">does mark such a transition, </w:t>
      </w:r>
      <w:r w:rsidR="00E07E4C">
        <w:t>a future king</w:t>
      </w:r>
      <w:r w:rsidR="00325DD1">
        <w:t xml:space="preserve"> such as</w:t>
      </w:r>
      <w:r w:rsidR="00325DD1" w:rsidRPr="00325DD1">
        <w:t xml:space="preserve"> </w:t>
      </w:r>
      <w:r w:rsidR="00325DD1" w:rsidRPr="00325DD1">
        <w:rPr>
          <w:bCs/>
        </w:rPr>
        <w:t>John of Gischala, leader of the Jewish revolt in AD 66-70</w:t>
      </w:r>
      <w:r w:rsidR="00325DD1">
        <w:rPr>
          <w:bCs/>
        </w:rPr>
        <w:t>,</w:t>
      </w:r>
      <w:r w:rsidR="00325DD1">
        <w:rPr>
          <w:rStyle w:val="FootnoteReference"/>
          <w:bCs/>
        </w:rPr>
        <w:footnoteReference w:id="709"/>
      </w:r>
      <w:r w:rsidR="00325DD1">
        <w:t xml:space="preserve"> or Constantine</w:t>
      </w:r>
      <w:r w:rsidR="00112E47">
        <w:t xml:space="preserve"> who turned the Roman empire Christian</w:t>
      </w:r>
      <w:r w:rsidR="00325DD1">
        <w:t>,</w:t>
      </w:r>
      <w:r w:rsidR="00325DD1">
        <w:rPr>
          <w:rStyle w:val="FootnoteReference"/>
        </w:rPr>
        <w:footnoteReference w:id="710"/>
      </w:r>
      <w:r w:rsidR="00325DD1" w:rsidRPr="00325DD1">
        <w:rPr>
          <w:bCs/>
        </w:rPr>
        <w:t xml:space="preserve"> or a king </w:t>
      </w:r>
      <w:r w:rsidR="00112E47">
        <w:rPr>
          <w:bCs/>
        </w:rPr>
        <w:t>who is yet to come,</w:t>
      </w:r>
      <w:r w:rsidR="00E07E4C" w:rsidRPr="00E07E4C">
        <w:rPr>
          <w:vertAlign w:val="superscript"/>
        </w:rPr>
        <w:footnoteReference w:id="711"/>
      </w:r>
      <w:r w:rsidR="00E07E4C">
        <w:t xml:space="preserve"> or or </w:t>
      </w:r>
      <w:r w:rsidR="00DE5B0D">
        <w:t>the anti</w:t>
      </w:r>
      <w:r w:rsidR="00E07E4C">
        <w:t>-</w:t>
      </w:r>
      <w:r w:rsidR="00112E47">
        <w:t>messiah: “a</w:t>
      </w:r>
      <w:r w:rsidR="00325DD1" w:rsidRPr="00325DD1">
        <w:t>fter these remarks in reference to Antiochus Epiphanes, he then moves from the image to the archetype,… the antichrist.”</w:t>
      </w:r>
      <w:r w:rsidR="00112E47" w:rsidRPr="00112E47">
        <w:rPr>
          <w:vertAlign w:val="superscript"/>
        </w:rPr>
        <w:t xml:space="preserve"> </w:t>
      </w:r>
      <w:r w:rsidR="00112E47" w:rsidRPr="00112E47">
        <w:rPr>
          <w:vertAlign w:val="superscript"/>
        </w:rPr>
        <w:footnoteReference w:id="712"/>
      </w:r>
      <w:r w:rsidR="00112E47">
        <w:t xml:space="preserve"> </w:t>
      </w:r>
      <w:r w:rsidR="00DE5B0D">
        <w:t>But t</w:t>
      </w:r>
      <w:r w:rsidR="00DE5B0D" w:rsidRPr="00DE5B0D">
        <w:t xml:space="preserve">here is </w:t>
      </w:r>
      <w:r w:rsidR="00325DD1">
        <w:t xml:space="preserve">again </w:t>
      </w:r>
      <w:r w:rsidR="00DE5B0D" w:rsidRPr="00DE5B0D">
        <w:t>no indication that the identity of “the king” has changed.</w:t>
      </w:r>
      <w:r w:rsidR="00DE5B0D">
        <w:t xml:space="preserve"> </w:t>
      </w:r>
      <w:r w:rsidR="00325DD1">
        <w:t xml:space="preserve">Rather, </w:t>
      </w:r>
      <w:r w:rsidR="00325DD1">
        <w:lastRenderedPageBreak/>
        <w:t>t</w:t>
      </w:r>
      <w:r w:rsidR="00624551">
        <w:t>he quasi-prediction</w:t>
      </w:r>
      <w:r w:rsidRPr="002B376E">
        <w:t xml:space="preserve"> </w:t>
      </w:r>
      <w:r w:rsidR="00325DD1">
        <w:t xml:space="preserve">in chap. 11 </w:t>
      </w:r>
      <w:r w:rsidRPr="002B376E">
        <w:t>closes with an evaluative summary of Antioch</w:t>
      </w:r>
      <w:r w:rsidR="00112E47">
        <w:t>us’s religious attitudes</w:t>
      </w:r>
      <w:r w:rsidR="00DE5B0D">
        <w:t xml:space="preserve">. </w:t>
      </w:r>
      <w:r w:rsidRPr="002B376E">
        <w:t xml:space="preserve">It moves from the earthly plane of attacks on people and sanctuary to the heavenly plane of attacks on God himself, though the language of chaps. 9 and 11 is </w:t>
      </w:r>
      <w:r w:rsidR="00325DD1">
        <w:t>more d</w:t>
      </w:r>
      <w:r w:rsidR="00112E47">
        <w:t>ow</w:t>
      </w:r>
      <w:r w:rsidR="00325DD1">
        <w:t xml:space="preserve">n-to-earth </w:t>
      </w:r>
      <w:r w:rsidRPr="002B376E">
        <w:t>than that of cha</w:t>
      </w:r>
      <w:r w:rsidR="00325DD1">
        <w:t>ps. 7 and 8</w:t>
      </w:r>
      <w:r w:rsidRPr="002B376E">
        <w:t>.</w:t>
      </w:r>
      <w:r w:rsidR="00E67C16">
        <w:rPr>
          <w:rStyle w:val="FootnoteReference"/>
        </w:rPr>
        <w:footnoteReference w:id="713"/>
      </w:r>
      <w:r w:rsidR="00325DD1">
        <w:t xml:space="preserve"> The paragraph begins resumptively with a</w:t>
      </w:r>
      <w:r w:rsidRPr="002B376E">
        <w:t xml:space="preserve"> </w:t>
      </w:r>
      <w:r w:rsidR="00325DD1">
        <w:t xml:space="preserve">general statement in v 36; </w:t>
      </w:r>
      <w:r w:rsidRPr="002B376E">
        <w:t xml:space="preserve">more detail </w:t>
      </w:r>
      <w:r w:rsidR="00325DD1">
        <w:t xml:space="preserve">follows </w:t>
      </w:r>
      <w:r w:rsidRPr="002B376E">
        <w:t>in vv 37–39.</w:t>
      </w:r>
      <w:r w:rsidR="00E67C16">
        <w:t xml:space="preserve"> </w:t>
      </w:r>
    </w:p>
    <w:p w:rsidR="002B376E" w:rsidRPr="002B376E" w:rsidRDefault="00E67C16" w:rsidP="002B376E">
      <w:r>
        <w:t>That “the king will act as he pleases” (</w:t>
      </w:r>
      <w:r w:rsidR="000D1837">
        <w:t>v</w:t>
      </w:r>
      <w:r>
        <w:t xml:space="preserve"> 36) is</w:t>
      </w:r>
      <w:r w:rsidR="002B376E" w:rsidRPr="002B376E">
        <w:t xml:space="preserve"> the standard description of apparently unchallengeable authority (8:4; 11:3, 16) </w:t>
      </w:r>
      <w:r>
        <w:t xml:space="preserve">which </w:t>
      </w:r>
      <w:r w:rsidR="002B376E" w:rsidRPr="002B376E">
        <w:t xml:space="preserve">presages unexpected disaster, or at least </w:t>
      </w:r>
      <w:r w:rsidR="00112E47">
        <w:t xml:space="preserve">the </w:t>
      </w:r>
      <w:r w:rsidR="002B376E" w:rsidRPr="002B376E">
        <w:t>frustration and failure</w:t>
      </w:r>
      <w:r w:rsidR="00112E47">
        <w:t xml:space="preserve"> of the king’s plans. It</w:t>
      </w:r>
      <w:r w:rsidR="002B376E" w:rsidRPr="002B376E">
        <w:t xml:space="preserve"> thus adds to the sense of expectancy that Antiochus’s success cannot</w:t>
      </w:r>
      <w:r>
        <w:t xml:space="preserve"> continue. </w:t>
      </w:r>
      <w:r w:rsidR="002B376E" w:rsidRPr="002B376E">
        <w:t>The sense of expectancy is encour</w:t>
      </w:r>
      <w:r>
        <w:t>aged by the declaration that</w:t>
      </w:r>
      <w:r w:rsidR="002B376E" w:rsidRPr="002B376E">
        <w:t xml:space="preserve"> he “will exalt himself and</w:t>
      </w:r>
      <w:r>
        <w:t xml:space="preserve"> magnify himself”: these verbs apply</w:t>
      </w:r>
      <w:r w:rsidR="002B376E" w:rsidRPr="002B376E">
        <w:t xml:space="preserve"> in the OT only to God and to one who impiously asserts himself against God and has judgment declared upon him (Isa 10:15; 33:15). </w:t>
      </w:r>
      <w:r>
        <w:t>Antiochus took the</w:t>
      </w:r>
      <w:r w:rsidR="002B376E" w:rsidRPr="002B376E">
        <w:t xml:space="preserve"> title</w:t>
      </w:r>
      <w:r>
        <w:t xml:space="preserve"> Epiphanes, “[God] Manifest,” </w:t>
      </w:r>
      <w:r w:rsidR="002B376E" w:rsidRPr="002B376E">
        <w:t>use</w:t>
      </w:r>
      <w:r>
        <w:t xml:space="preserve">d </w:t>
      </w:r>
      <w:r w:rsidR="002B376E" w:rsidRPr="002B376E">
        <w:t>the title Θεός</w:t>
      </w:r>
      <w:r>
        <w:t>,</w:t>
      </w:r>
      <w:r w:rsidR="002B376E" w:rsidRPr="002B376E">
        <w:t xml:space="preserve"> “God</w:t>
      </w:r>
      <w:r>
        <w:t>,</w:t>
      </w:r>
      <w:r w:rsidR="002B376E" w:rsidRPr="002B376E">
        <w:t xml:space="preserve">” </w:t>
      </w:r>
      <w:r>
        <w:t>on coins, used divine symbols, plundered</w:t>
      </w:r>
      <w:r w:rsidR="002B376E" w:rsidRPr="002B376E">
        <w:t xml:space="preserve"> temples</w:t>
      </w:r>
      <w:r>
        <w:t>, and suppressed</w:t>
      </w:r>
      <w:r w:rsidR="002B376E" w:rsidRPr="002B376E">
        <w:t xml:space="preserve"> other religions</w:t>
      </w:r>
      <w:r>
        <w:t xml:space="preserve"> than his own. These acts were not</w:t>
      </w:r>
      <w:r w:rsidR="002B376E" w:rsidRPr="002B376E">
        <w:t xml:space="preserve"> peculiar to Antiochus (see v 5 </w:t>
      </w:r>
      <w:r w:rsidR="002B376E" w:rsidRPr="00E67C16">
        <w:rPr>
          <w:i/>
        </w:rPr>
        <w:t>Comment</w:t>
      </w:r>
      <w:r w:rsidR="002B376E" w:rsidRPr="002B376E">
        <w:t>);</w:t>
      </w:r>
      <w:r>
        <w:t xml:space="preserve"> </w:t>
      </w:r>
      <w:r w:rsidR="002B376E" w:rsidRPr="002B376E">
        <w:t xml:space="preserve">Hellenistic kings </w:t>
      </w:r>
      <w:r>
        <w:t xml:space="preserve">regularly </w:t>
      </w:r>
      <w:r w:rsidR="002B376E" w:rsidRPr="002B376E">
        <w:t>associate</w:t>
      </w:r>
      <w:r>
        <w:t>d</w:t>
      </w:r>
      <w:r w:rsidR="002B376E" w:rsidRPr="002B376E">
        <w:t xml:space="preserve"> themselves closely with religion in various ways, to support their position.</w:t>
      </w:r>
      <w:r>
        <w:rPr>
          <w:rStyle w:val="FootnoteReference"/>
        </w:rPr>
        <w:footnoteReference w:id="714"/>
      </w:r>
      <w:r w:rsidR="002B376E" w:rsidRPr="002B376E">
        <w:t xml:space="preserve"> They thus stood under the protection of particular deities, sometimes assimilated themselves to them, and sometimes encouraged wo</w:t>
      </w:r>
      <w:r>
        <w:t xml:space="preserve">rship of </w:t>
      </w:r>
      <w:r w:rsidR="00A376CD">
        <w:t>themselves. But other Hellenist</w:t>
      </w:r>
      <w:r>
        <w:t xml:space="preserve">ic kings </w:t>
      </w:r>
      <w:r w:rsidR="002B376E" w:rsidRPr="002B376E">
        <w:t>did not come into such sharp conflict with the “God of gods” concerning whom Antiochus uttered his “awesome statements</w:t>
      </w:r>
      <w:r w:rsidR="00A376CD">
        <w:t>,” edicts suppressing</w:t>
      </w:r>
      <w:r w:rsidR="002B376E" w:rsidRPr="002B376E">
        <w:t xml:space="preserve"> worship of Yahweh. If</w:t>
      </w:r>
      <w:r w:rsidR="00BE12AD">
        <w:t xml:space="preserve"> Antiochus took</w:t>
      </w:r>
      <w:r w:rsidR="002B376E" w:rsidRPr="002B376E">
        <w:t xml:space="preserve"> his divinity more seriously than most, the reason may again be political: it helped to bind his empire together and to him. For him, as for other kings, religion was the serv</w:t>
      </w:r>
      <w:r w:rsidR="00672F87">
        <w:t>ant of his political position. Yes, h</w:t>
      </w:r>
      <w:r w:rsidR="002B376E" w:rsidRPr="002B376E">
        <w:t>e is more important than any god.</w:t>
      </w:r>
    </w:p>
    <w:p w:rsidR="002B376E" w:rsidRPr="002B376E" w:rsidRDefault="002B376E" w:rsidP="002B376E">
      <w:r w:rsidRPr="002B376E">
        <w:t>Antiochus replaced Apollo by Zeus as the god of the Seleucid dynasty</w:t>
      </w:r>
      <w:r w:rsidR="00BE12AD">
        <w:t xml:space="preserve"> (</w:t>
      </w:r>
      <w:r w:rsidR="000D1837">
        <w:t>v</w:t>
      </w:r>
      <w:r w:rsidR="00BE12AD">
        <w:t xml:space="preserve"> 37)</w:t>
      </w:r>
      <w:r w:rsidRPr="002B376E">
        <w:t>, apparently again for political reasons: it provided religious support for the irregularity involved in his accession. “The one women love” is then plausibly taken as a god especially favored in Egypt, Adonis or Dionysus, who was slighted by Antiochus through his various encroach</w:t>
      </w:r>
      <w:r w:rsidR="00BE12AD">
        <w:t>ments on the southern kingdom; t</w:t>
      </w:r>
      <w:r w:rsidRPr="002B376E">
        <w:t>he reference to Tammuz as one worshiped by women in Ezek 8:14 seems l</w:t>
      </w:r>
      <w:r w:rsidR="00A376CD">
        <w:t xml:space="preserve">ess relevant. </w:t>
      </w:r>
      <w:r w:rsidRPr="002B376E">
        <w:t>Antiochus had shown contempt for the key gods of both the Seleuc</w:t>
      </w:r>
      <w:r w:rsidR="00672F87">
        <w:t xml:space="preserve">id and </w:t>
      </w:r>
      <w:r w:rsidR="00BE12AD">
        <w:t>Ptolemaic dynasties</w:t>
      </w:r>
      <w:r w:rsidRPr="002B376E">
        <w:t>.</w:t>
      </w:r>
      <w:r w:rsidR="00BE12AD">
        <w:rPr>
          <w:rStyle w:val="FootnoteReference"/>
        </w:rPr>
        <w:footnoteReference w:id="715"/>
      </w:r>
      <w:r w:rsidR="00672F87">
        <w:t xml:space="preserve"> T</w:t>
      </w:r>
      <w:r w:rsidRPr="002B376E">
        <w:t xml:space="preserve">he critique </w:t>
      </w:r>
      <w:r w:rsidR="00672F87">
        <w:t>may presuppose</w:t>
      </w:r>
      <w:r w:rsidR="00484EB0">
        <w:t xml:space="preserve"> that </w:t>
      </w:r>
      <w:r w:rsidRPr="002B376E">
        <w:t>Yahweh himself allocated the</w:t>
      </w:r>
      <w:r w:rsidR="00CF1FF8">
        <w:t xml:space="preserve"> nations their gods (Deut 32:8 </w:t>
      </w:r>
      <w:r w:rsidR="00CF1FF8" w:rsidRPr="00CF1FF8">
        <w:t>4QDeut, LXX</w:t>
      </w:r>
      <w:r w:rsidRPr="002B376E">
        <w:t>), so that Antiochus overre</w:t>
      </w:r>
      <w:r w:rsidR="00BE12AD">
        <w:t>aches himself in changing them</w:t>
      </w:r>
      <w:r w:rsidRPr="002B376E">
        <w:t>.</w:t>
      </w:r>
      <w:r w:rsidR="00BE12AD">
        <w:rPr>
          <w:rStyle w:val="FootnoteReference"/>
        </w:rPr>
        <w:footnoteReference w:id="716"/>
      </w:r>
      <w:r w:rsidRPr="002B376E">
        <w:t xml:space="preserve"> But the seer may simply be expressing a theological distaste for what he sees as Antiochus’s subservience of religion to politics.</w:t>
      </w:r>
    </w:p>
    <w:p w:rsidR="002B376E" w:rsidRPr="002B376E" w:rsidRDefault="00BE12AD" w:rsidP="002B376E">
      <w:r>
        <w:t>The</w:t>
      </w:r>
      <w:r w:rsidR="002B376E" w:rsidRPr="002B376E">
        <w:t xml:space="preserve"> </w:t>
      </w:r>
      <w:r>
        <w:t>“stronghold god</w:t>
      </w:r>
      <w:r w:rsidR="002B376E" w:rsidRPr="002B376E">
        <w:t>” (v 38)</w:t>
      </w:r>
      <w:r w:rsidR="00672F87">
        <w:t xml:space="preserve"> will </w:t>
      </w:r>
      <w:r>
        <w:t xml:space="preserve">be Zeus, </w:t>
      </w:r>
      <w:r w:rsidRPr="00BE12AD">
        <w:t>who replaced Apollo</w:t>
      </w:r>
      <w:r>
        <w:t xml:space="preserve">, and was </w:t>
      </w:r>
      <w:r w:rsidR="00672F87">
        <w:t>worshipped as Ba‘</w:t>
      </w:r>
      <w:r w:rsidRPr="00BE12AD">
        <w:t>al Šamem by the Syrian garrison</w:t>
      </w:r>
      <w:r w:rsidR="002B376E" w:rsidRPr="002B376E">
        <w:t xml:space="preserve">. Zeus could also be identified with Jupiter, Herakles, or Yahweh, but this </w:t>
      </w:r>
      <w:r>
        <w:t>possibility seems less relevant</w:t>
      </w:r>
      <w:r w:rsidR="002B376E" w:rsidRPr="002B376E">
        <w:t>.</w:t>
      </w:r>
      <w:r>
        <w:rPr>
          <w:rStyle w:val="FootnoteReference"/>
        </w:rPr>
        <w:footnoteReference w:id="717"/>
      </w:r>
      <w:r w:rsidR="00484EB0">
        <w:t xml:space="preserve"> Antiochus’s</w:t>
      </w:r>
      <w:r>
        <w:t xml:space="preserve"> </w:t>
      </w:r>
      <w:r w:rsidR="002B376E" w:rsidRPr="002B376E">
        <w:t>deal</w:t>
      </w:r>
      <w:r>
        <w:t>ing</w:t>
      </w:r>
      <w:r w:rsidR="002B376E" w:rsidRPr="002B376E">
        <w:t xml:space="preserve"> with</w:t>
      </w:r>
      <w:r>
        <w:t xml:space="preserve"> a most secure stronghold (v 39) will be a</w:t>
      </w:r>
      <w:r w:rsidR="002B376E" w:rsidRPr="002B376E">
        <w:t xml:space="preserve"> further reference to the development of the citadel near the temple (see</w:t>
      </w:r>
      <w:r>
        <w:t xml:space="preserve"> on v 31). And the people he regards will be</w:t>
      </w:r>
      <w:r w:rsidR="002B376E" w:rsidRPr="002B376E">
        <w:t xml:space="preserve"> the Tobiad leadership, </w:t>
      </w:r>
      <w:r>
        <w:t xml:space="preserve">which was </w:t>
      </w:r>
      <w:r w:rsidR="002B376E" w:rsidRPr="002B376E">
        <w:t>favored by Antiochus (see on v 24).</w:t>
      </w:r>
    </w:p>
    <w:p w:rsidR="00AF687F" w:rsidRDefault="002B376E" w:rsidP="002B376E">
      <w:r w:rsidRPr="00BE12AD">
        <w:rPr>
          <w:b/>
        </w:rPr>
        <w:t>11:40–45</w:t>
      </w:r>
      <w:r w:rsidRPr="002B376E">
        <w:t xml:space="preserve"> </w:t>
      </w:r>
    </w:p>
    <w:p w:rsidR="00AF687F" w:rsidRDefault="00AF687F" w:rsidP="002B376E"/>
    <w:p w:rsidR="00AF687F" w:rsidRDefault="00AF687F" w:rsidP="00AF687F">
      <w:pPr>
        <w:pStyle w:val="Quote"/>
      </w:pPr>
      <w:r>
        <w:t xml:space="preserve">This passage is very obscure, and has consequently been explained in very opposite ways by interpreters. And whatever is obscure, is usually doubtful, and there would be little utility and </w:t>
      </w:r>
      <w:r>
        <w:lastRenderedPageBreak/>
        <w:t>no termination, if I were to narrate the opinions of them all. I shall therefore follow another method, and omitting all superfluous labor, I shall simply inquire the angel's meaning. I must, however, refer briefly to opinions received by the consent of the majority, because they occupy the minds of many, and thus close the door to the correct interpretation. The Jews, for instance, are not agreed among themselve</w:t>
      </w:r>
      <w:r w:rsidR="00672F87">
        <w:t>s…</w:t>
      </w:r>
      <w:r>
        <w:t>. Some explain it of Antiochus, and others of the Romans, but in a manner different to that which I shall afterwards state. The Christian expositors present much variety, but the greater number incline towards Antichrist as fulfilling the prophecy. Others, again, use greater moderation by supposing Antichrist to be here obliquely hinted at, while they do not exclude Antiochus as the type and image of Antichrist. This last opi</w:t>
      </w:r>
      <w:r w:rsidR="00484EB0">
        <w:t>nion has great probability, but</w:t>
      </w:r>
      <w:r>
        <w:t xml:space="preserve"> I do not approve</w:t>
      </w:r>
      <w:r w:rsidR="00672F87">
        <w:t xml:space="preserve"> of it…</w:t>
      </w:r>
      <w:r>
        <w:t>. Antiochus did not long survive the pollution of the Temple, and then the following events by no means suit the occurrences of this time.</w:t>
      </w:r>
      <w:r>
        <w:rPr>
          <w:rStyle w:val="FootnoteReference"/>
        </w:rPr>
        <w:footnoteReference w:id="718"/>
      </w:r>
    </w:p>
    <w:p w:rsidR="00AF687F" w:rsidRDefault="00AF687F" w:rsidP="002B376E"/>
    <w:p w:rsidR="0001277A" w:rsidRDefault="00AF687F" w:rsidP="002B376E">
      <w:r>
        <w:t xml:space="preserve">Calvin </w:t>
      </w:r>
      <w:r w:rsidR="00A67130">
        <w:t>goes on to see the verses as applying to Roman rulers in general.</w:t>
      </w:r>
      <w:r w:rsidR="00102718">
        <w:t xml:space="preserve"> But t</w:t>
      </w:r>
      <w:r w:rsidR="002B376E" w:rsidRPr="002B376E">
        <w:t xml:space="preserve">he “him” again presupposes that “the northern king” is the same person as that in vv 21–39. There is no hint of a transition to Antichrist or </w:t>
      </w:r>
      <w:r w:rsidR="00484EB0">
        <w:t xml:space="preserve">to </w:t>
      </w:r>
      <w:r w:rsidR="002B376E" w:rsidRPr="002B376E">
        <w:t>Antiochus V</w:t>
      </w:r>
      <w:r w:rsidR="00396D1A">
        <w:rPr>
          <w:rStyle w:val="FootnoteReference"/>
        </w:rPr>
        <w:footnoteReference w:id="719"/>
      </w:r>
      <w:r w:rsidR="00945C8C">
        <w:t xml:space="preserve"> </w:t>
      </w:r>
      <w:r w:rsidR="002B376E" w:rsidRPr="002B376E">
        <w:t xml:space="preserve">or </w:t>
      </w:r>
      <w:r w:rsidR="00102718">
        <w:t xml:space="preserve">to </w:t>
      </w:r>
      <w:r w:rsidR="002B376E" w:rsidRPr="002B376E">
        <w:t>Pompey and his associates</w:t>
      </w:r>
      <w:r w:rsidR="00396D1A">
        <w:rPr>
          <w:rStyle w:val="FootnoteReference"/>
        </w:rPr>
        <w:footnoteReference w:id="720"/>
      </w:r>
      <w:r w:rsidR="00396D1A">
        <w:t xml:space="preserve"> </w:t>
      </w:r>
      <w:r w:rsidR="00802E4B">
        <w:t xml:space="preserve">or </w:t>
      </w:r>
      <w:r w:rsidR="00102718">
        <w:t xml:space="preserve">to </w:t>
      </w:r>
      <w:r w:rsidR="00802E4B">
        <w:t>the Russians, to whom perhaps an apology is due.</w:t>
      </w:r>
      <w:r w:rsidR="00802E4B">
        <w:rPr>
          <w:rStyle w:val="FootnoteReference"/>
        </w:rPr>
        <w:footnoteReference w:id="721"/>
      </w:r>
      <w:r w:rsidR="00802E4B">
        <w:t xml:space="preserve"> </w:t>
      </w:r>
      <w:r w:rsidR="00102718" w:rsidRPr="00102718">
        <w:t>Porphyry assumed that the quasi-predictive historical account of Antiochus’s career continues,</w:t>
      </w:r>
      <w:r w:rsidR="00102718" w:rsidRPr="00102718">
        <w:rPr>
          <w:vertAlign w:val="superscript"/>
        </w:rPr>
        <w:footnoteReference w:id="722"/>
      </w:r>
      <w:r w:rsidR="00102718" w:rsidRPr="00102718">
        <w:t xml:space="preserve"> </w:t>
      </w:r>
      <w:r w:rsidR="00102718">
        <w:t>but</w:t>
      </w:r>
      <w:r w:rsidR="00396D1A">
        <w:t xml:space="preserve"> “a</w:t>
      </w:r>
      <w:r w:rsidR="002B376E" w:rsidRPr="002B376E">
        <w:t>t the time of the end” (</w:t>
      </w:r>
      <w:r w:rsidR="00396D1A">
        <w:t>contrast v 35) works ag</w:t>
      </w:r>
      <w:r w:rsidR="00802E4B">
        <w:t>a</w:t>
      </w:r>
      <w:r w:rsidR="00396D1A">
        <w:t>inst</w:t>
      </w:r>
      <w:r w:rsidR="002B376E" w:rsidRPr="002B376E">
        <w:t xml:space="preserve"> our taking the verses as </w:t>
      </w:r>
      <w:r w:rsidR="00794537">
        <w:t xml:space="preserve">simply </w:t>
      </w:r>
      <w:r w:rsidR="002B376E" w:rsidRPr="002B376E">
        <w:t xml:space="preserve">a </w:t>
      </w:r>
      <w:r w:rsidR="00396D1A">
        <w:t xml:space="preserve">further </w:t>
      </w:r>
      <w:r w:rsidR="002B376E" w:rsidRPr="002B376E">
        <w:t xml:space="preserve">résumé </w:t>
      </w:r>
      <w:r w:rsidR="00102718">
        <w:t>of Antiochus’s career, and</w:t>
      </w:r>
      <w:r w:rsidR="002B376E" w:rsidRPr="002B376E">
        <w:t xml:space="preserve"> vv 40–45 c</w:t>
      </w:r>
      <w:r w:rsidR="00396D1A">
        <w:t>annot be correlated with events as vv 21–39 can</w:t>
      </w:r>
      <w:r w:rsidR="0001277A">
        <w:t>. “There are four somewhat different accounts of Antiochus’ final campaign and death” in Maccabees and in Polybius but nothing in them “bears any relation to what is said in Dan. 11:40-45.”</w:t>
      </w:r>
      <w:r w:rsidR="0001277A">
        <w:rPr>
          <w:rStyle w:val="FootnoteReference"/>
        </w:rPr>
        <w:footnoteReference w:id="723"/>
      </w:r>
    </w:p>
    <w:p w:rsidR="002B376E" w:rsidRPr="002B376E" w:rsidRDefault="00396D1A" w:rsidP="002B376E">
      <w:r>
        <w:t xml:space="preserve"> </w:t>
      </w:r>
      <w:r w:rsidR="00102718">
        <w:t>Further, i</w:t>
      </w:r>
      <w:r w:rsidR="002B376E" w:rsidRPr="002B376E">
        <w:t>n vv 40–45</w:t>
      </w:r>
      <w:r w:rsidR="00102718">
        <w:t xml:space="preserve"> </w:t>
      </w:r>
      <w:r w:rsidR="002B376E" w:rsidRPr="002B376E">
        <w:t>scriptural phr</w:t>
      </w:r>
      <w:r w:rsidR="00102718">
        <w:t>aseology becomes more pervasive</w:t>
      </w:r>
      <w:r w:rsidR="002B376E" w:rsidRPr="002B376E">
        <w:t xml:space="preserve"> than </w:t>
      </w:r>
      <w:r w:rsidR="00102718">
        <w:t xml:space="preserve">it was </w:t>
      </w:r>
      <w:r w:rsidR="002B376E" w:rsidRPr="002B376E">
        <w:t xml:space="preserve">earlier (see </w:t>
      </w:r>
      <w:r w:rsidR="002B376E" w:rsidRPr="00396D1A">
        <w:rPr>
          <w:i/>
        </w:rPr>
        <w:t>Form</w:t>
      </w:r>
      <w:r w:rsidR="00102718">
        <w:t>). V 40 marks a</w:t>
      </w:r>
      <w:r w:rsidR="002B376E" w:rsidRPr="002B376E">
        <w:t xml:space="preserve"> transition from quasi-prediction based on historical facts to actual prediction based on </w:t>
      </w:r>
      <w:r w:rsidR="00B51680">
        <w:t>the s</w:t>
      </w:r>
      <w:r w:rsidR="002B376E" w:rsidRPr="002B376E">
        <w:t>cripture</w:t>
      </w:r>
      <w:r w:rsidR="00B51680">
        <w:t>s</w:t>
      </w:r>
      <w:r w:rsidR="002B376E" w:rsidRPr="002B376E">
        <w:t xml:space="preserve"> and o</w:t>
      </w:r>
      <w:r w:rsidR="00102718">
        <w:t>n the pattern of earlier events.</w:t>
      </w:r>
      <w:r w:rsidR="00794537">
        <w:rPr>
          <w:rStyle w:val="FootnoteReference"/>
        </w:rPr>
        <w:footnoteReference w:id="724"/>
      </w:r>
      <w:r w:rsidR="002B376E" w:rsidRPr="002B376E">
        <w:t xml:space="preserve"> </w:t>
      </w:r>
      <w:r w:rsidR="00102718">
        <w:t>The seer is “using history’s deep structures to predict the future.”</w:t>
      </w:r>
      <w:r w:rsidR="00102718">
        <w:rPr>
          <w:rStyle w:val="FootnoteReference"/>
        </w:rPr>
        <w:footnoteReference w:id="725"/>
      </w:r>
      <w:r w:rsidR="00102718">
        <w:t xml:space="preserve"> </w:t>
      </w:r>
      <w:r>
        <w:t>These verse</w:t>
      </w:r>
      <w:r w:rsidR="002B376E" w:rsidRPr="002B376E">
        <w:t>s, then, are</w:t>
      </w:r>
      <w:r w:rsidR="00102718">
        <w:t xml:space="preserve"> not predictions in the sense of </w:t>
      </w:r>
      <w:r>
        <w:t>simply</w:t>
      </w:r>
      <w:r w:rsidR="002B376E" w:rsidRPr="002B376E">
        <w:t xml:space="preserve"> anticipatory announcements of fixed future events</w:t>
      </w:r>
      <w:r w:rsidR="00102718">
        <w:t>.L</w:t>
      </w:r>
      <w:r w:rsidR="002B376E" w:rsidRPr="002B376E">
        <w:t xml:space="preserve">ike the promises and warnings of the prophets, they paint an imaginative scenario of the kind of issue that </w:t>
      </w:r>
      <w:r w:rsidR="00102718">
        <w:t xml:space="preserve">God will ensure will </w:t>
      </w:r>
      <w:r w:rsidR="002B376E" w:rsidRPr="002B376E">
        <w:t>come from</w:t>
      </w:r>
      <w:r>
        <w:t xml:space="preserve"> present events. T</w:t>
      </w:r>
      <w:r w:rsidR="002B376E" w:rsidRPr="002B376E">
        <w:t>heir portrayal does not correspond to actual eve</w:t>
      </w:r>
      <w:r>
        <w:t>nts in the 160s</w:t>
      </w:r>
      <w:r w:rsidR="00102718">
        <w:t>,</w:t>
      </w:r>
      <w:r>
        <w:t xml:space="preserve"> as </w:t>
      </w:r>
      <w:r w:rsidR="00EF2BBD">
        <w:t>Jesus’</w:t>
      </w:r>
      <w:r>
        <w:t xml:space="preserve"> coming</w:t>
      </w:r>
      <w:r w:rsidR="002B376E" w:rsidRPr="002B376E">
        <w:t xml:space="preserve"> does not correspond </w:t>
      </w:r>
      <w:r w:rsidR="00102718">
        <w:t xml:space="preserve">in a straightforward way </w:t>
      </w:r>
      <w:r w:rsidR="002B376E" w:rsidRPr="002B376E">
        <w:t>to other OT prophecies of future redemption (e.g., Isa 9:</w:t>
      </w:r>
      <w:r>
        <w:t>2-7 [1–6</w:t>
      </w:r>
      <w:r w:rsidR="002B376E" w:rsidRPr="002B376E">
        <w:t>]). It is not the nature of biblical prophecy to give a literal account of events before they take place.</w:t>
      </w:r>
      <w:r w:rsidR="00102718">
        <w:t xml:space="preserve"> </w:t>
      </w:r>
    </w:p>
    <w:p w:rsidR="002B376E" w:rsidRDefault="00396D1A" w:rsidP="002B376E">
      <w:r>
        <w:t xml:space="preserve">So </w:t>
      </w:r>
      <w:r w:rsidR="002B376E" w:rsidRPr="002B376E">
        <w:t xml:space="preserve">the seer imagines Antiochus’s deeds reaching even beyond anything we have already read. He attempts that ultimate victory over the Ptolemaic king which has been denied </w:t>
      </w:r>
      <w:r>
        <w:t xml:space="preserve">to </w:t>
      </w:r>
      <w:r w:rsidR="002B376E" w:rsidRPr="002B376E">
        <w:t xml:space="preserve">so many of his predecessors, and </w:t>
      </w:r>
      <w:r w:rsidR="00102718">
        <w:t>to break</w:t>
      </w:r>
      <w:r w:rsidR="002B376E" w:rsidRPr="002B376E">
        <w:t xml:space="preserve"> the shackles of the constraint</w:t>
      </w:r>
      <w:r w:rsidR="00102718">
        <w:t>s that</w:t>
      </w:r>
      <w:r w:rsidR="002B376E" w:rsidRPr="002B376E">
        <w:t xml:space="preserve"> north and south hav</w:t>
      </w:r>
      <w:r>
        <w:t>e exercised on each other (v 40</w:t>
      </w:r>
      <w:r w:rsidR="002B376E" w:rsidRPr="002B376E">
        <w:t>).</w:t>
      </w:r>
      <w:r>
        <w:rPr>
          <w:rStyle w:val="FootnoteReference"/>
        </w:rPr>
        <w:footnoteReference w:id="726"/>
      </w:r>
      <w:r w:rsidR="00102718">
        <w:t xml:space="preserve"> In doing so, he recapitulates</w:t>
      </w:r>
      <w:r w:rsidR="002B376E" w:rsidRPr="002B376E">
        <w:t xml:space="preserve"> Nebuchadnezzar’s invasion, once again sparing the old enemies who had taken advantage of Israel then (v 41; cf. Ezek 25). He goes on to fulfill the prophecies </w:t>
      </w:r>
      <w:r w:rsidR="002B376E" w:rsidRPr="002B376E">
        <w:lastRenderedPageBreak/>
        <w:t>that envisaged Nebuchadnezzar’s final defeat o</w:t>
      </w:r>
      <w:r w:rsidR="00102718">
        <w:t xml:space="preserve">f Egypt itself—hence the </w:t>
      </w:r>
      <w:r w:rsidR="002B376E" w:rsidRPr="002B376E">
        <w:t xml:space="preserve">naming of Egypt and other southern countries, as in those prophecies; the southern king is unmasked as old Egypt, the northern king as Israel’s ancient Mesopotamian foe from the north (vv 42–43). But the moment of triumph again heralds downfall, as so often in chap. 11. Disturbing reports alarm the northern king—another motif from Ezek 7. His victory heralds the last great battle of this supreme world power against shady foes beyond the orbit of the Mesopotamia-Egypt axis (v </w:t>
      </w:r>
      <w:r w:rsidR="00102718">
        <w:t>44). The</w:t>
      </w:r>
      <w:r w:rsidR="002B376E" w:rsidRPr="002B376E">
        <w:t xml:space="preserve"> final battle takes place, as it must, at the midpoint of that axis, at the center of the</w:t>
      </w:r>
      <w:r w:rsidR="0005020E">
        <w:t xml:space="preserve"> world, at the place where the s</w:t>
      </w:r>
      <w:r w:rsidR="002B376E" w:rsidRPr="002B376E">
        <w:t>criptures had therefore long expected the final conflict; it signifies the end of this apparently unass</w:t>
      </w:r>
      <w:r w:rsidR="00484EB0">
        <w:t>ailable earthly power (v 45). Antiochus</w:t>
      </w:r>
      <w:r w:rsidR="002B376E" w:rsidRPr="002B376E">
        <w:t xml:space="preserve"> schemes against an unsuspecting and vulnerable people </w:t>
      </w:r>
      <w:r w:rsidR="0005020E">
        <w:t>but finds himself God’s victim</w:t>
      </w:r>
      <w:r w:rsidR="002B376E" w:rsidRPr="002B376E">
        <w:t>.</w:t>
      </w:r>
      <w:r w:rsidR="0005020E">
        <w:rPr>
          <w:rStyle w:val="FootnoteReference"/>
        </w:rPr>
        <w:footnoteReference w:id="727"/>
      </w:r>
    </w:p>
    <w:p w:rsidR="002B376E" w:rsidRPr="002B376E" w:rsidRDefault="002B376E" w:rsidP="002B376E">
      <w:r w:rsidRPr="0005020E">
        <w:rPr>
          <w:b/>
        </w:rPr>
        <w:t>12:1</w:t>
      </w:r>
      <w:r w:rsidRPr="002B376E">
        <w:t xml:space="preserve"> </w:t>
      </w:r>
      <w:r w:rsidR="00102718" w:rsidRPr="00102718">
        <w:t xml:space="preserve">This </w:t>
      </w:r>
      <w:r w:rsidR="00102718">
        <w:t>form of “</w:t>
      </w:r>
      <w:r w:rsidR="00102718" w:rsidRPr="00102718">
        <w:t>prediction</w:t>
      </w:r>
      <w:r w:rsidR="00102718">
        <w:t>”</w:t>
      </w:r>
      <w:r w:rsidR="002D05B9">
        <w:t xml:space="preserve"> </w:t>
      </w:r>
      <w:r w:rsidR="00102718" w:rsidRPr="00102718">
        <w:t xml:space="preserve">continues into 12:1–3. </w:t>
      </w:r>
      <w:r w:rsidR="0005020E">
        <w:t xml:space="preserve">The phrase “at that time” </w:t>
      </w:r>
      <w:r w:rsidRPr="002B376E">
        <w:t xml:space="preserve">indicates </w:t>
      </w:r>
      <w:r w:rsidR="0005020E">
        <w:t xml:space="preserve">further </w:t>
      </w:r>
      <w:r w:rsidRPr="002B376E">
        <w:t xml:space="preserve">continuity with what precedes and excludes the idea </w:t>
      </w:r>
      <w:r w:rsidR="00102718">
        <w:t>that the prophecy</w:t>
      </w:r>
      <w:r w:rsidRPr="002B376E">
        <w:t xml:space="preserve"> is mov</w:t>
      </w:r>
      <w:r w:rsidR="009A0672">
        <w:t>ing to some far future moment. Indeed, t</w:t>
      </w:r>
      <w:r w:rsidR="0005020E">
        <w:t xml:space="preserve">he threefold “that time” </w:t>
      </w:r>
      <w:r w:rsidRPr="002B376E">
        <w:t>reinforces the impression that</w:t>
      </w:r>
      <w:r w:rsidR="0005020E">
        <w:t xml:space="preserve"> the whole verse is resumptive (as will</w:t>
      </w:r>
      <w:r w:rsidRPr="002B376E">
        <w:t xml:space="preserve"> the allusions to “the discerning” and “the multitude” in v 3</w:t>
      </w:r>
      <w:r w:rsidR="0005020E">
        <w:t>)</w:t>
      </w:r>
      <w:r w:rsidRPr="002B376E">
        <w:t>. The “time of trouble” is thus a resumptive summary reference to the troubles of 11:40–45, not a new event; it would in any case seem implausible to suggest that the seer writing from the midst of terrible suffering (11:21–39) offers people not only one (11:40–45) but a second further scenario of affliction. Like the descriptions beginn</w:t>
      </w:r>
      <w:r w:rsidR="0005020E">
        <w:t>ing in 11:25 and 11:36, this description</w:t>
      </w:r>
      <w:r w:rsidRPr="002B376E">
        <w:t xml:space="preserve"> also overlaps with the one that precedes it. Chap. 11 has made clear how the time of trouble is “such as has not occurred since they becam</w:t>
      </w:r>
      <w:r w:rsidR="002D05B9">
        <w:t>e a nation until that time,” in that</w:t>
      </w:r>
      <w:r w:rsidRPr="002B376E">
        <w:t xml:space="preserve"> Antiochus was seeking</w:t>
      </w:r>
      <w:r w:rsidR="002D05B9">
        <w:t xml:space="preserve"> to terminate the worship of the true God and to devastate</w:t>
      </w:r>
      <w:r w:rsidRPr="002B376E">
        <w:t xml:space="preserve"> his people.</w:t>
      </w:r>
    </w:p>
    <w:p w:rsidR="002D05B9" w:rsidRDefault="002D05B9" w:rsidP="002B376E">
      <w:r>
        <w:t>The reference to Michael and the</w:t>
      </w:r>
      <w:r w:rsidR="00102718" w:rsidRPr="00102718">
        <w:t xml:space="preserve"> description </w:t>
      </w:r>
      <w:r>
        <w:t xml:space="preserve">of him </w:t>
      </w:r>
      <w:r w:rsidR="00102718" w:rsidRPr="00102718">
        <w:t>take</w:t>
      </w:r>
      <w:r>
        <w:t>s</w:t>
      </w:r>
      <w:r w:rsidR="00102718" w:rsidRPr="00102718">
        <w:t xml:space="preserve"> up 10:13, 21 (see </w:t>
      </w:r>
      <w:r w:rsidR="00102718" w:rsidRPr="00102718">
        <w:rPr>
          <w:i/>
        </w:rPr>
        <w:t>Comment</w:t>
      </w:r>
      <w:r w:rsidR="009A0672">
        <w:t>), and the arising of Michael</w:t>
      </w:r>
      <w:r w:rsidR="0005020E">
        <w:t xml:space="preserve"> is the event underlying</w:t>
      </w:r>
      <w:r w:rsidR="002B376E" w:rsidRPr="002B376E">
        <w:t xml:space="preserve"> the defeat of the no</w:t>
      </w:r>
      <w:r w:rsidR="0005020E">
        <w:t xml:space="preserve">rthern king in 11:45. It is </w:t>
      </w:r>
      <w:r w:rsidR="002B376E" w:rsidRPr="002B376E">
        <w:t>the heave</w:t>
      </w:r>
      <w:r w:rsidR="0005020E">
        <w:t>nly side to that earthly event</w:t>
      </w:r>
      <w:r w:rsidR="002B376E" w:rsidRPr="002B376E">
        <w:t>.</w:t>
      </w:r>
      <w:r w:rsidR="0005020E">
        <w:rPr>
          <w:rStyle w:val="FootnoteReference"/>
        </w:rPr>
        <w:footnoteReference w:id="728"/>
      </w:r>
      <w:r w:rsidR="002B376E" w:rsidRPr="002B376E">
        <w:t xml:space="preserve"> Each nation has a representative in the heavenly court who fights its battles, lega</w:t>
      </w:r>
      <w:r w:rsidR="009A0672">
        <w:t>l and military, and</w:t>
      </w:r>
      <w:r w:rsidR="0005020E">
        <w:t xml:space="preserve"> Michael is </w:t>
      </w:r>
      <w:r w:rsidR="002B376E" w:rsidRPr="002B376E">
        <w:t>the one who “stands by those who belong to your people</w:t>
      </w:r>
      <w:r>
        <w:t>.” By “your people”</w:t>
      </w:r>
      <w:r w:rsidR="002B376E" w:rsidRPr="002B376E">
        <w:t xml:space="preserve"> he means Israel insofar as it resists the pressure of Antiochus and the reformists, who hardly now count </w:t>
      </w:r>
      <w:r w:rsidR="009A0672">
        <w:t>as Israel (cf. 11:32). Michael</w:t>
      </w:r>
      <w:r w:rsidR="002B376E" w:rsidRPr="002B376E">
        <w:t xml:space="preserve"> is “the supreme leader,” perhaps by implication the most powerful of those heavenly figures, as Israel is the most significant of the nations, the one wh</w:t>
      </w:r>
      <w:r>
        <w:t>ose destiny is guaranteed. So Michael</w:t>
      </w:r>
      <w:r w:rsidR="002B376E" w:rsidRPr="002B376E">
        <w:t xml:space="preserve"> </w:t>
      </w:r>
      <w:r>
        <w:t>will stand</w:t>
      </w:r>
      <w:r w:rsidR="002B376E" w:rsidRPr="002B376E">
        <w:t xml:space="preserve"> up in court, as in </w:t>
      </w:r>
      <w:r w:rsidR="002B376E" w:rsidRPr="0005020E">
        <w:rPr>
          <w:i/>
        </w:rPr>
        <w:t>T. Dan</w:t>
      </w:r>
      <w:r w:rsidR="0005020E">
        <w:t xml:space="preserve"> 6.2 and Jude 9</w:t>
      </w:r>
      <w:r w:rsidR="002B376E" w:rsidRPr="002B376E">
        <w:t>,</w:t>
      </w:r>
      <w:r w:rsidR="0005020E">
        <w:rPr>
          <w:rStyle w:val="FootnoteReference"/>
        </w:rPr>
        <w:footnoteReference w:id="729"/>
      </w:r>
      <w:r w:rsidR="002B376E" w:rsidRPr="002B376E">
        <w:t xml:space="preserve"> to fight for Israel, and his victory there over Antiochus’s heavenly representative means that </w:t>
      </w:r>
      <w:r w:rsidR="0005020E">
        <w:t xml:space="preserve">on earth </w:t>
      </w:r>
      <w:r w:rsidR="002B376E" w:rsidRPr="002B376E">
        <w:t>A</w:t>
      </w:r>
      <w:r w:rsidR="0005020E">
        <w:t>ntiochus is defeated</w:t>
      </w:r>
      <w:r w:rsidR="002B376E" w:rsidRPr="002B376E">
        <w:t xml:space="preserve"> and that “your people will escape.” </w:t>
      </w:r>
    </w:p>
    <w:p w:rsidR="002B376E" w:rsidRPr="002B376E" w:rsidRDefault="002B376E" w:rsidP="002B376E">
      <w:r w:rsidRPr="002B376E">
        <w:t xml:space="preserve">Michael will </w:t>
      </w:r>
      <w:r w:rsidR="002D05B9">
        <w:t xml:space="preserve">thus </w:t>
      </w:r>
      <w:r w:rsidRPr="002B376E">
        <w:t>take up their cause and point out that their names “can be found writte</w:t>
      </w:r>
      <w:r w:rsidR="009A0672">
        <w:t>n in the b</w:t>
      </w:r>
      <w:r w:rsidR="0005020E">
        <w:t>ook</w:t>
      </w:r>
      <w:r w:rsidR="009A0672">
        <w:t xml:space="preserve">.” The verse refers </w:t>
      </w:r>
      <w:r w:rsidR="0005020E">
        <w:t xml:space="preserve">not </w:t>
      </w:r>
      <w:r w:rsidR="009A0672">
        <w:t xml:space="preserve">to </w:t>
      </w:r>
      <w:r w:rsidR="0005020E">
        <w:t>the “trustworthy</w:t>
      </w:r>
      <w:r w:rsidRPr="002B376E">
        <w:t xml:space="preserve"> book” of 10:21, which included the future acts of the wicked as well as those of the people of God, nor </w:t>
      </w:r>
      <w:r w:rsidR="009A0672">
        <w:t xml:space="preserve">to </w:t>
      </w:r>
      <w:r w:rsidRPr="002B376E">
        <w:t>one of the “books” mentioned in 7:10, which recorded the pa</w:t>
      </w:r>
      <w:r w:rsidR="009A0672">
        <w:t>st basis for God’s judgment. It refers to</w:t>
      </w:r>
      <w:r w:rsidRPr="002B376E">
        <w:t xml:space="preserve"> a list of those who belong to God’s people, the cit</w:t>
      </w:r>
      <w:r w:rsidR="0005020E">
        <w:t>izen list of the true Jerusalem</w:t>
      </w:r>
      <w:r w:rsidRPr="002B376E">
        <w:t xml:space="preserve"> </w:t>
      </w:r>
      <w:r w:rsidR="0005020E">
        <w:t>(</w:t>
      </w:r>
      <w:r w:rsidRPr="002B376E">
        <w:t>cf. the lists referred to in Ezra 2; Neh 7</w:t>
      </w:r>
      <w:r w:rsidR="0005020E">
        <w:t>)</w:t>
      </w:r>
      <w:r w:rsidR="009A0672">
        <w:t>; t</w:t>
      </w:r>
      <w:r w:rsidRPr="002B376E">
        <w:t xml:space="preserve">his </w:t>
      </w:r>
      <w:r w:rsidR="0005020E">
        <w:t xml:space="preserve">book </w:t>
      </w:r>
      <w:r w:rsidR="009A0672">
        <w:t>has become</w:t>
      </w:r>
      <w:r w:rsidRPr="002B376E">
        <w:t xml:space="preserve"> a metaphor in Isa 4:3; Ezek 13:9; Ps 87:6, and a mythic motif in</w:t>
      </w:r>
      <w:r w:rsidR="0005020E">
        <w:t xml:space="preserve"> Exod 32:32; Isa 48:19; Ps 69:28 [29</w:t>
      </w:r>
      <w:r w:rsidRPr="002B376E">
        <w:t>]. Michael’s in</w:t>
      </w:r>
      <w:r w:rsidR="009A0672">
        <w:t>tervention establishes that these people</w:t>
      </w:r>
      <w:r w:rsidRPr="002B376E">
        <w:t xml:space="preserve"> belong to the people of God and have no business to be cast precipitous</w:t>
      </w:r>
      <w:r w:rsidR="009A0672">
        <w:t>ly into the realm of death. That</w:t>
      </w:r>
      <w:r w:rsidRPr="002B376E">
        <w:t xml:space="preserve"> </w:t>
      </w:r>
      <w:r w:rsidR="00C7638A">
        <w:t xml:space="preserve">promise </w:t>
      </w:r>
      <w:r w:rsidRPr="002B376E">
        <w:t xml:space="preserve">may mean they “escape” from the annihilation referred to in 11:44, avoiding death, unlike the martyrs of 11:33–35, or it may mean that they “escape” from the realm of death by breaking out from it, as v 2 will elaborate; for comparable usage of </w:t>
      </w:r>
      <w:r w:rsidRPr="002B376E">
        <w:rPr>
          <w:rFonts w:ascii="Arial" w:hAnsi="Arial" w:cs="Arial"/>
        </w:rPr>
        <w:t>מלט</w:t>
      </w:r>
      <w:r w:rsidRPr="002B376E">
        <w:t xml:space="preserve">, see Isa 49:24–25; Ps 116:3–4 (where </w:t>
      </w:r>
      <w:r w:rsidRPr="002B376E">
        <w:rPr>
          <w:rFonts w:ascii="Arial" w:hAnsi="Arial" w:cs="Arial"/>
        </w:rPr>
        <w:t>צרה</w:t>
      </w:r>
      <w:r w:rsidRPr="002B376E">
        <w:t xml:space="preserve"> “trouble” also occurs); 4Q </w:t>
      </w:r>
      <w:r w:rsidRPr="00C7638A">
        <w:rPr>
          <w:i/>
        </w:rPr>
        <w:t>Words of the Luminaries</w:t>
      </w:r>
      <w:r w:rsidRPr="002B376E">
        <w:t xml:space="preserve"> (which also refers to people whose names a</w:t>
      </w:r>
      <w:r w:rsidR="00C7638A">
        <w:t>re written in the book of life</w:t>
      </w:r>
      <w:r w:rsidR="009A0672">
        <w:t>)</w:t>
      </w:r>
      <w:r w:rsidRPr="002B376E">
        <w:t>.</w:t>
      </w:r>
      <w:r w:rsidR="00C7638A">
        <w:rPr>
          <w:rStyle w:val="FootnoteReference"/>
        </w:rPr>
        <w:footnoteReference w:id="730"/>
      </w:r>
    </w:p>
    <w:p w:rsidR="00883E93" w:rsidRPr="00883E93" w:rsidRDefault="002B376E" w:rsidP="00883E93">
      <w:r w:rsidRPr="00C7638A">
        <w:rPr>
          <w:b/>
        </w:rPr>
        <w:t>12:2</w:t>
      </w:r>
      <w:r w:rsidR="00C7638A">
        <w:t xml:space="preserve"> The meaning of </w:t>
      </w:r>
      <w:r w:rsidR="000D1837">
        <w:t>v</w:t>
      </w:r>
      <w:r w:rsidR="00C7638A">
        <w:t xml:space="preserve"> 2 needs to</w:t>
      </w:r>
      <w:r w:rsidRPr="002B376E">
        <w:t xml:space="preserve"> be approached via </w:t>
      </w:r>
      <w:r w:rsidR="00C7638A">
        <w:t xml:space="preserve">its context in </w:t>
      </w:r>
      <w:r w:rsidR="00AE6587">
        <w:t>Daniel</w:t>
      </w:r>
      <w:r w:rsidRPr="002B376E">
        <w:t>, not via the formulated</w:t>
      </w:r>
      <w:r w:rsidR="00EB606E">
        <w:t xml:space="preserve"> doctrine of resurrection </w:t>
      </w:r>
      <w:r w:rsidRPr="002B376E">
        <w:t xml:space="preserve">developed by groups such as the Pharisees and adopted by Christians. </w:t>
      </w:r>
      <w:r w:rsidR="00AE6587">
        <w:t xml:space="preserve">While in </w:t>
      </w:r>
      <w:r w:rsidR="00AE6587">
        <w:lastRenderedPageBreak/>
        <w:t>continuity</w:t>
      </w:r>
      <w:r w:rsidR="00AE6587" w:rsidRPr="00AE6587">
        <w:t xml:space="preserve"> with oth</w:t>
      </w:r>
      <w:r w:rsidR="00AE6587">
        <w:t xml:space="preserve">er notes in the OT, it is </w:t>
      </w:r>
      <w:r w:rsidR="00AE6587" w:rsidRPr="00AE6587">
        <w:t>“</w:t>
      </w:r>
      <w:r w:rsidR="00AE6587">
        <w:t>t</w:t>
      </w:r>
      <w:r w:rsidR="00AE6587" w:rsidRPr="00AE6587">
        <w:t>he first transparent and indisputable prediction of the resurrection of the dead in the Hebrew Bible.”</w:t>
      </w:r>
      <w:r w:rsidR="00AE6587" w:rsidRPr="00AE6587">
        <w:rPr>
          <w:vertAlign w:val="superscript"/>
        </w:rPr>
        <w:footnoteReference w:id="731"/>
      </w:r>
      <w:r w:rsidR="00AE6587">
        <w:t xml:space="preserve"> </w:t>
      </w:r>
      <w:r w:rsidR="00C52A87">
        <w:t>Its</w:t>
      </w:r>
      <w:r w:rsidR="00C52A87" w:rsidRPr="00C52A87">
        <w:t xml:space="preserve"> affirmation co</w:t>
      </w:r>
      <w:r w:rsidR="00C52A87">
        <w:t xml:space="preserve">ncerning resurrection </w:t>
      </w:r>
      <w:r w:rsidR="00C52A87" w:rsidRPr="00C52A87">
        <w:t xml:space="preserve">is one expression of a conviction expressed in other writings of the period, especially in </w:t>
      </w:r>
      <w:r w:rsidR="00C52A87" w:rsidRPr="00C52A87">
        <w:rPr>
          <w:i/>
        </w:rPr>
        <w:t xml:space="preserve">Enoch </w:t>
      </w:r>
      <w:r w:rsidR="00C52A87" w:rsidRPr="00C52A87">
        <w:t>and in Qumran writings.</w:t>
      </w:r>
      <w:r w:rsidR="00C52A87" w:rsidRPr="00C52A87">
        <w:rPr>
          <w:vertAlign w:val="superscript"/>
        </w:rPr>
        <w:footnoteReference w:id="732"/>
      </w:r>
      <w:r w:rsidR="00C52A87">
        <w:t xml:space="preserve"> </w:t>
      </w:r>
      <w:r w:rsidR="00C7638A">
        <w:t>It is not a piece of theological teaching but</w:t>
      </w:r>
      <w:r w:rsidRPr="002B376E">
        <w:t xml:space="preserve"> a vision</w:t>
      </w:r>
      <w:r w:rsidR="00C7638A">
        <w:t xml:space="preserve"> or a fli</w:t>
      </w:r>
      <w:r w:rsidR="00FC0B6D">
        <w:t>ght of the imagination, and</w:t>
      </w:r>
      <w:r w:rsidRPr="002B376E">
        <w:t xml:space="preserve"> not a “fully dev</w:t>
      </w:r>
      <w:r w:rsidR="00C7638A">
        <w:t>eloped” belief in resurrection</w:t>
      </w:r>
      <w:r w:rsidR="00FC0B6D">
        <w:t>; nor is</w:t>
      </w:r>
      <w:r w:rsidR="00FC0B6D" w:rsidRPr="00FC0B6D">
        <w:t xml:space="preserve"> an awakening of the dead of</w:t>
      </w:r>
      <w:r w:rsidR="00FC0B6D">
        <w:t xml:space="preserve"> nations other than Israel within its purview</w:t>
      </w:r>
      <w:r w:rsidR="00FC0B6D" w:rsidRPr="00FC0B6D">
        <w:t xml:space="preserve">. </w:t>
      </w:r>
      <w:r w:rsidR="00C7638A">
        <w:rPr>
          <w:rStyle w:val="FootnoteReference"/>
        </w:rPr>
        <w:footnoteReference w:id="733"/>
      </w:r>
      <w:r w:rsidRPr="002B376E">
        <w:t xml:space="preserve"> </w:t>
      </w:r>
      <w:r w:rsidR="00883E93" w:rsidRPr="00883E93">
        <w:t>“In an unprecedented developmental leap in Old Testament religion the persecuted body also becomes a means of subversion – in this instance undermining the dire result of persecution. Death itself is defied and with it any attempt by political powers at subverting people by means of the gravest bodily punishments.”</w:t>
      </w:r>
      <w:r w:rsidR="00883E93" w:rsidRPr="00883E93">
        <w:rPr>
          <w:vertAlign w:val="superscript"/>
        </w:rPr>
        <w:footnoteReference w:id="734"/>
      </w:r>
    </w:p>
    <w:p w:rsidR="00CB522C" w:rsidRDefault="002B376E" w:rsidP="00CB522C">
      <w:r w:rsidRPr="002B376E">
        <w:t>The seer continues to port</w:t>
      </w:r>
      <w:r w:rsidR="00B51680">
        <w:t>ray the future on the basis of the s</w:t>
      </w:r>
      <w:r w:rsidRPr="002B376E">
        <w:t>cripture</w:t>
      </w:r>
      <w:r w:rsidR="00B51680">
        <w:t>s</w:t>
      </w:r>
      <w:r w:rsidRPr="002B376E">
        <w:t xml:space="preserve">, especially Isaiah (see </w:t>
      </w:r>
      <w:r w:rsidRPr="00C7638A">
        <w:rPr>
          <w:i/>
        </w:rPr>
        <w:t>Form</w:t>
      </w:r>
      <w:r w:rsidRPr="002B376E">
        <w:t xml:space="preserve">); </w:t>
      </w:r>
      <w:r w:rsidR="00C7638A">
        <w:t>his imaginat</w:t>
      </w:r>
      <w:r w:rsidR="00FC0B6D">
        <w:t>ive portrayal need not be</w:t>
      </w:r>
      <w:r w:rsidR="00C7638A">
        <w:t xml:space="preserve"> </w:t>
      </w:r>
      <w:r w:rsidR="000E5135">
        <w:t>a</w:t>
      </w:r>
      <w:r w:rsidR="00FC0B6D">
        <w:t xml:space="preserve"> literal prediction. I</w:t>
      </w:r>
      <w:r w:rsidRPr="002B376E">
        <w:t>ts message connects with the historical events related in its literary context in 11:21–12:3.</w:t>
      </w:r>
      <w:r w:rsidR="00380115">
        <w:rPr>
          <w:rStyle w:val="FootnoteReference"/>
        </w:rPr>
        <w:footnoteReference w:id="735"/>
      </w:r>
      <w:r w:rsidRPr="002B376E">
        <w:t xml:space="preserve"> </w:t>
      </w:r>
      <w:r w:rsidR="00CA0150">
        <w:t>I</w:t>
      </w:r>
      <w:r w:rsidR="00FC0B6D">
        <w:t>t</w:t>
      </w:r>
      <w:r w:rsidRPr="002B376E">
        <w:t xml:space="preserve"> </w:t>
      </w:r>
      <w:r w:rsidR="00CA0150">
        <w:t xml:space="preserve">is not </w:t>
      </w:r>
      <w:r w:rsidRPr="002B376E">
        <w:t>concern</w:t>
      </w:r>
      <w:r w:rsidR="00FC0B6D">
        <w:t>ed with</w:t>
      </w:r>
      <w:r w:rsidRPr="002B376E">
        <w:t xml:space="preserve"> the eschatological restoration of the covenant people</w:t>
      </w:r>
      <w:r w:rsidR="00EA4AAB">
        <w:t>,</w:t>
      </w:r>
      <w:r w:rsidR="00EA4AAB">
        <w:rPr>
          <w:rStyle w:val="FootnoteReference"/>
        </w:rPr>
        <w:footnoteReference w:id="736"/>
      </w:r>
      <w:r w:rsidRPr="002B376E">
        <w:t xml:space="preserve"> if</w:t>
      </w:r>
      <w:r w:rsidR="00EA4AAB">
        <w:t xml:space="preserve"> this </w:t>
      </w:r>
      <w:r w:rsidR="00CA0150">
        <w:t xml:space="preserve">understanding </w:t>
      </w:r>
      <w:r w:rsidR="00EA4AAB">
        <w:t xml:space="preserve">implies a future </w:t>
      </w:r>
      <w:r w:rsidR="00883E93">
        <w:t xml:space="preserve">that is </w:t>
      </w:r>
      <w:r w:rsidR="00EA4AAB">
        <w:t>distanced</w:t>
      </w:r>
      <w:r w:rsidRPr="002B376E">
        <w:t xml:space="preserve"> from a present context. </w:t>
      </w:r>
      <w:r w:rsidR="00CA0150">
        <w:t>It does not reflect the</w:t>
      </w:r>
      <w:r w:rsidR="00CA0150" w:rsidRPr="00CA0150">
        <w:t xml:space="preserve"> seer’s withdrawal from history with </w:t>
      </w:r>
      <w:r w:rsidR="00CA0150">
        <w:t>its constraints, on the basis of a suspicion</w:t>
      </w:r>
      <w:r w:rsidR="00CA0150" w:rsidRPr="00CA0150">
        <w:t xml:space="preserve"> tha</w:t>
      </w:r>
      <w:r w:rsidR="00EB606E">
        <w:t>t Yahweh is not now</w:t>
      </w:r>
      <w:r w:rsidR="00CA0150" w:rsidRPr="00CA0150">
        <w:t xml:space="preserve"> act</w:t>
      </w:r>
      <w:r w:rsidR="00CA0150">
        <w:t>ing in history—an</w:t>
      </w:r>
      <w:r w:rsidR="00883E93">
        <w:t xml:space="preserve"> idea which can be thought characteristic of</w:t>
      </w:r>
      <w:r w:rsidR="00CA0150" w:rsidRPr="00CA0150">
        <w:t xml:space="preserve"> apocalyptic thinking. </w:t>
      </w:r>
      <w:r w:rsidR="00CA0150">
        <w:t>I</w:t>
      </w:r>
      <w:r w:rsidRPr="002B376E">
        <w:t xml:space="preserve">t </w:t>
      </w:r>
      <w:r w:rsidR="00CA0150">
        <w:t xml:space="preserve">is not </w:t>
      </w:r>
      <w:r w:rsidRPr="002B376E">
        <w:t>concerned with “the transcendence of death” in itself; if this is the distinguishing m</w:t>
      </w:r>
      <w:r w:rsidR="00EA4AAB">
        <w:t>ark of apocalyptic eschatology</w:t>
      </w:r>
      <w:r w:rsidRPr="002B376E">
        <w:t>,</w:t>
      </w:r>
      <w:r w:rsidR="00EA4AAB">
        <w:rPr>
          <w:rStyle w:val="FootnoteReference"/>
        </w:rPr>
        <w:footnoteReference w:id="737"/>
      </w:r>
      <w:r w:rsidR="00CA0150">
        <w:t xml:space="preserve"> then Daniel fails this test, even here, </w:t>
      </w:r>
      <w:r w:rsidRPr="002B376E">
        <w:t xml:space="preserve">as it fails others. </w:t>
      </w:r>
      <w:r w:rsidR="00C52A87">
        <w:t>This resurrection promise</w:t>
      </w:r>
      <w:r w:rsidR="00BF6D08">
        <w:t xml:space="preserve"> </w:t>
      </w:r>
      <w:r w:rsidR="00C52A87">
        <w:t xml:space="preserve">by </w:t>
      </w:r>
      <w:r w:rsidR="00FC0B6D">
        <w:t xml:space="preserve">God </w:t>
      </w:r>
      <w:r w:rsidR="00CA0150">
        <w:t>is historically contextual</w:t>
      </w:r>
      <w:r w:rsidR="00C52A87">
        <w:t>, like his promise in Ezek 37</w:t>
      </w:r>
      <w:r w:rsidR="00BF6D08">
        <w:t xml:space="preserve"> which in its context does promise the revival of the covenant people</w:t>
      </w:r>
      <w:r w:rsidR="00EB606E">
        <w:t xml:space="preserve">. Daniel is </w:t>
      </w:r>
      <w:r w:rsidR="00BF6D08">
        <w:t>less explicitly contextual</w:t>
      </w:r>
      <w:r w:rsidR="00EA4AAB">
        <w:t xml:space="preserve">, </w:t>
      </w:r>
      <w:r w:rsidR="00EB606E">
        <w:t>though</w:t>
      </w:r>
      <w:r w:rsidRPr="002B376E">
        <w:t xml:space="preserve"> more </w:t>
      </w:r>
      <w:r w:rsidR="00BF6D08">
        <w:t xml:space="preserve">clearly </w:t>
      </w:r>
      <w:r w:rsidRPr="002B376E">
        <w:t xml:space="preserve">so than </w:t>
      </w:r>
      <w:r w:rsidR="00B13603">
        <w:t>the p</w:t>
      </w:r>
      <w:r w:rsidR="00C52A87">
        <w:t xml:space="preserve">rophecy in </w:t>
      </w:r>
      <w:r w:rsidRPr="002B376E">
        <w:t>Ezek 38–39.</w:t>
      </w:r>
      <w:r w:rsidR="00EA4AAB">
        <w:rPr>
          <w:rStyle w:val="FootnoteReference"/>
        </w:rPr>
        <w:footnoteReference w:id="738"/>
      </w:r>
      <w:r w:rsidR="00E75705">
        <w:t xml:space="preserve"> </w:t>
      </w:r>
      <w:r w:rsidR="00EF3F64">
        <w:t>And anyway, “it is not clear that the deaths of the faithful,” the problem that resurrection solves, “are the driving concern that motivates the final revelation” (in Dan 10—12 as a whole).</w:t>
      </w:r>
      <w:r w:rsidR="00EF3F64">
        <w:rPr>
          <w:rStyle w:val="FootnoteReference"/>
        </w:rPr>
        <w:footnoteReference w:id="739"/>
      </w:r>
    </w:p>
    <w:p w:rsidR="002B376E" w:rsidRPr="002B376E" w:rsidRDefault="002B376E" w:rsidP="00B13603">
      <w:r w:rsidRPr="002B376E">
        <w:t>The OT’s standard way of envisaging dyi</w:t>
      </w:r>
      <w:r w:rsidR="00883E93">
        <w:t>ng then</w:t>
      </w:r>
      <w:r w:rsidR="00BF241A">
        <w:t xml:space="preserve"> coming bac</w:t>
      </w:r>
      <w:r w:rsidR="00883E93">
        <w:t>k to life speaks of lying down to sleep</w:t>
      </w:r>
      <w:r w:rsidRPr="002B376E">
        <w:t xml:space="preserve"> then of waking and getting up. </w:t>
      </w:r>
      <w:r w:rsidR="00AE6587">
        <w:t>Dying</w:t>
      </w:r>
      <w:r w:rsidRPr="002B376E">
        <w:t xml:space="preserve"> </w:t>
      </w:r>
      <w:r w:rsidR="00AE6587">
        <w:t>is an extreme form of going to sleep</w:t>
      </w:r>
      <w:r w:rsidRPr="002B376E">
        <w:t>, which thus provides the metaphor for it (2 Kgs 4:31; 13:21; Isa 26:19; Jer 5</w:t>
      </w:r>
      <w:r w:rsidR="00AE6587">
        <w:t xml:space="preserve">1:39, 57; Job 14:12). It </w:t>
      </w:r>
      <w:r w:rsidRPr="002B376E">
        <w:t>means lying down with one’s an</w:t>
      </w:r>
      <w:r w:rsidR="00BF241A">
        <w:t>cestors in the family tomb, which has</w:t>
      </w:r>
      <w:r w:rsidRPr="002B376E">
        <w:t xml:space="preserve"> </w:t>
      </w:r>
      <w:r w:rsidR="00AE6587">
        <w:t xml:space="preserve">Sheol as </w:t>
      </w:r>
      <w:r w:rsidRPr="002B376E">
        <w:t>i</w:t>
      </w:r>
      <w:r w:rsidR="00AE6587">
        <w:t>ts nonmaterial equivalent</w:t>
      </w:r>
      <w:r w:rsidRPr="002B376E">
        <w:t>; so coming back to life would mean leaving such a “land of earth” (cf. also Pss 49; 73). The image presupposes a restoring to life of the whole person with its spiritual and material aspects.</w:t>
      </w:r>
    </w:p>
    <w:p w:rsidR="002B376E" w:rsidRPr="002B376E" w:rsidRDefault="00883E93" w:rsidP="002B376E">
      <w:r>
        <w:t xml:space="preserve">What does the image of renewing </w:t>
      </w:r>
      <w:r w:rsidR="002B376E" w:rsidRPr="002B376E">
        <w:t xml:space="preserve">earthly life refer to? </w:t>
      </w:r>
      <w:r w:rsidR="00BF6D08">
        <w:t xml:space="preserve">People are to be revived to “lasting life” in a way that makes for a contrast with the destiny of “others” </w:t>
      </w:r>
      <w:r w:rsidR="00BF241A">
        <w:t xml:space="preserve">whose destiny is </w:t>
      </w:r>
      <w:r w:rsidR="002B376E" w:rsidRPr="002B376E">
        <w:t>“utter shame” and “lasting abhorrence</w:t>
      </w:r>
      <w:r w:rsidR="00BF6D08">
        <w:t>.</w:t>
      </w:r>
      <w:r w:rsidR="002B376E" w:rsidRPr="002B376E">
        <w:t xml:space="preserve">” </w:t>
      </w:r>
      <w:r w:rsidR="00BF6D08">
        <w:t>These others will be</w:t>
      </w:r>
      <w:r w:rsidR="002B376E" w:rsidRPr="002B376E">
        <w:t xml:space="preserve"> the apostate, the persecuto</w:t>
      </w:r>
      <w:r w:rsidR="00BF6D08">
        <w:t>rs, and the blasphemers of 11:29</w:t>
      </w:r>
      <w:r w:rsidR="002B376E" w:rsidRPr="002B376E">
        <w:t>–</w:t>
      </w:r>
      <w:r w:rsidR="00BF241A">
        <w:t>45. The promise of vv 1–2</w:t>
      </w:r>
      <w:r w:rsidR="002B376E" w:rsidRPr="002B376E">
        <w:t xml:space="preserve"> corresponds to motifs from the Psalms (e.g., 6;</w:t>
      </w:r>
      <w:r w:rsidR="00BF241A">
        <w:t xml:space="preserve"> 69; 79). There supplicants </w:t>
      </w:r>
      <w:r>
        <w:t>pray for their</w:t>
      </w:r>
      <w:r w:rsidR="002B376E" w:rsidRPr="002B376E">
        <w:t xml:space="preserve"> vindication and </w:t>
      </w:r>
      <w:r w:rsidR="00BF241A">
        <w:t xml:space="preserve">for </w:t>
      </w:r>
      <w:r w:rsidR="002B376E" w:rsidRPr="002B376E">
        <w:t xml:space="preserve">rescue from the realm of death, and </w:t>
      </w:r>
      <w:r w:rsidR="00BF241A">
        <w:t xml:space="preserve">also </w:t>
      </w:r>
      <w:r w:rsidR="002B376E" w:rsidRPr="002B376E">
        <w:t>for the exposure a</w:t>
      </w:r>
      <w:r w:rsidR="00BF241A">
        <w:t>nd punishment of their attackers</w:t>
      </w:r>
      <w:r>
        <w:t>, and t</w:t>
      </w:r>
      <w:r w:rsidR="002B376E" w:rsidRPr="002B376E">
        <w:t xml:space="preserve">he </w:t>
      </w:r>
      <w:r>
        <w:t xml:space="preserve">desired </w:t>
      </w:r>
      <w:r w:rsidR="002B376E" w:rsidRPr="002B376E">
        <w:t>response to such a do</w:t>
      </w:r>
      <w:r w:rsidR="00BF6D08">
        <w:t>ub</w:t>
      </w:r>
      <w:r>
        <w:t>le prayer is a double promise. S</w:t>
      </w:r>
      <w:r w:rsidR="002B376E" w:rsidRPr="002B376E">
        <w:t>o here the seer promises renewal of lif</w:t>
      </w:r>
      <w:r w:rsidR="00BF6D08">
        <w:t>e and the exposure of the faithless</w:t>
      </w:r>
      <w:r w:rsidR="002B376E" w:rsidRPr="002B376E">
        <w:t xml:space="preserve">. </w:t>
      </w:r>
      <w:r w:rsidR="00BF6D08">
        <w:t xml:space="preserve">Although the promise does not focus on </w:t>
      </w:r>
      <w:r w:rsidR="00BF6D08">
        <w:lastRenderedPageBreak/>
        <w:t>the community in the man</w:t>
      </w:r>
      <w:r>
        <w:t>ner of Ezek 37</w:t>
      </w:r>
      <w:r w:rsidR="00BF6D08">
        <w:t>, t</w:t>
      </w:r>
      <w:r w:rsidR="002B376E" w:rsidRPr="002B376E">
        <w:t xml:space="preserve">here is both a community and an individual aspect to this awakening, as </w:t>
      </w:r>
      <w:r w:rsidR="00E41A00">
        <w:t xml:space="preserve">there is </w:t>
      </w:r>
      <w:r w:rsidR="002B376E" w:rsidRPr="002B376E">
        <w:t xml:space="preserve">in the Psalms. Part of the sufferers’ affliction is that </w:t>
      </w:r>
      <w:r w:rsidR="00E41A00">
        <w:t>i</w:t>
      </w:r>
      <w:r w:rsidR="002B376E" w:rsidRPr="002B376E">
        <w:t>t deprives them of a place in the people of God</w:t>
      </w:r>
      <w:r w:rsidR="00E41A00">
        <w:t>, one way or another. T</w:t>
      </w:r>
      <w:r w:rsidR="002B376E" w:rsidRPr="002B376E">
        <w:t>heir awakening restores them to that</w:t>
      </w:r>
      <w:r w:rsidR="00BF241A">
        <w:t xml:space="preserve"> place</w:t>
      </w:r>
      <w:r w:rsidR="00E41A00">
        <w:t>;</w:t>
      </w:r>
      <w:r w:rsidR="002B376E" w:rsidRPr="002B376E">
        <w:t xml:space="preserve"> Dan 12 promises the awakening of people individually, but with a view to their sh</w:t>
      </w:r>
      <w:r w:rsidR="00BF241A">
        <w:t>aring a corporate destiny</w:t>
      </w:r>
      <w:r w:rsidR="002B376E" w:rsidRPr="002B376E">
        <w:t>.</w:t>
      </w:r>
      <w:r w:rsidR="00BF241A">
        <w:rPr>
          <w:rStyle w:val="FootnoteReference"/>
        </w:rPr>
        <w:footnoteReference w:id="740"/>
      </w:r>
      <w:r w:rsidR="00BF241A">
        <w:t xml:space="preserve"> It is an expression of the </w:t>
      </w:r>
      <w:r w:rsidR="002B376E" w:rsidRPr="002B376E">
        <w:t>movement “From Dust to Kingship”</w:t>
      </w:r>
      <w:r w:rsidR="00BF241A">
        <w:rPr>
          <w:rStyle w:val="FootnoteReference"/>
        </w:rPr>
        <w:footnoteReference w:id="741"/>
      </w:r>
      <w:r w:rsidR="00E41A00">
        <w:t xml:space="preserve"> envisaged</w:t>
      </w:r>
      <w:r w:rsidR="002B376E" w:rsidRPr="002B376E">
        <w:t xml:space="preserve"> in passages such as 1 Sam </w:t>
      </w:r>
      <w:r w:rsidR="00BF241A">
        <w:t>2:6–8; 1 Kgs 16:2; Ps 22:15 [16]; 44:25 [26</w:t>
      </w:r>
      <w:r w:rsidR="002B376E" w:rsidRPr="002B376E">
        <w:t>]; 113:7,</w:t>
      </w:r>
      <w:r w:rsidR="00BF241A">
        <w:t xml:space="preserve"> that great reversal </w:t>
      </w:r>
      <w:r w:rsidR="002B376E" w:rsidRPr="002B376E">
        <w:t>when the powerful are put down and the nobodies are given power.</w:t>
      </w:r>
    </w:p>
    <w:p w:rsidR="00E41A00" w:rsidRDefault="00BF241A" w:rsidP="002B376E">
      <w:r>
        <w:t xml:space="preserve">Like </w:t>
      </w:r>
      <w:r w:rsidR="00E41A00">
        <w:t xml:space="preserve">the </w:t>
      </w:r>
      <w:r w:rsidR="002B376E" w:rsidRPr="002B376E">
        <w:t>awakenin</w:t>
      </w:r>
      <w:r>
        <w:t xml:space="preserve">g to renewed life, </w:t>
      </w:r>
      <w:r w:rsidR="002B376E" w:rsidRPr="002B376E">
        <w:t>the exposure of the wicked has a this-worldly con</w:t>
      </w:r>
      <w:r>
        <w:t>notation. It</w:t>
      </w:r>
      <w:r w:rsidR="002B376E" w:rsidRPr="002B376E">
        <w:t xml:space="preserve"> was so in Isa 66:24, which v 2 takes up:</w:t>
      </w:r>
      <w:r w:rsidR="00945C8C">
        <w:t xml:space="preserve"> </w:t>
      </w:r>
      <w:r w:rsidR="002B376E" w:rsidRPr="002B376E">
        <w:t xml:space="preserve">its picture of people in Jerusalem looking at the corpses of the wicked decomposing in the Valley of Hinnom suggests a metaphor for a feature even of the new Jerusalem. </w:t>
      </w:r>
      <w:r w:rsidR="00E41A00" w:rsidRPr="00E41A00">
        <w:t>“Everything suggests that Daniel’s use of the [Jewish resurrection] imagery shows dependence on the book of Isaiah.”</w:t>
      </w:r>
      <w:r w:rsidR="00E41A00" w:rsidRPr="00E41A00">
        <w:rPr>
          <w:vertAlign w:val="superscript"/>
        </w:rPr>
        <w:footnoteReference w:id="742"/>
      </w:r>
      <w:r w:rsidR="00E41A00">
        <w:t xml:space="preserve"> </w:t>
      </w:r>
      <w:r w:rsidR="002B376E" w:rsidRPr="002B376E">
        <w:t>Vindication and exposure after this life cannot be literally described, as vindication and exposure in this life such as the Psalms seek can be, so the latter becomes a metaphor for the former.</w:t>
      </w:r>
      <w:r w:rsidR="006F6415">
        <w:t xml:space="preserve"> </w:t>
      </w:r>
      <w:r w:rsidR="002B376E" w:rsidRPr="002B376E">
        <w:t>The reference to the exposure of the wicked brin</w:t>
      </w:r>
      <w:r w:rsidR="00A8629B">
        <w:t>gs out how vv 1–3 as a whole is</w:t>
      </w:r>
      <w:r w:rsidR="002B376E" w:rsidRPr="002B376E">
        <w:t xml:space="preserve"> concerned with restoration to life not </w:t>
      </w:r>
      <w:r w:rsidR="00E41A00">
        <w:t xml:space="preserve">simply </w:t>
      </w:r>
      <w:r w:rsidR="002B376E" w:rsidRPr="002B376E">
        <w:t>for its own sake</w:t>
      </w:r>
      <w:r w:rsidR="00852798">
        <w:t>,</w:t>
      </w:r>
      <w:r w:rsidR="002B376E" w:rsidRPr="002B376E">
        <w:t xml:space="preserve"> </w:t>
      </w:r>
      <w:r>
        <w:t>n</w:t>
      </w:r>
      <w:r w:rsidR="002B376E" w:rsidRPr="002B376E">
        <w:t>or for the sake of communion with God, but as part o</w:t>
      </w:r>
      <w:r>
        <w:t>f and as a means to vindication.</w:t>
      </w:r>
      <w:r>
        <w:rPr>
          <w:rStyle w:val="FootnoteReference"/>
        </w:rPr>
        <w:footnoteReference w:id="743"/>
      </w:r>
      <w:r w:rsidR="002B376E" w:rsidRPr="002B376E">
        <w:t xml:space="preserve"> </w:t>
      </w:r>
    </w:p>
    <w:p w:rsidR="002B376E" w:rsidRPr="002B376E" w:rsidRDefault="0042752E" w:rsidP="002B376E">
      <w:r>
        <w:t xml:space="preserve">Might </w:t>
      </w:r>
      <w:r w:rsidR="00BE4C5E">
        <w:t xml:space="preserve">this consideration </w:t>
      </w:r>
      <w:r w:rsidR="00883E93">
        <w:t>underlie the promise that</w:t>
      </w:r>
      <w:r>
        <w:t xml:space="preserve"> </w:t>
      </w:r>
      <w:r w:rsidR="00E41A00">
        <w:t>“</w:t>
      </w:r>
      <w:r w:rsidR="00852798">
        <w:t>many</w:t>
      </w:r>
      <w:r w:rsidR="00E41A00">
        <w:t>”</w:t>
      </w:r>
      <w:r w:rsidR="002B376E" w:rsidRPr="002B376E">
        <w:t xml:space="preserve"> not all</w:t>
      </w:r>
      <w:r w:rsidR="00883E93">
        <w:t xml:space="preserve"> will awaken, so that </w:t>
      </w:r>
      <w:r>
        <w:t xml:space="preserve">the </w:t>
      </w:r>
      <w:r w:rsidR="00852798">
        <w:t xml:space="preserve">faithful </w:t>
      </w:r>
      <w:r w:rsidR="002B376E" w:rsidRPr="002B376E">
        <w:t>who lost their l</w:t>
      </w:r>
      <w:r w:rsidR="00E41A00">
        <w:t>ives awake for vindication and</w:t>
      </w:r>
      <w:r w:rsidR="00852798">
        <w:t xml:space="preserve"> th</w:t>
      </w:r>
      <w:r w:rsidR="002B376E" w:rsidRPr="002B376E">
        <w:t xml:space="preserve">e </w:t>
      </w:r>
      <w:r w:rsidR="00852798">
        <w:t>faithless</w:t>
      </w:r>
      <w:r w:rsidR="00E41A00">
        <w:t xml:space="preserve"> </w:t>
      </w:r>
      <w:r w:rsidR="00883E93">
        <w:t xml:space="preserve">awake </w:t>
      </w:r>
      <w:r w:rsidR="00E41A00">
        <w:t xml:space="preserve">for condemnation, </w:t>
      </w:r>
      <w:r>
        <w:t xml:space="preserve">while </w:t>
      </w:r>
      <w:r w:rsidR="002B376E" w:rsidRPr="002B376E">
        <w:t>the regular ma</w:t>
      </w:r>
      <w:r w:rsidR="00E41A00">
        <w:t>ss of faithful Israel</w:t>
      </w:r>
      <w:r w:rsidR="002B376E" w:rsidRPr="002B376E">
        <w:t xml:space="preserve"> re</w:t>
      </w:r>
      <w:r w:rsidR="00E41A00">
        <w:t>main</w:t>
      </w:r>
      <w:r>
        <w:t xml:space="preserve"> in Sheol?</w:t>
      </w:r>
      <w:r w:rsidR="00F3262F">
        <w:rPr>
          <w:rStyle w:val="FootnoteReference"/>
        </w:rPr>
        <w:footnoteReference w:id="744"/>
      </w:r>
      <w:r w:rsidR="00A8629B">
        <w:t xml:space="preserve"> </w:t>
      </w:r>
      <w:r>
        <w:t>But “many” more likely contrasts with “few” rather than with “all,” and more likely the groups raised ar</w:t>
      </w:r>
      <w:r w:rsidR="00A8629B">
        <w:t>e</w:t>
      </w:r>
      <w:r w:rsidR="002B376E" w:rsidRPr="002B376E">
        <w:t xml:space="preserve"> the faithful in general</w:t>
      </w:r>
      <w:r w:rsidR="00A8629B">
        <w:t xml:space="preserve"> and the unpunished wicked, with</w:t>
      </w:r>
      <w:r w:rsidR="002B376E" w:rsidRPr="002B376E">
        <w:t xml:space="preserve"> the already puni</w:t>
      </w:r>
      <w:r w:rsidR="00A8629B">
        <w:t>shed wicked remaining in Sheol</w:t>
      </w:r>
      <w:r>
        <w:t>.</w:t>
      </w:r>
      <w:r w:rsidR="00A8629B">
        <w:rPr>
          <w:rStyle w:val="FootnoteReference"/>
        </w:rPr>
        <w:footnoteReference w:id="745"/>
      </w:r>
      <w:r>
        <w:t xml:space="preserve"> But </w:t>
      </w:r>
      <w:r w:rsidR="002B376E" w:rsidRPr="002B376E">
        <w:t>the passage i</w:t>
      </w:r>
      <w:r>
        <w:t>s handling a specific problem and t</w:t>
      </w:r>
      <w:r w:rsidR="002B376E" w:rsidRPr="002B376E">
        <w:t>he threefold division suggested by the metaphor must not be p</w:t>
      </w:r>
      <w:r>
        <w:t>ressed to yield a technically precise</w:t>
      </w:r>
      <w:r w:rsidR="002B376E" w:rsidRPr="002B376E">
        <w:t xml:space="preserve"> doctrine of the afterlife.</w:t>
      </w:r>
    </w:p>
    <w:p w:rsidR="002B376E" w:rsidRPr="002B376E" w:rsidRDefault="002B376E" w:rsidP="002B376E">
      <w:r w:rsidRPr="00852798">
        <w:rPr>
          <w:b/>
        </w:rPr>
        <w:t>12:3</w:t>
      </w:r>
      <w:r w:rsidRPr="002B376E">
        <w:t xml:space="preserve"> “The discerning” wh</w:t>
      </w:r>
      <w:r w:rsidR="00A8629B">
        <w:t xml:space="preserve">o “set the multitude right” have </w:t>
      </w:r>
      <w:r w:rsidRPr="002B376E">
        <w:t>had their teaching</w:t>
      </w:r>
      <w:r w:rsidR="00A8629B">
        <w:t xml:space="preserve"> despised, and some of them have </w:t>
      </w:r>
      <w:r w:rsidRPr="002B376E">
        <w:t>lost th</w:t>
      </w:r>
      <w:r w:rsidR="00A8629B">
        <w:t>eir lives. Their position</w:t>
      </w:r>
      <w:r w:rsidR="0042752E">
        <w:t xml:space="preserve"> will </w:t>
      </w:r>
      <w:r w:rsidRPr="002B376E">
        <w:t xml:space="preserve">be reversed, not merely by </w:t>
      </w:r>
      <w:r w:rsidR="0042752E">
        <w:t>their being restored</w:t>
      </w:r>
      <w:r w:rsidRPr="002B376E">
        <w:t xml:space="preserve"> to life, but by </w:t>
      </w:r>
      <w:r w:rsidR="00883E93">
        <w:t xml:space="preserve">their being given </w:t>
      </w:r>
      <w:r w:rsidR="0042752E">
        <w:t xml:space="preserve">a position of </w:t>
      </w:r>
      <w:r w:rsidRPr="002B376E">
        <w:t>pre-</w:t>
      </w:r>
      <w:r w:rsidR="00A8629B">
        <w:t xml:space="preserve">eminent honor. </w:t>
      </w:r>
      <w:r w:rsidR="0042752E">
        <w:t>Onc</w:t>
      </w:r>
      <w:r w:rsidR="00883E93">
        <w:t>e</w:t>
      </w:r>
      <w:r w:rsidR="0042752E">
        <w:t xml:space="preserve"> again, i</w:t>
      </w:r>
      <w:r w:rsidR="00A8629B" w:rsidRPr="00A8629B">
        <w:t>t is difficult to tell how literal and how metaphoric</w:t>
      </w:r>
      <w:r w:rsidR="00750482">
        <w:t>al is the description of their destiny</w:t>
      </w:r>
      <w:r w:rsidR="00A8629B" w:rsidRPr="00A8629B">
        <w:t xml:space="preserve">. </w:t>
      </w:r>
      <w:r w:rsidR="00A8629B">
        <w:t xml:space="preserve">The stars can </w:t>
      </w:r>
      <w:r w:rsidR="0042752E">
        <w:t>represent celestial beings</w:t>
      </w:r>
      <w:r w:rsidRPr="002B376E">
        <w:t xml:space="preserve"> </w:t>
      </w:r>
      <w:r w:rsidR="0042752E">
        <w:t>(</w:t>
      </w:r>
      <w:r w:rsidRPr="002B376E">
        <w:t xml:space="preserve">cf. 8:10; also Judg 5:20; Job 38:7; </w:t>
      </w:r>
      <w:r w:rsidRPr="00A8629B">
        <w:rPr>
          <w:i/>
        </w:rPr>
        <w:t>1 Enoch</w:t>
      </w:r>
      <w:r w:rsidRPr="002B376E">
        <w:t xml:space="preserve"> 104; </w:t>
      </w:r>
      <w:r w:rsidRPr="00A8629B">
        <w:rPr>
          <w:i/>
        </w:rPr>
        <w:t>T. Moses</w:t>
      </w:r>
      <w:r w:rsidRPr="002B376E">
        <w:t xml:space="preserve"> 10.9; </w:t>
      </w:r>
      <w:r w:rsidRPr="00A8629B">
        <w:rPr>
          <w:i/>
        </w:rPr>
        <w:t>2 Apoc. Bar</w:t>
      </w:r>
      <w:r w:rsidR="0014298A">
        <w:rPr>
          <w:i/>
        </w:rPr>
        <w:t>uch</w:t>
      </w:r>
      <w:r w:rsidRPr="002B376E">
        <w:t xml:space="preserve"> 51</w:t>
      </w:r>
      <w:r w:rsidR="0042752E">
        <w:t>)</w:t>
      </w:r>
      <w:r w:rsidRPr="002B376E">
        <w:t xml:space="preserve">. </w:t>
      </w:r>
      <w:r w:rsidR="0014298A">
        <w:t>Comparing the</w:t>
      </w:r>
      <w:r w:rsidR="00A8629B">
        <w:t xml:space="preserve"> </w:t>
      </w:r>
      <w:r w:rsidR="0014298A">
        <w:t xml:space="preserve">discerning </w:t>
      </w:r>
      <w:r w:rsidR="00750482">
        <w:t>with the stars</w:t>
      </w:r>
      <w:r w:rsidR="0014298A">
        <w:t xml:space="preserve"> need not imply</w:t>
      </w:r>
      <w:r w:rsidRPr="002B376E">
        <w:t xml:space="preserve"> that they will be located among them, still less </w:t>
      </w:r>
      <w:r w:rsidR="00750482">
        <w:t xml:space="preserve">that they </w:t>
      </w:r>
      <w:r w:rsidRPr="002B376E">
        <w:t>will becom</w:t>
      </w:r>
      <w:r w:rsidR="00750482">
        <w:t xml:space="preserve">e </w:t>
      </w:r>
      <w:r w:rsidR="00056055">
        <w:t>celestial beings</w:t>
      </w:r>
      <w:r w:rsidRPr="002B376E">
        <w:t>.</w:t>
      </w:r>
      <w:r w:rsidR="00750482">
        <w:rPr>
          <w:rStyle w:val="FootnoteReference"/>
        </w:rPr>
        <w:footnoteReference w:id="746"/>
      </w:r>
      <w:r w:rsidRPr="002B376E">
        <w:t xml:space="preserve"> A poetic couplet echoing an earlier scriptural passage (Isa 52:13; 53:11) within a visionary flight into the future cannot be pressed.</w:t>
      </w:r>
    </w:p>
    <w:p w:rsidR="00BA067F" w:rsidRPr="00BA067F" w:rsidRDefault="00750482" w:rsidP="00BA067F">
      <w:r>
        <w:t>W</w:t>
      </w:r>
      <w:r w:rsidR="00BA067F">
        <w:t xml:space="preserve">e can ask about </w:t>
      </w:r>
      <w:r w:rsidR="002B376E" w:rsidRPr="002B376E">
        <w:t xml:space="preserve">the significance of comparing the discerning to stars or </w:t>
      </w:r>
      <w:r w:rsidR="0014298A">
        <w:t xml:space="preserve">of </w:t>
      </w:r>
      <w:r w:rsidR="002B376E" w:rsidRPr="002B376E">
        <w:t xml:space="preserve">locating </w:t>
      </w:r>
      <w:r w:rsidR="00BA067F">
        <w:t>them among the celestial beings.</w:t>
      </w:r>
      <w:r w:rsidR="002B376E" w:rsidRPr="002B376E">
        <w:t xml:space="preserve"> In earlier OT tho</w:t>
      </w:r>
      <w:r w:rsidR="0014298A">
        <w:t>ught the king has been characterized</w:t>
      </w:r>
      <w:r w:rsidR="002B376E" w:rsidRPr="002B376E">
        <w:t xml:space="preserve"> in these terms (Num 24:17; 1 Sa</w:t>
      </w:r>
      <w:r>
        <w:t>m 29:9; 2 Sam 14:17, 20; Isa 9:6 [5</w:t>
      </w:r>
      <w:r w:rsidR="002B376E" w:rsidRPr="002B376E">
        <w:t>]), against the background of an assumed</w:t>
      </w:r>
      <w:r>
        <w:t xml:space="preserve"> correspondence or other linkage</w:t>
      </w:r>
      <w:r w:rsidR="00BA067F">
        <w:t xml:space="preserve"> between heaven and earth and between </w:t>
      </w:r>
      <w:r w:rsidR="002B376E" w:rsidRPr="002B376E">
        <w:t>hea</w:t>
      </w:r>
      <w:r w:rsidR="00BA067F">
        <w:t>venly powers and earthly powers</w:t>
      </w:r>
      <w:r w:rsidR="002B376E" w:rsidRPr="002B376E">
        <w:t xml:space="preserve"> such as we have noted in connection with Dan 10. The</w:t>
      </w:r>
      <w:r>
        <w:t xml:space="preserve"> last northern king had </w:t>
      </w:r>
      <w:r w:rsidR="002B376E" w:rsidRPr="002B376E">
        <w:t>sought to storm heaven’s gates. In 12:3 such notions are not quite democratized, but they are applied more broadly to the “discernin</w:t>
      </w:r>
      <w:r w:rsidR="00BA067F">
        <w:t xml:space="preserve">g” </w:t>
      </w:r>
      <w:r w:rsidR="00BA067F">
        <w:lastRenderedPageBreak/>
        <w:t xml:space="preserve">leaders of the community. We might </w:t>
      </w:r>
      <w:r>
        <w:t>compare</w:t>
      </w:r>
      <w:r w:rsidR="002B376E" w:rsidRPr="002B376E">
        <w:t xml:space="preserve"> the designation of prophe</w:t>
      </w:r>
      <w:r w:rsidR="00056055">
        <w:t>ts as Yahweh’s aides</w:t>
      </w:r>
      <w:r w:rsidR="002B376E" w:rsidRPr="002B376E">
        <w:t xml:space="preserve"> (</w:t>
      </w:r>
      <w:r w:rsidR="002B376E" w:rsidRPr="002B376E">
        <w:rPr>
          <w:rFonts w:ascii="Arial" w:hAnsi="Arial" w:cs="Arial"/>
        </w:rPr>
        <w:t>מלאכים</w:t>
      </w:r>
      <w:r w:rsidR="00BA067F">
        <w:t>). These “discerning” are given a</w:t>
      </w:r>
      <w:r w:rsidR="002B376E" w:rsidRPr="002B376E">
        <w:t xml:space="preserve"> place in Yahweh’s council.</w:t>
      </w:r>
      <w:r>
        <w:rPr>
          <w:rStyle w:val="FootnoteReference"/>
        </w:rPr>
        <w:footnoteReference w:id="747"/>
      </w:r>
      <w:r w:rsidR="002B376E" w:rsidRPr="002B376E">
        <w:t xml:space="preserve"> They receive the honor the</w:t>
      </w:r>
      <w:r w:rsidR="00BA067F">
        <w:t xml:space="preserve"> last northern king </w:t>
      </w:r>
      <w:r w:rsidR="002B376E" w:rsidRPr="002B376E">
        <w:t>v</w:t>
      </w:r>
      <w:r w:rsidR="00BA067F">
        <w:t>ainly sought. Once again,</w:t>
      </w:r>
      <w:r>
        <w:t xml:space="preserve"> it is inappropriate to</w:t>
      </w:r>
      <w:r w:rsidR="002B376E" w:rsidRPr="002B376E">
        <w:t xml:space="preserve"> be literalistic in i</w:t>
      </w:r>
      <w:r>
        <w:t>nterpreting the poetry</w:t>
      </w:r>
      <w:r w:rsidR="002B376E" w:rsidRPr="002B376E">
        <w:t>: the vision</w:t>
      </w:r>
      <w:r w:rsidR="00BA067F">
        <w:t xml:space="preserve"> relates to</w:t>
      </w:r>
      <w:r w:rsidR="002B376E" w:rsidRPr="002B376E">
        <w:t xml:space="preserve"> life on earth lived by beings who are st</w:t>
      </w:r>
      <w:r>
        <w:t>i</w:t>
      </w:r>
      <w:r w:rsidR="00BA067F">
        <w:t>ll human. But neither is it appropriate to be prosaic in understanding</w:t>
      </w:r>
      <w:r>
        <w:t xml:space="preserve"> the promise</w:t>
      </w:r>
      <w:r w:rsidR="00BA067F">
        <w:t xml:space="preserve">: it envisages </w:t>
      </w:r>
      <w:r w:rsidR="002B376E" w:rsidRPr="002B376E">
        <w:t>life of a heavenly</w:t>
      </w:r>
      <w:r w:rsidR="0014298A">
        <w:t xml:space="preserve"> character, the life of the age to come</w:t>
      </w:r>
      <w:r w:rsidR="002B376E" w:rsidRPr="002B376E">
        <w:t>. The discerning share in the theopha</w:t>
      </w:r>
      <w:r>
        <w:t>nic glory of the new Jerusalem.</w:t>
      </w:r>
      <w:r>
        <w:rPr>
          <w:rStyle w:val="FootnoteReference"/>
        </w:rPr>
        <w:footnoteReference w:id="748"/>
      </w:r>
      <w:r w:rsidR="00BA067F">
        <w:t xml:space="preserve"> </w:t>
      </w:r>
      <w:r w:rsidR="0014298A">
        <w:t>The promise speaks</w:t>
      </w:r>
      <w:r w:rsidR="00BA067F">
        <w:t xml:space="preserve"> not </w:t>
      </w:r>
      <w:r w:rsidR="0014298A">
        <w:t xml:space="preserve">of </w:t>
      </w:r>
      <w:r w:rsidR="00BA067F">
        <w:t>resuscitation but</w:t>
      </w:r>
      <w:r w:rsidR="0014298A">
        <w:t xml:space="preserve"> of</w:t>
      </w:r>
      <w:r w:rsidR="00BA067F" w:rsidRPr="00BA067F">
        <w:t xml:space="preserve"> resurrection, which incorporates transformati</w:t>
      </w:r>
      <w:r w:rsidR="0014298A">
        <w:t>on. And it i</w:t>
      </w:r>
      <w:r w:rsidR="00BA067F">
        <w:t>s not in heaven but</w:t>
      </w:r>
      <w:r w:rsidR="00BA067F" w:rsidRPr="00BA067F">
        <w:t xml:space="preserve"> on earth.</w:t>
      </w:r>
      <w:r w:rsidR="00BA067F" w:rsidRPr="00BA067F">
        <w:rPr>
          <w:vertAlign w:val="superscript"/>
        </w:rPr>
        <w:footnoteReference w:id="749"/>
      </w:r>
    </w:p>
    <w:p w:rsidR="00783974" w:rsidRPr="002B376E" w:rsidRDefault="002B376E" w:rsidP="002B376E">
      <w:r w:rsidRPr="00750482">
        <w:rPr>
          <w:b/>
        </w:rPr>
        <w:t>12:4</w:t>
      </w:r>
      <w:r w:rsidR="00B92E4B">
        <w:t xml:space="preserve"> Closing up and sealing</w:t>
      </w:r>
      <w:r w:rsidRPr="002B376E">
        <w:t xml:space="preserve"> su</w:t>
      </w:r>
      <w:r w:rsidR="00B92E4B">
        <w:t>ggest not merely conserving the words in the book but withholding them (cf. 8:26; sealing remi</w:t>
      </w:r>
      <w:r w:rsidR="00B92E4B" w:rsidRPr="00B92E4B">
        <w:t>nds us that the “book”</w:t>
      </w:r>
      <w:r w:rsidR="0014298A">
        <w:t xml:space="preserve"> is</w:t>
      </w:r>
      <w:r w:rsidR="00B92E4B">
        <w:t xml:space="preserve"> a scroll)</w:t>
      </w:r>
      <w:r w:rsidRPr="002B376E">
        <w:t xml:space="preserve">. This </w:t>
      </w:r>
      <w:r w:rsidR="00750482">
        <w:t xml:space="preserve">understanding </w:t>
      </w:r>
      <w:r w:rsidRPr="002B376E">
        <w:t>is confirmed by the next words: because they are withheld, “many will hurry to and fro,”</w:t>
      </w:r>
      <w:r w:rsidR="00D257EE">
        <w:t xml:space="preserve"> unable to find a word from God</w:t>
      </w:r>
      <w:r w:rsidRPr="002B376E">
        <w:t xml:space="preserve"> </w:t>
      </w:r>
      <w:r w:rsidR="00D257EE">
        <w:t>(</w:t>
      </w:r>
      <w:r w:rsidRPr="002B376E">
        <w:t>see Amos 8:11–12</w:t>
      </w:r>
      <w:r w:rsidR="00D257EE">
        <w:t>)</w:t>
      </w:r>
      <w:r w:rsidR="00B92E4B">
        <w:t>. But the unsealing of Daniel’s book</w:t>
      </w:r>
      <w:r w:rsidRPr="002B376E">
        <w:t xml:space="preserve"> du</w:t>
      </w:r>
      <w:r w:rsidR="00B92E4B">
        <w:t>ring the Antiochene crisis ends that famine</w:t>
      </w:r>
      <w:r w:rsidRPr="002B376E">
        <w:t>.</w:t>
      </w:r>
      <w:r w:rsidR="00D257EE">
        <w:rPr>
          <w:rStyle w:val="FootnoteReference"/>
        </w:rPr>
        <w:footnoteReference w:id="750"/>
      </w:r>
      <w:r w:rsidR="00B92E4B">
        <w:t xml:space="preserve"> It also means </w:t>
      </w:r>
      <w:r w:rsidR="0014298A">
        <w:t xml:space="preserve">that </w:t>
      </w:r>
      <w:r w:rsidR="00B92E4B">
        <w:t>the words now become intelligible, “f</w:t>
      </w:r>
      <w:r w:rsidR="00783974">
        <w:t>or every prophecy, before its fulfilment, appears to people to be full of enigmas and ambiguities. But when the time has arrived and the prediction has come to pass, the prophecies have a clear and certain meaning.”</w:t>
      </w:r>
      <w:r w:rsidR="00783974">
        <w:rPr>
          <w:rStyle w:val="FootnoteReference"/>
        </w:rPr>
        <w:footnoteReference w:id="751"/>
      </w:r>
    </w:p>
    <w:p w:rsidR="002B376E" w:rsidRPr="002B376E" w:rsidRDefault="002B376E" w:rsidP="002B376E">
      <w:r w:rsidRPr="00D257EE">
        <w:rPr>
          <w:b/>
        </w:rPr>
        <w:t>12:5–10</w:t>
      </w:r>
      <w:r w:rsidRPr="002B376E">
        <w:t xml:space="preserve"> The scene returns to that of 10:2–18; ag</w:t>
      </w:r>
      <w:r w:rsidR="00B92E4B">
        <w:t>ain there is some unclarity about</w:t>
      </w:r>
      <w:r w:rsidRPr="002B376E">
        <w:t xml:space="preserve"> how many persons Daniel sees, and about their relationship to the persons in chap.</w:t>
      </w:r>
      <w:r w:rsidR="00D257EE">
        <w:t xml:space="preserve"> 10. The two other figures</w:t>
      </w:r>
      <w:r w:rsidRPr="002B376E">
        <w:t xml:space="preserve"> of v 5 connect with </w:t>
      </w:r>
      <w:r w:rsidR="00D257EE">
        <w:t>8:13–14 rather than Deut 19:15</w:t>
      </w:r>
      <w:r w:rsidRPr="002B376E">
        <w:t>.</w:t>
      </w:r>
      <w:r w:rsidR="00D257EE">
        <w:rPr>
          <w:rStyle w:val="FootnoteReference"/>
        </w:rPr>
        <w:footnoteReference w:id="752"/>
      </w:r>
      <w:r w:rsidRPr="002B376E">
        <w:t xml:space="preserve"> The anonymous—presumably celest</w:t>
      </w:r>
      <w:r w:rsidR="00D257EE">
        <w:t>ial—questioner’s “how long</w:t>
      </w:r>
      <w:r w:rsidR="00B92E4B">
        <w:t>?” (v 6) once more takes up the “how long”</w:t>
      </w:r>
      <w:r w:rsidRPr="002B376E">
        <w:t xml:space="preserve"> of Israel’s laments (see on 8:13–1</w:t>
      </w:r>
      <w:r w:rsidR="00B92E4B">
        <w:t>4). The awesome events</w:t>
      </w:r>
      <w:r w:rsidRPr="002B376E">
        <w:t xml:space="preserve"> (</w:t>
      </w:r>
      <w:r w:rsidRPr="002B376E">
        <w:rPr>
          <w:rFonts w:ascii="Arial" w:hAnsi="Arial" w:cs="Arial"/>
        </w:rPr>
        <w:t>פלאות</w:t>
      </w:r>
      <w:r w:rsidR="00B92E4B">
        <w:t>) of which he enquires are th</w:t>
      </w:r>
      <w:r w:rsidRPr="002B376E">
        <w:t xml:space="preserve">e </w:t>
      </w:r>
      <w:r w:rsidR="00B92E4B">
        <w:t xml:space="preserve">ones </w:t>
      </w:r>
      <w:r w:rsidRPr="002B376E">
        <w:t>that came to a climax in 11:29–12:3, involving Antiochus’s laying his hand on the realm of God (cf. 8:24 as well as 11:36).</w:t>
      </w:r>
      <w:r w:rsidR="00541261">
        <w:t xml:space="preserve"> Yes, “‘How long?’ implies that it has already been too long, that too many have perished.”</w:t>
      </w:r>
      <w:r w:rsidR="00541261">
        <w:rPr>
          <w:rStyle w:val="FootnoteReference"/>
        </w:rPr>
        <w:footnoteReference w:id="753"/>
      </w:r>
    </w:p>
    <w:p w:rsidR="002B376E" w:rsidRDefault="002B376E" w:rsidP="002B376E">
      <w:r w:rsidRPr="002B376E">
        <w:t>Raising one’s hand to heaven i</w:t>
      </w:r>
      <w:r w:rsidR="00D257EE">
        <w:t>n taking an oath (v 7) acknowledges God as witness</w:t>
      </w:r>
      <w:r w:rsidRPr="002B376E">
        <w:t xml:space="preserve"> </w:t>
      </w:r>
      <w:r w:rsidR="00D257EE">
        <w:t>(</w:t>
      </w:r>
      <w:r w:rsidRPr="002B376E">
        <w:t>cf. Gen 14:22</w:t>
      </w:r>
      <w:r w:rsidR="00D257EE">
        <w:t>),</w:t>
      </w:r>
      <w:r w:rsidRPr="002B376E">
        <w:t xml:space="preserve"> though elsewhere the expression is used only of God himself </w:t>
      </w:r>
      <w:r w:rsidR="00B92E4B">
        <w:t xml:space="preserve">as if he acknowledges some other witness </w:t>
      </w:r>
      <w:r w:rsidRPr="002B376E">
        <w:t xml:space="preserve">(e.g., Ezek 20:5–6). The doubling of the hands </w:t>
      </w:r>
      <w:r w:rsidR="00453D24">
        <w:t xml:space="preserve">further </w:t>
      </w:r>
      <w:r w:rsidRPr="002B376E">
        <w:t>underl</w:t>
      </w:r>
      <w:r w:rsidR="00453D24">
        <w:t>ine</w:t>
      </w:r>
      <w:r w:rsidRPr="002B376E">
        <w:t xml:space="preserve"> the undertaking’s solemnity</w:t>
      </w:r>
      <w:r w:rsidR="00B92E4B">
        <w:t xml:space="preserve">, though the imagery recalls </w:t>
      </w:r>
      <w:r w:rsidR="00453D24">
        <w:t xml:space="preserve">Deut </w:t>
      </w:r>
      <w:r w:rsidR="00B92E4B">
        <w:t>32:40 (especially in the text f</w:t>
      </w:r>
      <w:r w:rsidR="00453D24">
        <w:t>o</w:t>
      </w:r>
      <w:r w:rsidR="00B92E4B">
        <w:t>r</w:t>
      </w:r>
      <w:r w:rsidR="00453D24">
        <w:t>m that may lie behind LXX).</w:t>
      </w:r>
      <w:r w:rsidR="00453D24">
        <w:rPr>
          <w:rStyle w:val="FootnoteReference"/>
        </w:rPr>
        <w:footnoteReference w:id="754"/>
      </w:r>
      <w:r w:rsidRPr="002B376E">
        <w:t xml:space="preserve"> On the 3 1/2 “set periods” (</w:t>
      </w:r>
      <w:r w:rsidRPr="002B376E">
        <w:rPr>
          <w:rFonts w:ascii="Arial" w:hAnsi="Arial" w:cs="Arial"/>
        </w:rPr>
        <w:t>מועד</w:t>
      </w:r>
      <w:r w:rsidRPr="002B376E">
        <w:t xml:space="preserve"> here, not </w:t>
      </w:r>
      <w:r w:rsidRPr="002B376E">
        <w:rPr>
          <w:rFonts w:ascii="Arial" w:hAnsi="Arial" w:cs="Arial"/>
        </w:rPr>
        <w:t>עדן</w:t>
      </w:r>
      <w:r w:rsidR="00D257EE">
        <w:t xml:space="preserve">), see on 7:25. </w:t>
      </w:r>
      <w:r w:rsidRPr="002B376E">
        <w:t>The shattering of the powe</w:t>
      </w:r>
      <w:r w:rsidR="00D257EE">
        <w:t>r of the holy people</w:t>
      </w:r>
      <w:r w:rsidRPr="002B376E">
        <w:t xml:space="preserve"> is presumably the events of 11:21–45, or perhaps the whole period from the exile</w:t>
      </w:r>
      <w:r w:rsidR="00B92E4B">
        <w:t xml:space="preserve"> onwards</w:t>
      </w:r>
      <w:r w:rsidRPr="002B376E">
        <w:t xml:space="preserve">; there is no particular reason to refer it to the crushing </w:t>
      </w:r>
      <w:r w:rsidR="00D257EE">
        <w:t>of Judas’s rebellion in 160</w:t>
      </w:r>
      <w:r w:rsidRPr="002B376E">
        <w:t>, and</w:t>
      </w:r>
      <w:r w:rsidR="00D257EE">
        <w:t xml:space="preserve"> the context goes against this</w:t>
      </w:r>
      <w:r w:rsidR="00B92E4B">
        <w:t xml:space="preserve"> understanding</w:t>
      </w:r>
      <w:r w:rsidRPr="002B376E">
        <w:t>.</w:t>
      </w:r>
      <w:r w:rsidR="00D257EE">
        <w:rPr>
          <w:rStyle w:val="FootnoteReference"/>
        </w:rPr>
        <w:footnoteReference w:id="755"/>
      </w:r>
    </w:p>
    <w:p w:rsidR="002B376E" w:rsidRDefault="006E5A16" w:rsidP="002B376E">
      <w:r>
        <w:t xml:space="preserve"> </w:t>
      </w:r>
      <w:r w:rsidRPr="006E5A16">
        <w:t>“The style of the apocalypse forces the reader to become an interpreter as much as Daniel and the angelic mediators are.”</w:t>
      </w:r>
      <w:r w:rsidRPr="006E5A16">
        <w:rPr>
          <w:vertAlign w:val="superscript"/>
        </w:rPr>
        <w:footnoteReference w:id="756"/>
      </w:r>
      <w:r w:rsidR="0014298A" w:rsidRPr="0014298A">
        <w:t xml:space="preserve">As in 8:15, the expert reader has become the baffled reader, and even more clearly than was the case there, he consoles and encourages subsequent readers who cannot understand his text. How could we be surprised? </w:t>
      </w:r>
      <w:r w:rsidR="0014298A" w:rsidRPr="0014298A">
        <w:rPr>
          <w:vertAlign w:val="superscript"/>
        </w:rPr>
        <w:footnoteReference w:id="757"/>
      </w:r>
      <w:r w:rsidR="0014298A" w:rsidRPr="0014298A">
        <w:t xml:space="preserve"> </w:t>
      </w:r>
      <w:r w:rsidR="009B73AE">
        <w:t xml:space="preserve">“The angel ordered him to seal the Book and not to divulge the secret of the ending. He submitted. Too bad. Couldn’t he haveslipped in an allusion here and </w:t>
      </w:r>
      <w:r w:rsidR="009B73AE">
        <w:lastRenderedPageBreak/>
        <w:t>there, to facilitate our task?</w:t>
      </w:r>
      <w:r w:rsidR="009B73AE">
        <w:rPr>
          <w:rStyle w:val="FootnoteReference"/>
        </w:rPr>
        <w:footnoteReference w:id="758"/>
      </w:r>
      <w:r w:rsidR="009B73AE">
        <w:t xml:space="preserve"> </w:t>
      </w:r>
      <w:r w:rsidR="0014298A">
        <w:t xml:space="preserve">Daniel’s </w:t>
      </w:r>
      <w:r w:rsidR="002B376E" w:rsidRPr="002B376E">
        <w:t>puzzled question (v 8), natural for one set in the exile, facilitates a further restatement of what we have been told (vv 9–10), which also comes nearest to an explicit exhortation regarding conduct under the affl</w:t>
      </w:r>
      <w:r w:rsidR="00B92E4B">
        <w:t>iction that the seer’s hearers are experiencing</w:t>
      </w:r>
      <w:r w:rsidR="002B376E" w:rsidRPr="002B376E">
        <w:t xml:space="preserve">. The faithful have no scope for action that will change history. Daniel is told simply to go his way; contrast chaps. 1–6. The </w:t>
      </w:r>
      <w:r w:rsidR="00B92E4B">
        <w:t>vocation of the faithful is</w:t>
      </w:r>
      <w:r w:rsidR="002B376E" w:rsidRPr="002B376E">
        <w:t xml:space="preserve"> t</w:t>
      </w:r>
      <w:r w:rsidR="00B92E4B">
        <w:t>o keep themselves pure</w:t>
      </w:r>
      <w:r w:rsidR="002B376E" w:rsidRPr="002B376E">
        <w:t xml:space="preserve"> in the context of the pressures of history.</w:t>
      </w:r>
      <w:r w:rsidR="00677229">
        <w:t xml:space="preserve"> In the abb’a’ bicolon comprising </w:t>
      </w:r>
      <w:r w:rsidR="000D1837">
        <w:t>v</w:t>
      </w:r>
      <w:r w:rsidR="00677229">
        <w:t xml:space="preserve"> 10,</w:t>
      </w:r>
      <w:r w:rsidR="008A06E7">
        <w:t xml:space="preserve"> </w:t>
      </w:r>
      <w:r w:rsidR="00C82646">
        <w:t>commitment to purifying, cleansing, and refining</w:t>
      </w:r>
      <w:r w:rsidR="008A06E7">
        <w:t xml:space="preserve"> </w:t>
      </w:r>
      <w:r w:rsidR="008A06E7" w:rsidRPr="008A06E7">
        <w:t xml:space="preserve">goes along with </w:t>
      </w:r>
      <w:r w:rsidR="008A06E7">
        <w:t>discernment,</w:t>
      </w:r>
      <w:r w:rsidR="008A06E7" w:rsidRPr="008A06E7">
        <w:t xml:space="preserve"> </w:t>
      </w:r>
      <w:r w:rsidR="008A06E7">
        <w:t xml:space="preserve">while faithlessness goes along with a turning away from insight. “The wise are antonymous to the wicked”; you can be righteous but not wise, but if you are wise, you will </w:t>
      </w:r>
      <w:r w:rsidR="009B73AE">
        <w:t>be righteous, and if you are wic</w:t>
      </w:r>
      <w:r w:rsidR="008A06E7">
        <w:t>ked you will not be wise.</w:t>
      </w:r>
      <w:r w:rsidR="008A06E7">
        <w:rPr>
          <w:rStyle w:val="FootnoteReference"/>
        </w:rPr>
        <w:footnoteReference w:id="759"/>
      </w:r>
      <w:r w:rsidR="0088227C">
        <w:t xml:space="preserve"> To put it another way, they are to wait: but waiting is active, not passive. “In waiting, the faithful are called to stay the course, to remain firm in Torah observance and the praxis of resistance outlined for them elsewhere in the book.”</w:t>
      </w:r>
      <w:r w:rsidR="0088227C" w:rsidRPr="0088227C">
        <w:rPr>
          <w:vertAlign w:val="superscript"/>
        </w:rPr>
        <w:t xml:space="preserve"> </w:t>
      </w:r>
      <w:r w:rsidR="0088227C" w:rsidRPr="0088227C">
        <w:rPr>
          <w:vertAlign w:val="superscript"/>
        </w:rPr>
        <w:footnoteReference w:id="760"/>
      </w:r>
    </w:p>
    <w:p w:rsidR="002B376E" w:rsidRPr="002B376E" w:rsidRDefault="002B376E" w:rsidP="002B376E">
      <w:r w:rsidRPr="00D257EE">
        <w:rPr>
          <w:b/>
        </w:rPr>
        <w:t>12:11–12</w:t>
      </w:r>
      <w:r w:rsidR="00677229">
        <w:t xml:space="preserve"> The </w:t>
      </w:r>
      <w:r w:rsidRPr="002B376E">
        <w:t>“how long?” receives a further answer giving temporal precision to the more symbolic expression of v 7, in terms of a number of days—indeed two n</w:t>
      </w:r>
      <w:r w:rsidR="00677229">
        <w:t>umbers, both different from the one</w:t>
      </w:r>
      <w:r w:rsidRPr="002B376E">
        <w:t xml:space="preserve"> in</w:t>
      </w:r>
      <w:r w:rsidR="00677229">
        <w:t xml:space="preserve"> 8:14. The numbers</w:t>
      </w:r>
      <w:r w:rsidR="00C57FD4">
        <w:t xml:space="preserve"> can be related to 8:14 and to other numbers in Daniel by Pythagorean arithmology</w:t>
      </w:r>
      <w:r w:rsidR="00E75705">
        <w:t>,</w:t>
      </w:r>
      <w:r w:rsidR="009F2FFA">
        <w:rPr>
          <w:rStyle w:val="FootnoteReference"/>
        </w:rPr>
        <w:footnoteReference w:id="761"/>
      </w:r>
      <w:r w:rsidR="00E75705">
        <w:t xml:space="preserve"> b</w:t>
      </w:r>
      <w:r w:rsidR="009F2FFA">
        <w:t>ut</w:t>
      </w:r>
      <w:r w:rsidR="00E75705">
        <w:t xml:space="preserve"> “the issue is clouded by uncertainty as to the method by which the numbers were calculated.”</w:t>
      </w:r>
      <w:r w:rsidR="00E75705">
        <w:rPr>
          <w:rStyle w:val="FootnoteReference"/>
        </w:rPr>
        <w:footnoteReference w:id="762"/>
      </w:r>
      <w:r w:rsidR="00E75705">
        <w:t xml:space="preserve"> The possibility that they </w:t>
      </w:r>
      <w:r w:rsidRPr="002B376E">
        <w:t>have some calendrical significance</w:t>
      </w:r>
      <w:r w:rsidR="00E75705">
        <w:t xml:space="preserve"> both clarifies and further complicates</w:t>
      </w:r>
      <w:r w:rsidRPr="002B376E">
        <w:t>.</w:t>
      </w:r>
      <w:r w:rsidR="00C57FD4">
        <w:t xml:space="preserve"> </w:t>
      </w:r>
      <w:r w:rsidRPr="002B376E">
        <w:t>Various calendars were in use in the seer’s day. The Babylonians used a lunar calendar that produced a year of 354 days, the Essenes a solar calendar of 364 days,</w:t>
      </w:r>
      <w:r w:rsidR="009743EE">
        <w:rPr>
          <w:rStyle w:val="FootnoteReference"/>
        </w:rPr>
        <w:footnoteReference w:id="763"/>
      </w:r>
      <w:r w:rsidRPr="002B376E">
        <w:t xml:space="preserve"> the Hellenistic regimes a luni-solar one of 360 days; in each case the calendar was corrected to the true length of th</w:t>
      </w:r>
      <w:r w:rsidR="00677229">
        <w:t xml:space="preserve">e solar year </w:t>
      </w:r>
      <w:r w:rsidRPr="002B376E">
        <w:t>by intercalating months. Evidence of familiarity with all three calendars has been found in the OT. The question of the right calendar was overtly a subject of dispute in th</w:t>
      </w:r>
      <w:r w:rsidR="00D257EE">
        <w:t>e second and first centuries BC</w:t>
      </w:r>
      <w:r w:rsidRPr="002B376E">
        <w:t xml:space="preserve"> (see on 7:23–25), and Daniel’s periods of days have been seen as reflections of this dispute. They most straightforward</w:t>
      </w:r>
      <w:r w:rsidR="00D257EE">
        <w:t>ly fit the luni-solar calendar</w:t>
      </w:r>
      <w:r w:rsidRPr="002B376E">
        <w:t>,</w:t>
      </w:r>
      <w:r w:rsidR="00D257EE">
        <w:rPr>
          <w:rStyle w:val="FootnoteReference"/>
        </w:rPr>
        <w:footnoteReference w:id="764"/>
      </w:r>
      <w:r w:rsidRPr="002B376E">
        <w:t xml:space="preserve"> but they can be understood in the light of the other systems. When allowance is made for intercalation, 1290 days can represent 3 1/2 lunar years</w:t>
      </w:r>
      <w:r w:rsidR="00D257EE">
        <w:rPr>
          <w:rStyle w:val="FootnoteReference"/>
        </w:rPr>
        <w:footnoteReference w:id="765"/>
      </w:r>
      <w:r w:rsidR="00945C8C">
        <w:t xml:space="preserve"> </w:t>
      </w:r>
      <w:r w:rsidR="00D257EE">
        <w:t>or 3 1/2 solar years</w:t>
      </w:r>
      <w:r w:rsidRPr="002B376E">
        <w:t>;</w:t>
      </w:r>
      <w:r w:rsidR="00D257EE">
        <w:rPr>
          <w:rStyle w:val="FootnoteReference"/>
        </w:rPr>
        <w:footnoteReference w:id="766"/>
      </w:r>
      <w:r w:rsidRPr="002B376E">
        <w:t xml:space="preserve"> 1335 days can also be reckoned to comprise 3 1/2 solar years.</w:t>
      </w:r>
      <w:r w:rsidR="00D257EE">
        <w:rPr>
          <w:rStyle w:val="FootnoteReference"/>
        </w:rPr>
        <w:footnoteReference w:id="767"/>
      </w:r>
    </w:p>
    <w:p w:rsidR="002B376E" w:rsidRDefault="002B376E" w:rsidP="002B376E">
      <w:r w:rsidRPr="002B376E">
        <w:t>As Daniel’s figures can be related to several calendars, so they can be related to several sets</w:t>
      </w:r>
      <w:r w:rsidR="00D257EE">
        <w:t xml:space="preserve"> of events between 168 and 164</w:t>
      </w:r>
      <w:r w:rsidRPr="002B376E">
        <w:t xml:space="preserve">. The beginning point of v 11 could be the time of one of </w:t>
      </w:r>
      <w:r w:rsidR="00677229">
        <w:t>the edicts by Antiochus</w:t>
      </w:r>
      <w:r w:rsidRPr="002B376E">
        <w:t xml:space="preserve">, </w:t>
      </w:r>
      <w:r w:rsidR="00677229">
        <w:t xml:space="preserve">the time </w:t>
      </w:r>
      <w:r w:rsidR="00D257EE">
        <w:t>of the temple desecration</w:t>
      </w:r>
      <w:r w:rsidRPr="002B376E">
        <w:t xml:space="preserve">, or </w:t>
      </w:r>
      <w:r w:rsidR="00677229">
        <w:t xml:space="preserve">the time </w:t>
      </w:r>
      <w:r w:rsidR="00D257EE">
        <w:t xml:space="preserve">of </w:t>
      </w:r>
      <w:r w:rsidRPr="002B376E">
        <w:t>the enforcement of the ban on the regular sacrificial order (11:31–33). The beginning point of v 12 could be one of these</w:t>
      </w:r>
      <w:r w:rsidR="00D257EE">
        <w:t xml:space="preserve"> moments</w:t>
      </w:r>
      <w:r w:rsidRPr="002B376E">
        <w:t>, or an earlier event such a</w:t>
      </w:r>
      <w:r w:rsidR="00D257EE">
        <w:t>s Apollonius’s mission. M</w:t>
      </w:r>
      <w:r w:rsidRPr="002B376E">
        <w:t xml:space="preserve">ore likely vv 11–12 begin with the same event and v 12 terminates later, suggesting that the promised release will have successive stages during which a continuing faithful expectancy is required. Thus vv 11–12 could terminate with Judas’s victories, the temple rededication, Antiochus’s death, the arrival of news of his death, or the further events envisaged by 11:45–12:3. </w:t>
      </w:r>
      <w:r w:rsidR="009B73AE">
        <w:t>According to 1 Macc 1:59; 4:52–53,</w:t>
      </w:r>
      <w:r w:rsidRPr="002B376E">
        <w:t xml:space="preserve"> the period from the first pagan sacrifice to the altar’s rededication </w:t>
      </w:r>
      <w:r w:rsidR="009B73AE">
        <w:t xml:space="preserve">was </w:t>
      </w:r>
      <w:r w:rsidRPr="002B376E">
        <w:t>exactly three years.</w:t>
      </w:r>
    </w:p>
    <w:p w:rsidR="002B376E" w:rsidRPr="002B376E" w:rsidRDefault="002B376E" w:rsidP="002B376E">
      <w:r w:rsidRPr="00D257EE">
        <w:rPr>
          <w:b/>
        </w:rPr>
        <w:lastRenderedPageBreak/>
        <w:t>12:13</w:t>
      </w:r>
      <w:r w:rsidRPr="002B376E">
        <w:t xml:space="preserve"> The concern of vv 1–3 was the resurrection of people in the seer’s day, not figures from the past such as an exil</w:t>
      </w:r>
      <w:r w:rsidR="00677229">
        <w:t>ic Daniel. Yet behind the figure of Daniel</w:t>
      </w:r>
      <w:r w:rsidRPr="002B376E">
        <w:t xml:space="preserve"> is </w:t>
      </w:r>
      <w:r w:rsidR="009B73AE">
        <w:t>the seer himself, a member of</w:t>
      </w:r>
      <w:r w:rsidRPr="002B376E">
        <w:t xml:space="preserve"> the group who might well lose their lives, so the man in linen’s encouragement to face both life (“go your way”) and death (“and rest”) with equanimity relates directly to the calling of the </w:t>
      </w:r>
      <w:r w:rsidR="00677229">
        <w:t>“</w:t>
      </w:r>
      <w:r w:rsidRPr="002B376E">
        <w:t>discerning.</w:t>
      </w:r>
      <w:r w:rsidR="00677229">
        <w:t>”</w:t>
      </w:r>
      <w:r w:rsidR="00945C8C">
        <w:t xml:space="preserve"> </w:t>
      </w:r>
      <w:r w:rsidR="00FD6CCF">
        <w:t xml:space="preserve">Although </w:t>
      </w:r>
      <w:r w:rsidR="000D1837">
        <w:t>v</w:t>
      </w:r>
      <w:r w:rsidR="00FD6CCF">
        <w:t xml:space="preserve"> 13 differs </w:t>
      </w:r>
      <w:r w:rsidR="00677229">
        <w:t xml:space="preserve">from what precedes </w:t>
      </w:r>
      <w:r w:rsidR="00FD6CCF">
        <w:t>in its implicit ratio</w:t>
      </w:r>
      <w:r w:rsidR="00677229">
        <w:t>nale for resurrection and in its language</w:t>
      </w:r>
      <w:r w:rsidR="00FD6CCF">
        <w:t>,</w:t>
      </w:r>
      <w:r w:rsidR="00FD6CCF">
        <w:rPr>
          <w:rStyle w:val="FootnoteReference"/>
        </w:rPr>
        <w:footnoteReference w:id="768"/>
      </w:r>
      <w:r w:rsidR="00FD6CCF">
        <w:t xml:space="preserve"> t</w:t>
      </w:r>
      <w:r w:rsidRPr="002B376E">
        <w:t xml:space="preserve">he picture of death as rest (cf. Isa 57:2; </w:t>
      </w:r>
      <w:r w:rsidR="009B73AE">
        <w:t>Job 3:13, 17) and of returning</w:t>
      </w:r>
      <w:r w:rsidRPr="002B376E">
        <w:t xml:space="preserve"> to life as rising from sleep picks up the imagery of v 2. “Destiny” (</w:t>
      </w:r>
      <w:r w:rsidRPr="002B376E">
        <w:rPr>
          <w:rFonts w:ascii="Arial" w:hAnsi="Arial" w:cs="Arial"/>
        </w:rPr>
        <w:t>גורל</w:t>
      </w:r>
      <w:r w:rsidRPr="002B376E">
        <w:t xml:space="preserve">) appears frequently in the Qumran literature as a term for the community’s fellowship with the holy ones (1QS 11.7; 1QH 11.11), but even there the word is used with </w:t>
      </w:r>
      <w:r w:rsidR="004A03E2">
        <w:t xml:space="preserve">other meanings (e.g., 1QS </w:t>
      </w:r>
      <w:r w:rsidR="00F83028">
        <w:t>1.10); OG</w:t>
      </w:r>
      <w:r w:rsidR="004A03E2">
        <w:t xml:space="preserve"> nicely translates it </w:t>
      </w:r>
      <w:r w:rsidR="004A03E2" w:rsidRPr="00813A9A">
        <w:rPr>
          <w:rFonts w:eastAsiaTheme="minorHAnsi" w:cs="Times New Roman"/>
          <w:lang w:val="el-GR"/>
        </w:rPr>
        <w:t>δοξ</w:t>
      </w:r>
      <w:r w:rsidR="004A03E2" w:rsidRPr="00813A9A">
        <w:rPr>
          <w:rFonts w:eastAsiaTheme="minorHAnsi" w:cs="Times New Roman"/>
        </w:rPr>
        <w:t>α</w:t>
      </w:r>
      <w:r w:rsidR="00F83028">
        <w:rPr>
          <w:rFonts w:eastAsiaTheme="minorHAnsi" w:cs="Times New Roman"/>
        </w:rPr>
        <w:t xml:space="preserve"> (glory).</w:t>
      </w:r>
      <w:r w:rsidR="00F83028">
        <w:rPr>
          <w:rStyle w:val="FootnoteReference"/>
          <w:rFonts w:eastAsiaTheme="minorHAnsi" w:cs="Times New Roman"/>
        </w:rPr>
        <w:footnoteReference w:id="769"/>
      </w:r>
      <w:r w:rsidR="00677229">
        <w:rPr>
          <w:rFonts w:eastAsiaTheme="minorHAnsi" w:cs="Times New Roman"/>
        </w:rPr>
        <w:t xml:space="preserve"> </w:t>
      </w:r>
      <w:r w:rsidR="009B73AE">
        <w:t>“T</w:t>
      </w:r>
      <w:r w:rsidRPr="002B376E">
        <w:t>he final day” (</w:t>
      </w:r>
      <w:r w:rsidRPr="002B376E">
        <w:rPr>
          <w:rFonts w:ascii="Arial" w:hAnsi="Arial" w:cs="Arial"/>
        </w:rPr>
        <w:t>הימין</w:t>
      </w:r>
      <w:r w:rsidR="00D257EE">
        <w:rPr>
          <w:rFonts w:ascii="Arial" w:hAnsi="Arial" w:cs="Arial"/>
        </w:rPr>
        <w:t xml:space="preserve"> </w:t>
      </w:r>
      <w:r w:rsidR="00D257EE" w:rsidRPr="00D257EE">
        <w:rPr>
          <w:rFonts w:ascii="Arial" w:hAnsi="Arial" w:cs="Arial"/>
        </w:rPr>
        <w:t>קץ</w:t>
      </w:r>
      <w:r w:rsidRPr="002B376E">
        <w:t xml:space="preserve">, </w:t>
      </w:r>
      <w:r w:rsidR="00677229">
        <w:t xml:space="preserve">literally </w:t>
      </w:r>
      <w:r w:rsidRPr="002B376E">
        <w:t xml:space="preserve">“the end of the days”) </w:t>
      </w:r>
      <w:r w:rsidR="00061922" w:rsidRPr="00061922">
        <w:t>is not a technical term for the End (cf. similar expressions in 1:18; 11:6, 13; Neh 13:6)</w:t>
      </w:r>
      <w:r w:rsidR="00061922">
        <w:t xml:space="preserve">; presumably it </w:t>
      </w:r>
      <w:r w:rsidRPr="002B376E">
        <w:t>is the same time as “the time of the end” (</w:t>
      </w:r>
      <w:r w:rsidRPr="002B376E">
        <w:rPr>
          <w:rFonts w:ascii="Arial" w:hAnsi="Arial" w:cs="Arial"/>
        </w:rPr>
        <w:t>קץ</w:t>
      </w:r>
      <w:r w:rsidR="00D257EE">
        <w:rPr>
          <w:rFonts w:ascii="Arial" w:hAnsi="Arial" w:cs="Arial"/>
        </w:rPr>
        <w:t xml:space="preserve"> </w:t>
      </w:r>
      <w:r w:rsidR="00D257EE" w:rsidRPr="00D257EE">
        <w:rPr>
          <w:rFonts w:ascii="Arial" w:hAnsi="Arial" w:cs="Arial"/>
        </w:rPr>
        <w:t>עת</w:t>
      </w:r>
      <w:r w:rsidR="00D257EE">
        <w:t xml:space="preserve">) in </w:t>
      </w:r>
      <w:r w:rsidRPr="002B376E">
        <w:t>v 4</w:t>
      </w:r>
      <w:r w:rsidR="00061922">
        <w:t>.</w:t>
      </w:r>
      <w:r w:rsidR="00D257EE">
        <w:rPr>
          <w:rStyle w:val="FootnoteReference"/>
        </w:rPr>
        <w:footnoteReference w:id="770"/>
      </w:r>
    </w:p>
    <w:p w:rsidR="002B376E" w:rsidRPr="002B376E" w:rsidRDefault="002B376E" w:rsidP="002B376E">
      <w:pPr>
        <w:pStyle w:val="Heading2"/>
      </w:pPr>
      <w:r w:rsidRPr="002B376E">
        <w:t>Explanation</w:t>
      </w:r>
    </w:p>
    <w:p w:rsidR="002B376E" w:rsidRDefault="00061922" w:rsidP="002B376E">
      <w:r>
        <w:t>The seer</w:t>
      </w:r>
      <w:r w:rsidR="002B376E" w:rsidRPr="002B376E">
        <w:t xml:space="preserve"> might have drawn our attention to six main a</w:t>
      </w:r>
      <w:r w:rsidR="003B694B">
        <w:t xml:space="preserve">ffirmations in </w:t>
      </w:r>
      <w:r w:rsidR="009B73AE">
        <w:t xml:space="preserve">this final vision, which </w:t>
      </w:r>
      <w:r>
        <w:t>provides</w:t>
      </w:r>
      <w:r w:rsidR="003B694B">
        <w:t xml:space="preserve"> key</w:t>
      </w:r>
      <w:r>
        <w:t>s</w:t>
      </w:r>
      <w:r w:rsidR="003B694B">
        <w:t xml:space="preserve"> to understan</w:t>
      </w:r>
      <w:r>
        <w:t>ding the book as a whole with i</w:t>
      </w:r>
      <w:r w:rsidR="003B694B">
        <w:t>ts emphasis on power, understanding, and time.</w:t>
      </w:r>
      <w:r w:rsidR="003B694B" w:rsidRPr="003B694B">
        <w:rPr>
          <w:vertAlign w:val="superscript"/>
        </w:rPr>
        <w:footnoteReference w:id="771"/>
      </w:r>
    </w:p>
    <w:p w:rsidR="009B73AE" w:rsidRPr="002B376E" w:rsidRDefault="009B73AE" w:rsidP="002B376E"/>
    <w:p w:rsidR="002B376E" w:rsidRPr="002B376E" w:rsidRDefault="009B73AE" w:rsidP="002B376E">
      <w:r>
        <w:rPr>
          <w:b/>
        </w:rPr>
        <w:t xml:space="preserve">(a) My message </w:t>
      </w:r>
      <w:r w:rsidR="002B376E" w:rsidRPr="00B2534D">
        <w:rPr>
          <w:b/>
        </w:rPr>
        <w:t>came by divine revelation.</w:t>
      </w:r>
      <w:r>
        <w:t xml:space="preserve"> The main point of my</w:t>
      </w:r>
      <w:r w:rsidR="002B376E" w:rsidRPr="002B376E">
        <w:t xml:space="preserve"> narrative in 10:1</w:t>
      </w:r>
      <w:r w:rsidR="00CE56A2">
        <w:t xml:space="preserve">-19 </w:t>
      </w:r>
      <w:r w:rsidR="002B376E" w:rsidRPr="002B376E">
        <w:t>was to encourage my hearers to r</w:t>
      </w:r>
      <w:r w:rsidR="00CE56A2">
        <w:t>eceive the message in 10:20—12:4</w:t>
      </w:r>
      <w:r w:rsidR="002B376E" w:rsidRPr="002B376E">
        <w:t xml:space="preserve"> (and in 10:13, 20; 12:7–13) as a revelation from heaven. The overt basis on which it did so was the nature of the experience I related, an experience like Ezekiel’s that implied that my message could be accepted as Ezekiel’s was. Heavenly beings—so impressive and awesome that one of them might have been God hims</w:t>
      </w:r>
      <w:r w:rsidR="00CE56A2">
        <w:t xml:space="preserve">elf—had been in touch with me. While their appearing draws attention to the </w:t>
      </w:r>
      <w:r w:rsidR="002B376E" w:rsidRPr="002B376E">
        <w:t>gulf between earth and heaven, which makes it necessary for revelatio</w:t>
      </w:r>
      <w:r w:rsidR="00CE56A2">
        <w:t xml:space="preserve">n to be sought and granted, it also highlights the </w:t>
      </w:r>
      <w:r w:rsidR="002B376E" w:rsidRPr="002B376E">
        <w:t>contact between earth and heaven, because revelation was sought and granted.</w:t>
      </w:r>
      <w:r w:rsidR="00F71394">
        <w:rPr>
          <w:rStyle w:val="FootnoteReference"/>
        </w:rPr>
        <w:footnoteReference w:id="772"/>
      </w:r>
    </w:p>
    <w:p w:rsidR="002B376E" w:rsidRPr="002B376E" w:rsidRDefault="00CE56A2" w:rsidP="002B376E">
      <w:r>
        <w:t xml:space="preserve">I do not necessarily </w:t>
      </w:r>
      <w:r w:rsidR="002B376E" w:rsidRPr="002B376E">
        <w:t xml:space="preserve">imply that either I or my audience took this </w:t>
      </w:r>
      <w:r>
        <w:t>argument to be conclusive. First, while</w:t>
      </w:r>
      <w:r w:rsidR="002B376E" w:rsidRPr="002B376E">
        <w:t xml:space="preserve"> I believed my message to have c</w:t>
      </w:r>
      <w:r>
        <w:t xml:space="preserve">ome by divine gift, I knew </w:t>
      </w:r>
      <w:r w:rsidR="002B376E" w:rsidRPr="002B376E">
        <w:t>that it was not received by the exilic Daniel in the way I described it</w:t>
      </w:r>
      <w:r>
        <w:t>,</w:t>
      </w:r>
      <w:r w:rsidRPr="00CE56A2">
        <w:t xml:space="preserve"> and at least some of my contemporaries knew</w:t>
      </w:r>
      <w:r w:rsidR="002B376E" w:rsidRPr="002B376E">
        <w:t>. Second, even if I was inviting people to believe that the message was received through a revelatory experience, “translated” into—or experienced as—an experience of the exilic Daniel, I and they also knew that a claim to revelatory experience is not to be accepted purely on the basis of the claim (cf. Jer 23:15–32).</w:t>
      </w:r>
      <w:r w:rsidR="00AB0F9F">
        <w:rPr>
          <w:rStyle w:val="FootnoteReference"/>
        </w:rPr>
        <w:footnoteReference w:id="773"/>
      </w:r>
    </w:p>
    <w:p w:rsidR="002B376E" w:rsidRPr="002B376E" w:rsidRDefault="00CE56A2" w:rsidP="002B376E">
      <w:r>
        <w:t>M</w:t>
      </w:r>
      <w:r w:rsidR="002B376E" w:rsidRPr="002B376E">
        <w:t xml:space="preserve">y account </w:t>
      </w:r>
      <w:r>
        <w:t>therefore implies some other reasons for accepting my</w:t>
      </w:r>
      <w:r w:rsidR="002B376E" w:rsidRPr="002B376E">
        <w:t xml:space="preserve"> message as</w:t>
      </w:r>
      <w:r>
        <w:t xml:space="preserve"> a God-given revelation. </w:t>
      </w:r>
      <w:r w:rsidR="002B376E" w:rsidRPr="002B376E">
        <w:t>I could present it as an experience</w:t>
      </w:r>
      <w:r w:rsidR="00C25C1F">
        <w:t xml:space="preserve"> of a man of proven</w:t>
      </w:r>
      <w:r w:rsidR="002B376E" w:rsidRPr="002B376E">
        <w:t xml:space="preserve"> discernment and faithfulness. In chaps. 1–6 these qualities appear in Daniel; in chaps. 10–12 they also appear when we as the actual recipients of these visions become fleetingly visi</w:t>
      </w:r>
      <w:r>
        <w:t>ble (11:32–35; 12:10). And m</w:t>
      </w:r>
      <w:r w:rsidR="002B376E" w:rsidRPr="002B376E">
        <w:t xml:space="preserve">y message was presented not as a quite new revelation but in large part as a piece of scriptural exposition (see </w:t>
      </w:r>
      <w:r w:rsidR="002B376E" w:rsidRPr="00C25C1F">
        <w:rPr>
          <w:i/>
        </w:rPr>
        <w:t>Form</w:t>
      </w:r>
      <w:r w:rsidR="002B376E" w:rsidRPr="002B376E">
        <w:t>). Biblical prophecy and not merely personal insight provided the categories for my understanding of the events of Hellenistic history.</w:t>
      </w:r>
    </w:p>
    <w:p w:rsidR="002B376E" w:rsidRPr="002B376E" w:rsidRDefault="002B376E" w:rsidP="002B376E">
      <w:r w:rsidRPr="002B376E">
        <w:lastRenderedPageBreak/>
        <w:t>Of course not everything in my vision was expressed in terms that are anticipated earlier in the OT; the revelation concerning the involvement of heavenly figures behind earthly events is an important exception, even though it has theological links with earlier scripture</w:t>
      </w:r>
      <w:r w:rsidR="00B51680">
        <w:t>s. And in any case, the use of s</w:t>
      </w:r>
      <w:r w:rsidRPr="002B376E">
        <w:t>cripture</w:t>
      </w:r>
      <w:r w:rsidR="00B51680">
        <w:t>s</w:t>
      </w:r>
      <w:r w:rsidRPr="002B376E">
        <w:t xml:space="preserve"> no more makes a message biblical and true than an account of an experience like that in chap. 10 makes a message a divin</w:t>
      </w:r>
      <w:r w:rsidR="00B51680">
        <w:t>e revelation. I was reapplying the s</w:t>
      </w:r>
      <w:r w:rsidRPr="002B376E">
        <w:t>cripture</w:t>
      </w:r>
      <w:r w:rsidR="00B51680">
        <w:t>s</w:t>
      </w:r>
      <w:r w:rsidRPr="002B376E">
        <w:t xml:space="preserve"> to Antiochus and the promised de</w:t>
      </w:r>
      <w:r w:rsidR="00CE56A2">
        <w:t xml:space="preserve">stiny of conservative Jews. </w:t>
      </w:r>
      <w:r w:rsidRPr="002B376E">
        <w:t>I was not th</w:t>
      </w:r>
      <w:r w:rsidR="006E5A16">
        <w:t>e only person who did</w:t>
      </w:r>
      <w:r w:rsidR="00C25C1F">
        <w:t xml:space="preserve"> so</w:t>
      </w:r>
      <w:r w:rsidR="006E5A16">
        <w:t>: others did</w:t>
      </w:r>
      <w:r w:rsidRPr="002B376E">
        <w:t>, in the cause of expounding different perspectives on the Antiochene crisis</w:t>
      </w:r>
      <w:r w:rsidR="006E5A16">
        <w:t>,</w:t>
      </w:r>
      <w:r w:rsidRPr="002B376E">
        <w:t xml:space="preserve"> in I Maccabees, 2 Maccabees, and </w:t>
      </w:r>
      <w:r w:rsidRPr="00C25C1F">
        <w:rPr>
          <w:i/>
        </w:rPr>
        <w:t>1 Enoch</w:t>
      </w:r>
      <w:r w:rsidRPr="002B376E">
        <w:t>; some re</w:t>
      </w:r>
      <w:r w:rsidR="00B51680">
        <w:t>formist Jews believed they had the s</w:t>
      </w:r>
      <w:r w:rsidRPr="002B376E">
        <w:t>cripture</w:t>
      </w:r>
      <w:r w:rsidR="00B51680">
        <w:t>s</w:t>
      </w:r>
      <w:r w:rsidRPr="002B376E">
        <w:t xml:space="preserve"> on their side, too (cf. 11:14?). Canons of exegesis cannot prove that my use of Isaiah reflects the spirit of Isaiah.</w:t>
      </w:r>
    </w:p>
    <w:p w:rsidR="002B376E" w:rsidRPr="002B376E" w:rsidRDefault="002B376E" w:rsidP="002B376E">
      <w:r w:rsidRPr="002B376E">
        <w:t>Another obvious criterion for deciding whether a prophecy comes from God is whether it comes true (Deut 18:22). I might seem to fail that test. People such as my co</w:t>
      </w:r>
      <w:r w:rsidR="006E5A16">
        <w:t>mmunity may live with</w:t>
      </w:r>
      <w:r w:rsidRPr="002B376E">
        <w:t xml:space="preserve"> unfulfilled prophecies by reinterpreting the events that they experience (emphasizing that something did happen) or </w:t>
      </w:r>
      <w:r w:rsidR="001842ED">
        <w:t xml:space="preserve">by </w:t>
      </w:r>
      <w:r w:rsidRPr="002B376E">
        <w:t xml:space="preserve">reinterpreting the prophecy’s time reference (it hasn’t been fulfilled yet) or </w:t>
      </w:r>
      <w:r w:rsidR="001842ED">
        <w:t xml:space="preserve">by </w:t>
      </w:r>
      <w:r w:rsidRPr="002B376E">
        <w:t>reinterpreting the prophecy itself (it didn’t really refer to an actual event), though in thus acquitting prophecies of failure they risk emptyin</w:t>
      </w:r>
      <w:r w:rsidR="001842ED">
        <w:t>g them of cognitive content.</w:t>
      </w:r>
      <w:r w:rsidR="001842ED">
        <w:rPr>
          <w:rStyle w:val="FootnoteReference"/>
        </w:rPr>
        <w:footnoteReference w:id="774"/>
      </w:r>
      <w:r w:rsidRPr="002B376E">
        <w:t xml:space="preserve"> It might also be said that while I was offering people a way of seeing order in the cosmos by promising that things would work out, it was a high-risk enterprise: it could put the total</w:t>
      </w:r>
      <w:r w:rsidR="001842ED">
        <w:t xml:space="preserve"> order at risk in the long run</w:t>
      </w:r>
      <w:r w:rsidRPr="002B376E">
        <w:t>.</w:t>
      </w:r>
      <w:r w:rsidR="001842ED">
        <w:rPr>
          <w:rStyle w:val="FootnoteReference"/>
        </w:rPr>
        <w:footnoteReference w:id="775"/>
      </w:r>
    </w:p>
    <w:p w:rsidR="002B376E" w:rsidRPr="002B376E" w:rsidRDefault="002B376E" w:rsidP="002B376E">
      <w:r w:rsidRPr="002B376E">
        <w:t>A</w:t>
      </w:r>
      <w:r w:rsidR="006E5A16">
        <w:t>ll these</w:t>
      </w:r>
      <w:r w:rsidR="001842ED">
        <w:t xml:space="preserve"> ways of living with prophecy</w:t>
      </w:r>
      <w:r w:rsidRPr="002B376E">
        <w:t xml:space="preserve"> have been f</w:t>
      </w:r>
      <w:r w:rsidR="00CE56A2">
        <w:t>ound in my visions themselves. First, t</w:t>
      </w:r>
      <w:r w:rsidRPr="002B376E">
        <w:t xml:space="preserve">he words of the OT prophets, who sometimes fail the test of fulfillment, commonly receive what people could see as a partial fulfillment, and perhaps it is this </w:t>
      </w:r>
      <w:r w:rsidR="001842ED">
        <w:t xml:space="preserve">partial fulfillment </w:t>
      </w:r>
      <w:r w:rsidRPr="002B376E">
        <w:t xml:space="preserve">that encouraged the community to hold onto words that were not fulfilled—these </w:t>
      </w:r>
      <w:r w:rsidR="001842ED">
        <w:t xml:space="preserve">words </w:t>
      </w:r>
      <w:r w:rsidRPr="002B376E">
        <w:t>must also have come from God and must offer illumination for the future. My community, too, might not have preserved my words if they had experienced no specta</w:t>
      </w:r>
      <w:r w:rsidR="001842ED">
        <w:t>cular deliverance in 164–163 BC</w:t>
      </w:r>
      <w:r w:rsidRPr="002B376E">
        <w:t>. Hanukkah celebrates the fact that proleptically my words were fulfilled and t</w:t>
      </w:r>
      <w:r w:rsidR="001842ED">
        <w:t>hat I did not prophesy falsely</w:t>
      </w:r>
      <w:r w:rsidRPr="002B376E">
        <w:t>.</w:t>
      </w:r>
      <w:r w:rsidR="001842ED">
        <w:rPr>
          <w:rStyle w:val="FootnoteReference"/>
        </w:rPr>
        <w:footnoteReference w:id="776"/>
      </w:r>
      <w:r w:rsidRPr="002B376E">
        <w:t xml:space="preserve"> Second, though 12:11–12 have been seen as successive reinterpretations of the prophecy’s time reference, in general I can claim that I avoided giving the impression that the End was imminent</w:t>
      </w:r>
      <w:r w:rsidR="001842ED">
        <w:t>,</w:t>
      </w:r>
      <w:r w:rsidRPr="002B376E">
        <w:t xml:space="preserve"> even if I did sound interested in calculating its time</w:t>
      </w:r>
      <w:r w:rsidR="001842ED">
        <w:t>.</w:t>
      </w:r>
      <w:r w:rsidR="001842ED">
        <w:rPr>
          <w:rStyle w:val="FootnoteReference"/>
        </w:rPr>
        <w:footnoteReference w:id="777"/>
      </w:r>
      <w:r w:rsidRPr="002B376E">
        <w:t xml:space="preserve"> Third, some prophecies are intended “mythically.” They involve that “intersection of the ideal and the circumstantial” which features in the royal psalms; they are not purely eschatological</w:t>
      </w:r>
      <w:r w:rsidR="001842ED">
        <w:t>.</w:t>
      </w:r>
      <w:r w:rsidR="001842ED">
        <w:rPr>
          <w:rStyle w:val="FootnoteReference"/>
        </w:rPr>
        <w:footnoteReference w:id="778"/>
      </w:r>
      <w:r w:rsidRPr="002B376E">
        <w:t xml:space="preserve"> </w:t>
      </w:r>
      <w:r w:rsidR="000B44CA">
        <w:t>Even my quasi-prediction</w:t>
      </w:r>
      <w:r w:rsidRPr="002B376E">
        <w:t>s, after all, offered not an objective historical accoun</w:t>
      </w:r>
      <w:r w:rsidR="000B44CA">
        <w:t>t of Antiochus but an interpre</w:t>
      </w:r>
      <w:r w:rsidRPr="002B376E">
        <w:t>tive portrait of wh</w:t>
      </w:r>
      <w:r w:rsidR="000B44CA">
        <w:t xml:space="preserve">at he stood for, painted in </w:t>
      </w:r>
      <w:r w:rsidRPr="002B376E">
        <w:t>light of scriptural a</w:t>
      </w:r>
      <w:r w:rsidR="007C7224">
        <w:t>rchetypes. The actual declarations about the future</w:t>
      </w:r>
      <w:r w:rsidRPr="002B376E">
        <w:t>, which also do something newl</w:t>
      </w:r>
      <w:r w:rsidR="00B51680">
        <w:t>y creative with old words from the s</w:t>
      </w:r>
      <w:r w:rsidRPr="002B376E">
        <w:t>cripture</w:t>
      </w:r>
      <w:r w:rsidR="00B51680">
        <w:t>s</w:t>
      </w:r>
      <w:r w:rsidRPr="002B376E">
        <w:t xml:space="preserve">, are then more promise than prediction; 12:1–3, for instance, was a flight of my imagination comparable to Job’s (e.g., 19:23–27). The encouragement </w:t>
      </w:r>
      <w:r w:rsidR="000B44CA">
        <w:t xml:space="preserve">they offer can survive </w:t>
      </w:r>
      <w:r w:rsidRPr="002B376E">
        <w:t xml:space="preserve">literal disconfirmation, and subsequent generations can feel that they directly address them in different but analogous crises in which the End approaches them as threat but </w:t>
      </w:r>
      <w:r w:rsidR="007C7224">
        <w:t xml:space="preserve">which </w:t>
      </w:r>
      <w:r w:rsidRPr="002B376E">
        <w:t>in their light can become promise.</w:t>
      </w:r>
    </w:p>
    <w:p w:rsidR="002B376E" w:rsidRPr="002B376E" w:rsidRDefault="002B376E" w:rsidP="002B376E">
      <w:r w:rsidRPr="002B376E">
        <w:t xml:space="preserve">That </w:t>
      </w:r>
      <w:r w:rsidR="007C7224">
        <w:t xml:space="preserve">dynamic </w:t>
      </w:r>
      <w:r w:rsidRPr="002B376E">
        <w:t xml:space="preserve">suggests another way of establishing whether my message was a divine revelation. Does it look like one that can be lived with? At least some </w:t>
      </w:r>
      <w:r w:rsidR="007C7224">
        <w:t>people in the second century BC</w:t>
      </w:r>
      <w:r w:rsidRPr="002B376E">
        <w:t xml:space="preserve"> found it so, preserved it, and shared it with subsequent generations, so that it found a place among those scriptures that shaped the identity of Jews and Christians of all shades of belief and gave them the perspectives with which to view analogous crises.</w:t>
      </w:r>
    </w:p>
    <w:p w:rsidR="002B376E" w:rsidRPr="002B376E" w:rsidRDefault="002B376E" w:rsidP="00745AE0">
      <w:r w:rsidRPr="00B2534D">
        <w:rPr>
          <w:b/>
        </w:rPr>
        <w:t xml:space="preserve">(b) Heavenly powers share in shaping the events of earthly history. </w:t>
      </w:r>
      <w:r w:rsidRPr="002B376E">
        <w:t>I s</w:t>
      </w:r>
      <w:r w:rsidR="00CF2B1E">
        <w:t>poke of a struggle involving Israel’s leader</w:t>
      </w:r>
      <w:r w:rsidRPr="002B376E">
        <w:t xml:space="preserve">, Michael, and the unnamed leaders of Persia and Greece, a struggle over </w:t>
      </w:r>
      <w:r w:rsidRPr="002B376E">
        <w:lastRenderedPageBreak/>
        <w:t>whether God’s purpose fo</w:t>
      </w:r>
      <w:r w:rsidR="00B2534D">
        <w:t>r history should be revealed, which was</w:t>
      </w:r>
      <w:r w:rsidRPr="002B376E">
        <w:t xml:space="preserve"> also a struggle over whether it should thereby be put into effect. That </w:t>
      </w:r>
      <w:r w:rsidR="00B2534D">
        <w:t xml:space="preserve">way of thinking </w:t>
      </w:r>
      <w:r w:rsidRPr="002B376E">
        <w:t>does not</w:t>
      </w:r>
      <w:r w:rsidR="00B2534D">
        <w:t xml:space="preserve"> mean that we should understand </w:t>
      </w:r>
      <w:r w:rsidRPr="002B376E">
        <w:t>history in a duali</w:t>
      </w:r>
      <w:r w:rsidR="00B2534D">
        <w:t xml:space="preserve">stic way. </w:t>
      </w:r>
      <w:r w:rsidRPr="002B376E">
        <w:t xml:space="preserve">God is sovereign in heaven and on earth; there is no other power to rival him (I </w:t>
      </w:r>
      <w:r w:rsidR="00B2534D">
        <w:t>do not refer to a</w:t>
      </w:r>
      <w:r w:rsidRPr="002B376E">
        <w:t xml:space="preserve"> Satan). His purpose can be opposed and delayed, but not frustrated. I did not suggest a dualism of ultimate powers. Nor did I imply that the real decisions about history are made in heaven, so that human acts make no difference to what happens. My revelation concerning Hellenistic history made clear that human beings are responsible for history. Armies have to fight as if the battle on</w:t>
      </w:r>
      <w:r w:rsidR="00B2534D">
        <w:t xml:space="preserve"> the earthly plane alone counts</w:t>
      </w:r>
      <w:r w:rsidRPr="002B376E">
        <w:t>. On the other hand, monistic thinking about h</w:t>
      </w:r>
      <w:r w:rsidR="007C7224">
        <w:t>istory is an oversimplification.</w:t>
      </w:r>
      <w:r w:rsidRPr="002B376E">
        <w:t xml:space="preserve"> I do not see history as the outworking of human decisions alone. </w:t>
      </w:r>
      <w:r w:rsidR="00200AC9">
        <w:t>There is “a</w:t>
      </w:r>
      <w:r w:rsidR="00200AC9" w:rsidRPr="00200AC9">
        <w:t xml:space="preserve"> synergism between human and divine history.”</w:t>
      </w:r>
      <w:r w:rsidR="00200AC9" w:rsidRPr="00200AC9">
        <w:rPr>
          <w:vertAlign w:val="superscript"/>
        </w:rPr>
        <w:footnoteReference w:id="779"/>
      </w:r>
      <w:r w:rsidR="00200AC9">
        <w:t xml:space="preserve"> </w:t>
      </w:r>
      <w:r w:rsidRPr="002B376E">
        <w:t>Not only do free human decisions unwittingly contribute to the working out of God’s purpose (</w:t>
      </w:r>
      <w:r w:rsidR="007C7224">
        <w:t xml:space="preserve">see </w:t>
      </w:r>
      <w:r w:rsidRPr="002B376E">
        <w:t xml:space="preserve">chap. 2 </w:t>
      </w:r>
      <w:r w:rsidRPr="00B2534D">
        <w:rPr>
          <w:i/>
        </w:rPr>
        <w:t>Explanation</w:t>
      </w:r>
      <w:r w:rsidRPr="002B376E">
        <w:t>); what I said a</w:t>
      </w:r>
      <w:r w:rsidR="007C7224">
        <w:t>bout the activity of the supernatural leaders</w:t>
      </w:r>
      <w:r w:rsidRPr="002B376E">
        <w:t xml:space="preserve"> of the nations (10:13; 10:20–11:1) presupposed that the purposes of kings and nations are more than merely the decisions of particular human beings. Some</w:t>
      </w:r>
      <w:r w:rsidR="007C7224">
        <w:t>thing in the realm of the supernatural</w:t>
      </w:r>
      <w:r w:rsidRPr="002B376E">
        <w:t xml:space="preserve"> lies behind them.</w:t>
      </w:r>
    </w:p>
    <w:p w:rsidR="002B376E" w:rsidRPr="002B376E" w:rsidRDefault="002B376E" w:rsidP="002B376E">
      <w:r w:rsidRPr="002B376E">
        <w:t xml:space="preserve">Compared with </w:t>
      </w:r>
      <w:r w:rsidRPr="00B2534D">
        <w:rPr>
          <w:i/>
        </w:rPr>
        <w:t>1 Enoch</w:t>
      </w:r>
      <w:r w:rsidRPr="002B376E">
        <w:t xml:space="preserve"> I made </w:t>
      </w:r>
      <w:r w:rsidR="00B2534D">
        <w:t xml:space="preserve">only </w:t>
      </w:r>
      <w:r w:rsidRPr="002B376E">
        <w:t>r</w:t>
      </w:r>
      <w:r w:rsidR="00B2534D">
        <w:t>ather allusive reference to those</w:t>
      </w:r>
      <w:r w:rsidRPr="002B376E">
        <w:t xml:space="preserve"> heavenly beings, though I allowed more for this way of thinking than 1 Maccabees</w:t>
      </w:r>
      <w:r w:rsidR="00B2534D">
        <w:t xml:space="preserve"> does</w:t>
      </w:r>
      <w:r w:rsidRPr="002B376E">
        <w:t>. I said little or nothing about their nature or origin, about how many of them there are or how they are ordered, or about distinctions between g</w:t>
      </w:r>
      <w:r w:rsidR="00B2534D">
        <w:t>ood and evil beings among them</w:t>
      </w:r>
      <w:r w:rsidRPr="002B376E">
        <w:t>.</w:t>
      </w:r>
      <w:r w:rsidR="00B2534D">
        <w:rPr>
          <w:rStyle w:val="FootnoteReference"/>
        </w:rPr>
        <w:footnoteReference w:id="780"/>
      </w:r>
      <w:r w:rsidRPr="002B376E">
        <w:t xml:space="preserve"> What I did say indicates that consideration of them requires more than jest or sentimentalism. They are not dainty figures in dresses, but figures whose very names draw attention to the uniqueness and the might of God, which they mediate.</w:t>
      </w:r>
    </w:p>
    <w:p w:rsidR="00B2534D" w:rsidRDefault="002B376E" w:rsidP="002B376E">
      <w:r w:rsidRPr="002B376E">
        <w:t xml:space="preserve">Historically, the </w:t>
      </w:r>
      <w:r w:rsidR="00B2534D">
        <w:t xml:space="preserve">idea of the </w:t>
      </w:r>
      <w:r w:rsidRPr="002B376E">
        <w:t xml:space="preserve">leaders of the nations developed from the </w:t>
      </w:r>
      <w:r w:rsidR="00B2534D">
        <w:t>the idea of many gods in</w:t>
      </w:r>
      <w:r w:rsidRPr="002B376E">
        <w:t xml:space="preserve"> polytheistic religions. We always knew that Yahweh was uniquely God; even Michael’s name draws attention to there being </w:t>
      </w:r>
      <w:r w:rsidR="00B2534D">
        <w:t>no one like God even in heaven</w:t>
      </w:r>
      <w:r w:rsidRPr="002B376E">
        <w:t>.</w:t>
      </w:r>
      <w:r w:rsidR="00B2534D">
        <w:rPr>
          <w:rStyle w:val="FootnoteReference"/>
        </w:rPr>
        <w:footnoteReference w:id="781"/>
      </w:r>
      <w:r w:rsidRPr="002B376E">
        <w:t xml:space="preserve"> But we also knew that the life of heaven was more complex than might be implied by a bare affirmat</w:t>
      </w:r>
      <w:r w:rsidR="00B2534D">
        <w:t>ion that Yahweh alone was God. And t</w:t>
      </w:r>
      <w:r w:rsidRPr="002B376E">
        <w:t>he idea of the leaders of the nations provided a way of thinki</w:t>
      </w:r>
      <w:r w:rsidR="00B2534D">
        <w:t xml:space="preserve">ng about history as we </w:t>
      </w:r>
      <w:r w:rsidRPr="002B376E">
        <w:t xml:space="preserve">experienced it. History involves conflicts between peoples that seem to reflect more than merely human factors—for </w:t>
      </w:r>
      <w:r w:rsidR="00B2534D">
        <w:t xml:space="preserve">instance, it involves inexplicable defeats and </w:t>
      </w:r>
      <w:r w:rsidR="00CF2B1E">
        <w:t>i</w:t>
      </w:r>
      <w:r w:rsidR="00B2534D" w:rsidRPr="00B2534D">
        <w:t>nexplicable</w:t>
      </w:r>
      <w:r w:rsidR="00B2534D">
        <w:t xml:space="preserve"> </w:t>
      </w:r>
      <w:r w:rsidRPr="002B376E">
        <w:t xml:space="preserve">victories. This conflict is sometimes one that seems to have more than merely human significance, yet on other occasions it is one in which the hand of God cannot be discerned nor </w:t>
      </w:r>
      <w:r w:rsidR="00B2534D">
        <w:t xml:space="preserve">can </w:t>
      </w:r>
      <w:r w:rsidRPr="002B376E">
        <w:t xml:space="preserve">promises such as those of Ps 2 be seen to be effective. </w:t>
      </w:r>
    </w:p>
    <w:p w:rsidR="002B376E" w:rsidRPr="002B376E" w:rsidRDefault="002B376E" w:rsidP="002B376E">
      <w:r w:rsidRPr="002B376E">
        <w:t>The power of</w:t>
      </w:r>
      <w:r w:rsidR="007C7224">
        <w:t xml:space="preserve"> the leader of Persia mirrors</w:t>
      </w:r>
      <w:r w:rsidRPr="002B376E">
        <w:t xml:space="preserve"> Persia’s actual political power.</w:t>
      </w:r>
      <w:r w:rsidR="00EE4629">
        <w:rPr>
          <w:rStyle w:val="FootnoteReference"/>
        </w:rPr>
        <w:footnoteReference w:id="782"/>
      </w:r>
      <w:r w:rsidRPr="002B376E">
        <w:t xml:space="preserve"> The idea of the heavenly leaders of the nations is a way of expressing the fact that there is more to history and to reality than we can see: both individuals and states are more than merely themselves as historical realities.</w:t>
      </w:r>
      <w:r w:rsidR="00B2534D">
        <w:rPr>
          <w:rStyle w:val="FootnoteReference"/>
        </w:rPr>
        <w:footnoteReference w:id="783"/>
      </w:r>
      <w:r w:rsidR="007C7224">
        <w:t xml:space="preserve"> While t</w:t>
      </w:r>
      <w:r w:rsidR="00CF2B1E">
        <w:t xml:space="preserve">he leaders are somehow </w:t>
      </w:r>
      <w:r w:rsidRPr="002B376E">
        <w:t>under God’s control, and they ar</w:t>
      </w:r>
      <w:r w:rsidR="007C7224">
        <w:t>e not his demonic opponents,</w:t>
      </w:r>
      <w:r w:rsidRPr="002B376E">
        <w:t xml:space="preserve"> neither are they simply his heavenly obedient servants. The job of the leader of Persia is to represent Persian interests in a world in conflict; “it has a right to contest for the best interests of the Persian empire narrowly defined.” The leaders are not “idealized personifications” of their nations; “they represent the actual spirituality and pos</w:t>
      </w:r>
      <w:r w:rsidR="000B3CD6">
        <w:t>sibilities of actual entities.”</w:t>
      </w:r>
      <w:r w:rsidR="000B3CD6">
        <w:rPr>
          <w:rStyle w:val="FootnoteReference"/>
        </w:rPr>
        <w:footnoteReference w:id="784"/>
      </w:r>
    </w:p>
    <w:p w:rsidR="002B376E" w:rsidRPr="002B376E" w:rsidRDefault="000B3CD6" w:rsidP="002B376E">
      <w:r>
        <w:t>Not only is it often impossible to see the hand of God in history; it is often impossble to see</w:t>
      </w:r>
      <w:r w:rsidR="002B376E" w:rsidRPr="002B376E">
        <w:t xml:space="preserve"> the hand of the nations themselves. Events work out despite their intentions rather than through them. I have a vision of a day when the United States and the Soviet Union have reached an agreement in </w:t>
      </w:r>
      <w:r w:rsidR="002B376E" w:rsidRPr="002B376E">
        <w:lastRenderedPageBreak/>
        <w:t>principle on the control of medium-range nuclear weapons such as could not have been dreamed of two years before, given the then posturing of both governments; but in that same week I foresee an escalation of Iranian-American hostilities in the Gulf War despite the apparent desire of both governments for disengagement.</w:t>
      </w:r>
      <w:r w:rsidR="001C4499">
        <w:rPr>
          <w:rStyle w:val="FootnoteReference"/>
        </w:rPr>
        <w:footnoteReference w:id="785"/>
      </w:r>
      <w:r w:rsidR="002B376E" w:rsidRPr="002B376E">
        <w:t xml:space="preserve"> What nations do, for good or ill, is not always what they were planning to do. It is as if some power other than the powers themselves influences the shaping of their destiny.</w:t>
      </w:r>
    </w:p>
    <w:p w:rsidR="002B376E" w:rsidRPr="002B376E" w:rsidRDefault="002B376E" w:rsidP="002B376E">
      <w:r w:rsidRPr="002B376E">
        <w:t xml:space="preserve">Another theological issue underlies this idea, or at least emerges from it. In referring to the figures who appeared to me, I did not use words such as “angel” that apply only to supernatural beings. I called them by phrases such as “a manlike being,” or—without </w:t>
      </w:r>
      <w:r w:rsidR="001C4499">
        <w:t>that qualifying“like”</w:t>
      </w:r>
      <w:r w:rsidRPr="002B376E">
        <w:t>—“a man in linen.” I emphasized that there was something special about these figures, but my language also stressed their kinship with humanity. I used the ordinary word “leader,” too, without qualification, both for celestial beings and for earthly ones (10:13, 20, 21; 11:5; 12:1; cf. 1:7–11, 18; 8:11, 25; 9:6, 8), and the ordinary word for “king” in 10:13 in a context where I was talking about supernatural figures.</w:t>
      </w:r>
    </w:p>
    <w:p w:rsidR="002B376E" w:rsidRPr="002B376E" w:rsidRDefault="002B376E" w:rsidP="002B376E">
      <w:r w:rsidRPr="002B376E">
        <w:t>The NT uses the equivalent Greek words for “leader” for both material and spiritual</w:t>
      </w:r>
      <w:r w:rsidR="00CF2B1E">
        <w:t xml:space="preserve">/heavenly powers (e.g., </w:t>
      </w:r>
      <w:r w:rsidR="002413BE" w:rsidRPr="002B376E">
        <w:t xml:space="preserve">Th’s equivalent for </w:t>
      </w:r>
      <w:r w:rsidR="002413BE" w:rsidRPr="002B376E">
        <w:rPr>
          <w:rFonts w:ascii="Arial" w:hAnsi="Arial" w:cs="Arial"/>
        </w:rPr>
        <w:t>שר</w:t>
      </w:r>
      <w:r w:rsidR="002413BE" w:rsidRPr="002B376E">
        <w:t xml:space="preserve"> in Dan</w:t>
      </w:r>
      <w:r w:rsidR="002413BE">
        <w:t xml:space="preserve">iel, </w:t>
      </w:r>
      <w:r w:rsidR="00CF2B1E">
        <w:t>ἄρχων</w:t>
      </w:r>
      <w:r w:rsidRPr="002B376E">
        <w:t xml:space="preserve"> , in Rom 13:3; 1 Cor 2:6, 8; the more common related noun ἀρχή, e.g., Rom 8:38; Eph 6:12; Col 1:16). Both the Hebrew and the Greek words generally denot</w:t>
      </w:r>
      <w:r w:rsidR="001C4499">
        <w:t xml:space="preserve">e human leaders, but </w:t>
      </w:r>
      <w:r w:rsidR="002413BE">
        <w:t xml:space="preserve">sometimes denote supernatural </w:t>
      </w:r>
      <w:r w:rsidRPr="002B376E">
        <w:t xml:space="preserve">ones, and sometimes </w:t>
      </w:r>
      <w:r w:rsidR="002131EE">
        <w:t xml:space="preserve">they </w:t>
      </w:r>
      <w:r w:rsidRPr="002B376E">
        <w:t>are ambiguous (cf. Dan 10:13</w:t>
      </w:r>
      <w:r w:rsidR="002131EE">
        <w:t xml:space="preserve">). Perhaps the fluidity and </w:t>
      </w:r>
      <w:r w:rsidRPr="002B376E">
        <w:t>ambiguity in such usage reflects a duality about all entities that embody po</w:t>
      </w:r>
      <w:r w:rsidR="002131EE">
        <w:t>wer</w:t>
      </w:r>
      <w:r w:rsidRPr="002B376E">
        <w:t>.</w:t>
      </w:r>
      <w:r w:rsidR="002131EE">
        <w:rPr>
          <w:rStyle w:val="FootnoteReference"/>
        </w:rPr>
        <w:footnoteReference w:id="786"/>
      </w:r>
      <w:r w:rsidRPr="002B376E">
        <w:t xml:space="preserve"> There is something human, earthly, structural, political, and visible about them. There is also something heavenly, invisible, supra</w:t>
      </w:r>
      <w:r w:rsidR="002413BE">
        <w:t>human, immaterial, and supernatural</w:t>
      </w:r>
      <w:r w:rsidRPr="002B376E">
        <w:t>. The powers have an inner and an outer aspect, an outer form and an inner dr</w:t>
      </w:r>
      <w:r w:rsidR="002413BE">
        <w:t>iving self</w:t>
      </w:r>
      <w:r w:rsidRPr="002B376E">
        <w:t>. They are not merely metaphors for structures of power within the nation itself, but neither do they exist in themselves, as independent persons or disembodied spirits. They have no profile of their own; their significance is only as agents of God and/or foci of human societies.</w:t>
      </w:r>
      <w:r w:rsidR="002131EE">
        <w:t xml:space="preserve"> </w:t>
      </w:r>
      <w:r w:rsidRPr="002B376E">
        <w:t>Nations as such</w:t>
      </w:r>
      <w:r w:rsidR="002131EE">
        <w:t>, then,</w:t>
      </w:r>
      <w:r w:rsidRPr="002B376E">
        <w:t xml:space="preserve"> ha</w:t>
      </w:r>
      <w:r w:rsidR="002131EE">
        <w:t>ve personalities and vocations</w:t>
      </w:r>
      <w:r w:rsidRPr="002B376E">
        <w:t>.</w:t>
      </w:r>
      <w:r w:rsidR="002131EE">
        <w:rPr>
          <w:rStyle w:val="FootnoteReference"/>
        </w:rPr>
        <w:footnoteReference w:id="787"/>
      </w:r>
      <w:r w:rsidRPr="002B376E">
        <w:t xml:space="preserve"> But even in a democracy power becomes embodied in individuals. “It is the fortuitous conjunction of a powerful personality in a powerful office</w:t>
      </w:r>
      <w:r w:rsidR="002131EE">
        <w:t xml:space="preserve"> that makes a powerful leader</w:t>
      </w:r>
      <w:r w:rsidRPr="002B376E">
        <w:t>.</w:t>
      </w:r>
      <w:r w:rsidR="002131EE">
        <w:t>”</w:t>
      </w:r>
      <w:r w:rsidR="002131EE">
        <w:rPr>
          <w:rStyle w:val="FootnoteReference"/>
        </w:rPr>
        <w:footnoteReference w:id="788"/>
      </w:r>
      <w:r w:rsidRPr="002B376E">
        <w:t xml:space="preserve"> “Leaders,” human and heavenly, both focus that personality and vocation.</w:t>
      </w:r>
    </w:p>
    <w:p w:rsidR="002B376E" w:rsidRDefault="002B376E" w:rsidP="002B376E">
      <w:r w:rsidRPr="002B376E">
        <w:t xml:space="preserve">Col 1:16–20 reaffirms what I presupposed, that all power in its visible and invisible aspects was created by God and exists for God. Overwhelmed by the significance of </w:t>
      </w:r>
      <w:r w:rsidR="002413BE">
        <w:t>Jesus, Paul</w:t>
      </w:r>
      <w:r w:rsidRPr="002B376E">
        <w:t xml:space="preserve"> further affirms that all </w:t>
      </w:r>
      <w:r w:rsidR="002413BE">
        <w:t>such power was created in him</w:t>
      </w:r>
      <w:r w:rsidRPr="002B376E">
        <w:t>, t</w:t>
      </w:r>
      <w:r w:rsidR="002413BE">
        <w:t>hrough him, and for him</w:t>
      </w:r>
      <w:r w:rsidR="001C4499">
        <w:t>. The powers</w:t>
      </w:r>
      <w:r w:rsidRPr="002B376E">
        <w:t xml:space="preserve"> </w:t>
      </w:r>
      <w:r w:rsidR="001C4499">
        <w:t>“</w:t>
      </w:r>
      <w:r w:rsidRPr="002B376E">
        <w:t>only have their being because of him; they are upheld, even in their defections, by him. They exist to serve the purpose of the whole creation as it</w:t>
      </w:r>
      <w:r w:rsidR="002413BE">
        <w:t xml:space="preserve"> comes to its focus in him….</w:t>
      </w:r>
      <w:r w:rsidRPr="002B376E">
        <w:t xml:space="preserve"> Try as they will to become autonomous and set up their own interests as the highest good, the Powers must inevitably come to terms</w:t>
      </w:r>
      <w:r w:rsidR="002131EE">
        <w:t xml:space="preserve"> with the Power of the Powers</w:t>
      </w:r>
      <w:r w:rsidRPr="002B376E">
        <w:t>.</w:t>
      </w:r>
      <w:r w:rsidR="002131EE">
        <w:t>”</w:t>
      </w:r>
      <w:r w:rsidR="002131EE">
        <w:rPr>
          <w:rStyle w:val="FootnoteReference"/>
        </w:rPr>
        <w:footnoteReference w:id="789"/>
      </w:r>
      <w:r w:rsidRPr="002B376E">
        <w:t xml:space="preserve"> In a context such as that of Dan 1–6, it is our task to call them back</w:t>
      </w:r>
      <w:r w:rsidR="001C4499">
        <w:t xml:space="preserve"> to their origins and destiny. Even i</w:t>
      </w:r>
      <w:r w:rsidRPr="002B376E">
        <w:t xml:space="preserve">n a context such as that of Dan 7–12, when there seems no likelihood that they will respond to such a call, my </w:t>
      </w:r>
      <w:r w:rsidR="002131EE">
        <w:t xml:space="preserve">vision implies that it is </w:t>
      </w:r>
      <w:r w:rsidRPr="002B376E">
        <w:t>our</w:t>
      </w:r>
      <w:r w:rsidR="002413BE">
        <w:t xml:space="preserve"> task to pray for them. It</w:t>
      </w:r>
      <w:r w:rsidRPr="002B376E">
        <w:t xml:space="preserve"> is still our way of confrontin</w:t>
      </w:r>
      <w:r w:rsidR="002413BE">
        <w:t>g the supernatural</w:t>
      </w:r>
      <w:r w:rsidRPr="002B376E">
        <w:t xml:space="preserve"> realities of which the political is an embodiment. </w:t>
      </w:r>
      <w:r w:rsidR="001C4499" w:rsidRPr="001C4499">
        <w:t>It was not my job to engage with these heavenly forces. It was my job to pray and to recognize that the reality of conflict in heaven was one factor that made things troublesome in the world.</w:t>
      </w:r>
      <w:r w:rsidR="001C4499" w:rsidRPr="001C4499">
        <w:rPr>
          <w:vertAlign w:val="superscript"/>
        </w:rPr>
        <w:footnoteReference w:id="790"/>
      </w:r>
      <w:r w:rsidR="001C4499">
        <w:t xml:space="preserve"> </w:t>
      </w:r>
      <w:r w:rsidRPr="002B376E">
        <w:t xml:space="preserve">Presumably it is no coincidence </w:t>
      </w:r>
      <w:r w:rsidRPr="002B376E">
        <w:lastRenderedPageBreak/>
        <w:t xml:space="preserve">that my period of prayer and the leaders’ period of conflict were coterminous. It implies that prayer can play a role in opening up the possibility of God’s purpose being fulfilled when human purposes conflict with it. </w:t>
      </w:r>
      <w:r w:rsidR="00200AC9" w:rsidRPr="00200AC9">
        <w:t>There are sometimes reasons why prayers don’t get answered straightaway.</w:t>
      </w:r>
      <w:r w:rsidR="00200AC9" w:rsidRPr="00200AC9">
        <w:rPr>
          <w:vertAlign w:val="superscript"/>
        </w:rPr>
        <w:footnoteReference w:id="791"/>
      </w:r>
      <w:r w:rsidR="00200AC9" w:rsidRPr="00200AC9">
        <w:t xml:space="preserve"> </w:t>
      </w:r>
      <w:r w:rsidR="00200AC9">
        <w:t>But m</w:t>
      </w:r>
      <w:r w:rsidRPr="002B376E">
        <w:t>y cry “opened an aperture for God to act in concert with human freedom. It inaugurated war in heaven. It opened a way through the impenetrable spirituality of a foreign hegemony in order to declare a ne</w:t>
      </w:r>
      <w:r w:rsidR="002131EE">
        <w:t>w and real divine possibility</w:t>
      </w:r>
      <w:r w:rsidRPr="002B376E">
        <w:t>.</w:t>
      </w:r>
      <w:r w:rsidR="002131EE">
        <w:t>”</w:t>
      </w:r>
      <w:r w:rsidR="002131EE">
        <w:rPr>
          <w:rStyle w:val="FootnoteReference"/>
        </w:rPr>
        <w:footnoteReference w:id="792"/>
      </w:r>
      <w:r w:rsidRPr="002B376E">
        <w:t xml:space="preserve"> My vision did not provide a rationale for how this is so, but it expresses in narrative form the conviction that it is so.</w:t>
      </w:r>
    </w:p>
    <w:p w:rsidR="009C4EFE" w:rsidRDefault="009C4EFE" w:rsidP="009C4EFE">
      <w:r>
        <w:t xml:space="preserve">The </w:t>
      </w:r>
      <w:r w:rsidR="002413BE">
        <w:t>celestial interrogators are a blessing to the persecuted</w:t>
      </w:r>
      <w:r>
        <w:t>. “Raise the questions, they imply…; raise them in groanings of spirit…. Shall faith permit of no perplexities? The angels deny it, urging perplexities of their own.”</w:t>
      </w:r>
      <w:r>
        <w:rPr>
          <w:rStyle w:val="FootnoteReference"/>
        </w:rPr>
        <w:footnoteReference w:id="793"/>
      </w:r>
    </w:p>
    <w:p w:rsidR="001D2AA1" w:rsidRDefault="002B376E" w:rsidP="002B376E">
      <w:r w:rsidRPr="002131EE">
        <w:rPr>
          <w:b/>
        </w:rPr>
        <w:t>(c) The details of Israel’s history are within the control of God.</w:t>
      </w:r>
      <w:r w:rsidRPr="002B376E">
        <w:t xml:space="preserve"> My vision pictured a</w:t>
      </w:r>
      <w:r w:rsidR="00200AC9">
        <w:t xml:space="preserve"> heavenly being revealing during the 530s</w:t>
      </w:r>
      <w:r w:rsidRPr="002B376E">
        <w:t xml:space="preserve"> even</w:t>
      </w:r>
      <w:r w:rsidR="001D2AA1">
        <w:t>ts to take place over the subsequent</w:t>
      </w:r>
      <w:r w:rsidRPr="002B376E">
        <w:t xml:space="preserve"> four centuries up to the End, </w:t>
      </w:r>
      <w:r w:rsidR="00056055">
        <w:t>from the contents of “a trustworthy</w:t>
      </w:r>
      <w:r w:rsidRPr="002B376E">
        <w:t xml:space="preserve"> book” (10:21). To say that history was pre-written was to affirm the belief </w:t>
      </w:r>
      <w:r w:rsidR="001D2AA1">
        <w:t>that it is u</w:t>
      </w:r>
      <w:r w:rsidR="00C11940">
        <w:t>nder control. I</w:t>
      </w:r>
      <w:r w:rsidR="001D2AA1">
        <w:t>t could</w:t>
      </w:r>
      <w:r w:rsidR="00C11940">
        <w:t xml:space="preserve"> </w:t>
      </w:r>
      <w:r w:rsidRPr="002B376E">
        <w:t xml:space="preserve">seem to imply that history is an imposed destiny, fixed independently of the wills of its participants; the march of the kingdoms is the march of </w:t>
      </w:r>
      <w:r w:rsidR="00056055">
        <w:t>toy soldiers programmed by God</w:t>
      </w:r>
      <w:r w:rsidRPr="002B376E">
        <w:t>.</w:t>
      </w:r>
      <w:r w:rsidR="00056055">
        <w:rPr>
          <w:rStyle w:val="FootnoteReference"/>
        </w:rPr>
        <w:footnoteReference w:id="794"/>
      </w:r>
      <w:r w:rsidR="001D2AA1">
        <w:t xml:space="preserve"> If it</w:t>
      </w:r>
      <w:r w:rsidRPr="002B376E">
        <w:t xml:space="preserve"> were so, even I might have reckoned that God could have programmed it better. To speak in terms of history’s being pre-written is not incompatible with speaking </w:t>
      </w:r>
      <w:r w:rsidR="00056055">
        <w:t>of God’s giving people responsibility</w:t>
      </w:r>
      <w:r w:rsidRPr="002B376E">
        <w:t xml:space="preserve"> so that they choose whether to walk in his way (cf. </w:t>
      </w:r>
      <w:r w:rsidRPr="00056055">
        <w:rPr>
          <w:i/>
        </w:rPr>
        <w:t>1 Enoch</w:t>
      </w:r>
      <w:r w:rsidRPr="002B376E">
        <w:t>). The stories of Nebuchadnezzar and Belshazzar (Dan 4–5) similarly treat heathen kings both as standing beneath an overarching determination of God and as responsible to him and to themselves for their destinies. In understanding the sign</w:t>
      </w:r>
      <w:r w:rsidR="00056055">
        <w:t>ificance of the book image, one</w:t>
      </w:r>
      <w:r w:rsidRPr="002B376E">
        <w:t xml:space="preserve"> need</w:t>
      </w:r>
      <w:r w:rsidR="00056055">
        <w:t>s to keep reminding one</w:t>
      </w:r>
      <w:r w:rsidRPr="002B376E">
        <w:t xml:space="preserve">self that </w:t>
      </w:r>
      <w:r w:rsidR="001D2AA1">
        <w:t xml:space="preserve">in respect of </w:t>
      </w:r>
      <w:r w:rsidRPr="002B376E">
        <w:t>the vast bulk of the history that I desc</w:t>
      </w:r>
      <w:r w:rsidR="00056055">
        <w:t>ribed as pre-written</w:t>
      </w:r>
      <w:r w:rsidR="001D2AA1">
        <w:t>,</w:t>
      </w:r>
      <w:r w:rsidR="00056055">
        <w:t xml:space="preserve"> I was </w:t>
      </w:r>
      <w:r w:rsidRPr="002B376E">
        <w:t xml:space="preserve">declaring </w:t>
      </w:r>
      <w:r w:rsidR="00056055">
        <w:t xml:space="preserve">it </w:t>
      </w:r>
      <w:r w:rsidRPr="002B376E">
        <w:t xml:space="preserve">to be so </w:t>
      </w:r>
      <w:r w:rsidR="00056055">
        <w:t xml:space="preserve">only </w:t>
      </w:r>
      <w:r w:rsidRPr="002B376E">
        <w:t>afterwards. I was describing events as inevitable (11:14, 27, 36) when they were inevitable, after they had happened. To describe t</w:t>
      </w:r>
      <w:r w:rsidR="001D2AA1">
        <w:t xml:space="preserve">hem in this way </w:t>
      </w:r>
      <w:r w:rsidRPr="002B376E">
        <w:t>at that point need not imply a more mechanical view of history than the prophets’</w:t>
      </w:r>
      <w:r w:rsidR="001D2AA1">
        <w:t xml:space="preserve"> view</w:t>
      </w:r>
      <w:r w:rsidRPr="002B376E">
        <w:t>, as if history is fixed and predetermined or self-imp</w:t>
      </w:r>
      <w:r w:rsidR="001D2AA1">
        <w:t>osing as it happens. It is</w:t>
      </w:r>
      <w:r w:rsidRPr="002B376E">
        <w:t xml:space="preserve"> inappropriate to be literalistic in interpreting my visions, as if my message</w:t>
      </w:r>
      <w:r w:rsidR="00056055">
        <w:t xml:space="preserve"> was other than a quasi-prediction</w:t>
      </w:r>
      <w:r w:rsidRPr="002B376E">
        <w:t xml:space="preserve">. </w:t>
      </w:r>
    </w:p>
    <w:p w:rsidR="002B376E" w:rsidRDefault="002B376E" w:rsidP="002B376E">
      <w:r w:rsidRPr="002B376E">
        <w:t>The significance</w:t>
      </w:r>
      <w:r w:rsidR="00056055">
        <w:t xml:space="preserve"> of describing </w:t>
      </w:r>
      <w:r w:rsidRPr="002B376E">
        <w:t>past history as pre-written is</w:t>
      </w:r>
      <w:r w:rsidR="00056055">
        <w:t xml:space="preserve"> to declare that God is </w:t>
      </w:r>
      <w:r w:rsidRPr="002B376E">
        <w:t>in control even of the inexplicabilities of history—the successes of the godless and the sufferings of the faithful—and even at moments when evil is asserting itself in a particularly oppressive way. Given the difficulty of</w:t>
      </w:r>
      <w:r w:rsidR="00056055">
        <w:t xml:space="preserve"> viewing history as it </w:t>
      </w:r>
      <w:r w:rsidRPr="002B376E">
        <w:t>unfolds as the direct will of God, the books declare that it was foreknown by God and in some sense willed by him. It is part of some pattern and purpose, rather than being random and meaningless.</w:t>
      </w:r>
      <w:r w:rsidR="001D2AA1">
        <w:t xml:space="preserve"> Like other parts of the scriptures, however, I assume that God’s capacity to know about events before they happen and to stay in control of the way they develop is not incompatible with the reality of human decisionmaking and responsibility for them.</w:t>
      </w:r>
    </w:p>
    <w:p w:rsidR="002B376E" w:rsidRPr="002B376E" w:rsidRDefault="002B376E" w:rsidP="002B376E">
      <w:r w:rsidRPr="002B376E">
        <w:t xml:space="preserve">The really future events that are read out of God’s books are ones associated with the End, with the final defeat of evil and the final establishment </w:t>
      </w:r>
      <w:r w:rsidR="00056055">
        <w:t>of God’s rule in the world, which</w:t>
      </w:r>
      <w:r w:rsidRPr="002B376E">
        <w:t xml:space="preserve"> is part of the purpose for human history that</w:t>
      </w:r>
      <w:r w:rsidR="00056055">
        <w:t xml:space="preserve"> God is determined to achieve. In this connection, t</w:t>
      </w:r>
      <w:r w:rsidRPr="002B376E">
        <w:t xml:space="preserve">here is a fixed inevitability about history; human beings cannot frustrate God’s ultimate purpose, and in that sense </w:t>
      </w:r>
      <w:r w:rsidR="00056055">
        <w:t xml:space="preserve">they </w:t>
      </w:r>
      <w:r w:rsidRPr="002B376E">
        <w:t xml:space="preserve">cannot alter what has been determined by God’s will. But the detailed portrayal of how the End will come is an imaginative </w:t>
      </w:r>
      <w:r w:rsidR="00B51680">
        <w:t>scenario drawn in the light of s</w:t>
      </w:r>
      <w:r w:rsidRPr="002B376E">
        <w:t>cripture</w:t>
      </w:r>
      <w:r w:rsidR="00B51680">
        <w:t>s</w:t>
      </w:r>
      <w:r w:rsidRPr="002B376E">
        <w:t xml:space="preserve">, rather than a </w:t>
      </w:r>
      <w:r w:rsidR="00056055">
        <w:t xml:space="preserve">forecast of how things </w:t>
      </w:r>
      <w:r w:rsidRPr="002B376E">
        <w:t>must be (see [a] above).</w:t>
      </w:r>
    </w:p>
    <w:p w:rsidR="001D2AA1" w:rsidRPr="001D2AA1" w:rsidRDefault="002B376E" w:rsidP="001D2AA1">
      <w:pPr>
        <w:rPr>
          <w:b/>
        </w:rPr>
      </w:pPr>
      <w:r w:rsidRPr="00056055">
        <w:rPr>
          <w:b/>
        </w:rPr>
        <w:lastRenderedPageBreak/>
        <w:t>(d) The details of Persian and Hellenistic history have no positive theological significance.</w:t>
      </w:r>
      <w:r w:rsidR="001D2AA1">
        <w:rPr>
          <w:b/>
        </w:rPr>
        <w:t xml:space="preserve"> </w:t>
      </w:r>
      <w:r w:rsidR="001D2AA1">
        <w:t xml:space="preserve">“With a doggedness </w:t>
      </w:r>
      <w:r w:rsidR="001D2AA1">
        <w:rPr>
          <w:rStyle w:val="st"/>
        </w:rPr>
        <w:t>not found in any other part of the Book of Daniel the concept of the divine predetermination of the times renders history essentially meaningless, even though this section devotes more space than any other to a review of history.”</w:t>
      </w:r>
      <w:r w:rsidR="001D2AA1">
        <w:rPr>
          <w:rStyle w:val="FootnoteReference"/>
        </w:rPr>
        <w:footnoteReference w:id="795"/>
      </w:r>
      <w:r w:rsidR="001D2AA1">
        <w:rPr>
          <w:rStyle w:val="st"/>
        </w:rPr>
        <w:t xml:space="preserve"> Actually, it is not the idea of predetermination that makes history meaningle</w:t>
      </w:r>
      <w:r w:rsidR="00C11940">
        <w:rPr>
          <w:rStyle w:val="st"/>
        </w:rPr>
        <w:t>ss. History</w:t>
      </w:r>
      <w:r w:rsidR="00FF6A29">
        <w:rPr>
          <w:rStyle w:val="st"/>
        </w:rPr>
        <w:t xml:space="preserve"> is meaningless anyway. </w:t>
      </w:r>
      <w:r w:rsidR="009D24E4">
        <w:rPr>
          <w:rStyle w:val="st"/>
        </w:rPr>
        <w:t>If we see “historiography as a way of knowing,”</w:t>
      </w:r>
      <w:r w:rsidR="009D24E4">
        <w:rPr>
          <w:rStyle w:val="FootnoteReference"/>
        </w:rPr>
        <w:footnoteReference w:id="796"/>
      </w:r>
      <w:r w:rsidR="00C11940">
        <w:rPr>
          <w:rStyle w:val="st"/>
        </w:rPr>
        <w:t xml:space="preserve"> then what it enables us</w:t>
      </w:r>
      <w:r w:rsidR="009D24E4">
        <w:rPr>
          <w:rStyle w:val="st"/>
        </w:rPr>
        <w:t xml:space="preserve"> to know is something deeply discouraging. </w:t>
      </w:r>
    </w:p>
    <w:p w:rsidR="001D2AA1" w:rsidRDefault="001D2AA1" w:rsidP="002B376E"/>
    <w:p w:rsidR="002B376E" w:rsidRPr="002B376E" w:rsidRDefault="002B376E" w:rsidP="002B376E">
      <w:r w:rsidRPr="002B376E">
        <w:t>Tomorrow, and tomorrow, and tomorrow,</w:t>
      </w:r>
    </w:p>
    <w:p w:rsidR="002B376E" w:rsidRPr="002B376E" w:rsidRDefault="002B376E" w:rsidP="002B376E">
      <w:r w:rsidRPr="002B376E">
        <w:t>creeps in this petty pace from day to day,</w:t>
      </w:r>
    </w:p>
    <w:p w:rsidR="002B376E" w:rsidRPr="002B376E" w:rsidRDefault="002B376E" w:rsidP="002B376E">
      <w:r w:rsidRPr="002B376E">
        <w:t>to the last syllable of recorded time:</w:t>
      </w:r>
    </w:p>
    <w:p w:rsidR="002B376E" w:rsidRPr="002B376E" w:rsidRDefault="002B376E" w:rsidP="002B376E">
      <w:r w:rsidRPr="002B376E">
        <w:t>. . . . . . . . . . . a tale</w:t>
      </w:r>
    </w:p>
    <w:p w:rsidR="002B376E" w:rsidRPr="002B376E" w:rsidRDefault="002B376E" w:rsidP="002B376E">
      <w:r w:rsidRPr="002B376E">
        <w:t>told by an idiot, full of sound and fury,</w:t>
      </w:r>
    </w:p>
    <w:p w:rsidR="002B376E" w:rsidRPr="002B376E" w:rsidRDefault="002B376E" w:rsidP="002B376E">
      <w:r w:rsidRPr="002B376E">
        <w:t>signifying nothing.</w:t>
      </w:r>
    </w:p>
    <w:p w:rsidR="002B376E" w:rsidRPr="002B376E" w:rsidRDefault="000B44CA" w:rsidP="002B376E">
      <w:r>
        <w:tab/>
      </w:r>
      <w:r w:rsidR="002B376E" w:rsidRPr="002B376E">
        <w:t>(</w:t>
      </w:r>
      <w:r>
        <w:t xml:space="preserve">William Shakespeare, </w:t>
      </w:r>
      <w:r w:rsidR="002B376E" w:rsidRPr="000B44CA">
        <w:rPr>
          <w:i/>
        </w:rPr>
        <w:t>Macbeth</w:t>
      </w:r>
      <w:r w:rsidR="002B376E" w:rsidRPr="002B376E">
        <w:t>, 5.5.18–20, 25–27)</w:t>
      </w:r>
    </w:p>
    <w:p w:rsidR="000B44CA" w:rsidRDefault="000B44CA" w:rsidP="002B376E">
      <w:pPr>
        <w:rPr>
          <w:lang w:bidi="he-IL"/>
        </w:rPr>
      </w:pPr>
    </w:p>
    <w:p w:rsidR="002B376E" w:rsidRPr="002B376E" w:rsidRDefault="002B376E" w:rsidP="002B376E">
      <w:pPr>
        <w:rPr>
          <w:lang w:bidi="he-IL"/>
        </w:rPr>
      </w:pPr>
      <w:r w:rsidRPr="002B376E">
        <w:rPr>
          <w:lang w:bidi="he-IL"/>
        </w:rPr>
        <w:t>I am unable to find any meaning in history.</w:t>
      </w:r>
    </w:p>
    <w:p w:rsidR="002B376E" w:rsidRPr="002B376E" w:rsidRDefault="000B44CA" w:rsidP="002B376E">
      <w:r>
        <w:tab/>
      </w:r>
      <w:r w:rsidR="002B376E" w:rsidRPr="002B376E">
        <w:t>(H</w:t>
      </w:r>
      <w:r>
        <w:t>. A. L. Fisher</w:t>
      </w:r>
      <w:r w:rsidR="002B376E" w:rsidRPr="002B376E">
        <w:t>)</w:t>
      </w:r>
      <w:r>
        <w:rPr>
          <w:rStyle w:val="FootnoteReference"/>
        </w:rPr>
        <w:footnoteReference w:id="797"/>
      </w:r>
    </w:p>
    <w:p w:rsidR="000B44CA" w:rsidRDefault="000B44CA" w:rsidP="002B376E"/>
    <w:p w:rsidR="009D24E4" w:rsidRPr="00E33B53" w:rsidRDefault="00FA36CA" w:rsidP="009D24E4">
      <w:r>
        <w:t>The implication is not that I suggest a mythical rather than a history-oriented view. While I denied that history is going anywhere and I did look forward to God taking decisive action to being about the victory of the good, I did not take a cyclic view of history nor did I see history as predetermined in a way that excludes human decision-making and responsibility for what happens, nor did I lack interest in actual history.</w:t>
      </w:r>
      <w:r>
        <w:rPr>
          <w:rStyle w:val="FootnoteReference"/>
        </w:rPr>
        <w:footnoteReference w:id="798"/>
      </w:r>
      <w:r>
        <w:t xml:space="preserve"> Yet</w:t>
      </w:r>
      <w:r w:rsidR="00E33B53">
        <w:t xml:space="preserve"> “w</w:t>
      </w:r>
      <w:r w:rsidR="00A00880" w:rsidRPr="00781F53">
        <w:rPr>
          <w:rFonts w:eastAsia="Times New Roman"/>
        </w:rPr>
        <w:t>e cannot fail to see or realise that humanity appears strangel</w:t>
      </w:r>
      <w:r w:rsidR="00A00880">
        <w:rPr>
          <w:rFonts w:eastAsia="Times New Roman"/>
        </w:rPr>
        <w:t>y lost in its history</w:t>
      </w:r>
      <w:r w:rsidR="00E33B53">
        <w:rPr>
          <w:rFonts w:eastAsia="Times New Roman"/>
        </w:rPr>
        <w:t>.” Is it at all possible to know what has happened</w:t>
      </w:r>
      <w:r w:rsidR="00A00880" w:rsidRPr="00781F53">
        <w:rPr>
          <w:rFonts w:eastAsia="Times New Roman"/>
        </w:rPr>
        <w:t xml:space="preserve"> and </w:t>
      </w:r>
      <w:r w:rsidR="00E33B53">
        <w:rPr>
          <w:rFonts w:eastAsia="Times New Roman"/>
        </w:rPr>
        <w:t>what does happen, in any sequence of empires or dynasties you care to name, from ancient times to the twentieth century. “</w:t>
      </w:r>
      <w:r w:rsidR="00A00880" w:rsidRPr="00781F53">
        <w:rPr>
          <w:rFonts w:eastAsia="Times New Roman"/>
        </w:rPr>
        <w:t>We recall all the few or many things that we know of all the great and little powers which here rise and fall, of all the civilisations that come and go with all their transmutations, of all the treaties concluded and broken, and above all of all the wars which were fought, and ended</w:t>
      </w:r>
      <w:r w:rsidR="00E33B53">
        <w:rPr>
          <w:rFonts w:eastAsia="Times New Roman"/>
        </w:rPr>
        <w:t>.” We recall the great names and the acts associated with them</w:t>
      </w:r>
      <w:r w:rsidR="00A00880" w:rsidRPr="00781F53">
        <w:rPr>
          <w:rFonts w:eastAsia="Times New Roman"/>
        </w:rPr>
        <w:t>.</w:t>
      </w:r>
      <w:r w:rsidR="00E33B53">
        <w:rPr>
          <w:rFonts w:eastAsia="Times New Roman"/>
        </w:rPr>
        <w:t>”</w:t>
      </w:r>
      <w:r w:rsidR="00A00880" w:rsidRPr="00781F53">
        <w:rPr>
          <w:rFonts w:eastAsia="Times New Roman"/>
        </w:rPr>
        <w:t xml:space="preserve"> We remember, too, the hopes and disappointments and sufferings and joys, more felt than known, of the anonymous millions of individuals recorded by history only in partial selection and brief outline, yet also participating and contributing as they also live and die in the limits and under the pressure of the conditions imposed upon them. Whence and whither and </w:t>
      </w:r>
      <w:r w:rsidR="00E33B53">
        <w:rPr>
          <w:rFonts w:eastAsia="Times New Roman"/>
        </w:rPr>
        <w:t>to what end is all this? What does any of it mean?</w:t>
      </w:r>
      <w:r w:rsidR="00A00880">
        <w:rPr>
          <w:rStyle w:val="FootnoteReference"/>
          <w:rFonts w:eastAsia="Times New Roman"/>
        </w:rPr>
        <w:footnoteReference w:id="799"/>
      </w:r>
      <w:r w:rsidR="00E33B53">
        <w:t xml:space="preserve"> </w:t>
      </w:r>
      <w:r w:rsidR="009D24E4" w:rsidRPr="009D24E4">
        <w:t>Any hope lies not in some possibility inherent in the story but in a possibility one locates somewhere else.</w:t>
      </w:r>
    </w:p>
    <w:p w:rsidR="002B376E" w:rsidRPr="002B376E" w:rsidRDefault="00FA36CA" w:rsidP="002B376E">
      <w:r>
        <w:t>My vision implies</w:t>
      </w:r>
      <w:r w:rsidR="00FF6A29">
        <w:t xml:space="preserve"> a different interpretation</w:t>
      </w:r>
      <w:r w:rsidR="002B376E" w:rsidRPr="002B376E">
        <w:t xml:space="preserve"> </w:t>
      </w:r>
      <w:r>
        <w:t xml:space="preserve">of history </w:t>
      </w:r>
      <w:r w:rsidR="002B376E" w:rsidRPr="002B376E">
        <w:t xml:space="preserve">from </w:t>
      </w:r>
      <w:r w:rsidR="00FF6A29">
        <w:t xml:space="preserve">the one that </w:t>
      </w:r>
      <w:r w:rsidR="002B376E" w:rsidRPr="002B376E">
        <w:t xml:space="preserve">predominates among OT historians, prophets, and psalmists. </w:t>
      </w:r>
      <w:r w:rsidR="00FF6A29">
        <w:t>It</w:t>
      </w:r>
      <w:r w:rsidR="002B376E" w:rsidRPr="002B376E">
        <w:t xml:space="preserve"> constitutes an exposition of profane history, in contrast with the outline of sacred history in 9:24–27; it gives history more space than any other chapter in the book, </w:t>
      </w:r>
      <w:r w:rsidR="002B376E" w:rsidRPr="002B376E">
        <w:lastRenderedPageBreak/>
        <w:t xml:space="preserve">but </w:t>
      </w:r>
      <w:r>
        <w:t xml:space="preserve">indeed </w:t>
      </w:r>
      <w:r w:rsidR="002B376E" w:rsidRPr="002B376E">
        <w:t>renders it essentially meaningless.</w:t>
      </w:r>
      <w:r w:rsidR="009765C8">
        <w:rPr>
          <w:rStyle w:val="FootnoteReference"/>
        </w:rPr>
        <w:footnoteReference w:id="800"/>
      </w:r>
      <w:r w:rsidR="002B376E" w:rsidRPr="002B376E">
        <w:t xml:space="preserve"> Events unfold as a pointless sequence of invasions, battles, schemes, and frustrations. Military power and political maneuvering are central themes; but military issues are not always settled by the size of an army, and political schemes come to nothing, whether pursued by means of battle or by means of alliance.</w:t>
      </w:r>
      <w:r w:rsidR="009765C8">
        <w:rPr>
          <w:rStyle w:val="FootnoteReference"/>
        </w:rPr>
        <w:footnoteReference w:id="801"/>
      </w:r>
      <w:r w:rsidR="002B376E" w:rsidRPr="002B376E">
        <w:t xml:space="preserve"> It is a tale of selfishness, irrationality, and chance. Human beings formulate farreaching plans but keep being frustrated by each other. Neither power nor politics take people anywhere. History is not the outworking of a just purpose, nor is the hand of God directly visible in it; God, indeed, for the most part remains in the gallery, only watching—though no doubt noting the parallels in this history to earlier events involving Assyria and Babylon as the prophet</w:t>
      </w:r>
      <w:r w:rsidR="009765C8">
        <w:t>s</w:t>
      </w:r>
      <w:r w:rsidR="002B376E" w:rsidRPr="002B376E">
        <w:t xml:space="preserve"> commented on these</w:t>
      </w:r>
      <w:r w:rsidR="00FF6A29">
        <w:t xml:space="preserve"> events</w:t>
      </w:r>
      <w:r w:rsidR="002B376E" w:rsidRPr="002B376E">
        <w:t>, and committed to bringing upon i</w:t>
      </w:r>
      <w:r w:rsidR="00FF6A29">
        <w:t xml:space="preserve">t a corresponding judgment. </w:t>
      </w:r>
      <w:r w:rsidR="002B376E" w:rsidRPr="002B376E">
        <w:t>I was not suggesting that history was always hell-bent on the disaster that emerges at the end of chap. 11. I was not negative about Alexander and the Hellenistic empires in general (contrast 1 Macc 1). Even the eventual disaster, though it comes as determined, is a result of chance collocations of people and events. History is going nowhere. The interpretation of history that I was offering will turn out to match the way people experience history in more secular centuries.</w:t>
      </w:r>
    </w:p>
    <w:p w:rsidR="002B376E" w:rsidRPr="002B376E" w:rsidRDefault="00FF6A29" w:rsidP="002B376E">
      <w:r>
        <w:t>So “t</w:t>
      </w:r>
      <w:r w:rsidRPr="00FF6A29">
        <w:t>he details of the ensuing history [in 11:2-20] a</w:t>
      </w:r>
      <w:r>
        <w:t>re without theological interest,</w:t>
      </w:r>
      <w:r w:rsidRPr="00FF6A29">
        <w:t>”</w:t>
      </w:r>
      <w:r w:rsidRPr="00FF6A29">
        <w:rPr>
          <w:vertAlign w:val="superscript"/>
        </w:rPr>
        <w:footnoteReference w:id="802"/>
      </w:r>
      <w:r w:rsidRPr="00FF6A29">
        <w:t xml:space="preserve"> </w:t>
      </w:r>
      <w:r>
        <w:t xml:space="preserve">though </w:t>
      </w:r>
      <w:r w:rsidR="002B376E" w:rsidRPr="002B376E">
        <w:t>the out</w:t>
      </w:r>
      <w:r w:rsidR="009765C8">
        <w:t>working of this history is</w:t>
      </w:r>
      <w:r w:rsidR="002B376E" w:rsidRPr="002B376E">
        <w:t xml:space="preserve"> </w:t>
      </w:r>
      <w:r w:rsidR="00BB3FCC">
        <w:t xml:space="preserve">not </w:t>
      </w:r>
      <w:r w:rsidR="002B376E" w:rsidRPr="002B376E">
        <w:t xml:space="preserve">incapable of theological interpretation. While the four great empires contained one another by each terminating the rule of the last, the Seleucids and the Ptolemies mutually contained each other by frustrating each other’s aspirations to wider empire over a period of centuries, thus protecting each other from reaching the ultimate arrogance that must provoke </w:t>
      </w:r>
      <w:r w:rsidR="009765C8">
        <w:t>God to intervene</w:t>
      </w:r>
      <w:r w:rsidR="002B376E" w:rsidRPr="002B376E">
        <w:t>.</w:t>
      </w:r>
      <w:r w:rsidR="009765C8">
        <w:rPr>
          <w:rStyle w:val="FootnoteReference"/>
        </w:rPr>
        <w:footnoteReference w:id="803"/>
      </w:r>
      <w:r w:rsidR="002B376E" w:rsidRPr="002B376E">
        <w:t xml:space="preserve"> That provocation is also offered when war and politics become interwoven with religion. </w:t>
      </w:r>
      <w:r w:rsidR="00BB3FCC">
        <w:t>Yet g</w:t>
      </w:r>
      <w:r w:rsidR="002B376E" w:rsidRPr="002B376E">
        <w:t>enerally I was not concerned to offer any ethical judgment on history, though I did imply a negative judgment based on the imperial po</w:t>
      </w:r>
      <w:r w:rsidR="009765C8">
        <w:t xml:space="preserve">wers’ involvement </w:t>
      </w:r>
      <w:r w:rsidR="002B376E" w:rsidRPr="002B376E">
        <w:t>in religious matters</w:t>
      </w:r>
      <w:r w:rsidR="009765C8">
        <w:t xml:space="preserve"> </w:t>
      </w:r>
      <w:r w:rsidR="009765C8" w:rsidRPr="009765C8">
        <w:t>for their political reasons</w:t>
      </w:r>
      <w:r w:rsidR="002B376E" w:rsidRPr="002B376E">
        <w:t>.</w:t>
      </w:r>
    </w:p>
    <w:p w:rsidR="002B376E" w:rsidRDefault="009765C8" w:rsidP="002B376E">
      <w:r>
        <w:t xml:space="preserve">Nor was I concerned to comment </w:t>
      </w:r>
      <w:r w:rsidR="002B376E" w:rsidRPr="002B376E">
        <w:t>on Israel’s own involvement in history. Later works su</w:t>
      </w:r>
      <w:r w:rsidR="00BB3FCC">
        <w:t>ch as 1 and 2 Macc</w:t>
      </w:r>
      <w:r w:rsidR="00FA36CA">
        <w:t>abees</w:t>
      </w:r>
      <w:r w:rsidR="00BB3FCC">
        <w:t xml:space="preserve"> would do so</w:t>
      </w:r>
      <w:r w:rsidR="002B376E" w:rsidRPr="002B376E">
        <w:t xml:space="preserve">, but they came from a period when there was the history of an independent Jewish state to reflect on. They revived in different ways a historical perspective like that of </w:t>
      </w:r>
      <w:r w:rsidR="00FA36CA">
        <w:t xml:space="preserve">1 and 2 </w:t>
      </w:r>
      <w:r w:rsidR="002B376E" w:rsidRPr="002B376E">
        <w:t>Kings, valuing the activism of the Maccabees, though presupposing two different evaluations of martyrdom, miracle, prophecy, belief in resurrection, and of the Hasmonean monarchy.</w:t>
      </w:r>
      <w:r>
        <w:rPr>
          <w:rStyle w:val="FootnoteReference"/>
        </w:rPr>
        <w:footnoteReference w:id="804"/>
      </w:r>
      <w:r w:rsidR="002B376E" w:rsidRPr="002B376E">
        <w:t xml:space="preserve"> Whether or not people took a quietist stance rather than resisting Antiochus by military means, I wanted to put the emphasis on the activity of God, not on what our</w:t>
      </w:r>
      <w:r>
        <w:t xml:space="preserve"> own acts could achieve</w:t>
      </w:r>
      <w:r w:rsidR="00BB3FCC">
        <w:t xml:space="preserve">. </w:t>
      </w:r>
      <w:r w:rsidR="002B376E" w:rsidRPr="002B376E">
        <w:t>I did not want people to blame themselves for the Anti</w:t>
      </w:r>
      <w:r w:rsidR="00BB3FCC">
        <w:t>ochene crisis. N</w:t>
      </w:r>
      <w:r w:rsidR="002B376E" w:rsidRPr="002B376E">
        <w:t>either did I want to put the responsibility on some cosmic act of rebellion near the beginning of world history, as if people in our day were n</w:t>
      </w:r>
      <w:r w:rsidR="00BB3FCC">
        <w:t xml:space="preserve">ot responsible for their acts. </w:t>
      </w:r>
      <w:r w:rsidR="00FA36CA">
        <w:t>“If the point of Genesis 1 was ‘In the beginning God…’, the point of Daniel 7 was ‘In the end God….’”</w:t>
      </w:r>
      <w:r w:rsidR="00FA36CA">
        <w:rPr>
          <w:rStyle w:val="FootnoteReference"/>
        </w:rPr>
        <w:footnoteReference w:id="805"/>
      </w:r>
      <w:r w:rsidR="00FA36CA">
        <w:t xml:space="preserve"> </w:t>
      </w:r>
      <w:r w:rsidR="00BB3FCC">
        <w:t>While t</w:t>
      </w:r>
      <w:r w:rsidR="002B376E" w:rsidRPr="002B376E">
        <w:t>he reformist Jews ha</w:t>
      </w:r>
      <w:r w:rsidR="00BB3FCC">
        <w:t xml:space="preserve">d been irresponsible fools, </w:t>
      </w:r>
      <w:r w:rsidR="002B376E" w:rsidRPr="002B376E">
        <w:t>they had played into the hands of the person who was my real scapegoat, Antiochus.</w:t>
      </w:r>
    </w:p>
    <w:p w:rsidR="00DD5E95" w:rsidRDefault="00BB3FCC" w:rsidP="002B376E">
      <w:r>
        <w:t>R</w:t>
      </w:r>
      <w:r w:rsidR="00DD5E95">
        <w:t xml:space="preserve">eaders will be able to see Antiochus in </w:t>
      </w:r>
      <w:r w:rsidR="00E43F32">
        <w:t xml:space="preserve">my story, </w:t>
      </w:r>
      <w:r>
        <w:t xml:space="preserve">but </w:t>
      </w:r>
      <w:r w:rsidR="00E43F32">
        <w:t>I do not name him or name</w:t>
      </w:r>
      <w:r w:rsidR="00DD5E95">
        <w:t xml:space="preserve"> any </w:t>
      </w:r>
      <w:r w:rsidR="00E43F32">
        <w:t xml:space="preserve">preceding </w:t>
      </w:r>
      <w:r w:rsidR="00DD5E95">
        <w:t>kings or events.</w:t>
      </w:r>
      <w:r w:rsidR="00AC34A7">
        <w:t xml:space="preserve"> This omission helps to make the point that th</w:t>
      </w:r>
      <w:r w:rsidR="00E43F32">
        <w:t>ere is nothing unique about these kings or the events they are involved in. I present their story in a way that schematizes it</w:t>
      </w:r>
      <w:r w:rsidR="00AC34A7">
        <w:t xml:space="preserve"> and </w:t>
      </w:r>
      <w:r w:rsidR="00E43F32">
        <w:t>implies a typology</w:t>
      </w:r>
      <w:r w:rsidR="00AC34A7">
        <w:t>.</w:t>
      </w:r>
      <w:r w:rsidR="00AC34A7">
        <w:rPr>
          <w:rStyle w:val="FootnoteReference"/>
        </w:rPr>
        <w:footnoteReference w:id="806"/>
      </w:r>
      <w:r w:rsidR="00E43F32">
        <w:t xml:space="preserve"> The same things keep happening and I keep using the same phrases to describe them and keep making those links with earlier scriptures which suggest a pattern that is being repeated here.</w:t>
      </w:r>
    </w:p>
    <w:p w:rsidR="002B376E" w:rsidRPr="002B376E" w:rsidRDefault="002B376E" w:rsidP="002B376E">
      <w:r w:rsidRPr="009765C8">
        <w:rPr>
          <w:b/>
        </w:rPr>
        <w:lastRenderedPageBreak/>
        <w:t>(e) The destiny of the f</w:t>
      </w:r>
      <w:r w:rsidR="00E36E6C">
        <w:rPr>
          <w:b/>
        </w:rPr>
        <w:t>aithful—and of the faithless</w:t>
      </w:r>
      <w:r w:rsidR="009765C8">
        <w:rPr>
          <w:b/>
        </w:rPr>
        <w:t>—is s</w:t>
      </w:r>
      <w:r w:rsidRPr="009765C8">
        <w:rPr>
          <w:b/>
        </w:rPr>
        <w:t>ure.</w:t>
      </w:r>
      <w:r w:rsidR="00931431">
        <w:t xml:space="preserve"> </w:t>
      </w:r>
      <w:r w:rsidR="005E3629">
        <w:t xml:space="preserve">The solemnity of </w:t>
      </w:r>
      <w:r w:rsidR="00EC7996">
        <w:t>my vision could be troubling and make it hard to be open to.</w:t>
      </w:r>
      <w:r w:rsidR="00EC7996">
        <w:rPr>
          <w:rStyle w:val="FootnoteReference"/>
        </w:rPr>
        <w:footnoteReference w:id="807"/>
      </w:r>
      <w:r w:rsidR="00BB3FCC">
        <w:t xml:space="preserve"> While it could</w:t>
      </w:r>
      <w:r w:rsidR="005D6DBC">
        <w:t xml:space="preserve"> </w:t>
      </w:r>
      <w:r w:rsidR="00BB3FCC">
        <w:t xml:space="preserve">indeed </w:t>
      </w:r>
      <w:r w:rsidR="005D6DBC">
        <w:t>seem troublesome that the people of God</w:t>
      </w:r>
      <w:r w:rsidR="00BB3FCC">
        <w:t xml:space="preserve"> are under such pressure, </w:t>
      </w:r>
      <w:r w:rsidR="005D6DBC">
        <w:t>it would be even worse if supernatural forces were not fighting on our behalf.</w:t>
      </w:r>
      <w:r w:rsidR="005D6DBC" w:rsidRPr="005D6DBC">
        <w:rPr>
          <w:vertAlign w:val="superscript"/>
        </w:rPr>
        <w:footnoteReference w:id="808"/>
      </w:r>
      <w:r w:rsidR="00BB3FCC">
        <w:t xml:space="preserve"> And it would be even worse if it were not possible to look at</w:t>
      </w:r>
      <w:r w:rsidR="00FA36CA">
        <w:t xml:space="preserve"> these events in light of the s</w:t>
      </w:r>
      <w:r w:rsidR="00BB3FCC">
        <w:t xml:space="preserve">criptures. </w:t>
      </w:r>
      <w:r w:rsidR="00931431">
        <w:t>My quasi-</w:t>
      </w:r>
      <w:r w:rsidR="009765C8">
        <w:t>prediction</w:t>
      </w:r>
      <w:r w:rsidR="00B51680">
        <w:t xml:space="preserve"> continued to be shaped by the s</w:t>
      </w:r>
      <w:r w:rsidRPr="002B376E">
        <w:t>cripture</w:t>
      </w:r>
      <w:r w:rsidR="00B51680">
        <w:t>s</w:t>
      </w:r>
      <w:r w:rsidRPr="002B376E">
        <w:t xml:space="preserve"> through chap. 11. The Assyrians provided one model for my portrait of the Seleucids: </w:t>
      </w:r>
      <w:r w:rsidR="00BB3FCC">
        <w:t>and</w:t>
      </w:r>
      <w:r w:rsidRPr="002B376E">
        <w:t xml:space="preserve"> as the former fell, so would the latter. The </w:t>
      </w:r>
      <w:r w:rsidR="00931431">
        <w:t>temple desecration was like the desecration</w:t>
      </w:r>
      <w:r w:rsidR="00BB3FCC">
        <w:t xml:space="preserve"> by the Babylonians: and</w:t>
      </w:r>
      <w:r w:rsidRPr="002B376E">
        <w:t xml:space="preserve"> as that </w:t>
      </w:r>
      <w:r w:rsidR="00BB3FCC">
        <w:t>desecration</w:t>
      </w:r>
      <w:r w:rsidR="00931431">
        <w:t xml:space="preserve"> </w:t>
      </w:r>
      <w:r w:rsidRPr="002B376E">
        <w:t xml:space="preserve">had been reversed, so would this one be. The affliction was like that of </w:t>
      </w:r>
      <w:r w:rsidR="00BB3FCC">
        <w:t>Yahweh’s servant in Isaiah: and</w:t>
      </w:r>
      <w:r w:rsidRPr="002B376E">
        <w:t xml:space="preserve"> in this case, too, it would give way to triumph.</w:t>
      </w:r>
    </w:p>
    <w:p w:rsidR="00E66A5A" w:rsidRPr="005D7391" w:rsidRDefault="002B376E" w:rsidP="00DE7E11">
      <w:r w:rsidRPr="002B376E">
        <w:t>As chap. 10 speaks of celestial figures who are the embodiments of earthly institutions, so chap. 11 speaks of earthly figur</w:t>
      </w:r>
      <w:r w:rsidR="00FA36CA">
        <w:t xml:space="preserve">es who are the embodiments of supernatural </w:t>
      </w:r>
      <w:r w:rsidR="005D7391">
        <w:t>principles. I speak of</w:t>
      </w:r>
      <w:r w:rsidR="00931431">
        <w:t xml:space="preserve"> no </w:t>
      </w:r>
      <w:r w:rsidRPr="002B376E">
        <w:t>figure who embodies the fulfillment of God’s positive purpose—no messiah. Nor is there any indication in my vision that at some point it moves from talking about Antio</w:t>
      </w:r>
      <w:r w:rsidR="00BB3FCC">
        <w:t>chus to talking about an anti-messiah</w:t>
      </w:r>
      <w:r w:rsidRPr="002B376E">
        <w:t xml:space="preserve"> or </w:t>
      </w:r>
      <w:r w:rsidR="00BB3FCC">
        <w:t xml:space="preserve">a </w:t>
      </w:r>
      <w:r w:rsidRPr="002B376E">
        <w:t xml:space="preserve">Satan, or begins to speak in words that refer both to Antiochus and to </w:t>
      </w:r>
      <w:r w:rsidR="00BB3FCC">
        <w:t>an a</w:t>
      </w:r>
      <w:r w:rsidRPr="002B376E">
        <w:t>nti</w:t>
      </w:r>
      <w:r w:rsidR="00BB3FCC">
        <w:t>-messiah</w:t>
      </w:r>
      <w:r w:rsidRPr="002B376E">
        <w:t xml:space="preserve">. </w:t>
      </w:r>
      <w:r w:rsidR="005D7391">
        <w:t>It is not the case that “</w:t>
      </w:r>
      <w:r w:rsidR="005D7391" w:rsidRPr="005D7391">
        <w:t>the interpretation of the book of Daniel has been sharply</w:t>
      </w:r>
      <w:r w:rsidR="005D7391">
        <w:t xml:space="preserve"> altered by those who edited it</w:t>
      </w:r>
      <w:r w:rsidR="005D7391" w:rsidRPr="005D7391">
        <w:t xml:space="preserve">” </w:t>
      </w:r>
      <w:r w:rsidR="005D7391">
        <w:t>in order to remove references to Antiochus and permit</w:t>
      </w:r>
      <w:r w:rsidR="005D7391" w:rsidRPr="005D7391">
        <w:t xml:space="preserve"> readers two centuries later to identify the fourth empire with Rome.</w:t>
      </w:r>
      <w:r w:rsidR="005D7391" w:rsidRPr="005D7391">
        <w:rPr>
          <w:vertAlign w:val="superscript"/>
        </w:rPr>
        <w:footnoteReference w:id="809"/>
      </w:r>
      <w:r w:rsidR="005D7391">
        <w:t xml:space="preserve"> </w:t>
      </w:r>
      <w:r w:rsidRPr="002B376E">
        <w:t>But in the way I spoke of Antiochus I was suggesting that he—like the King of Babylon in Isa 14 or Gog in Ezek 38–was the very embodiment of godless wickedness, so that the language u</w:t>
      </w:r>
      <w:r w:rsidR="00BB3FCC">
        <w:t>sed of him could be used of an anti-messiah</w:t>
      </w:r>
      <w:r w:rsidRPr="002B376E">
        <w:t xml:space="preserve"> or </w:t>
      </w:r>
      <w:r w:rsidR="00BB3FCC">
        <w:t xml:space="preserve">a </w:t>
      </w:r>
      <w:r w:rsidRPr="002B376E">
        <w:t>Satan</w:t>
      </w:r>
      <w:r w:rsidR="00DE7E11">
        <w:t xml:space="preserve">. I was </w:t>
      </w:r>
      <w:r w:rsidR="005D7391">
        <w:t xml:space="preserve">indeed </w:t>
      </w:r>
      <w:r w:rsidR="00DE7E11">
        <w:t>implying that he was such an embodiment of something bigger than him. So my vis</w:t>
      </w:r>
      <w:r w:rsidR="005D7391">
        <w:t xml:space="preserve">ion could be understood </w:t>
      </w:r>
      <w:r w:rsidR="00931431">
        <w:t>typol</w:t>
      </w:r>
      <w:r w:rsidR="00DE7E11">
        <w:t>ogically</w:t>
      </w:r>
      <w:r w:rsidR="00BB3FCC">
        <w:t xml:space="preserve"> to throw light on the anti-messiah</w:t>
      </w:r>
      <w:r w:rsidRPr="002B376E">
        <w:t xml:space="preserve"> or </w:t>
      </w:r>
      <w:r w:rsidR="00BB3FCC">
        <w:t xml:space="preserve">a </w:t>
      </w:r>
      <w:r w:rsidR="00DE7E11">
        <w:t>Satan.</w:t>
      </w:r>
      <w:r w:rsidR="00DE7E11" w:rsidRPr="00DE7E11">
        <w:rPr>
          <w:vertAlign w:val="superscript"/>
        </w:rPr>
        <w:footnoteReference w:id="810"/>
      </w:r>
      <w:r w:rsidR="005D7391">
        <w:t xml:space="preserve"> And such a use </w:t>
      </w:r>
      <w:r w:rsidR="00DE7E11">
        <w:t xml:space="preserve">fits the way </w:t>
      </w:r>
      <w:r w:rsidR="00DE7E11">
        <w:rPr>
          <w:rFonts w:eastAsiaTheme="minorHAnsi" w:cs="Times New Roman"/>
        </w:rPr>
        <w:t>a</w:t>
      </w:r>
      <w:r w:rsidR="00E66A5A" w:rsidRPr="00E66A5A">
        <w:rPr>
          <w:rFonts w:eastAsiaTheme="minorHAnsi" w:cs="Times New Roman"/>
        </w:rPr>
        <w:t xml:space="preserve"> “conversation between history and eschatology… is at the heart of these vision chapters of Daniel.”</w:t>
      </w:r>
      <w:r w:rsidR="003700EC">
        <w:rPr>
          <w:rStyle w:val="FootnoteReference"/>
          <w:rFonts w:eastAsiaTheme="minorHAnsi" w:cs="Times New Roman"/>
        </w:rPr>
        <w:footnoteReference w:id="811"/>
      </w:r>
      <w:r w:rsidR="005D7391">
        <w:rPr>
          <w:rFonts w:eastAsiaTheme="minorHAnsi" w:cs="Times New Roman"/>
        </w:rPr>
        <w:t xml:space="preserve"> </w:t>
      </w:r>
    </w:p>
    <w:p w:rsidR="005D7391" w:rsidRDefault="00DE7E11" w:rsidP="002B376E">
      <w:r>
        <w:t>T</w:t>
      </w:r>
      <w:r w:rsidR="002B376E" w:rsidRPr="002B376E">
        <w:t>he trouble with Antiochus was that he treated religious questions as subordinate to political ones. Nationhood and kingsh</w:t>
      </w:r>
      <w:r w:rsidR="005D7391">
        <w:t>ip are not wholly bad</w:t>
      </w:r>
      <w:r w:rsidR="002B376E" w:rsidRPr="002B376E">
        <w:t>, but they do have an irresistible tendency to self-idolatry. Whatever i</w:t>
      </w:r>
      <w:r w:rsidR="005D7391">
        <w:t>s the right interpretation of Antiochus’</w:t>
      </w:r>
      <w:r w:rsidR="002B376E" w:rsidRPr="002B376E">
        <w:t>s motivation</w:t>
      </w:r>
      <w:r w:rsidR="005D7391">
        <w:t>s</w:t>
      </w:r>
      <w:r w:rsidR="002B376E" w:rsidRPr="002B376E">
        <w:t xml:space="preserve"> in his relationships with Jerusalem, what counted for him was the stability of the Seleucid empire and its ability to play the international role for which it seemed to be destined. The state, or Hellenism, or he himself, had </w:t>
      </w:r>
      <w:r w:rsidR="00931431">
        <w:t>highest importance: it was God</w:t>
      </w:r>
      <w:r w:rsidR="002B376E" w:rsidRPr="002B376E">
        <w:t>.</w:t>
      </w:r>
      <w:r w:rsidR="00931431">
        <w:rPr>
          <w:rStyle w:val="FootnoteReference"/>
        </w:rPr>
        <w:footnoteReference w:id="812"/>
      </w:r>
      <w:r w:rsidR="00931431">
        <w:t xml:space="preserve"> </w:t>
      </w:r>
      <w:r w:rsidR="002B376E" w:rsidRPr="002B376E">
        <w:t>Hope for the living</w:t>
      </w:r>
      <w:r w:rsidR="00931431">
        <w:t>, then,</w:t>
      </w:r>
      <w:r w:rsidR="002B376E" w:rsidRPr="002B376E">
        <w:t xml:space="preserve"> lay in the downfall of the one who epitomized godlessness and </w:t>
      </w:r>
      <w:r w:rsidR="00931431">
        <w:t>in the vindication o</w:t>
      </w:r>
      <w:r>
        <w:t xml:space="preserve">f the people who resisted him. </w:t>
      </w:r>
    </w:p>
    <w:p w:rsidR="002B376E" w:rsidRDefault="00DE7E11" w:rsidP="002B376E">
      <w:r>
        <w:t>W</w:t>
      </w:r>
      <w:r w:rsidR="00931431">
        <w:t>hat of th</w:t>
      </w:r>
      <w:r w:rsidR="002B376E" w:rsidRPr="002B376E">
        <w:t xml:space="preserve">e </w:t>
      </w:r>
      <w:r w:rsidR="00931431">
        <w:t xml:space="preserve">people </w:t>
      </w:r>
      <w:r w:rsidR="002B376E" w:rsidRPr="002B376E">
        <w:t>for whom this vindication would come too late? In my vision I saw them brought back to life to resume the life they had wrongly lost, while those who led them in the way of faithfulness shine like stars.</w:t>
      </w:r>
      <w:r w:rsidR="005D7391">
        <w:t xml:space="preserve"> </w:t>
      </w:r>
      <w:r w:rsidR="002B376E" w:rsidRPr="002B376E">
        <w:t xml:space="preserve">One version of the myth of the overweening king, which underlies the portrait of Antiochus, describes him—ironically, in the end—as wiser than Danel/Daniel. But I was the one who was granted an audience with heavenly beings, who was addressed as </w:t>
      </w:r>
      <w:r w:rsidR="00931431">
        <w:t xml:space="preserve">someone </w:t>
      </w:r>
      <w:r w:rsidR="002B376E" w:rsidRPr="002B376E">
        <w:t>held in high regard by God</w:t>
      </w:r>
      <w:r w:rsidR="00931431">
        <w:t xml:space="preserve"> (a royal epithet), who did have</w:t>
      </w:r>
      <w:r>
        <w:t xml:space="preserve"> by God’s grace the discernment that</w:t>
      </w:r>
      <w:r w:rsidR="002B376E" w:rsidRPr="002B376E">
        <w:t xml:space="preserve"> the king was supposed to possess. As the king and his kind come to their end and know shame and abhorrence instead of the place among the stars to wh</w:t>
      </w:r>
      <w:r w:rsidR="00931431">
        <w:t>ich they aspired, the</w:t>
      </w:r>
      <w:r w:rsidR="002B376E" w:rsidRPr="002B376E">
        <w:t xml:space="preserve"> people of discernment and fa</w:t>
      </w:r>
      <w:r w:rsidR="00931431">
        <w:t>ithfulness leave the land of dir</w:t>
      </w:r>
      <w:r w:rsidR="002B376E" w:rsidRPr="002B376E">
        <w:t xml:space="preserve">t that is the overweening king’s destiny and rise to an inheritance, to lasting life, and to our own place among the stars. Like the vision in Isa 52:13–53:12, my vision affirmed a </w:t>
      </w:r>
      <w:r w:rsidR="00931431">
        <w:t>kingship ideal but radically reshaped</w:t>
      </w:r>
      <w:r w:rsidR="002B376E" w:rsidRPr="002B376E">
        <w:t xml:space="preserve"> it by presupposing that the way to royal glory is the way of martyrdom. </w:t>
      </w:r>
      <w:r w:rsidR="0085420F">
        <w:t xml:space="preserve">It </w:t>
      </w:r>
      <w:r w:rsidR="0085420F">
        <w:lastRenderedPageBreak/>
        <w:t>“provides a rationale for martyrdom.”</w:t>
      </w:r>
      <w:r w:rsidR="0085420F">
        <w:rPr>
          <w:rStyle w:val="FootnoteReference"/>
        </w:rPr>
        <w:footnoteReference w:id="813"/>
      </w:r>
      <w:r w:rsidR="0085420F">
        <w:t xml:space="preserve"> </w:t>
      </w:r>
      <w:r w:rsidR="002B376E" w:rsidRPr="002B376E">
        <w:t>It brings to a climax the ambivalent aspects to the portrayal of kingship that run through my story and my visions. Real power is recognized and can be affirmed, but in practice it tends to encourage a vainglorious arrogance that has to be turned to shame. Only those can enjoy royal glory who have already come to terms with shame.</w:t>
      </w:r>
      <w:r w:rsidR="005D7391">
        <w:t xml:space="preserve"> </w:t>
      </w:r>
      <w:r w:rsidR="002B376E" w:rsidRPr="002B376E">
        <w:t xml:space="preserve">These images came to have more literal meaning for the Qumran community, who saw themselves—in Johannine fashion—as already enjoying the life of heaven in </w:t>
      </w:r>
      <w:r>
        <w:t>the company of the angels. M</w:t>
      </w:r>
      <w:r w:rsidR="002B376E" w:rsidRPr="002B376E">
        <w:t>y vision was not that prosaic in its implications. I was speaking the language of hope, speaking of a future resurrection, not of a transition to a new sphere of life now;</w:t>
      </w:r>
      <w:r w:rsidR="00931431">
        <w:rPr>
          <w:rStyle w:val="FootnoteReference"/>
        </w:rPr>
        <w:footnoteReference w:id="814"/>
      </w:r>
      <w:r>
        <w:t xml:space="preserve"> though it is</w:t>
      </w:r>
      <w:r w:rsidR="002B376E" w:rsidRPr="002B376E">
        <w:t xml:space="preserve"> the case that those who wait for Yahweh’s new act find new strength, and in a sense new life, even now (Isa 40:31).</w:t>
      </w:r>
    </w:p>
    <w:p w:rsidR="0049720B" w:rsidRPr="0049720B" w:rsidRDefault="00D16457" w:rsidP="0049720B">
      <w:r>
        <w:t>Several</w:t>
      </w:r>
      <w:r w:rsidR="00204938">
        <w:t xml:space="preserve"> sorts of reasoning may have led to my affirmation of resurre</w:t>
      </w:r>
      <w:r w:rsidR="00EB606E">
        <w:t>ction</w:t>
      </w:r>
      <w:r w:rsidR="005C17EE">
        <w:t>. One is</w:t>
      </w:r>
      <w:r w:rsidR="002B376E" w:rsidRPr="002B376E">
        <w:t xml:space="preserve"> the conviction that God will see that truth, commitment, and faithfulness a</w:t>
      </w:r>
      <w:r w:rsidR="005C17EE">
        <w:t xml:space="preserve">re vindicated. </w:t>
      </w:r>
      <w:r w:rsidR="0049720B" w:rsidRPr="0049720B">
        <w:t>“Daniel has taken the bold step to affirm that the God who is the source of all life, who can restore life to the dead if he wishes, will raise the dead so that justice may be done. For Judaism of this period resurrection was very much a justice issue, and the same seems to have been true of the earliest interpretations of Christ's resurrection appearances. He had died a shameful death, apparently under a curse (Gal 3:13; Deut 21:23), but his resurrection was vindication (Acts 2:24-25; 5:30-31).”</w:t>
      </w:r>
      <w:r w:rsidR="0049720B" w:rsidRPr="0049720B">
        <w:rPr>
          <w:vertAlign w:val="superscript"/>
        </w:rPr>
        <w:footnoteReference w:id="815"/>
      </w:r>
      <w:r w:rsidR="0049720B" w:rsidRPr="0049720B">
        <w:t xml:space="preserve"> </w:t>
      </w:r>
    </w:p>
    <w:p w:rsidR="002B376E" w:rsidRPr="002B376E" w:rsidRDefault="00EB606E" w:rsidP="002B376E">
      <w:r>
        <w:t xml:space="preserve">Another </w:t>
      </w:r>
      <w:r w:rsidR="0049720B">
        <w:t xml:space="preserve">line of reasoning </w:t>
      </w:r>
      <w:r>
        <w:t xml:space="preserve">is that </w:t>
      </w:r>
      <w:r w:rsidR="00D16457">
        <w:t>res</w:t>
      </w:r>
      <w:r>
        <w:t xml:space="preserve">urrection does </w:t>
      </w:r>
      <w:r w:rsidR="00D16457">
        <w:t>relate to the fulfillment of God’</w:t>
      </w:r>
      <w:r>
        <w:t>s purpose for Is</w:t>
      </w:r>
      <w:r w:rsidR="00D16457">
        <w:t>r</w:t>
      </w:r>
      <w:r>
        <w:t>ael</w:t>
      </w:r>
      <w:r w:rsidR="00D16457">
        <w:t>. It</w:t>
      </w:r>
      <w:r w:rsidR="002B376E" w:rsidRPr="002B376E">
        <w:t xml:space="preserve"> is not </w:t>
      </w:r>
      <w:r w:rsidR="00D16457">
        <w:t xml:space="preserve">simply </w:t>
      </w:r>
      <w:r w:rsidR="002B376E" w:rsidRPr="002B376E">
        <w:t>an individual experience</w:t>
      </w:r>
      <w:r>
        <w:t>.</w:t>
      </w:r>
      <w:r w:rsidR="00D16457">
        <w:t xml:space="preserve"> B</w:t>
      </w:r>
      <w:r w:rsidR="002B376E" w:rsidRPr="002B376E">
        <w:t xml:space="preserve">elief in </w:t>
      </w:r>
      <w:r w:rsidR="00D16457">
        <w:t xml:space="preserve">a </w:t>
      </w:r>
      <w:r w:rsidR="002B376E" w:rsidRPr="002B376E">
        <w:t xml:space="preserve">personal life after death does not replace belief in the final corporate and cosmic achievement of God’s </w:t>
      </w:r>
      <w:r w:rsidR="005D7391">
        <w:t xml:space="preserve">ultimate </w:t>
      </w:r>
      <w:r>
        <w:t>purpose. Resurrection is an event</w:t>
      </w:r>
      <w:r w:rsidR="0049720B">
        <w:t xml:space="preserve"> associated with the</w:t>
      </w:r>
      <w:r w:rsidR="002B376E" w:rsidRPr="002B376E">
        <w:t xml:space="preserve"> f</w:t>
      </w:r>
      <w:r w:rsidR="005D7391">
        <w:t>inal achievement of that</w:t>
      </w:r>
      <w:r w:rsidR="002B376E" w:rsidRPr="002B376E">
        <w:t xml:space="preserve"> purpose. It happens to individuals, but it does not happen to them individually, in the meantime. It happens to individuals, yet it is not the means of their enjoying individual bliss, but of their having a share in the new life and glory of the people of God. My concern was </w:t>
      </w:r>
      <w:r w:rsidR="0049720B">
        <w:t xml:space="preserve">thus </w:t>
      </w:r>
      <w:r w:rsidR="002B376E" w:rsidRPr="002B376E">
        <w:t>nationalist rather than individualist. It was also nationalist rather th</w:t>
      </w:r>
      <w:r w:rsidR="0049720B">
        <w:t>an universalist; other peoples we</w:t>
      </w:r>
      <w:r w:rsidR="002B376E" w:rsidRPr="002B376E">
        <w:t xml:space="preserve">re not within </w:t>
      </w:r>
      <w:r w:rsidR="0049720B">
        <w:t xml:space="preserve">my concern. And </w:t>
      </w:r>
      <w:r w:rsidR="002B376E" w:rsidRPr="002B376E">
        <w:t xml:space="preserve">it was nationalist rather than sectarian. I viewed reformist Jews as having lost their soul through their involvement with the gentile powers and as having forfeited their place within the true Israel; that </w:t>
      </w:r>
      <w:r w:rsidR="00697F58">
        <w:t xml:space="preserve">attitude </w:t>
      </w:r>
      <w:r w:rsidR="002B376E" w:rsidRPr="002B376E">
        <w:t>is</w:t>
      </w:r>
      <w:r w:rsidR="00697F58">
        <w:t xml:space="preserve"> an implicitly sectarian on</w:t>
      </w:r>
      <w:r w:rsidR="002B376E" w:rsidRPr="002B376E">
        <w:t>e, yet my vision was for the true Israel and the empirica</w:t>
      </w:r>
      <w:r w:rsidR="00697F58">
        <w:t>l Israel to be coterminous</w:t>
      </w:r>
      <w:r w:rsidR="002B376E" w:rsidRPr="002B376E">
        <w:t>.</w:t>
      </w:r>
      <w:r w:rsidR="00697F58">
        <w:rPr>
          <w:rStyle w:val="FootnoteReference"/>
        </w:rPr>
        <w:footnoteReference w:id="816"/>
      </w:r>
    </w:p>
    <w:p w:rsidR="00204938" w:rsidRDefault="00D16457" w:rsidP="002B376E">
      <w:r>
        <w:t>A further</w:t>
      </w:r>
      <w:r w:rsidR="005C17EE">
        <w:t xml:space="preserve"> related consideration is that surely </w:t>
      </w:r>
      <w:r w:rsidR="00204938">
        <w:t>God cannot simply let</w:t>
      </w:r>
      <w:r w:rsidR="007E7CEA">
        <w:t xml:space="preserve"> </w:t>
      </w:r>
      <w:r w:rsidR="005C17EE">
        <w:t>people who have suffered persecution and marty</w:t>
      </w:r>
      <w:r w:rsidR="007E7CEA">
        <w:t>rdom</w:t>
      </w:r>
      <w:r w:rsidR="00204938">
        <w:t xml:space="preserve"> end their lives in</w:t>
      </w:r>
      <w:r w:rsidR="007E7CEA">
        <w:t xml:space="preserve"> ignominious and painful suffering and </w:t>
      </w:r>
      <w:r>
        <w:t xml:space="preserve">in a </w:t>
      </w:r>
      <w:r w:rsidR="007E7CEA">
        <w:t>death</w:t>
      </w:r>
      <w:r>
        <w:t xml:space="preserve"> </w:t>
      </w:r>
      <w:r w:rsidR="00204938">
        <w:t>which so contrasts with the fate of the wayward (cf.</w:t>
      </w:r>
      <w:r w:rsidR="005C17EE" w:rsidRPr="005C17EE">
        <w:t xml:space="preserve"> </w:t>
      </w:r>
      <w:r w:rsidR="005C17EE" w:rsidRPr="005C17EE">
        <w:rPr>
          <w:i/>
        </w:rPr>
        <w:t>1 Enoch</w:t>
      </w:r>
      <w:r w:rsidR="00204938">
        <w:t xml:space="preserve"> 102–4</w:t>
      </w:r>
      <w:r w:rsidR="005C17EE" w:rsidRPr="005C17EE">
        <w:t>).</w:t>
      </w:r>
      <w:r w:rsidR="00204938">
        <w:t xml:space="preserve"> </w:t>
      </w:r>
      <w:r w:rsidR="00204938" w:rsidRPr="00204938">
        <w:t>Lasting life was God’s intenti</w:t>
      </w:r>
      <w:r w:rsidR="0049720B">
        <w:t xml:space="preserve">on from the beginning but humanity sacrificed </w:t>
      </w:r>
      <w:r w:rsidR="00204938" w:rsidRPr="00204938">
        <w:t>it (G</w:t>
      </w:r>
      <w:r w:rsidR="0049720B">
        <w:t>en 2—3). Yet</w:t>
      </w:r>
      <w:r>
        <w:t xml:space="preserve"> l</w:t>
      </w:r>
      <w:r w:rsidR="00204938" w:rsidRPr="00204938">
        <w:t xml:space="preserve">asting life </w:t>
      </w:r>
      <w:r w:rsidR="0049720B">
        <w:t xml:space="preserve">surely </w:t>
      </w:r>
      <w:r w:rsidR="00204938" w:rsidRPr="00204938">
        <w:t>follows from God’s entering into relationship with people</w:t>
      </w:r>
      <w:r w:rsidR="0049720B">
        <w:t>: God is not God of the dead but of the living</w:t>
      </w:r>
      <w:r w:rsidR="00204938" w:rsidRPr="00204938">
        <w:t xml:space="preserve"> (Mark 12:27). </w:t>
      </w:r>
      <w:r w:rsidR="0049720B">
        <w:t>A</w:t>
      </w:r>
      <w:r>
        <w:t>s a people, for many centuries we did not follow up on</w:t>
      </w:r>
      <w:r w:rsidR="0049720B">
        <w:t xml:space="preserve"> or develop</w:t>
      </w:r>
      <w:r>
        <w:t xml:space="preserve"> those truths in the way o</w:t>
      </w:r>
      <w:r w:rsidR="002B376E" w:rsidRPr="002B376E">
        <w:t xml:space="preserve">ther peoples </w:t>
      </w:r>
      <w:r>
        <w:t>did when they</w:t>
      </w:r>
      <w:r w:rsidR="002B376E" w:rsidRPr="002B376E">
        <w:t xml:space="preserve"> formulate</w:t>
      </w:r>
      <w:r>
        <w:t>d</w:t>
      </w:r>
      <w:r w:rsidR="002B376E" w:rsidRPr="002B376E">
        <w:t xml:space="preserve"> mythic solutions to the </w:t>
      </w:r>
      <w:r w:rsidR="0049720B">
        <w:t>problem of death</w:t>
      </w:r>
      <w:r w:rsidR="002B376E" w:rsidRPr="002B376E">
        <w:t>.</w:t>
      </w:r>
      <w:r w:rsidR="00697F58">
        <w:rPr>
          <w:rStyle w:val="FootnoteReference"/>
        </w:rPr>
        <w:footnoteReference w:id="817"/>
      </w:r>
      <w:r>
        <w:t xml:space="preserve"> </w:t>
      </w:r>
      <w:r w:rsidR="0049720B">
        <w:t>In fact, o</w:t>
      </w:r>
      <w:r w:rsidR="002B376E" w:rsidRPr="002B376E">
        <w:t>ur affirmation of this life sat in tension with the pie-in-the-sky bel</w:t>
      </w:r>
      <w:r>
        <w:t>iefs of other peoples. Declarations about resurrection life</w:t>
      </w:r>
      <w:r w:rsidR="0049720B">
        <w:t xml:space="preserve"> had to be</w:t>
      </w:r>
      <w:r w:rsidR="002B376E" w:rsidRPr="002B376E">
        <w:t xml:space="preserve"> wrested from us through experiences that made the affirmation of this life difficult for people whose experience was not of life in fullness.</w:t>
      </w:r>
      <w:r w:rsidR="00204938">
        <w:t xml:space="preserve"> </w:t>
      </w:r>
    </w:p>
    <w:p w:rsidR="002B376E" w:rsidRPr="002B376E" w:rsidRDefault="0049720B" w:rsidP="002B376E">
      <w:r>
        <w:t>Was t</w:t>
      </w:r>
      <w:r w:rsidR="00697F58">
        <w:t xml:space="preserve">his </w:t>
      </w:r>
      <w:r w:rsidR="00DE7E11">
        <w:t xml:space="preserve">wresting </w:t>
      </w:r>
      <w:r w:rsidR="00697F58">
        <w:t>simpl</w:t>
      </w:r>
      <w:r w:rsidR="002B376E" w:rsidRPr="002B376E">
        <w:t>y an example of ho</w:t>
      </w:r>
      <w:r w:rsidR="00204938">
        <w:t>w “blissful illusions…</w:t>
      </w:r>
      <w:r w:rsidR="002B376E" w:rsidRPr="002B376E">
        <w:t xml:space="preserve"> not seldom prove to be effective opiates for patients whose condition is beyond rational cure”—illusions opposed by realists l</w:t>
      </w:r>
      <w:r w:rsidR="00697F58">
        <w:t>ike the writer of Ecclesiastes</w:t>
      </w:r>
      <w:r>
        <w:t>?</w:t>
      </w:r>
      <w:r w:rsidR="00697F58">
        <w:rPr>
          <w:rStyle w:val="FootnoteReference"/>
        </w:rPr>
        <w:footnoteReference w:id="818"/>
      </w:r>
      <w:r w:rsidR="002B376E" w:rsidRPr="002B376E">
        <w:t xml:space="preserve"> </w:t>
      </w:r>
      <w:r w:rsidR="00D16457">
        <w:t>In due course such a critique will be undermined by t</w:t>
      </w:r>
      <w:r w:rsidR="00204938" w:rsidRPr="00204938">
        <w:t xml:space="preserve">he resurrection of </w:t>
      </w:r>
      <w:r w:rsidR="00D16457">
        <w:t xml:space="preserve">Jesus. </w:t>
      </w:r>
      <w:r w:rsidR="00D16457">
        <w:lastRenderedPageBreak/>
        <w:t xml:space="preserve">The resurrection of </w:t>
      </w:r>
      <w:r w:rsidR="00204938" w:rsidRPr="00204938">
        <w:t>people who belong to Jesus follows from the fact of his resurrection (1 Cor 15).</w:t>
      </w:r>
      <w:r w:rsidR="00D16457">
        <w:t xml:space="preserve"> </w:t>
      </w:r>
      <w:r w:rsidR="002B376E" w:rsidRPr="002B376E">
        <w:t>A</w:t>
      </w:r>
      <w:r>
        <w:t>nd a</w:t>
      </w:r>
      <w:r w:rsidR="002B376E" w:rsidRPr="002B376E">
        <w:t>s</w:t>
      </w:r>
      <w:r w:rsidR="00204938">
        <w:t xml:space="preserve"> the earlier history of the Middle</w:t>
      </w:r>
      <w:r w:rsidR="002B376E" w:rsidRPr="002B376E">
        <w:t xml:space="preserve"> Eastern empires shaped my understanding of Antiochus and the fate he would experience, so my vision of the awakening and vindication of the holy and discerning martyr</w:t>
      </w:r>
      <w:r>
        <w:t xml:space="preserve">s shaped </w:t>
      </w:r>
      <w:r w:rsidR="002B376E" w:rsidRPr="002B376E">
        <w:t>perceptions of Jesus, for Jesus himself and for</w:t>
      </w:r>
      <w:r w:rsidR="00697F58">
        <w:t xml:space="preserve"> his followers. I</w:t>
      </w:r>
      <w:r w:rsidR="002B376E" w:rsidRPr="002B376E">
        <w:t>t had an anticipatory relationship with the event that more than any other brought a realization within history of realities that belong to the End; and by a fe</w:t>
      </w:r>
      <w:r w:rsidR="00697F58">
        <w:t>edback process the death and resurrection of Jesus</w:t>
      </w:r>
      <w:r w:rsidR="002B376E" w:rsidRPr="002B376E">
        <w:t xml:space="preserve"> turned out to be the vindication of my own vision. Setting my vision i</w:t>
      </w:r>
      <w:r w:rsidR="00697F58">
        <w:t>n the context of the NT reveals</w:t>
      </w:r>
      <w:r w:rsidR="002B376E" w:rsidRPr="002B376E">
        <w:t xml:space="preserve"> that one martyr indeed awoke to such vindication. If you are called to walk the way that the discerning and holy of the Antiochene </w:t>
      </w:r>
      <w:r>
        <w:t>(</w:t>
      </w:r>
      <w:r w:rsidR="002B376E" w:rsidRPr="002B376E">
        <w:t>and the Roman</w:t>
      </w:r>
      <w:r>
        <w:t>)</w:t>
      </w:r>
      <w:r w:rsidR="002B376E" w:rsidRPr="002B376E">
        <w:t xml:space="preserve"> period walked, you are promised that his experience is your key and your hope as you do so.</w:t>
      </w:r>
    </w:p>
    <w:p w:rsidR="00EA2036" w:rsidRPr="00EA2036" w:rsidRDefault="002B376E" w:rsidP="00EA2036">
      <w:r w:rsidRPr="002B376E">
        <w:t>My vision of res</w:t>
      </w:r>
      <w:r w:rsidR="0049720B">
        <w:t>urrection also implied that the wicked’s simply dying</w:t>
      </w:r>
      <w:r w:rsidRPr="002B376E">
        <w:t xml:space="preserve"> the same death a</w:t>
      </w:r>
      <w:r w:rsidR="0049720B">
        <w:t>s the righteous is not enough. But w</w:t>
      </w:r>
      <w:r w:rsidRPr="002B376E">
        <w:t>hat it promised for them was not eternal physic</w:t>
      </w:r>
      <w:r w:rsidR="00697F58">
        <w:t>al pain but eternal shame. T</w:t>
      </w:r>
      <w:r w:rsidRPr="002B376E">
        <w:t>hat promise has been fulfilled, both for reformist Jews and for Antiochus and his empire. They have not been forgotten, like most of the dead. Wherever the gospel of Daniel has been preached through</w:t>
      </w:r>
      <w:r w:rsidR="00697F58">
        <w:t xml:space="preserve"> the whole world, what these people did has been spoken of, perpetuating</w:t>
      </w:r>
      <w:r w:rsidRPr="002B376E">
        <w:t xml:space="preserve"> their memory. Scholarship’s difficulty in attaining a more objective historical understanding of Antiochus and the reformist Jews is unconscious testimony to the fulfillment of Dan 12:2.</w:t>
      </w:r>
      <w:r w:rsidR="009F0D12">
        <w:t xml:space="preserve"> </w:t>
      </w:r>
    </w:p>
    <w:p w:rsidR="00745AE0" w:rsidRDefault="002B376E" w:rsidP="00745AE0">
      <w:r w:rsidRPr="00697F58">
        <w:rPr>
          <w:b/>
        </w:rPr>
        <w:t>(f) The faithful are challenged to steadfastness.</w:t>
      </w:r>
      <w:r w:rsidRPr="002B376E">
        <w:t xml:space="preserve"> So what was the purpose of offering people all this quasi-</w:t>
      </w:r>
      <w:r w:rsidR="00931431">
        <w:t xml:space="preserve"> </w:t>
      </w:r>
      <w:r w:rsidRPr="002B376E">
        <w:t xml:space="preserve">and actual information about the </w:t>
      </w:r>
      <w:r w:rsidR="005E5A50">
        <w:t xml:space="preserve">past and the </w:t>
      </w:r>
      <w:r w:rsidRPr="002B376E">
        <w:t>futu</w:t>
      </w:r>
      <w:r w:rsidR="005E5A50">
        <w:t xml:space="preserve">re? Information as such does </w:t>
      </w:r>
      <w:r w:rsidRPr="002B376E">
        <w:t>people some good (the</w:t>
      </w:r>
      <w:r w:rsidR="005E5A50">
        <w:t xml:space="preserve"> gnostics were not wholly wrong</w:t>
      </w:r>
      <w:r w:rsidRPr="002B376E">
        <w:t>). It hel</w:t>
      </w:r>
      <w:r w:rsidR="005E5A50">
        <w:t xml:space="preserve">ps them formulate a mind on </w:t>
      </w:r>
      <w:r w:rsidRPr="002B376E">
        <w:t>issues that confront them. But I also wanted to influence their behavior. I wanted to encourage the discerning to be steadfast in their faithfulness, and to encourage others to join them. I went as near as I could to saying as much</w:t>
      </w:r>
      <w:r w:rsidR="009F0D12">
        <w:t>,</w:t>
      </w:r>
      <w:r w:rsidRPr="002B376E">
        <w:t xml:space="preserve"> when I described the faithfulness of conservative Jews and </w:t>
      </w:r>
      <w:r w:rsidR="005E5A50">
        <w:t xml:space="preserve">described </w:t>
      </w:r>
      <w:r w:rsidRPr="002B376E">
        <w:t>the positive significance our affliction can have. I did not say that suffering was redemptive or atoning or a means of prov</w:t>
      </w:r>
      <w:r w:rsidR="005E5A50">
        <w:t>oking God to act on our behalf</w:t>
      </w:r>
      <w:r w:rsidRPr="002B376E">
        <w:t>.</w:t>
      </w:r>
      <w:r w:rsidR="005E5A50">
        <w:rPr>
          <w:rStyle w:val="FootnoteReference"/>
        </w:rPr>
        <w:footnoteReference w:id="819"/>
      </w:r>
      <w:r w:rsidRPr="002B376E">
        <w:t xml:space="preserve"> I could see that it had a refining effect on the community. It forces people to make up their mind which side they are on. I did not need to encourage loyalist Jews to fight for the cause if necessary. If anything, they needed to be wary of overestimating what can be achieved through fighting. You would have thought our story over the centu</w:t>
      </w:r>
      <w:r w:rsidR="005E5A50">
        <w:t>ries would have shown them</w:t>
      </w:r>
      <w:r w:rsidRPr="002B376E">
        <w:t xml:space="preserve">, but it had not, and the </w:t>
      </w:r>
      <w:r w:rsidR="005E5A50">
        <w:t xml:space="preserve">subsequent believing communities </w:t>
      </w:r>
      <w:r w:rsidRPr="002B376E">
        <w:t xml:space="preserve">have not been very good at learning </w:t>
      </w:r>
      <w:r w:rsidR="005E5A50">
        <w:t xml:space="preserve">it, either. But what I </w:t>
      </w:r>
      <w:r w:rsidRPr="002B376E">
        <w:t>wanted to emphasize was the responsibility of the conservative leadership to teach people: to do what I was trying to do myself, passing on to peo</w:t>
      </w:r>
      <w:r w:rsidR="005E5A50">
        <w:t xml:space="preserve">ple what </w:t>
      </w:r>
      <w:r w:rsidRPr="002B376E">
        <w:t>God was revealing to us about the way he looked at past and present and futu</w:t>
      </w:r>
      <w:r w:rsidR="005E5A50">
        <w:t xml:space="preserve">re, and encouraging them in </w:t>
      </w:r>
      <w:r w:rsidRPr="002B376E">
        <w:t xml:space="preserve">light of that </w:t>
      </w:r>
      <w:r w:rsidR="005E5A50">
        <w:t xml:space="preserve">revelation </w:t>
      </w:r>
      <w:r w:rsidRPr="002B376E">
        <w:t xml:space="preserve">to refuse to collaborate with Antiochus and the reformist Jews. I wanted them to fight in that sense, and </w:t>
      </w:r>
      <w:r w:rsidR="005E5A50">
        <w:t xml:space="preserve">to </w:t>
      </w:r>
      <w:r w:rsidRPr="002B376E">
        <w:t>stand their ground to the end if necessary (cf. Eph 6:10–</w:t>
      </w:r>
      <w:r w:rsidR="00E12E24">
        <w:t>1</w:t>
      </w:r>
      <w:r w:rsidRPr="002B376E">
        <w:t>8). I saw myself as having a position rather like Daniel’s, and I wanted the rest of the leadership to be Daniel-like, too—indeed, I wanted the whole people to be Daniel-like. That is why I ended the way I did.</w:t>
      </w:r>
      <w:r w:rsidR="00745AE0">
        <w:t xml:space="preserve"> </w:t>
      </w:r>
    </w:p>
    <w:p w:rsidR="00E12E24" w:rsidRDefault="00E12E24" w:rsidP="00745AE0"/>
    <w:p w:rsidR="00EE5F58" w:rsidRPr="00E12E24" w:rsidRDefault="00745AE0" w:rsidP="002B376E">
      <w:r w:rsidRPr="00745AE0">
        <w:t>In 12:11, Calvin comments, “I have no hesitation in supposing the angel to</w:t>
      </w:r>
      <w:r>
        <w:t xml:space="preserve"> speak metaphorically” and in 12:</w:t>
      </w:r>
      <w:r w:rsidRPr="00745AE0">
        <w:t xml:space="preserve">12, “in numerical calculations I am no conjurer, and those who expound this passage with too great subtlety, only trifle in their own speculations,” but </w:t>
      </w:r>
      <w:r w:rsidR="00E12E24">
        <w:t xml:space="preserve">he </w:t>
      </w:r>
      <w:r w:rsidRPr="00745AE0">
        <w:t>adds “It is as if the angel had said, although half the time should be prorogued, yet the faithful ought constantly to persist in the hope of deliverance.” God will not in the end disappoint us.</w:t>
      </w:r>
      <w:r w:rsidRPr="00745AE0">
        <w:rPr>
          <w:vertAlign w:val="superscript"/>
        </w:rPr>
        <w:footnoteReference w:id="820"/>
      </w:r>
      <w:r>
        <w:t xml:space="preserve"> </w:t>
      </w:r>
      <w:r w:rsidR="00E12E24">
        <w:t>Further, “t</w:t>
      </w:r>
      <w:r w:rsidRPr="00745AE0">
        <w:t>he promise of rest is a word addressed to the listener, right now.” It places the hearer in a moment of “urgency that demands acknowledgment and response.”</w:t>
      </w:r>
      <w:r w:rsidRPr="00745AE0">
        <w:rPr>
          <w:vertAlign w:val="superscript"/>
        </w:rPr>
        <w:footnoteReference w:id="821"/>
      </w:r>
      <w:r>
        <w:t xml:space="preserve"> </w:t>
      </w:r>
      <w:r w:rsidR="00E12E24">
        <w:t xml:space="preserve">The </w:t>
      </w:r>
      <w:r w:rsidR="00541261">
        <w:t xml:space="preserve">Puritan theologian </w:t>
      </w:r>
      <w:r w:rsidR="00EE5F58">
        <w:t xml:space="preserve">John Owen preached on </w:t>
      </w:r>
      <w:r w:rsidR="00E12E24">
        <w:t>12:</w:t>
      </w:r>
      <w:r w:rsidR="00EE5F58">
        <w:t xml:space="preserve">13 at the funeral of Oliver Cromwell’s </w:t>
      </w:r>
      <w:r w:rsidR="00EE5F58" w:rsidRPr="00EE5F58">
        <w:t xml:space="preserve">son-in-law </w:t>
      </w:r>
      <w:r w:rsidR="00EE5F58">
        <w:t xml:space="preserve">Henry Ireton, who died in a plague </w:t>
      </w:r>
      <w:r w:rsidR="00420EA5">
        <w:t xml:space="preserve">during a campaign in Ireland. Ireton, </w:t>
      </w:r>
      <w:r w:rsidR="00420EA5">
        <w:lastRenderedPageBreak/>
        <w:t>Owen sa</w:t>
      </w:r>
      <w:r>
        <w:t xml:space="preserve">ys, resembled Daniel in being a </w:t>
      </w:r>
      <w:r w:rsidR="00420EA5">
        <w:t xml:space="preserve">man of wisdom, </w:t>
      </w:r>
      <w:r>
        <w:t xml:space="preserve">of </w:t>
      </w:r>
      <w:r w:rsidR="00420EA5">
        <w:t xml:space="preserve">love for his people, and </w:t>
      </w:r>
      <w:r>
        <w:t xml:space="preserve">of </w:t>
      </w:r>
      <w:r w:rsidR="00420EA5">
        <w:t>uprightness; but like Daniel, Ireton had to accept his dismissal when God said it was time, even if God says this word of dismissal before the work is all done. But how blessed we are if God declares that the time for rest has come, knowing that God himself will fulfill his purpose at the End.</w:t>
      </w:r>
      <w:r w:rsidR="00420EA5" w:rsidRPr="00420EA5">
        <w:rPr>
          <w:vertAlign w:val="superscript"/>
        </w:rPr>
        <w:t xml:space="preserve"> </w:t>
      </w:r>
      <w:r w:rsidR="00420EA5" w:rsidRPr="00420EA5">
        <w:rPr>
          <w:vertAlign w:val="superscript"/>
        </w:rPr>
        <w:footnoteReference w:id="822"/>
      </w:r>
      <w:r w:rsidR="00E12E24">
        <w:rPr>
          <w:vertAlign w:val="superscript"/>
        </w:rPr>
        <w:t xml:space="preserve"> </w:t>
      </w:r>
      <w:r w:rsidR="00E12E24">
        <w:t>Therefore we pray,</w:t>
      </w:r>
    </w:p>
    <w:p w:rsidR="00DE1379" w:rsidRDefault="00DE1379" w:rsidP="00DE1379">
      <w:pPr>
        <w:pStyle w:val="Quote"/>
      </w:pPr>
    </w:p>
    <w:p w:rsidR="00DE1379" w:rsidRPr="001546FE" w:rsidRDefault="00DE1379" w:rsidP="00DE1379">
      <w:pPr>
        <w:pStyle w:val="Quote"/>
      </w:pPr>
      <w:r>
        <w:t>Grant, Almighty God, as thou didst formerly appear to Daniel thy holy servant, and to the other prophets, and by their doctrine didst render thy glory conspicuous to us at this day, that we may reverently approach and behold it. When we have become entirely devoted to thee, may those mysteries which it has pleased thee to offer by means of their hand and labours, receive from us their due estimation. May we be cast down in ourselves and be raised by hope and faith towards heaven; when prostrate before thy face, may we so conduct ourselves in the world, as in the interval to become free from all the depraved desires and passions of our flesh, and dwell mentally in heaven. Then at length may we be withdrawn from this earthly warfare, and arrive at that celestial rest which thou hast prepared for us, through the same Jesus Christ our Lord.</w:t>
      </w:r>
      <w:r>
        <w:rPr>
          <w:rStyle w:val="FootnoteReference"/>
        </w:rPr>
        <w:footnoteReference w:id="823"/>
      </w:r>
    </w:p>
    <w:p w:rsidR="002B376E" w:rsidRPr="002B376E" w:rsidRDefault="002B376E" w:rsidP="00E75AC8">
      <w:pPr>
        <w:pStyle w:val="Heading1"/>
      </w:pPr>
      <w:r w:rsidRPr="002B376E">
        <w:t>Conclusion</w:t>
      </w:r>
    </w:p>
    <w:p w:rsidR="002B376E" w:rsidRPr="002B376E" w:rsidRDefault="002B376E" w:rsidP="00C25C1F">
      <w:pPr>
        <w:pStyle w:val="Heading2"/>
      </w:pPr>
      <w:r w:rsidRPr="002B376E">
        <w:t>The Book’s Form</w:t>
      </w:r>
    </w:p>
    <w:p w:rsidR="002B376E" w:rsidRPr="002B376E" w:rsidRDefault="002B376E" w:rsidP="002B376E">
      <w:r w:rsidRPr="002B376E">
        <w:t>The distinctive formal feature of Daniel is its combining in nearly equal proportions a series of stories about Daniel and his friends and a series of visions attributed to Daniel.</w:t>
      </w:r>
      <w:r w:rsidR="004D1E1C">
        <w:t xml:space="preserve"> It is a bipolar book.</w:t>
      </w:r>
      <w:r w:rsidR="004D1E1C">
        <w:rPr>
          <w:rStyle w:val="FootnoteReference"/>
        </w:rPr>
        <w:footnoteReference w:id="824"/>
      </w:r>
    </w:p>
    <w:p w:rsidR="003C1C0B" w:rsidRDefault="00D25B2D" w:rsidP="002B376E">
      <w:r>
        <w:t>T</w:t>
      </w:r>
      <w:r w:rsidR="00093397">
        <w:t>he visions are especially</w:t>
      </w:r>
      <w:r>
        <w:t xml:space="preserve"> influential in determining descriptions of</w:t>
      </w:r>
      <w:r w:rsidR="002B376E" w:rsidRPr="002B376E">
        <w:t xml:space="preserve"> Daniel’s form: Daniel is an apocalypse. The word com</w:t>
      </w:r>
      <w:r>
        <w:t>es from the Greek term used of “T</w:t>
      </w:r>
      <w:r w:rsidR="002B376E" w:rsidRPr="002B376E">
        <w:t>he Apocalypse</w:t>
      </w:r>
      <w:r>
        <w:t>”</w:t>
      </w:r>
      <w:r w:rsidR="002B376E" w:rsidRPr="002B376E">
        <w:t xml:space="preserve"> in Rev 1:1. Apocalyp</w:t>
      </w:r>
      <w:r>
        <w:t xml:space="preserve">se as a genre of writing is </w:t>
      </w:r>
      <w:r w:rsidR="002B376E" w:rsidRPr="002B376E">
        <w:t>usefully distinguish</w:t>
      </w:r>
      <w:r>
        <w:t>ed</w:t>
      </w:r>
      <w:r w:rsidR="003C1C0B">
        <w:t xml:space="preserve"> from apocalyptic eschatology as </w:t>
      </w:r>
      <w:r>
        <w:t xml:space="preserve">a </w:t>
      </w:r>
      <w:r w:rsidR="003C1C0B">
        <w:t xml:space="preserve">form of </w:t>
      </w:r>
      <w:r w:rsidR="002B376E" w:rsidRPr="002B376E">
        <w:t xml:space="preserve">belief </w:t>
      </w:r>
      <w:r w:rsidR="003C1C0B">
        <w:t xml:space="preserve">about the future </w:t>
      </w:r>
      <w:r>
        <w:t xml:space="preserve">that may </w:t>
      </w:r>
      <w:r w:rsidR="002B376E" w:rsidRPr="002B376E">
        <w:t>appear in writings of various literary forms</w:t>
      </w:r>
      <w:r>
        <w:t xml:space="preserve"> (for instance, in the Gospels and in Paul’s letters)</w:t>
      </w:r>
      <w:r w:rsidR="003C1C0B">
        <w:t xml:space="preserve"> and from apocalypticism as</w:t>
      </w:r>
      <w:r w:rsidR="002B376E" w:rsidRPr="002B376E">
        <w:t xml:space="preserve"> a form of religious faith </w:t>
      </w:r>
      <w:r>
        <w:t xml:space="preserve">as a whole </w:t>
      </w:r>
      <w:r w:rsidR="002B376E" w:rsidRPr="002B376E">
        <w:t>that can arise in particular social contexts and in which apocalyptic eschatology has a prominent place.</w:t>
      </w:r>
      <w:r>
        <w:rPr>
          <w:rStyle w:val="FootnoteReference"/>
        </w:rPr>
        <w:footnoteReference w:id="825"/>
      </w:r>
      <w:r w:rsidR="002B376E" w:rsidRPr="002B376E">
        <w:t xml:space="preserve"> </w:t>
      </w:r>
    </w:p>
    <w:p w:rsidR="002B376E" w:rsidRPr="002B376E" w:rsidRDefault="002B376E" w:rsidP="002B376E">
      <w:r w:rsidRPr="002B376E">
        <w:t>In Rev 1:1 an apocalypse is a revelation by God through an intermediary to a seer concerning realities in heaven and events to come associated with t</w:t>
      </w:r>
      <w:r w:rsidR="00D25B2D">
        <w:t>he End, accompanied by exhortations that prepare</w:t>
      </w:r>
      <w:r w:rsidRPr="002B376E">
        <w:t xml:space="preserve"> the hearers to be open to the visions that occupy the main part of the book. Developing this understanding, an infl</w:t>
      </w:r>
      <w:r w:rsidR="00D25B2D">
        <w:t>uential definition sees</w:t>
      </w:r>
      <w:r w:rsidRPr="002B376E">
        <w:t xml:space="preserve"> apocalypse as “a genre of revelatory literature with a narrative framework, in which a revelation is mediated by an otherworldly being to a human recipient, disclosing a transcendent reality which is both temporal, insofar as it envisages eschatological salvation, and spatial, insofar as it involves another, s</w:t>
      </w:r>
      <w:r w:rsidR="00D25B2D">
        <w:t>upernatural world</w:t>
      </w:r>
      <w:r w:rsidRPr="002B376E">
        <w:t>.</w:t>
      </w:r>
      <w:r w:rsidR="00D25B2D">
        <w:t>”</w:t>
      </w:r>
      <w:r w:rsidR="00D25B2D">
        <w:rPr>
          <w:rStyle w:val="FootnoteReference"/>
        </w:rPr>
        <w:footnoteReference w:id="826"/>
      </w:r>
      <w:r w:rsidRPr="002B376E">
        <w:t xml:space="preserve"> </w:t>
      </w:r>
      <w:r w:rsidR="00E63E7C">
        <w:t>The connection with eschatology marks the way an apocalypse will deal with things to come</w:t>
      </w:r>
      <w:r w:rsidRPr="002B376E">
        <w:t xml:space="preserve">, but </w:t>
      </w:r>
      <w:r w:rsidR="00E63E7C">
        <w:t xml:space="preserve">it may also deal </w:t>
      </w:r>
      <w:r w:rsidRPr="002B376E">
        <w:t>with things abo</w:t>
      </w:r>
      <w:r w:rsidR="003C1C0B">
        <w:t>ve (heaven), as is the case in</w:t>
      </w:r>
      <w:r w:rsidRPr="002B376E">
        <w:t xml:space="preserve"> Revelation, </w:t>
      </w:r>
      <w:r w:rsidR="00E63E7C">
        <w:t xml:space="preserve">with </w:t>
      </w:r>
      <w:r w:rsidRPr="002B376E">
        <w:t>things below (Sheol</w:t>
      </w:r>
      <w:r w:rsidR="00E63E7C">
        <w:t xml:space="preserve"> and Gehenna), and </w:t>
      </w:r>
      <w:r w:rsidR="003C1C0B">
        <w:t xml:space="preserve">with </w:t>
      </w:r>
      <w:r w:rsidR="00E63E7C">
        <w:t>things before us</w:t>
      </w:r>
      <w:r w:rsidRPr="002B376E">
        <w:t xml:space="preserve"> (the past</w:t>
      </w:r>
      <w:r w:rsidR="00E63E7C">
        <w:t>, including creation</w:t>
      </w:r>
      <w:r w:rsidRPr="002B376E">
        <w:t>).</w:t>
      </w:r>
      <w:r w:rsidR="00E63E7C">
        <w:rPr>
          <w:rStyle w:val="FootnoteReference"/>
        </w:rPr>
        <w:footnoteReference w:id="827"/>
      </w:r>
      <w:r w:rsidR="00E63E7C">
        <w:t xml:space="preserve"> Daniel is certainly concerned with things to come</w:t>
      </w:r>
      <w:r w:rsidRPr="002B376E">
        <w:t xml:space="preserve"> and with things ab</w:t>
      </w:r>
      <w:r w:rsidR="00E63E7C">
        <w:t xml:space="preserve">ove </w:t>
      </w:r>
      <w:r w:rsidR="00E63E7C">
        <w:lastRenderedPageBreak/>
        <w:t>(see especially chap. 10). It tells</w:t>
      </w:r>
      <w:r w:rsidRPr="002B376E">
        <w:t xml:space="preserve"> us little about things below, </w:t>
      </w:r>
      <w:r w:rsidR="00E63E7C">
        <w:t>but each vision</w:t>
      </w:r>
      <w:r w:rsidRPr="002B376E">
        <w:t xml:space="preserve"> shows considerable interest in</w:t>
      </w:r>
      <w:r w:rsidR="00E63E7C">
        <w:t xml:space="preserve"> what is past from the</w:t>
      </w:r>
      <w:r w:rsidRPr="002B376E">
        <w:t xml:space="preserve"> perspective of seer and audience, giving much space to interpretations of past historical events from the exile to the second century. As a visionary work, Da</w:t>
      </w:r>
      <w:r w:rsidR="003C1C0B">
        <w:t>niel is thus illumin</w:t>
      </w:r>
      <w:r w:rsidR="00E63E7C">
        <w:t xml:space="preserve">ed by both </w:t>
      </w:r>
      <w:r w:rsidRPr="002B376E">
        <w:t>these definitions.</w:t>
      </w:r>
    </w:p>
    <w:p w:rsidR="002B376E" w:rsidRPr="002B376E" w:rsidRDefault="00093397" w:rsidP="002B376E">
      <w:r>
        <w:t>These</w:t>
      </w:r>
      <w:r w:rsidR="002B376E" w:rsidRPr="002B376E">
        <w:t xml:space="preserve"> definition</w:t>
      </w:r>
      <w:r>
        <w:t>s also suggest</w:t>
      </w:r>
      <w:r w:rsidR="002B376E" w:rsidRPr="002B376E">
        <w:t xml:space="preserve"> pointers to the significance of the stories</w:t>
      </w:r>
      <w:r>
        <w:t xml:space="preserve"> in Daniel. First, in </w:t>
      </w:r>
      <w:r w:rsidR="002B376E" w:rsidRPr="002B376E">
        <w:t xml:space="preserve">preceding the bulk </w:t>
      </w:r>
      <w:r>
        <w:t>of the revelatory material, the stories</w:t>
      </w:r>
      <w:r w:rsidR="002B376E" w:rsidRPr="002B376E">
        <w:t xml:space="preserve"> may be see</w:t>
      </w:r>
      <w:r w:rsidR="00B61C5C">
        <w:t>n as equivalent to the hortatory material in</w:t>
      </w:r>
      <w:r w:rsidR="002B376E" w:rsidRPr="002B376E">
        <w:t xml:space="preserve"> Rev 2–3.</w:t>
      </w:r>
      <w:r w:rsidR="00E63E7C">
        <w:rPr>
          <w:rStyle w:val="FootnoteReference"/>
        </w:rPr>
        <w:footnoteReference w:id="828"/>
      </w:r>
      <w:r w:rsidR="002B376E" w:rsidRPr="002B376E">
        <w:t xml:space="preserve"> </w:t>
      </w:r>
      <w:r w:rsidR="00B61C5C">
        <w:t xml:space="preserve">While </w:t>
      </w:r>
      <w:r w:rsidR="002B376E" w:rsidRPr="002B376E">
        <w:t xml:space="preserve">Revelation </w:t>
      </w:r>
      <w:r w:rsidR="00B61C5C">
        <w:t>thus incorporates this exhortation in its visions,</w:t>
      </w:r>
      <w:r w:rsidR="002B376E" w:rsidRPr="002B376E">
        <w:t xml:space="preserve"> Daniel presents its </w:t>
      </w:r>
      <w:r w:rsidR="00B61C5C">
        <w:t xml:space="preserve">equivalent </w:t>
      </w:r>
      <w:r w:rsidR="002B376E" w:rsidRPr="002B376E">
        <w:t>in story form, in</w:t>
      </w:r>
      <w:r w:rsidR="00B61C5C">
        <w:t xml:space="preserve"> keeping with OT precedents. Its</w:t>
      </w:r>
      <w:r w:rsidR="002B376E" w:rsidRPr="002B376E">
        <w:t xml:space="preserve"> stories implicitly urge upon their hearers the life of trust and faithfulness that will be difficult but vital in the circumstances to wh</w:t>
      </w:r>
      <w:r>
        <w:t>ich the visions speak. R</w:t>
      </w:r>
      <w:r w:rsidR="002B376E" w:rsidRPr="002B376E">
        <w:t>elating as they do to pressures similar to those of the sec</w:t>
      </w:r>
      <w:r w:rsidR="00B61C5C">
        <w:t>ond century (see on 11:33),</w:t>
      </w:r>
      <w:r w:rsidR="002B376E" w:rsidRPr="002B376E">
        <w:t xml:space="preserve"> </w:t>
      </w:r>
      <w:r>
        <w:t xml:space="preserve">the stories </w:t>
      </w:r>
      <w:r w:rsidR="002B376E" w:rsidRPr="002B376E">
        <w:t xml:space="preserve">show </w:t>
      </w:r>
      <w:r w:rsidR="00B61C5C">
        <w:t xml:space="preserve">this trust and faithfulness </w:t>
      </w:r>
      <w:r w:rsidR="002B376E" w:rsidRPr="002B376E">
        <w:t xml:space="preserve">to be possible </w:t>
      </w:r>
      <w:r w:rsidR="00B61C5C">
        <w:t>because it is undergirded by God’s</w:t>
      </w:r>
      <w:r w:rsidR="002B376E" w:rsidRPr="002B376E">
        <w:t xml:space="preserve"> faith</w:t>
      </w:r>
      <w:r w:rsidR="003C1C0B">
        <w:t>fulness and power</w:t>
      </w:r>
      <w:r w:rsidR="002B376E" w:rsidRPr="002B376E">
        <w:t>. Second, the stories comprise the bulk of the visions’ narrative framework. They introduce the visionary with his qualities of discernment and faithfulness which help to establish his authority and give him the right to urge faithfulness on others. Third, the stories, like the visions, portray a God who rules in heaven who is also sovereign over the realm of death, who is active in the past and trustworthy for the future.</w:t>
      </w:r>
    </w:p>
    <w:p w:rsidR="002B376E" w:rsidRPr="002B376E" w:rsidRDefault="002B376E" w:rsidP="002B376E">
      <w:r w:rsidRPr="002B376E">
        <w:t>The sp</w:t>
      </w:r>
      <w:r w:rsidR="00B61C5C">
        <w:t>ace the stories occupy</w:t>
      </w:r>
      <w:r w:rsidRPr="002B376E">
        <w:t xml:space="preserve"> warns against interpreting them as wholly </w:t>
      </w:r>
      <w:r w:rsidR="00776023">
        <w:t>subordinate to the visions. A</w:t>
      </w:r>
      <w:r w:rsidRPr="002B376E">
        <w:t>pocalypse</w:t>
      </w:r>
      <w:r w:rsidR="00776023">
        <w:t xml:space="preserve"> may be</w:t>
      </w:r>
      <w:r w:rsidRPr="002B376E">
        <w:t xml:space="preserve"> an example of a genre that becomes simpler as it develops, and the subsequent development of the apocalyp</w:t>
      </w:r>
      <w:r w:rsidR="00B61C5C">
        <w:t xml:space="preserve">se form must not obscure </w:t>
      </w:r>
      <w:r w:rsidRPr="002B376E">
        <w:t>the nature of this early example. It is a mixed form, as much a series of short stories to which visions are attached as a series of visions prefaced by some stories.</w:t>
      </w:r>
    </w:p>
    <w:p w:rsidR="008F59B2" w:rsidRDefault="002B376E" w:rsidP="008F59B2">
      <w:r w:rsidRPr="002B376E">
        <w:t>The stories reflect historical experiences and events. But</w:t>
      </w:r>
      <w:r w:rsidR="00B61C5C">
        <w:t xml:space="preserve"> they are not historiography. The indications of this fact are not confined to their incorporating material</w:t>
      </w:r>
      <w:r w:rsidRPr="002B376E">
        <w:t xml:space="preserve"> </w:t>
      </w:r>
      <w:r w:rsidR="00B61C5C">
        <w:t>that tells a different story</w:t>
      </w:r>
      <w:r w:rsidRPr="002B376E">
        <w:t xml:space="preserve"> from what </w:t>
      </w:r>
      <w:r w:rsidR="00B61C5C">
        <w:t xml:space="preserve">we otherwise know of the period, </w:t>
      </w:r>
      <w:r w:rsidR="00B61C5C" w:rsidRPr="00B61C5C">
        <w:t xml:space="preserve">such as the portrait of Nebuchadnezzar, the </w:t>
      </w:r>
      <w:r w:rsidR="00B61C5C">
        <w:t xml:space="preserve">placing of a Median empire </w:t>
      </w:r>
      <w:r w:rsidR="00B61C5C" w:rsidRPr="00B61C5C">
        <w:t>between the Babylonian and the Persian, and the existence of Darius the Mede</w:t>
      </w:r>
      <w:r w:rsidR="00B61C5C">
        <w:t xml:space="preserve">. The stories are not simply </w:t>
      </w:r>
      <w:r w:rsidR="00776023">
        <w:t xml:space="preserve">failed </w:t>
      </w:r>
      <w:r w:rsidRPr="002B376E">
        <w:t xml:space="preserve">attempts at </w:t>
      </w:r>
      <w:r w:rsidR="00776023">
        <w:t>writing history</w:t>
      </w:r>
      <w:r w:rsidRPr="002B376E">
        <w:t xml:space="preserve">. </w:t>
      </w:r>
      <w:r w:rsidR="00776023">
        <w:t>The b</w:t>
      </w:r>
      <w:r w:rsidR="00B61C5C">
        <w:t xml:space="preserve">ook of </w:t>
      </w:r>
      <w:r w:rsidRPr="002B376E">
        <w:t>Daniel hardly raises more historical problems than books such as Chronicles, and even if all such features</w:t>
      </w:r>
      <w:r w:rsidR="00E151E2">
        <w:t xml:space="preserve"> are unhistorical, </w:t>
      </w:r>
      <w:r w:rsidR="00776023">
        <w:t xml:space="preserve">it is not </w:t>
      </w:r>
      <w:r w:rsidRPr="002B376E">
        <w:t xml:space="preserve">this </w:t>
      </w:r>
      <w:r w:rsidR="00776023">
        <w:t>feature</w:t>
      </w:r>
      <w:r w:rsidR="00E151E2">
        <w:t xml:space="preserve"> that marks the stories as</w:t>
      </w:r>
      <w:r w:rsidRPr="002B376E">
        <w:t xml:space="preserve"> not historiographical. The pointers to this </w:t>
      </w:r>
      <w:r w:rsidR="00E151E2">
        <w:t>conclusion lie in the way</w:t>
      </w:r>
      <w:r w:rsidRPr="002B376E">
        <w:t xml:space="preserve"> they manifest the positiv</w:t>
      </w:r>
      <w:r w:rsidR="00E151E2">
        <w:t>e features of short stories</w:t>
      </w:r>
      <w:r w:rsidRPr="002B376E">
        <w:t xml:space="preserve"> that make use of fictional features as well as historical ones in order to achieve their aim of telling an </w:t>
      </w:r>
      <w:r w:rsidR="003C1C0B">
        <w:t xml:space="preserve">instructive and </w:t>
      </w:r>
      <w:r w:rsidRPr="002B376E">
        <w:t xml:space="preserve">edifying </w:t>
      </w:r>
      <w:r w:rsidR="003C1C0B">
        <w:t xml:space="preserve">and true </w:t>
      </w:r>
      <w:r w:rsidRPr="002B376E">
        <w:t xml:space="preserve">story. </w:t>
      </w:r>
      <w:r w:rsidR="003C1C0B" w:rsidRPr="003C1C0B">
        <w:t xml:space="preserve">It is not the case that </w:t>
      </w:r>
      <w:r w:rsidR="003C1C0B" w:rsidRPr="003C1C0B">
        <w:rPr>
          <w:bCs/>
        </w:rPr>
        <w:t>“the tales in chapters 1-6 have a history-like character, but they also present notorious historical problems.”</w:t>
      </w:r>
      <w:r w:rsidR="003C1C0B" w:rsidRPr="003C1C0B">
        <w:rPr>
          <w:bCs/>
          <w:vertAlign w:val="superscript"/>
        </w:rPr>
        <w:footnoteReference w:id="829"/>
      </w:r>
      <w:r w:rsidR="003C1C0B" w:rsidRPr="003C1C0B">
        <w:rPr>
          <w:bCs/>
        </w:rPr>
        <w:t xml:space="preserve"> </w:t>
      </w:r>
      <w:r w:rsidR="008F59B2">
        <w:rPr>
          <w:bCs/>
        </w:rPr>
        <w:t>Comparison with (say) the closing chapters of 2 Kings makes clear that they do not have a history-like character, even on an OT understanding of “history-like.”</w:t>
      </w:r>
      <w:r w:rsidR="003C1C0B">
        <w:rPr>
          <w:bCs/>
        </w:rPr>
        <w:t xml:space="preserve"> </w:t>
      </w:r>
      <w:r w:rsidRPr="002B376E">
        <w:t>To imply that they are at fault if they contain unhistorical features is to judge them on alien criteria; to defend them by seeking to establish that at such points they are factual after all is to collude with such a false starting point.</w:t>
      </w:r>
      <w:r w:rsidR="008F59B2">
        <w:rPr>
          <w:rStyle w:val="FootnoteReference"/>
        </w:rPr>
        <w:footnoteReference w:id="830"/>
      </w:r>
    </w:p>
    <w:p w:rsidR="009B13D8" w:rsidRPr="009B13D8" w:rsidRDefault="007150B3" w:rsidP="009B13D8">
      <w:r>
        <w:rPr>
          <w:rFonts w:cs="Times New Roman"/>
          <w:bCs/>
        </w:rPr>
        <w:t>Ironically, it is the visions that have more in common with historiography.</w:t>
      </w:r>
      <w:r>
        <w:rPr>
          <w:rStyle w:val="FootnoteReference"/>
          <w:rFonts w:cs="Times New Roman"/>
          <w:bCs/>
        </w:rPr>
        <w:footnoteReference w:id="831"/>
      </w:r>
      <w:r w:rsidR="008F59B2">
        <w:rPr>
          <w:rFonts w:cs="Times New Roman"/>
          <w:bCs/>
        </w:rPr>
        <w:t xml:space="preserve"> </w:t>
      </w:r>
      <w:r w:rsidR="008F59B2">
        <w:t>T</w:t>
      </w:r>
      <w:r w:rsidR="002B376E" w:rsidRPr="002B376E">
        <w:t xml:space="preserve">he visions are </w:t>
      </w:r>
      <w:r w:rsidR="00931431">
        <w:t>for the most part quasi-prediction rather than actual prediction</w:t>
      </w:r>
      <w:r w:rsidR="002B376E" w:rsidRPr="002B376E">
        <w:t xml:space="preserve">, and they are pseudonymous; we do not know who these visionaries were. The reasons for this conclusion are formal and theological rather than philosophical. It is not that prediction of second-century events in the sixth century would be </w:t>
      </w:r>
      <w:r w:rsidR="002B376E" w:rsidRPr="002B376E">
        <w:lastRenderedPageBreak/>
        <w:t>impossible; let its possibility be granted. Formally, it is not essential to or distinctive of apocalypses to be</w:t>
      </w:r>
      <w:r w:rsidR="00931431">
        <w:t xml:space="preserve"> pseudonymous or quasi-predictive</w:t>
      </w:r>
      <w:r w:rsidR="002B376E" w:rsidRPr="002B376E">
        <w:t xml:space="preserve">. Both features are missing from Revelation and present in works of other genres. </w:t>
      </w:r>
      <w:r w:rsidR="001D6159">
        <w:t xml:space="preserve">In general, pseudonymity can be a mark </w:t>
      </w:r>
      <w:r w:rsidR="009231C9">
        <w:t xml:space="preserve">of </w:t>
      </w:r>
      <w:r w:rsidR="001D6159">
        <w:t>humility and deference, though it can also be a way of commending a work.</w:t>
      </w:r>
      <w:r w:rsidR="00776023">
        <w:t xml:space="preserve"> Not least in visions, p</w:t>
      </w:r>
      <w:r w:rsidR="009231C9">
        <w:t>seudonymity may indicate a sense that one is inspired by the</w:t>
      </w:r>
      <w:r w:rsidR="008F59B2">
        <w:t xml:space="preserve"> person to whom one refers. T</w:t>
      </w:r>
      <w:r w:rsidR="009231C9">
        <w:t>his person is God’s agent in me</w:t>
      </w:r>
      <w:r w:rsidR="008F59B2">
        <w:t xml:space="preserve">diating the vision. </w:t>
      </w:r>
      <w:r w:rsidR="009231C9">
        <w:t>Isaiah ben Amoz contributed to the inspiration of the prophecies</w:t>
      </w:r>
      <w:r w:rsidR="00776023">
        <w:t xml:space="preserve"> in Isa 40—55.</w:t>
      </w:r>
      <w:r w:rsidR="008F59B2">
        <w:t xml:space="preserve"> </w:t>
      </w:r>
      <w:r w:rsidR="00776023">
        <w:t xml:space="preserve">Dan </w:t>
      </w:r>
      <w:r w:rsidR="009231C9">
        <w:t xml:space="preserve">2 was passed down as </w:t>
      </w:r>
      <w:r w:rsidR="00776023">
        <w:t xml:space="preserve">a vision of Daniel and </w:t>
      </w:r>
      <w:r w:rsidR="009231C9">
        <w:t xml:space="preserve">the visions in chap. 7—12 found part of </w:t>
      </w:r>
      <w:r w:rsidR="00776023">
        <w:t>their inspiration there</w:t>
      </w:r>
      <w:r w:rsidR="009231C9">
        <w:t xml:space="preserve">. “The visionary of the </w:t>
      </w:r>
      <w:r w:rsidR="008F59B2">
        <w:t>Maccabean period must have ident</w:t>
      </w:r>
      <w:r w:rsidR="009231C9">
        <w:t>i</w:t>
      </w:r>
      <w:r w:rsidR="008F59B2">
        <w:t>f</w:t>
      </w:r>
      <w:r w:rsidR="00776023">
        <w:t>i</w:t>
      </w:r>
      <w:r w:rsidR="009231C9">
        <w:t>ed with Daniel and seen history,</w:t>
      </w:r>
      <w:r w:rsidR="008F59B2">
        <w:t xml:space="preserve"> </w:t>
      </w:r>
      <w:r w:rsidR="009231C9">
        <w:t>as it were, through Daniel’s eyes.”</w:t>
      </w:r>
      <w:r w:rsidR="009231C9">
        <w:rPr>
          <w:rStyle w:val="FootnoteReference"/>
        </w:rPr>
        <w:footnoteReference w:id="832"/>
      </w:r>
      <w:r w:rsidR="009B13D8">
        <w:t xml:space="preserve"> More broadly, the </w:t>
      </w:r>
      <w:r w:rsidR="009B13D8" w:rsidRPr="009B13D8">
        <w:t>midrashic aspect</w:t>
      </w:r>
      <w:r w:rsidR="009B13D8">
        <w:t xml:space="preserve"> to both stories and visions, which</w:t>
      </w:r>
      <w:r w:rsidR="009B13D8" w:rsidRPr="009B13D8">
        <w:t xml:space="preserve"> presuppose</w:t>
      </w:r>
      <w:r w:rsidR="009B13D8">
        <w:t>s</w:t>
      </w:r>
      <w:r w:rsidR="009B13D8" w:rsidRPr="009B13D8">
        <w:t xml:space="preserve"> the existence of some scriptures and make</w:t>
      </w:r>
      <w:r w:rsidR="009B13D8">
        <w:t>s these scriptures</w:t>
      </w:r>
      <w:r w:rsidR="009B13D8" w:rsidRPr="009B13D8">
        <w:t xml:space="preserve"> one of</w:t>
      </w:r>
      <w:r w:rsidR="009B13D8">
        <w:t xml:space="preserve"> their starting points,</w:t>
      </w:r>
      <w:r w:rsidR="009B13D8" w:rsidRPr="009B13D8">
        <w:t xml:space="preserve"> suggests another consideration underlying the visions’ pseudonymity.</w:t>
      </w:r>
      <w:r w:rsidR="009B13D8" w:rsidRPr="009B13D8">
        <w:rPr>
          <w:vertAlign w:val="superscript"/>
        </w:rPr>
        <w:footnoteReference w:id="833"/>
      </w:r>
      <w:r w:rsidR="009B13D8" w:rsidRPr="009B13D8">
        <w:t xml:space="preserve"> </w:t>
      </w:r>
      <w:r w:rsidR="008E57DC">
        <w:t>Conversely, pseudonymity means making a deliberate choice not to identify oneself as authow; the author “claims no authority for the self embedded within existing structures of domination.” It “chooses to claim only the authority of the pseudonymous hero (and the heavenly sourced from which that hero’s revelation proceeds).”</w:t>
      </w:r>
      <w:r w:rsidR="008E57DC">
        <w:rPr>
          <w:rStyle w:val="FootnoteReference"/>
        </w:rPr>
        <w:footnoteReference w:id="834"/>
      </w:r>
    </w:p>
    <w:p w:rsidR="001D6159" w:rsidRDefault="008F59B2" w:rsidP="002B376E">
      <w:r>
        <w:t>There are</w:t>
      </w:r>
      <w:r w:rsidR="002B376E" w:rsidRPr="002B376E">
        <w:t xml:space="preserve"> no OT parallels</w:t>
      </w:r>
      <w:r>
        <w:t xml:space="preserve"> to the visions in Daniel, but </w:t>
      </w:r>
      <w:r w:rsidR="00776023">
        <w:t>a</w:t>
      </w:r>
      <w:r w:rsidRPr="008F59B2">
        <w:t>ncient Near Eastern pa</w:t>
      </w:r>
      <w:r w:rsidR="00776023">
        <w:t>rallels to the vision</w:t>
      </w:r>
      <w:r>
        <w:t xml:space="preserve">s in Daniel </w:t>
      </w:r>
      <w:r w:rsidR="00776023">
        <w:t xml:space="preserve">are </w:t>
      </w:r>
      <w:r>
        <w:t>pseudonymous quasi-predictions</w:t>
      </w:r>
      <w:r w:rsidR="00931431">
        <w:t xml:space="preserve"> not actual prediction</w:t>
      </w:r>
      <w:r w:rsidR="002B376E" w:rsidRPr="002B376E">
        <w:t>s of known authorship.</w:t>
      </w:r>
      <w:r w:rsidR="00E151E2">
        <w:t xml:space="preserve"> These</w:t>
      </w:r>
      <w:r w:rsidR="002B376E" w:rsidRPr="002B376E">
        <w:t xml:space="preserve"> </w:t>
      </w:r>
      <w:r w:rsidR="00E151E2">
        <w:t>parallels also suggest</w:t>
      </w:r>
      <w:r w:rsidR="002B376E" w:rsidRPr="002B376E">
        <w:t xml:space="preserve"> that there is no reason to assume tha</w:t>
      </w:r>
      <w:r w:rsidR="00E151E2">
        <w:t xml:space="preserve">t the authors </w:t>
      </w:r>
      <w:r w:rsidR="00F82551">
        <w:t xml:space="preserve">were scoundrels </w:t>
      </w:r>
      <w:r w:rsidR="00776023">
        <w:t>perp</w:t>
      </w:r>
      <w:r w:rsidR="00575E83">
        <w:t>etrating a scam and producing a forgery with the cynical</w:t>
      </w:r>
      <w:r w:rsidR="00F82551">
        <w:t xml:space="preserve"> </w:t>
      </w:r>
      <w:r w:rsidR="00575E83">
        <w:t>intention of deceiving</w:t>
      </w:r>
      <w:r w:rsidR="002B376E" w:rsidRPr="002B376E">
        <w:t xml:space="preserve"> their hearers </w:t>
      </w:r>
      <w:r w:rsidR="00E151E2">
        <w:t>regarding the visions’ origin</w:t>
      </w:r>
      <w:r w:rsidR="00575E83">
        <w:t>.</w:t>
      </w:r>
      <w:r w:rsidR="00F82551">
        <w:rPr>
          <w:rStyle w:val="FootnoteReference"/>
        </w:rPr>
        <w:footnoteReference w:id="835"/>
      </w:r>
      <w:r w:rsidR="00E151E2">
        <w:t xml:space="preserve"> It is just as likely that the </w:t>
      </w:r>
      <w:r w:rsidR="00776023">
        <w:t xml:space="preserve">immediate </w:t>
      </w:r>
      <w:r w:rsidR="00E151E2">
        <w:t>hearers</w:t>
      </w:r>
      <w:r w:rsidR="002B376E" w:rsidRPr="002B376E">
        <w:t xml:space="preserve"> would have known how to hear them</w:t>
      </w:r>
      <w:r w:rsidR="006976FC">
        <w:t xml:space="preserve">. </w:t>
      </w:r>
    </w:p>
    <w:p w:rsidR="001D6159" w:rsidRDefault="001D6159" w:rsidP="002B376E"/>
    <w:p w:rsidR="001D6159" w:rsidRDefault="001D6159" w:rsidP="001D6159">
      <w:pPr>
        <w:pStyle w:val="Quote"/>
      </w:pPr>
      <w:r>
        <w:t>We must assume at least that the immediate circles of the authors were aware of the manner in which the works w</w:t>
      </w:r>
      <w:r w:rsidR="008F59B2">
        <w:t>ere actually produced. In contra</w:t>
      </w:r>
      <w:r>
        <w:t>st, the attribution of the apocalyptic books was apparently accepted by the general public, and there is no evidence that the literary convention wa</w:t>
      </w:r>
      <w:r w:rsidR="00F82551">
        <w:t>s generally recognized in Judais</w:t>
      </w:r>
      <w:r>
        <w:t>m or early Christianity. Yet these books, whether canonical or not, are all of high moral serioueness, and so it</w:t>
      </w:r>
      <w:r w:rsidR="00F82551">
        <w:t xml:space="preserve"> is diffi</w:t>
      </w:r>
      <w:r>
        <w:t>c</w:t>
      </w:r>
      <w:r w:rsidR="00F82551">
        <w:t>u</w:t>
      </w:r>
      <w:r>
        <w:t>lt to dismiss them as mere forgeries or calculated deceptions.</w:t>
      </w:r>
      <w:r>
        <w:rPr>
          <w:rStyle w:val="FootnoteReference"/>
        </w:rPr>
        <w:footnoteReference w:id="836"/>
      </w:r>
    </w:p>
    <w:p w:rsidR="001D6159" w:rsidRPr="001D6159" w:rsidRDefault="001D6159" w:rsidP="001D6159">
      <w:pPr>
        <w:rPr>
          <w:lang w:bidi="he-IL"/>
        </w:rPr>
      </w:pPr>
    </w:p>
    <w:p w:rsidR="0001614B" w:rsidRDefault="006976FC" w:rsidP="008F59B2">
      <w:pPr>
        <w:ind w:firstLine="0"/>
      </w:pPr>
      <w:r>
        <w:t>I</w:t>
      </w:r>
      <w:r w:rsidR="00E151E2">
        <w:t xml:space="preserve">t is </w:t>
      </w:r>
      <w:r>
        <w:t xml:space="preserve">even </w:t>
      </w:r>
      <w:r w:rsidR="00F82551">
        <w:t>more likely that their authors</w:t>
      </w:r>
      <w:r w:rsidR="008F59B2">
        <w:t xml:space="preserve"> and readers</w:t>
      </w:r>
      <w:r w:rsidR="00E151E2">
        <w:t xml:space="preserve"> would not have been preoccupied by the question</w:t>
      </w:r>
      <w:r w:rsidR="00776023">
        <w:t xml:space="preserve">. Our </w:t>
      </w:r>
      <w:r w:rsidR="008F59B2">
        <w:t xml:space="preserve">concern </w:t>
      </w:r>
      <w:r w:rsidR="00776023">
        <w:t xml:space="preserve">with it </w:t>
      </w:r>
      <w:r>
        <w:t xml:space="preserve">in the context of modernity </w:t>
      </w:r>
      <w:r w:rsidRPr="006976FC">
        <w:t>parallel</w:t>
      </w:r>
      <w:r w:rsidR="00776023">
        <w:t xml:space="preserve">s </w:t>
      </w:r>
      <w:r w:rsidRPr="006976FC">
        <w:t>t</w:t>
      </w:r>
      <w:r>
        <w:t>he similar development of a pre</w:t>
      </w:r>
      <w:r w:rsidRPr="006976FC">
        <w:t>occupation with the difference between history and story</w:t>
      </w:r>
      <w:r w:rsidR="002B376E" w:rsidRPr="002B376E">
        <w:t>.</w:t>
      </w:r>
      <w:r w:rsidR="00E151E2">
        <w:rPr>
          <w:rStyle w:val="FootnoteReference"/>
        </w:rPr>
        <w:footnoteReference w:id="837"/>
      </w:r>
      <w:r w:rsidR="002B376E" w:rsidRPr="002B376E">
        <w:t xml:space="preserve"> </w:t>
      </w:r>
      <w:r w:rsidR="00903D64">
        <w:t>Actually, w</w:t>
      </w:r>
      <w:r w:rsidR="00776023">
        <w:t>e do not know</w:t>
      </w:r>
      <w:r w:rsidR="0001614B" w:rsidRPr="0001614B">
        <w:t xml:space="preserve"> how many of the author’s contemporaries or how many of those among whom the book soon became popular misunderstood quasi-predictions as a</w:t>
      </w:r>
      <w:r w:rsidR="0001614B">
        <w:t>ctual predictions</w:t>
      </w:r>
      <w:r w:rsidR="0001614B" w:rsidRPr="0001614B">
        <w:t xml:space="preserve">. Jude 14 instances the quoting of a quasi-prediction as if it were actual prediction, and whatever view we take of that chapter may also be appropriate to Daniel. Perhaps </w:t>
      </w:r>
      <w:r w:rsidR="0001614B" w:rsidRPr="0001614B">
        <w:rPr>
          <w:i/>
        </w:rPr>
        <w:t>1 Enoch</w:t>
      </w:r>
      <w:r w:rsidR="0001614B" w:rsidRPr="0001614B">
        <w:t xml:space="preserve"> deceived Jude; a mistaken belief that Paul wrote Hebrews contributed to its inclusion in the NT, so that the Church Fathers there did the right thing for (partly) wrong reasons. Or it may be that Jude knew very well that </w:t>
      </w:r>
      <w:r w:rsidR="0001614B" w:rsidRPr="0001614B">
        <w:rPr>
          <w:i/>
        </w:rPr>
        <w:t>1 Enoch</w:t>
      </w:r>
      <w:r w:rsidR="0001614B" w:rsidRPr="0001614B">
        <w:t xml:space="preserve"> was a quasi-prediction but colluded with the document’s own convention; the convention is too widespread for us to imagine all the people being fooled all the time, even if most people except Porphyry later forgot or refused to acknowledge it. Or it may be that the distinction between real prediction by a saint of old and quasi-prediction by a later person “inspired” by him, obvious to us, was less sharp both to the author of </w:t>
      </w:r>
      <w:r w:rsidR="0001614B" w:rsidRPr="0001614B">
        <w:rPr>
          <w:i/>
        </w:rPr>
        <w:t>1 Enoch</w:t>
      </w:r>
      <w:r w:rsidR="0001614B">
        <w:t xml:space="preserve"> and to Jude.</w:t>
      </w:r>
    </w:p>
    <w:p w:rsidR="002B376E" w:rsidRPr="002B376E" w:rsidRDefault="002B376E" w:rsidP="0001614B">
      <w:r w:rsidRPr="002B376E">
        <w:lastRenderedPageBreak/>
        <w:t xml:space="preserve">The theological support for this formal point </w:t>
      </w:r>
      <w:r w:rsidR="00903D64">
        <w:t xml:space="preserve">that </w:t>
      </w:r>
      <w:r w:rsidR="0001614B">
        <w:t xml:space="preserve">the visions in Daniel </w:t>
      </w:r>
      <w:r w:rsidR="00903D64">
        <w:t xml:space="preserve">are quasi-predictions </w:t>
      </w:r>
      <w:r w:rsidRPr="002B376E">
        <w:t xml:space="preserve">is </w:t>
      </w:r>
      <w:r w:rsidR="00903D64">
        <w:t xml:space="preserve">the fact </w:t>
      </w:r>
      <w:r w:rsidRPr="002B376E">
        <w:t>that the God of the Bible characteristically speaks contextually, into situations rath</w:t>
      </w:r>
      <w:r w:rsidR="008F59B2">
        <w:t>er than independently of them. Further, h</w:t>
      </w:r>
      <w:r w:rsidRPr="002B376E">
        <w:t>e reveals key truths about the End that are relev</w:t>
      </w:r>
      <w:r w:rsidR="008F59B2">
        <w:t xml:space="preserve">ant to people’s present lives, but </w:t>
      </w:r>
      <w:r w:rsidRPr="002B376E">
        <w:t>declines to give information of a concrete or dated kind, insisting that people live by faith. It is difficult to see how the God of the Bible would reveal detailed events of the second century to people living in the si</w:t>
      </w:r>
      <w:r w:rsidR="003F7FCE">
        <w:t>xth, even though he could do so.</w:t>
      </w:r>
      <w:r w:rsidR="003F7FCE">
        <w:rPr>
          <w:rStyle w:val="FootnoteReference"/>
        </w:rPr>
        <w:footnoteReference w:id="838"/>
      </w:r>
    </w:p>
    <w:p w:rsidR="00894BF3" w:rsidRPr="002B376E" w:rsidRDefault="00894BF3" w:rsidP="00894BF3">
      <w:r>
        <w:t>There are</w:t>
      </w:r>
      <w:r w:rsidRPr="002B376E">
        <w:t xml:space="preserve"> some common hesitations about such a conclusion.</w:t>
      </w:r>
      <w:r>
        <w:rPr>
          <w:rStyle w:val="FootnoteReference"/>
        </w:rPr>
        <w:footnoteReference w:id="839"/>
      </w:r>
      <w:r w:rsidRPr="002B376E">
        <w:t xml:space="preserve"> It </w:t>
      </w:r>
      <w:r>
        <w:t>may seem to imply</w:t>
      </w:r>
      <w:r w:rsidRPr="002B376E">
        <w:t xml:space="preserve"> that the “revel</w:t>
      </w:r>
      <w:r>
        <w:t>ation” was nothing of the sort; yet concluding</w:t>
      </w:r>
      <w:r w:rsidRPr="002B376E">
        <w:t xml:space="preserve"> that the author </w:t>
      </w:r>
      <w:r>
        <w:t>knew of</w:t>
      </w:r>
      <w:r w:rsidR="00903D64">
        <w:t xml:space="preserve"> the historical events that the visions</w:t>
      </w:r>
      <w:r>
        <w:t xml:space="preserve"> relate</w:t>
      </w:r>
      <w:r w:rsidRPr="002B376E">
        <w:t xml:space="preserve"> by the same means as other OT writers knew of </w:t>
      </w:r>
      <w:r w:rsidR="00903D64">
        <w:t>historical events they related</w:t>
      </w:r>
      <w:r>
        <w:t xml:space="preserve"> leaves quite open whether the chapters’</w:t>
      </w:r>
      <w:r w:rsidRPr="002B376E">
        <w:t xml:space="preserve"> understanding of these events is God-given in th</w:t>
      </w:r>
      <w:r>
        <w:t>e same way theirs can have been</w:t>
      </w:r>
      <w:r w:rsidRPr="002B376E">
        <w:t xml:space="preserve">. It </w:t>
      </w:r>
      <w:r>
        <w:t>may seem to imply</w:t>
      </w:r>
      <w:r w:rsidRPr="002B376E">
        <w:t xml:space="preserve"> that the preparation for the vision in chap. 10 was also fi</w:t>
      </w:r>
      <w:r>
        <w:t xml:space="preserve">ctional; yet </w:t>
      </w:r>
      <w:r w:rsidRPr="002B376E">
        <w:t xml:space="preserve">this </w:t>
      </w:r>
      <w:r w:rsidR="00903D64">
        <w:t xml:space="preserve">implication </w:t>
      </w:r>
      <w:r w:rsidRPr="002B376E">
        <w:t>does not follow, thou</w:t>
      </w:r>
      <w:r>
        <w:t>gh even if it were the case, i</w:t>
      </w:r>
      <w:r w:rsidRPr="002B376E">
        <w:t xml:space="preserve">t would not imply that it was merely “local color” from which we were not </w:t>
      </w:r>
      <w:r>
        <w:t>intended to learn theologically</w:t>
      </w:r>
      <w:r w:rsidRPr="002B376E">
        <w:t xml:space="preserve">. It </w:t>
      </w:r>
      <w:r>
        <w:t>may seem to imply that the chapter</w:t>
      </w:r>
      <w:r w:rsidRPr="002B376E">
        <w:t>s</w:t>
      </w:r>
      <w:r>
        <w:t>’</w:t>
      </w:r>
      <w:r w:rsidRPr="002B376E">
        <w:t xml:space="preserve"> </w:t>
      </w:r>
      <w:r>
        <w:t>account of the efficacy of prayer or of</w:t>
      </w:r>
      <w:r w:rsidRPr="002B376E">
        <w:t xml:space="preserve"> the heavenly warfare it describes reflects only</w:t>
      </w:r>
      <w:r>
        <w:t xml:space="preserve"> the writer’s subjective ideas; yet </w:t>
      </w:r>
      <w:r w:rsidRPr="002B376E">
        <w:t xml:space="preserve">this </w:t>
      </w:r>
      <w:r>
        <w:t>inference also does not follow, since the account</w:t>
      </w:r>
      <w:r w:rsidRPr="002B376E">
        <w:t xml:space="preserve"> can be just as God-given as other parts of </w:t>
      </w:r>
      <w:r>
        <w:t>the s</w:t>
      </w:r>
      <w:r w:rsidRPr="002B376E">
        <w:t>cripture</w:t>
      </w:r>
      <w:r>
        <w:t xml:space="preserve">s. It may seem to imply </w:t>
      </w:r>
      <w:r w:rsidRPr="002B376E">
        <w:t>that the aut</w:t>
      </w:r>
      <w:r>
        <w:t>hor speaks parabolically when giving no indicat</w:t>
      </w:r>
      <w:r w:rsidR="00903D64">
        <w:t xml:space="preserve">ion of doing so; yet </w:t>
      </w:r>
      <w:r w:rsidRPr="002B376E">
        <w:t>the opposite is t</w:t>
      </w:r>
      <w:r>
        <w:t>he case, because the chapters use a way of speaking characteristic of quasi-prediction, not of actual prediction</w:t>
      </w:r>
      <w:r w:rsidRPr="002B376E">
        <w:t>. It</w:t>
      </w:r>
      <w:r>
        <w:t xml:space="preserve"> may seem to imply that the seer</w:t>
      </w:r>
      <w:r w:rsidRPr="002B376E">
        <w:t xml:space="preserve"> is wrong in his prediction about how Antiochus died, which implies that he is no more likely to be reliable in his und</w:t>
      </w:r>
      <w:r>
        <w:t xml:space="preserve">erstanding of spiritual issues; yet </w:t>
      </w:r>
      <w:r w:rsidRPr="002B376E">
        <w:t xml:space="preserve">this </w:t>
      </w:r>
      <w:r>
        <w:t xml:space="preserve">inference </w:t>
      </w:r>
      <w:r w:rsidRPr="002B376E">
        <w:t xml:space="preserve">involves assuming that </w:t>
      </w:r>
      <w:r>
        <w:t xml:space="preserve">vv 40–45 purport to offer literal </w:t>
      </w:r>
      <w:r w:rsidRPr="002B376E">
        <w:t xml:space="preserve">prediction, which is questionable: see </w:t>
      </w:r>
      <w:r w:rsidRPr="00FB0488">
        <w:rPr>
          <w:i/>
        </w:rPr>
        <w:t>Form</w:t>
      </w:r>
      <w:r w:rsidRPr="002B376E">
        <w:t xml:space="preserve">, </w:t>
      </w:r>
      <w:r w:rsidRPr="00FB0488">
        <w:rPr>
          <w:i/>
        </w:rPr>
        <w:t>Comment</w:t>
      </w:r>
      <w:r w:rsidRPr="002B376E">
        <w:t xml:space="preserve">, </w:t>
      </w:r>
      <w:r w:rsidRPr="00FB0488">
        <w:rPr>
          <w:i/>
        </w:rPr>
        <w:t>Explanation</w:t>
      </w:r>
      <w:r w:rsidRPr="002B376E">
        <w:t>; nor does</w:t>
      </w:r>
      <w:r>
        <w:t xml:space="preserve"> the alleged implication follow</w:t>
      </w:r>
      <w:r w:rsidRPr="002B376E">
        <w:t>.</w:t>
      </w:r>
    </w:p>
    <w:p w:rsidR="002B376E" w:rsidRPr="002B376E" w:rsidRDefault="009B13D8" w:rsidP="002B376E">
      <w:r>
        <w:t xml:space="preserve">Stories and visions </w:t>
      </w:r>
      <w:r w:rsidR="002B376E" w:rsidRPr="002B376E">
        <w:t xml:space="preserve">share an explicit stress on interpretation, in connection with dreams, portents, and visions, as well as with </w:t>
      </w:r>
      <w:r w:rsidR="00B51680">
        <w:t>the s</w:t>
      </w:r>
      <w:r w:rsidR="002B376E" w:rsidRPr="002B376E">
        <w:t>cripture</w:t>
      </w:r>
      <w:r w:rsidR="00B51680">
        <w:t>s</w:t>
      </w:r>
      <w:r w:rsidR="002B376E" w:rsidRPr="002B376E">
        <w:t xml:space="preserve">. Daniel is the mediator of interpretation in chaps. 1–6, </w:t>
      </w:r>
      <w:r w:rsidR="003F7FCE">
        <w:t xml:space="preserve">and </w:t>
      </w:r>
      <w:r w:rsidR="002B376E" w:rsidRPr="002B376E">
        <w:t>its recipient in chaps. 7–12. In each case there is a divine revelation</w:t>
      </w:r>
      <w:r w:rsidR="003F7FCE">
        <w:t>, yet its meaning</w:t>
      </w:r>
      <w:r w:rsidR="002B376E" w:rsidRPr="002B376E">
        <w:t xml:space="preserve"> is a mystery (</w:t>
      </w:r>
      <w:r w:rsidR="002B376E" w:rsidRPr="002B376E">
        <w:rPr>
          <w:rFonts w:ascii="Arial" w:hAnsi="Arial" w:cs="Arial"/>
        </w:rPr>
        <w:t>רז</w:t>
      </w:r>
      <w:r w:rsidR="002B376E" w:rsidRPr="002B376E">
        <w:t xml:space="preserve">, chap. 2). It cannot be made to yield clear sense except by </w:t>
      </w:r>
      <w:r>
        <w:t xml:space="preserve">a </w:t>
      </w:r>
      <w:r w:rsidR="002B376E" w:rsidRPr="002B376E">
        <w:t>divine gift of insight (</w:t>
      </w:r>
      <w:r w:rsidR="002B376E" w:rsidRPr="002B376E">
        <w:rPr>
          <w:rFonts w:ascii="Arial" w:hAnsi="Arial" w:cs="Arial"/>
        </w:rPr>
        <w:t>בינה</w:t>
      </w:r>
      <w:r w:rsidR="003F7FCE">
        <w:t>, a key word in Daniel</w:t>
      </w:r>
      <w:r w:rsidR="002B376E" w:rsidRPr="002B376E">
        <w:t>,</w:t>
      </w:r>
      <w:r w:rsidR="003F7FCE">
        <w:rPr>
          <w:rStyle w:val="FootnoteReference"/>
        </w:rPr>
        <w:footnoteReference w:id="840"/>
      </w:r>
      <w:r w:rsidR="002B376E" w:rsidRPr="002B376E">
        <w:t xml:space="preserve"> though this </w:t>
      </w:r>
      <w:r w:rsidR="003F7FCE">
        <w:t xml:space="preserve">insight </w:t>
      </w:r>
      <w:r w:rsidR="002B376E" w:rsidRPr="002B376E">
        <w:t>can be soug</w:t>
      </w:r>
      <w:r w:rsidR="0001614B">
        <w:t>ht and prepared for. I</w:t>
      </w:r>
      <w:r w:rsidR="003F7FCE">
        <w:t>ts having</w:t>
      </w:r>
      <w:r w:rsidR="002B376E" w:rsidRPr="002B376E">
        <w:t xml:space="preserve"> this origin is </w:t>
      </w:r>
      <w:r w:rsidR="003F7FCE">
        <w:t xml:space="preserve">then </w:t>
      </w:r>
      <w:r w:rsidR="002B376E" w:rsidRPr="002B376E">
        <w:t>reflected in the fact that the interpretation (</w:t>
      </w:r>
      <w:r w:rsidR="002B376E" w:rsidRPr="002B376E">
        <w:rPr>
          <w:rFonts w:ascii="Arial" w:hAnsi="Arial" w:cs="Arial"/>
        </w:rPr>
        <w:t>פשר</w:t>
      </w:r>
      <w:r w:rsidR="002B376E" w:rsidRPr="002B376E">
        <w:t>) stands on its own rather than emerging directly from the revelation in any obvious way.</w:t>
      </w:r>
      <w:r w:rsidR="003F7FCE">
        <w:rPr>
          <w:rStyle w:val="FootnoteReference"/>
        </w:rPr>
        <w:footnoteReference w:id="841"/>
      </w:r>
    </w:p>
    <w:p w:rsidR="002B376E" w:rsidRPr="002B376E" w:rsidRDefault="003F7FCE" w:rsidP="002B376E">
      <w:r>
        <w:t xml:space="preserve">Stories and visions are </w:t>
      </w:r>
      <w:r w:rsidR="002B376E" w:rsidRPr="002B376E">
        <w:t xml:space="preserve">characterized by repetition. Chaps. 1, 3, and 6 relate the testing of the </w:t>
      </w:r>
      <w:r>
        <w:t>exiles and God’s faithfulness. C</w:t>
      </w:r>
      <w:r w:rsidR="002B376E" w:rsidRPr="002B376E">
        <w:t xml:space="preserve">haps. 2, 4, and 5 </w:t>
      </w:r>
      <w:r>
        <w:t xml:space="preserve">tell of </w:t>
      </w:r>
      <w:r w:rsidR="002B376E" w:rsidRPr="002B376E">
        <w:t>Daniel’s skill in interpretation and his revelations</w:t>
      </w:r>
      <w:r>
        <w:t xml:space="preserve"> concerning the fall of kings. C</w:t>
      </w:r>
      <w:r w:rsidR="002B376E" w:rsidRPr="002B376E">
        <w:t xml:space="preserve">haps. 2 and 7 </w:t>
      </w:r>
      <w:r w:rsidR="00761786">
        <w:t xml:space="preserve">report </w:t>
      </w:r>
      <w:r w:rsidR="002B376E" w:rsidRPr="002B376E">
        <w:t xml:space="preserve">a vision </w:t>
      </w:r>
      <w:r w:rsidR="00761786">
        <w:t>of a sequence of four empires. C</w:t>
      </w:r>
      <w:r w:rsidR="002B376E" w:rsidRPr="002B376E">
        <w:t xml:space="preserve">haps. 7, </w:t>
      </w:r>
      <w:r w:rsidR="00931431">
        <w:t xml:space="preserve">8, 9, and 10–12 </w:t>
      </w:r>
      <w:r w:rsidR="00761786">
        <w:t xml:space="preserve">recount </w:t>
      </w:r>
      <w:r w:rsidR="00931431">
        <w:t>a quasi-prediction</w:t>
      </w:r>
      <w:r w:rsidR="002B376E" w:rsidRPr="002B376E">
        <w:t xml:space="preserve"> of events up to the Antiochene crisis and a promise of its end. The effect of such repetition is both to highlight common features of each set of chapters and thus to emphasize these</w:t>
      </w:r>
      <w:r w:rsidR="00761786">
        <w:t xml:space="preserve"> common features</w:t>
      </w:r>
      <w:r w:rsidR="002B376E" w:rsidRPr="002B376E">
        <w:t>, and to draw attention to distinctive feature</w:t>
      </w:r>
      <w:r w:rsidR="00761786">
        <w:t>s of each member of a set</w:t>
      </w:r>
      <w:r w:rsidR="002B376E" w:rsidRPr="002B376E">
        <w:t xml:space="preserve"> that make it stand out from its fellows, and thus to emphasize these </w:t>
      </w:r>
      <w:r w:rsidR="009B13D8" w:rsidRPr="009B13D8">
        <w:t xml:space="preserve">features </w:t>
      </w:r>
      <w:r w:rsidR="002B376E" w:rsidRPr="002B376E">
        <w:t xml:space="preserve">(e.g., the different fates of Nebuchadnezzar and Belshazzar or the </w:t>
      </w:r>
      <w:r w:rsidR="009B13D8">
        <w:t>difference between visions coming</w:t>
      </w:r>
      <w:r w:rsidR="002B376E" w:rsidRPr="002B376E">
        <w:t xml:space="preserve"> by God’s initiative or by Daniel’s seeking). In the terms of information theory, “verbal repetition increases predictability, creates expectations, eliminates noise, persuades, and reduces alternative interpretations.” It “teaches the implied </w:t>
      </w:r>
      <w:r w:rsidR="00761786">
        <w:t>reader how to ‘read’ the text.”</w:t>
      </w:r>
      <w:r w:rsidR="00761786">
        <w:rPr>
          <w:rStyle w:val="FootnoteReference"/>
        </w:rPr>
        <w:footnoteReference w:id="842"/>
      </w:r>
    </w:p>
    <w:p w:rsidR="002B376E" w:rsidRPr="002B376E" w:rsidRDefault="009B13D8" w:rsidP="002B376E">
      <w:r>
        <w:lastRenderedPageBreak/>
        <w:t>S</w:t>
      </w:r>
      <w:r w:rsidR="00761786">
        <w:t xml:space="preserve">tories and visions </w:t>
      </w:r>
      <w:r w:rsidR="002B376E" w:rsidRPr="002B376E">
        <w:t>com</w:t>
      </w:r>
      <w:r w:rsidR="00761786">
        <w:t>municate in complementary ways</w:t>
      </w:r>
      <w:r w:rsidR="002B376E" w:rsidRPr="002B376E">
        <w:t>.</w:t>
      </w:r>
      <w:r w:rsidR="00761786">
        <w:rPr>
          <w:rStyle w:val="FootnoteReference"/>
        </w:rPr>
        <w:footnoteReference w:id="843"/>
      </w:r>
      <w:r w:rsidR="002B376E" w:rsidRPr="002B376E">
        <w:t xml:space="preserve"> In neither do the authors speak directly, as happens with prophecy; they stand behind the narrator in the stories and </w:t>
      </w:r>
      <w:r w:rsidR="00C6412B">
        <w:t xml:space="preserve">behind </w:t>
      </w:r>
      <w:r w:rsidR="002B376E" w:rsidRPr="002B376E">
        <w:t>the persons of Daniel and of heaven</w:t>
      </w:r>
      <w:r>
        <w:t>ly beings in the visions. In contrast to</w:t>
      </w:r>
      <w:r w:rsidR="002B376E" w:rsidRPr="002B376E">
        <w:t xml:space="preserve"> prophecy, neither </w:t>
      </w:r>
      <w:r w:rsidR="00C6412B">
        <w:t>stories nor visions directly address the</w:t>
      </w:r>
      <w:r>
        <w:t>ir</w:t>
      </w:r>
      <w:r w:rsidR="00C6412B">
        <w:t xml:space="preserve"> hearers. T</w:t>
      </w:r>
      <w:r w:rsidR="002B376E" w:rsidRPr="002B376E">
        <w:t>he visions come nearer to doi</w:t>
      </w:r>
      <w:r>
        <w:t>ng so;</w:t>
      </w:r>
      <w:r w:rsidR="00C6412B">
        <w:t xml:space="preserve"> in the stories</w:t>
      </w:r>
      <w:r w:rsidR="002B376E" w:rsidRPr="002B376E">
        <w:t xml:space="preserve"> the relationship between authors and second-century hea</w:t>
      </w:r>
      <w:r>
        <w:t>rers is particularly indirect. There, a</w:t>
      </w:r>
      <w:r w:rsidR="002B376E" w:rsidRPr="002B376E">
        <w:t>nonymous authors tell stories to unidentified hearers about another time and anot</w:t>
      </w:r>
      <w:r w:rsidR="00C6412B">
        <w:t>her place</w:t>
      </w:r>
      <w:r>
        <w:t xml:space="preserve">, </w:t>
      </w:r>
      <w:r w:rsidR="00DD720A">
        <w:t>setting</w:t>
      </w:r>
      <w:r w:rsidRPr="009B13D8">
        <w:t xml:space="preserve"> up a contrast between what used to be and what i</w:t>
      </w:r>
      <w:r w:rsidR="00DD720A">
        <w:t>s so that the book may function</w:t>
      </w:r>
      <w:r w:rsidRPr="009B13D8">
        <w:t xml:space="preserve"> like a protest psalm.</w:t>
      </w:r>
      <w:r w:rsidRPr="009B13D8">
        <w:rPr>
          <w:vertAlign w:val="superscript"/>
        </w:rPr>
        <w:footnoteReference w:id="844"/>
      </w:r>
      <w:r w:rsidR="00DD720A">
        <w:t xml:space="preserve"> </w:t>
      </w:r>
      <w:r w:rsidR="00C6412B">
        <w:t>The visions do</w:t>
      </w:r>
      <w:r w:rsidR="002B376E" w:rsidRPr="002B376E">
        <w:t xml:space="preserve"> speak—if cryptically—about the situation in which authors and hearers live, and more explicitly draw them into identification with Daniel himself.</w:t>
      </w:r>
    </w:p>
    <w:p w:rsidR="002B376E" w:rsidRDefault="00BA067F" w:rsidP="002B376E">
      <w:r w:rsidRPr="00BA067F">
        <w:t xml:space="preserve">Though “these words” and “the book” that records them denote the message(s) of the man in linen recorded in 10:11–12:3, placing this vision at the end of Daniel hints at applying these terms to the book as a whole. </w:t>
      </w:r>
      <w:r w:rsidR="002B376E" w:rsidRPr="002B376E">
        <w:t>There is no indication that the book has been shaped in order to fu</w:t>
      </w:r>
      <w:r w:rsidR="00C6412B">
        <w:t>nction as a canonical document</w:t>
      </w:r>
      <w:r w:rsidR="002B376E" w:rsidRPr="002B376E">
        <w:t>.</w:t>
      </w:r>
      <w:r w:rsidR="00C6412B">
        <w:rPr>
          <w:rStyle w:val="FootnoteReference"/>
        </w:rPr>
        <w:footnoteReference w:id="845"/>
      </w:r>
      <w:r w:rsidR="002B376E" w:rsidRPr="002B376E">
        <w:t xml:space="preserve"> On the other hand, the canonizing of Daniel may presuppose a reading of the book that differed from the authors’.</w:t>
      </w:r>
      <w:r w:rsidR="00FF2A99">
        <w:rPr>
          <w:rStyle w:val="FootnoteReference"/>
        </w:rPr>
        <w:footnoteReference w:id="846"/>
      </w:r>
      <w:r w:rsidR="002B376E" w:rsidRPr="002B376E">
        <w:t xml:space="preserve"> If the authors believed they were providing the date(s!) of an imminent End that did not come about as they expected, the canonizers apparently read it in some more open way.</w:t>
      </w:r>
      <w:r w:rsidR="002112F4">
        <w:rPr>
          <w:rStyle w:val="FootnoteReference"/>
        </w:rPr>
        <w:footnoteReference w:id="847"/>
      </w:r>
    </w:p>
    <w:p w:rsidR="002B376E" w:rsidRPr="002B376E" w:rsidRDefault="002B376E" w:rsidP="00C25C1F">
      <w:pPr>
        <w:pStyle w:val="Heading2"/>
      </w:pPr>
      <w:r w:rsidRPr="002B376E">
        <w:t>Streams of Tradition behind Daniel</w:t>
      </w:r>
    </w:p>
    <w:p w:rsidR="00D0288E" w:rsidRPr="00D0288E" w:rsidRDefault="002112F4" w:rsidP="00D0288E">
      <w:r>
        <w:t xml:space="preserve">As an aspect of </w:t>
      </w:r>
      <w:r w:rsidR="002B376E" w:rsidRPr="002B376E">
        <w:t>the midra</w:t>
      </w:r>
      <w:r>
        <w:t>shic character of Daniel, i</w:t>
      </w:r>
      <w:r w:rsidR="00D0288E">
        <w:t xml:space="preserve">t has </w:t>
      </w:r>
      <w:r w:rsidR="002B376E" w:rsidRPr="002B376E">
        <w:t>links with a variety of streams of tradition in the OT and elsewhere.</w:t>
      </w:r>
      <w:r w:rsidR="00D0288E">
        <w:t xml:space="preserve"> </w:t>
      </w:r>
      <w:r w:rsidR="00D0288E" w:rsidRPr="00D0288E">
        <w:t>During the Second Temple period there was a variety of streams of tradition in Judaism. Like Chronicles, Daniel represents a cre</w:t>
      </w:r>
      <w:r w:rsidR="00D0288E">
        <w:t>ative amalgam of many of them</w:t>
      </w:r>
      <w:r w:rsidR="00D0288E" w:rsidRPr="00D0288E">
        <w:t>.</w:t>
      </w:r>
      <w:r w:rsidR="00D0288E" w:rsidRPr="00D0288E">
        <w:rPr>
          <w:vertAlign w:val="superscript"/>
        </w:rPr>
        <w:footnoteReference w:id="848"/>
      </w:r>
      <w:r w:rsidR="00D0288E" w:rsidRPr="00D0288E">
        <w:t xml:space="preserve"> It is not distinctively linked with one of them.</w:t>
      </w:r>
    </w:p>
    <w:p w:rsidR="002B376E" w:rsidRPr="002B376E" w:rsidRDefault="002B376E" w:rsidP="002B376E">
      <w:r w:rsidRPr="002B376E">
        <w:t>It begins with a virtual quotation fro</w:t>
      </w:r>
      <w:r w:rsidR="00A851BA">
        <w:t>m Chro</w:t>
      </w:r>
      <w:r w:rsidR="00DD720A">
        <w:t>nicles, which makes a</w:t>
      </w:r>
      <w:r w:rsidR="00A851BA">
        <w:t xml:space="preserve"> connection with the narrative works that occupy the first half of the OT</w:t>
      </w:r>
      <w:r w:rsidRPr="002B376E">
        <w:t>.</w:t>
      </w:r>
      <w:r w:rsidR="00A851BA">
        <w:rPr>
          <w:rStyle w:val="FootnoteReference"/>
        </w:rPr>
        <w:footnoteReference w:id="849"/>
      </w:r>
      <w:r w:rsidR="00A851BA">
        <w:t xml:space="preserve"> Chaps. 1—6 then work</w:t>
      </w:r>
      <w:r w:rsidRPr="002B376E">
        <w:t xml:space="preserve"> through a sequ</w:t>
      </w:r>
      <w:r w:rsidR="00A851BA">
        <w:t>ence of reigns while incorporating story</w:t>
      </w:r>
      <w:r w:rsidRPr="002B376E">
        <w:t xml:space="preserve"> material </w:t>
      </w:r>
      <w:r w:rsidR="00A851BA">
        <w:t xml:space="preserve">in a way that </w:t>
      </w:r>
      <w:r w:rsidRPr="002B376E">
        <w:t>also recalls this tradition. The same link is su</w:t>
      </w:r>
      <w:r w:rsidR="00403126">
        <w:t xml:space="preserve">ggested by the historical accounts </w:t>
      </w:r>
      <w:r w:rsidR="00931431">
        <w:t>in quasi-predictive</w:t>
      </w:r>
      <w:r w:rsidRPr="002B376E">
        <w:t xml:space="preserve"> form in the visions, especially chap. 11. The periodizing of history in chaps. 2 and 7 parallels the periodizing of P.</w:t>
      </w:r>
    </w:p>
    <w:p w:rsidR="001B7210" w:rsidRDefault="00DD720A" w:rsidP="002B376E">
      <w:r>
        <w:t>P</w:t>
      </w:r>
      <w:r w:rsidR="0019733A">
        <w:t>arallels with P and Chronicles hints at a background in worship</w:t>
      </w:r>
      <w:r w:rsidR="002B376E" w:rsidRPr="002B376E">
        <w:t xml:space="preserve"> traditions, which is also suggested by the psalmlike passages at key points in the stories, by the stress on prayer, and by the visions’ concern with worship and their longing for the cleansing of the temple, defiled by Antiochus.</w:t>
      </w:r>
      <w:r w:rsidR="0019733A">
        <w:rPr>
          <w:rStyle w:val="FootnoteReference"/>
        </w:rPr>
        <w:footnoteReference w:id="850"/>
      </w:r>
      <w:r w:rsidR="002B376E" w:rsidRPr="002B376E">
        <w:t xml:space="preserve"> </w:t>
      </w:r>
      <w:r w:rsidR="001B7210">
        <w:t>T</w:t>
      </w:r>
      <w:r w:rsidR="001B7210" w:rsidRPr="001B7210">
        <w:t xml:space="preserve">here is no hint of hostility to the temple in Daniel (contrast </w:t>
      </w:r>
      <w:r w:rsidR="001B7210" w:rsidRPr="001B7210">
        <w:rPr>
          <w:i/>
        </w:rPr>
        <w:t>1 Enoch</w:t>
      </w:r>
      <w:r w:rsidR="001B7210">
        <w:t xml:space="preserve"> 89.73). Its</w:t>
      </w:r>
      <w:r w:rsidR="0019733A">
        <w:t xml:space="preserve"> background</w:t>
      </w:r>
      <w:r>
        <w:t xml:space="preserve"> in worship tradi</w:t>
      </w:r>
      <w:r w:rsidR="001B7210">
        <w:t>t</w:t>
      </w:r>
      <w:r>
        <w:t>i</w:t>
      </w:r>
      <w:r w:rsidR="001B7210">
        <w:t>ons</w:t>
      </w:r>
      <w:r w:rsidR="0019733A">
        <w:t xml:space="preserve"> might also underlie</w:t>
      </w:r>
      <w:r w:rsidR="002B376E" w:rsidRPr="002B376E">
        <w:t xml:space="preserve"> the mythic features of chaps. 7 and 10–12 that make it possible to speak of remythol</w:t>
      </w:r>
      <w:r w:rsidR="0019733A">
        <w:t>ogizing as a feature of Daniel</w:t>
      </w:r>
      <w:r w:rsidR="002B376E" w:rsidRPr="002B376E">
        <w:t>.</w:t>
      </w:r>
      <w:r w:rsidR="0019733A">
        <w:rPr>
          <w:rStyle w:val="FootnoteReference"/>
        </w:rPr>
        <w:footnoteReference w:id="851"/>
      </w:r>
      <w:r w:rsidR="002B376E" w:rsidRPr="002B376E">
        <w:t xml:space="preserve"> Neither stories nor visions are preoccupied with details of obedience to </w:t>
      </w:r>
      <w:r w:rsidR="0019733A">
        <w:t xml:space="preserve">the </w:t>
      </w:r>
      <w:r w:rsidR="002B376E" w:rsidRPr="002B376E">
        <w:t xml:space="preserve">Torah—though chap. 1 presupposes the importance of diet and chap. 9 has links with D—but </w:t>
      </w:r>
      <w:r w:rsidR="0019733A">
        <w:t xml:space="preserve">they do identify </w:t>
      </w:r>
      <w:r>
        <w:t>with concerns the Torah</w:t>
      </w:r>
      <w:r w:rsidR="002B376E" w:rsidRPr="002B376E">
        <w:t xml:space="preserve"> shares with other parts of the OT such as faithfulness </w:t>
      </w:r>
      <w:r w:rsidR="002B376E" w:rsidRPr="002B376E">
        <w:lastRenderedPageBreak/>
        <w:t>to the one God. The</w:t>
      </w:r>
      <w:r w:rsidR="0019733A">
        <w:t xml:space="preserve"> do not mention </w:t>
      </w:r>
      <w:r w:rsidR="002B376E" w:rsidRPr="002B376E">
        <w:t xml:space="preserve">proscription of circumcision or </w:t>
      </w:r>
      <w:r w:rsidR="0019733A">
        <w:t>of S</w:t>
      </w:r>
      <w:r w:rsidR="002B376E" w:rsidRPr="002B376E">
        <w:t xml:space="preserve">abbath observance, enforced eating of pork, or burning of Torah scrolls (contrast 1 Maccabees). </w:t>
      </w:r>
    </w:p>
    <w:p w:rsidR="00174181" w:rsidRPr="00174181" w:rsidRDefault="00174181" w:rsidP="00174181">
      <w:r w:rsidRPr="00174181">
        <w:t>There are prophetic features to the stories, though they do not call Daniel a prophet. Indeed, as a man held in high regard, in whom the divine spirit dwells, and to whom such extraordinary revelations are given, he may be more than a prophet rather than less.</w:t>
      </w:r>
      <w:r w:rsidRPr="00174181">
        <w:rPr>
          <w:vertAlign w:val="superscript"/>
        </w:rPr>
        <w:footnoteReference w:id="852"/>
      </w:r>
      <w:r w:rsidRPr="00174181">
        <w:t xml:space="preserve"> He confronts Nebuchadnezzar and Belshazzar, speaking of sin and judgment in the manner of a preexilic prophet; the stories of these confrontations recall prophetic stories in Kings. The visions with their symbolism recall those of prophets such as Zechariah, and their mystical aspect recalls Ezekiel.</w:t>
      </w:r>
      <w:r w:rsidRPr="00174181">
        <w:rPr>
          <w:vertAlign w:val="superscript"/>
        </w:rPr>
        <w:footnoteReference w:id="853"/>
      </w:r>
      <w:r w:rsidRPr="00174181">
        <w:t xml:space="preserve"> They manifest prophecy’s focus on the interpretation of present history and on coming decisive events that will bring God’s judgment on pagan kings who have resisted God’s will, and they manifest the historical dualism—in the sense of a contrast between this age and an age that God will bring about—inwhich features prophecy such as Isa 40–55 and Ezek 38–39.</w:t>
      </w:r>
      <w:r w:rsidRPr="00174181">
        <w:rPr>
          <w:vertAlign w:val="superscript"/>
        </w:rPr>
        <w:footnoteReference w:id="854"/>
      </w:r>
      <w:r w:rsidRPr="00174181">
        <w:t xml:space="preserve"> Concern with the purity of the temple is a further theme of Second Temple prophecy.</w:t>
      </w:r>
      <w:r w:rsidRPr="00174181">
        <w:rPr>
          <w:vertAlign w:val="superscript"/>
        </w:rPr>
        <w:footnoteReference w:id="855"/>
      </w:r>
      <w:r w:rsidRPr="00174181">
        <w:t xml:space="preserve"> On the other hand, the visions (unlike the stories) do not confront people with a challenge to turn and thereby avert the judgment that threatens them. The hearers are not responsible for history; history seems to be predetermined rather than open, and God’s purpose is effected in it only negatively, not positively.</w:t>
      </w:r>
      <w:r w:rsidRPr="00174181">
        <w:rPr>
          <w:vertAlign w:val="superscript"/>
        </w:rPr>
        <w:footnoteReference w:id="856"/>
      </w:r>
    </w:p>
    <w:p w:rsidR="00BA09D2" w:rsidRDefault="001B7210" w:rsidP="00174181">
      <w:r>
        <w:t>Daniel’s utilizing of mythic motifs</w:t>
      </w:r>
      <w:r w:rsidR="006976FC">
        <w:t xml:space="preserve"> might also</w:t>
      </w:r>
      <w:r w:rsidR="002B376E" w:rsidRPr="002B376E">
        <w:t xml:space="preserve"> suggest</w:t>
      </w:r>
      <w:r w:rsidR="006976FC">
        <w:t xml:space="preserve"> links with the learning of the</w:t>
      </w:r>
      <w:r>
        <w:t xml:space="preserve"> </w:t>
      </w:r>
      <w:r w:rsidR="006976FC">
        <w:t xml:space="preserve">circles of </w:t>
      </w:r>
      <w:r>
        <w:t xml:space="preserve">scribes who were </w:t>
      </w:r>
      <w:r w:rsidR="002B376E" w:rsidRPr="002B376E">
        <w:t>respons</w:t>
      </w:r>
      <w:r>
        <w:t>ible for Israel’s great narrative works. An association with such groups</w:t>
      </w:r>
      <w:r w:rsidR="002B376E" w:rsidRPr="002B376E">
        <w:t xml:space="preserve"> coheres with indications that Da</w:t>
      </w:r>
      <w:r>
        <w:t>niel has points of connection with Israelite wisdom</w:t>
      </w:r>
      <w:r w:rsidR="00DD720A">
        <w:t xml:space="preserve"> traditions</w:t>
      </w:r>
      <w:r w:rsidR="009E64C7">
        <w:t>, though this idea contains its ambiguities</w:t>
      </w:r>
      <w:r w:rsidR="002B376E" w:rsidRPr="002B376E">
        <w:t>.</w:t>
      </w:r>
      <w:r>
        <w:rPr>
          <w:rStyle w:val="FootnoteReference"/>
        </w:rPr>
        <w:footnoteReference w:id="857"/>
      </w:r>
      <w:r w:rsidR="006976FC">
        <w:t xml:space="preserve"> </w:t>
      </w:r>
      <w:r w:rsidR="00DD720A">
        <w:t>Chap. 1 presupposes the significance</w:t>
      </w:r>
      <w:r w:rsidR="006976FC">
        <w:t xml:space="preserve"> of pragmatic</w:t>
      </w:r>
      <w:r w:rsidR="002B376E" w:rsidRPr="002B376E">
        <w:t xml:space="preserve"> wisdom as an Israelite </w:t>
      </w:r>
      <w:r w:rsidR="006976FC">
        <w:t>royal ideal. The visions recall philosophical wisdom’s longing for</w:t>
      </w:r>
      <w:r w:rsidR="002B376E" w:rsidRPr="002B376E">
        <w:t xml:space="preserve"> an understanding of the whole</w:t>
      </w:r>
      <w:r w:rsidR="006976FC">
        <w:t xml:space="preserve"> (</w:t>
      </w:r>
      <w:r w:rsidR="006976FC" w:rsidRPr="006976FC">
        <w:t>cf. Qoh 3:11</w:t>
      </w:r>
      <w:r w:rsidR="006976FC">
        <w:t>)</w:t>
      </w:r>
      <w:r w:rsidR="002B376E" w:rsidRPr="002B376E">
        <w:t xml:space="preserve">, its conviction that God’s knowledge and activity undergird all, and its sometimes pessimistic view of </w:t>
      </w:r>
      <w:r w:rsidR="006976FC">
        <w:t>humanity</w:t>
      </w:r>
      <w:r w:rsidR="008062CC">
        <w:t xml:space="preserve">. </w:t>
      </w:r>
      <w:r w:rsidR="009E64C7">
        <w:t xml:space="preserve">They also suggest a link with </w:t>
      </w:r>
      <w:r w:rsidR="009E64C7" w:rsidRPr="009E64C7">
        <w:t>“mantic” or divinatory or predictive wisdom in the OT and elsewhere.</w:t>
      </w:r>
      <w:r w:rsidR="009E64C7" w:rsidRPr="009E64C7">
        <w:rPr>
          <w:vertAlign w:val="superscript"/>
        </w:rPr>
        <w:footnoteReference w:id="858"/>
      </w:r>
      <w:r w:rsidR="009E64C7" w:rsidRPr="009E64C7">
        <w:t xml:space="preserve"> </w:t>
      </w:r>
      <w:r w:rsidR="00BA09D2">
        <w:t>Perhaps</w:t>
      </w:r>
      <w:r w:rsidR="008062CC">
        <w:t xml:space="preserve"> “the wise man who finds himself estranged from his own wisdom tradition has become an apocalyptist</w:t>
      </w:r>
      <w:r w:rsidR="00A43799">
        <w:t>.</w:t>
      </w:r>
      <w:r w:rsidR="008062CC">
        <w:t>”</w:t>
      </w:r>
      <w:r w:rsidR="008062CC">
        <w:rPr>
          <w:rStyle w:val="FootnoteReference"/>
        </w:rPr>
        <w:footnoteReference w:id="859"/>
      </w:r>
      <w:r w:rsidR="00A43799">
        <w:t xml:space="preserve"> </w:t>
      </w:r>
      <w:r w:rsidR="008062CC">
        <w:t>Yet p</w:t>
      </w:r>
      <w:r w:rsidR="00A43799" w:rsidRPr="00A43799">
        <w:t>hilosophical wisd</w:t>
      </w:r>
      <w:r w:rsidR="00A43799">
        <w:t xml:space="preserve">om </w:t>
      </w:r>
      <w:r w:rsidR="00174181">
        <w:t xml:space="preserve">itself also </w:t>
      </w:r>
      <w:r w:rsidR="00A43799">
        <w:t>has room for visions (Job!) and the visions</w:t>
      </w:r>
      <w:r w:rsidR="002B376E" w:rsidRPr="002B376E">
        <w:t xml:space="preserve"> </w:t>
      </w:r>
      <w:r w:rsidR="00A43799">
        <w:t xml:space="preserve">in Daniel manifest </w:t>
      </w:r>
      <w:r w:rsidR="002B376E" w:rsidRPr="002B376E">
        <w:t xml:space="preserve">a concern with the possibility of grasping history on a large scale and by means of a grand scheme, if not </w:t>
      </w:r>
      <w:r w:rsidR="00A43799">
        <w:t xml:space="preserve">of grasping </w:t>
      </w:r>
      <w:r w:rsidR="002B376E" w:rsidRPr="002B376E">
        <w:t xml:space="preserve">the </w:t>
      </w:r>
      <w:r w:rsidR="00A43799">
        <w:t xml:space="preserve">whole of history. </w:t>
      </w:r>
      <w:r w:rsidR="00BA09D2">
        <w:t>Even the seer</w:t>
      </w:r>
      <w:r w:rsidR="002B376E" w:rsidRPr="002B376E">
        <w:t>’s concern with the End appears in the W</w:t>
      </w:r>
      <w:r w:rsidR="00A43799">
        <w:t>isdom of Solomon, though t</w:t>
      </w:r>
      <w:r w:rsidR="00BA09D2">
        <w:t>he latter does not share hi</w:t>
      </w:r>
      <w:r w:rsidR="00A43799">
        <w:t>s</w:t>
      </w:r>
      <w:r w:rsidR="002B376E" w:rsidRPr="002B376E">
        <w:t xml:space="preserve"> sense of the world’s being out of joint and of discontinuity between this age and the age to come.</w:t>
      </w:r>
      <w:r w:rsidR="00A43799">
        <w:rPr>
          <w:rStyle w:val="FootnoteReference"/>
        </w:rPr>
        <w:footnoteReference w:id="860"/>
      </w:r>
      <w:r w:rsidR="00BA09D2">
        <w:t xml:space="preserve"> </w:t>
      </w:r>
      <w:r w:rsidR="00174181" w:rsidRPr="00174181">
        <w:t xml:space="preserve">Daniel </w:t>
      </w:r>
      <w:r w:rsidR="00BA09D2">
        <w:t xml:space="preserve">himself </w:t>
      </w:r>
      <w:r w:rsidR="00174181" w:rsidRPr="00174181">
        <w:t xml:space="preserve">parallels Joseph in embodying the combination of pragmatic wisdom and prophetic wisdom. </w:t>
      </w:r>
    </w:p>
    <w:p w:rsidR="002B376E" w:rsidRPr="002B376E" w:rsidRDefault="00174181" w:rsidP="002B376E">
      <w:r w:rsidRPr="00174181">
        <w:lastRenderedPageBreak/>
        <w:t>As somone who can interpret dreams and omens with the awareness that the future is in some sense set</w:t>
      </w:r>
      <w:r w:rsidR="00BA09D2">
        <w:t>, the visionary</w:t>
      </w:r>
      <w:r w:rsidRPr="00174181">
        <w:t xml:space="preserve"> operates in the same area and on the same bas</w:t>
      </w:r>
      <w:r w:rsidR="00BA09D2">
        <w:t>is as the Babylonian diviners, and t</w:t>
      </w:r>
      <w:r w:rsidRPr="00174181">
        <w:t>he book’s symbolism has this background.</w:t>
      </w:r>
      <w:r w:rsidRPr="00174181">
        <w:rPr>
          <w:vertAlign w:val="superscript"/>
        </w:rPr>
        <w:footnoteReference w:id="861"/>
      </w:r>
      <w:r w:rsidRPr="00174181">
        <w:t xml:space="preserve"> Quasi-prediction has its background in Akkadian prophecies that are influenced by Mesopotamian divination.</w:t>
      </w:r>
      <w:r w:rsidRPr="00174181">
        <w:rPr>
          <w:vertAlign w:val="superscript"/>
        </w:rPr>
        <w:footnoteReference w:id="862"/>
      </w:r>
      <w:r w:rsidR="00BA09D2">
        <w:t xml:space="preserve"> </w:t>
      </w:r>
      <w:r w:rsidR="002B376E" w:rsidRPr="002B376E">
        <w:t>Babylonian, Persian, and Hellenistic thinking, the first two in part already incorpo</w:t>
      </w:r>
      <w:r w:rsidR="00BA09D2">
        <w:t>rated within the last, may be the source of other</w:t>
      </w:r>
      <w:r w:rsidR="002B376E" w:rsidRPr="002B376E">
        <w:t xml:space="preserve"> features of Daniel that are not evidenced elsew</w:t>
      </w:r>
      <w:r w:rsidR="00BA09D2">
        <w:t>here in the OT, such as</w:t>
      </w:r>
      <w:r w:rsidR="002B376E" w:rsidRPr="002B376E">
        <w:t xml:space="preserve"> the four-empire scheme, the concept of revelation, </w:t>
      </w:r>
      <w:r w:rsidR="00BA09D2">
        <w:t xml:space="preserve">and </w:t>
      </w:r>
      <w:r w:rsidR="002B376E" w:rsidRPr="002B376E">
        <w:t>p</w:t>
      </w:r>
      <w:r w:rsidR="00931431">
        <w:t>seu</w:t>
      </w:r>
      <w:r w:rsidR="00BA09D2">
        <w:t>depigraphy</w:t>
      </w:r>
      <w:r w:rsidR="002B376E" w:rsidRPr="002B376E">
        <w:t>. OT ideas regarding angels and the various forms of dualism develop as they do in line with Hellenistic tho</w:t>
      </w:r>
      <w:r w:rsidR="00953311">
        <w:t>ught</w:t>
      </w:r>
      <w:r w:rsidR="001F54E6">
        <w:t>,</w:t>
      </w:r>
      <w:r w:rsidR="00953311">
        <w:rPr>
          <w:rStyle w:val="FootnoteReference"/>
        </w:rPr>
        <w:footnoteReference w:id="863"/>
      </w:r>
      <w:r w:rsidR="002B376E" w:rsidRPr="002B376E">
        <w:t xml:space="preserve"> </w:t>
      </w:r>
      <w:r w:rsidR="001F54E6">
        <w:t xml:space="preserve">and </w:t>
      </w:r>
      <w:r w:rsidR="002B376E" w:rsidRPr="002B376E">
        <w:t xml:space="preserve">Jewish apocalypticism in general </w:t>
      </w:r>
      <w:r w:rsidR="001F54E6">
        <w:t xml:space="preserve">has been seen </w:t>
      </w:r>
      <w:r w:rsidR="002B376E" w:rsidRPr="002B376E">
        <w:t>as a f</w:t>
      </w:r>
      <w:r w:rsidR="001F54E6">
        <w:t>ruit of Hellenistic syncretism</w:t>
      </w:r>
      <w:r w:rsidR="002B376E" w:rsidRPr="002B376E">
        <w:t>.</w:t>
      </w:r>
      <w:r w:rsidR="001F54E6">
        <w:rPr>
          <w:rStyle w:val="FootnoteReference"/>
        </w:rPr>
        <w:footnoteReference w:id="864"/>
      </w:r>
      <w:r w:rsidR="001F54E6">
        <w:t xml:space="preserve"> But it is</w:t>
      </w:r>
      <w:r w:rsidR="002B376E" w:rsidRPr="002B376E">
        <w:t xml:space="preserve"> difficult to point to distinctively </w:t>
      </w:r>
      <w:r w:rsidR="001F54E6">
        <w:t>Hellen</w:t>
      </w:r>
      <w:r w:rsidR="00BA09D2">
        <w:t>istic features in Daniel</w:t>
      </w:r>
      <w:r w:rsidR="001F54E6">
        <w:t xml:space="preserve">, </w:t>
      </w:r>
      <w:r w:rsidR="00BA09D2">
        <w:t xml:space="preserve">and </w:t>
      </w:r>
      <w:r w:rsidR="002B376E" w:rsidRPr="002B376E">
        <w:t xml:space="preserve">the dominant culture of Jerusalem up till Antiochus’s time </w:t>
      </w:r>
      <w:r w:rsidR="001F54E6">
        <w:t xml:space="preserve">has been seen </w:t>
      </w:r>
      <w:r w:rsidR="002B376E" w:rsidRPr="002B376E">
        <w:t>as still Persian</w:t>
      </w:r>
      <w:r w:rsidR="001F54E6">
        <w:rPr>
          <w:rStyle w:val="FootnoteReference"/>
        </w:rPr>
        <w:footnoteReference w:id="865"/>
      </w:r>
      <w:r w:rsidR="002B376E" w:rsidRPr="002B376E">
        <w:t>—though even the distinctively Persian features are few. Indeed, aspects of the visions parallel anti-Hellenistic writings and tra</w:t>
      </w:r>
      <w:r w:rsidR="001F54E6">
        <w:t>ditions of Egypt and the East. In this sense t</w:t>
      </w:r>
      <w:r w:rsidR="002B376E" w:rsidRPr="002B376E">
        <w:t>he Antiochene crisis is part of widespread anti-Hellenistic reaction in the Middle East that contributed to the downfall of the Hellenistic empires, though Daniel is more specifically anti-Antiochene than</w:t>
      </w:r>
      <w:r w:rsidR="001F54E6">
        <w:t xml:space="preserve"> anti-Hellenistic in principle.</w:t>
      </w:r>
      <w:r w:rsidR="001F54E6">
        <w:rPr>
          <w:rStyle w:val="FootnoteReference"/>
        </w:rPr>
        <w:footnoteReference w:id="866"/>
      </w:r>
    </w:p>
    <w:p w:rsidR="002B376E" w:rsidRPr="002B376E" w:rsidRDefault="002B376E" w:rsidP="00C25C1F">
      <w:pPr>
        <w:pStyle w:val="Heading2"/>
      </w:pPr>
      <w:r w:rsidRPr="002B376E">
        <w:t>The Book’s Structure</w:t>
      </w:r>
    </w:p>
    <w:p w:rsidR="002B376E" w:rsidRPr="002B376E" w:rsidRDefault="002B376E" w:rsidP="002B376E">
      <w:r w:rsidRPr="002B376E">
        <w:t>In discussing the</w:t>
      </w:r>
      <w:r w:rsidR="00D0288E">
        <w:t xml:space="preserve"> setting of each chapter</w:t>
      </w:r>
      <w:r w:rsidR="00843952">
        <w:t xml:space="preserve">, we have noted </w:t>
      </w:r>
      <w:r w:rsidRPr="002B376E">
        <w:t>links between them. There are a number of ways of understanding the structure of the book as a whole. We cannot say whether any was in the mind of an author, but each enables us to perceive aspects of the book.</w:t>
      </w:r>
    </w:p>
    <w:p w:rsidR="002B376E" w:rsidRDefault="002B376E" w:rsidP="002B376E">
      <w:r w:rsidRPr="002B376E">
        <w:t>In English, Daniel most obviously divides into a series of stories and a ser</w:t>
      </w:r>
      <w:r w:rsidR="00843952">
        <w:t>ies of visions. The stories</w:t>
      </w:r>
      <w:r w:rsidRPr="002B376E">
        <w:t xml:space="preserve"> also invo</w:t>
      </w:r>
      <w:r w:rsidR="00843952">
        <w:t>lve three other young men, whereas in the visions</w:t>
      </w:r>
      <w:r w:rsidRPr="002B376E">
        <w:t xml:space="preserve"> D</w:t>
      </w:r>
      <w:r w:rsidR="00843952">
        <w:t>aniel alone features. The stories</w:t>
      </w:r>
      <w:r w:rsidRPr="002B376E">
        <w:t xml:space="preserve"> include a series of messages from God to kings, with Dani</w:t>
      </w:r>
      <w:r w:rsidR="00D0288E">
        <w:t>el interpreting them; t</w:t>
      </w:r>
      <w:r w:rsidR="00843952">
        <w:t>he visions</w:t>
      </w:r>
      <w:r w:rsidRPr="002B376E">
        <w:t xml:space="preserve"> </w:t>
      </w:r>
      <w:r w:rsidR="00D0288E">
        <w:t xml:space="preserve">comprise </w:t>
      </w:r>
      <w:r w:rsidRPr="002B376E">
        <w:t xml:space="preserve">a series of messages given to Daniel, with a celestial being interpreting them. These </w:t>
      </w:r>
      <w:r w:rsidR="00843952">
        <w:t xml:space="preserve">two </w:t>
      </w:r>
      <w:r w:rsidRPr="002B376E">
        <w:t>series comprise chronological sequences corresponding to the scheme</w:t>
      </w:r>
      <w:r w:rsidR="00843952">
        <w:t>s of four reigns</w:t>
      </w:r>
      <w:r w:rsidRPr="002B376E">
        <w:t>:</w:t>
      </w:r>
    </w:p>
    <w:p w:rsidR="00C25C1F" w:rsidRPr="002B376E" w:rsidRDefault="00C25C1F" w:rsidP="002B376E"/>
    <w:tbl>
      <w:tblPr>
        <w:tblW w:w="0" w:type="auto"/>
        <w:tblLook w:val="04A0" w:firstRow="1" w:lastRow="0" w:firstColumn="1" w:lastColumn="0" w:noHBand="0" w:noVBand="1"/>
      </w:tblPr>
      <w:tblGrid>
        <w:gridCol w:w="2394"/>
        <w:gridCol w:w="2394"/>
        <w:gridCol w:w="2394"/>
        <w:gridCol w:w="2394"/>
      </w:tblGrid>
      <w:tr w:rsidR="002B376E" w:rsidRPr="002B376E" w:rsidTr="002B376E">
        <w:tc>
          <w:tcPr>
            <w:tcW w:w="2394" w:type="dxa"/>
          </w:tcPr>
          <w:p w:rsidR="002B376E" w:rsidRPr="002B376E" w:rsidRDefault="002B376E" w:rsidP="00C25C1F">
            <w:pPr>
              <w:ind w:firstLine="0"/>
            </w:pPr>
            <w:r w:rsidRPr="002B376E">
              <w:t>1–4</w:t>
            </w:r>
          </w:p>
        </w:tc>
        <w:tc>
          <w:tcPr>
            <w:tcW w:w="2394" w:type="dxa"/>
          </w:tcPr>
          <w:p w:rsidR="002B376E" w:rsidRPr="002B376E" w:rsidRDefault="002B376E" w:rsidP="00C25C1F">
            <w:pPr>
              <w:ind w:firstLine="0"/>
            </w:pPr>
            <w:r w:rsidRPr="002B376E">
              <w:t>Nebuchadnezzar</w:t>
            </w:r>
          </w:p>
        </w:tc>
        <w:tc>
          <w:tcPr>
            <w:tcW w:w="2394" w:type="dxa"/>
          </w:tcPr>
          <w:p w:rsidR="002B376E" w:rsidRPr="002B376E" w:rsidRDefault="002B376E" w:rsidP="00C25C1F">
            <w:pPr>
              <w:ind w:firstLine="0"/>
            </w:pPr>
            <w:r w:rsidRPr="002B376E">
              <w:t>7–8</w:t>
            </w:r>
          </w:p>
        </w:tc>
        <w:tc>
          <w:tcPr>
            <w:tcW w:w="2394" w:type="dxa"/>
          </w:tcPr>
          <w:p w:rsidR="002B376E" w:rsidRPr="002B376E" w:rsidRDefault="002B376E" w:rsidP="00C25C1F">
            <w:pPr>
              <w:ind w:firstLine="0"/>
            </w:pPr>
            <w:r w:rsidRPr="002B376E">
              <w:t>Babylon</w:t>
            </w:r>
          </w:p>
        </w:tc>
      </w:tr>
      <w:tr w:rsidR="002B376E" w:rsidRPr="002B376E" w:rsidTr="002B376E">
        <w:tc>
          <w:tcPr>
            <w:tcW w:w="2394" w:type="dxa"/>
          </w:tcPr>
          <w:p w:rsidR="002B376E" w:rsidRPr="002B376E" w:rsidRDefault="002B376E" w:rsidP="00C25C1F">
            <w:pPr>
              <w:ind w:firstLine="0"/>
            </w:pPr>
            <w:r w:rsidRPr="002B376E">
              <w:t>5</w:t>
            </w:r>
          </w:p>
        </w:tc>
        <w:tc>
          <w:tcPr>
            <w:tcW w:w="2394" w:type="dxa"/>
          </w:tcPr>
          <w:p w:rsidR="002B376E" w:rsidRPr="002B376E" w:rsidRDefault="002B376E" w:rsidP="00C25C1F">
            <w:pPr>
              <w:ind w:firstLine="0"/>
            </w:pPr>
            <w:r w:rsidRPr="002B376E">
              <w:t>Belshazzar</w:t>
            </w:r>
          </w:p>
        </w:tc>
        <w:tc>
          <w:tcPr>
            <w:tcW w:w="2394" w:type="dxa"/>
          </w:tcPr>
          <w:p w:rsidR="002B376E" w:rsidRPr="002B376E" w:rsidRDefault="002B376E" w:rsidP="00C25C1F">
            <w:pPr>
              <w:ind w:firstLine="0"/>
            </w:pPr>
            <w:r w:rsidRPr="002B376E">
              <w:t>9</w:t>
            </w:r>
          </w:p>
        </w:tc>
        <w:tc>
          <w:tcPr>
            <w:tcW w:w="2394" w:type="dxa"/>
          </w:tcPr>
          <w:p w:rsidR="002B376E" w:rsidRPr="002B376E" w:rsidRDefault="002B376E" w:rsidP="00C25C1F">
            <w:pPr>
              <w:ind w:firstLine="0"/>
            </w:pPr>
            <w:r w:rsidRPr="002B376E">
              <w:t>Media</w:t>
            </w:r>
          </w:p>
        </w:tc>
      </w:tr>
      <w:tr w:rsidR="002B376E" w:rsidRPr="002B376E" w:rsidTr="002B376E">
        <w:tc>
          <w:tcPr>
            <w:tcW w:w="2394" w:type="dxa"/>
          </w:tcPr>
          <w:p w:rsidR="002B376E" w:rsidRPr="002B376E" w:rsidRDefault="002B376E" w:rsidP="00C25C1F">
            <w:pPr>
              <w:ind w:firstLine="0"/>
            </w:pPr>
            <w:r w:rsidRPr="002B376E">
              <w:t>6</w:t>
            </w:r>
          </w:p>
        </w:tc>
        <w:tc>
          <w:tcPr>
            <w:tcW w:w="2394" w:type="dxa"/>
          </w:tcPr>
          <w:p w:rsidR="002B376E" w:rsidRPr="002B376E" w:rsidRDefault="002B376E" w:rsidP="00C25C1F">
            <w:pPr>
              <w:ind w:firstLine="0"/>
            </w:pPr>
            <w:r w:rsidRPr="002B376E">
              <w:t>Darius</w:t>
            </w:r>
          </w:p>
        </w:tc>
        <w:tc>
          <w:tcPr>
            <w:tcW w:w="2394" w:type="dxa"/>
          </w:tcPr>
          <w:p w:rsidR="002B376E" w:rsidRPr="002B376E" w:rsidRDefault="002B376E" w:rsidP="00C25C1F">
            <w:pPr>
              <w:ind w:firstLine="0"/>
            </w:pPr>
            <w:r w:rsidRPr="002B376E">
              <w:t>10</w:t>
            </w:r>
          </w:p>
        </w:tc>
        <w:tc>
          <w:tcPr>
            <w:tcW w:w="2394" w:type="dxa"/>
          </w:tcPr>
          <w:p w:rsidR="002B376E" w:rsidRPr="002B376E" w:rsidRDefault="002B376E" w:rsidP="00C25C1F">
            <w:pPr>
              <w:ind w:firstLine="0"/>
            </w:pPr>
            <w:r w:rsidRPr="002B376E">
              <w:t>Persia</w:t>
            </w:r>
          </w:p>
        </w:tc>
      </w:tr>
      <w:tr w:rsidR="002B376E" w:rsidRPr="002B376E" w:rsidTr="002B376E">
        <w:tc>
          <w:tcPr>
            <w:tcW w:w="2394" w:type="dxa"/>
          </w:tcPr>
          <w:p w:rsidR="002B376E" w:rsidRPr="002B376E" w:rsidRDefault="00843952" w:rsidP="00C25C1F">
            <w:pPr>
              <w:ind w:firstLine="0"/>
            </w:pPr>
            <w:r>
              <w:t>6:28 [29</w:t>
            </w:r>
            <w:r w:rsidR="002B376E" w:rsidRPr="002B376E">
              <w:t>]</w:t>
            </w:r>
          </w:p>
        </w:tc>
        <w:tc>
          <w:tcPr>
            <w:tcW w:w="2394" w:type="dxa"/>
          </w:tcPr>
          <w:p w:rsidR="002B376E" w:rsidRPr="002B376E" w:rsidRDefault="002B376E" w:rsidP="00C25C1F">
            <w:pPr>
              <w:ind w:firstLine="0"/>
            </w:pPr>
            <w:r w:rsidRPr="002B376E">
              <w:t>Cyrus</w:t>
            </w:r>
          </w:p>
        </w:tc>
        <w:tc>
          <w:tcPr>
            <w:tcW w:w="2394" w:type="dxa"/>
          </w:tcPr>
          <w:p w:rsidR="002B376E" w:rsidRPr="002B376E" w:rsidRDefault="002B376E" w:rsidP="00C25C1F">
            <w:pPr>
              <w:ind w:firstLine="0"/>
            </w:pPr>
            <w:r w:rsidRPr="002B376E">
              <w:t>11–12</w:t>
            </w:r>
          </w:p>
        </w:tc>
        <w:tc>
          <w:tcPr>
            <w:tcW w:w="2394" w:type="dxa"/>
          </w:tcPr>
          <w:p w:rsidR="002B376E" w:rsidRPr="002B376E" w:rsidRDefault="002B376E" w:rsidP="00C25C1F">
            <w:pPr>
              <w:ind w:firstLine="0"/>
            </w:pPr>
            <w:r w:rsidRPr="002B376E">
              <w:t>Greece</w:t>
            </w:r>
          </w:p>
        </w:tc>
      </w:tr>
    </w:tbl>
    <w:p w:rsidR="00C25C1F" w:rsidRDefault="00C25C1F" w:rsidP="002B376E"/>
    <w:p w:rsidR="002B376E" w:rsidRPr="002B376E" w:rsidRDefault="002B376E" w:rsidP="002B376E">
      <w:r w:rsidRPr="002B376E">
        <w:t>To the person who reads Daniel in the original, an</w:t>
      </w:r>
      <w:r w:rsidR="00843952">
        <w:t xml:space="preserve">other distinction is </w:t>
      </w:r>
      <w:r w:rsidRPr="002B376E">
        <w:t>striking, that between sections in different languages:</w:t>
      </w:r>
    </w:p>
    <w:p w:rsidR="00C25C1F" w:rsidRDefault="00C25C1F" w:rsidP="002B376E"/>
    <w:p w:rsidR="002B376E" w:rsidRPr="002B376E" w:rsidRDefault="002B376E" w:rsidP="002B376E">
      <w:r w:rsidRPr="002B376E">
        <w:t>1–2:4a Hebrew</w:t>
      </w:r>
    </w:p>
    <w:p w:rsidR="002B376E" w:rsidRPr="002B376E" w:rsidRDefault="00843952" w:rsidP="002B376E">
      <w:r>
        <w:tab/>
      </w:r>
      <w:r w:rsidR="002B376E" w:rsidRPr="002B376E">
        <w:t>2:4b–7:28 Aramaic</w:t>
      </w:r>
    </w:p>
    <w:p w:rsidR="002B376E" w:rsidRPr="002B376E" w:rsidRDefault="002B376E" w:rsidP="002B376E">
      <w:r w:rsidRPr="002B376E">
        <w:t>8–12 Hebrew</w:t>
      </w:r>
      <w:r w:rsidR="00AA3D9C">
        <w:rPr>
          <w:rStyle w:val="FootnoteReference"/>
        </w:rPr>
        <w:footnoteReference w:id="867"/>
      </w:r>
    </w:p>
    <w:p w:rsidR="00C25C1F" w:rsidRDefault="00C25C1F" w:rsidP="002B376E"/>
    <w:p w:rsidR="002B376E" w:rsidRPr="002B376E" w:rsidRDefault="00843952" w:rsidP="002B376E">
      <w:r>
        <w:lastRenderedPageBreak/>
        <w:t>S</w:t>
      </w:r>
      <w:r w:rsidR="002B376E" w:rsidRPr="002B376E">
        <w:t xml:space="preserve">uch chiastic structures </w:t>
      </w:r>
      <w:r>
        <w:t xml:space="preserve">feature </w:t>
      </w:r>
      <w:r w:rsidR="002B376E" w:rsidRPr="002B376E">
        <w:t xml:space="preserve">in </w:t>
      </w:r>
      <w:r>
        <w:t xml:space="preserve">other </w:t>
      </w:r>
      <w:r w:rsidR="002B376E" w:rsidRPr="002B376E">
        <w:t>ancient Near Eastern works.</w:t>
      </w:r>
      <w:r>
        <w:rPr>
          <w:rStyle w:val="FootnoteReference"/>
        </w:rPr>
        <w:footnoteReference w:id="868"/>
      </w:r>
      <w:r w:rsidR="00AA3D9C">
        <w:t xml:space="preserve"> In Daniel, the</w:t>
      </w:r>
      <w:r w:rsidR="002B376E" w:rsidRPr="002B376E">
        <w:t xml:space="preserve"> linguistic distinction does not correspond to the l</w:t>
      </w:r>
      <w:r w:rsidR="00D0288E">
        <w:t xml:space="preserve">iterary one; </w:t>
      </w:r>
      <w:r w:rsidR="002B376E" w:rsidRPr="002B376E">
        <w:t xml:space="preserve">linguistic continuity </w:t>
      </w:r>
      <w:r w:rsidR="00D0288E">
        <w:t xml:space="preserve">thus </w:t>
      </w:r>
      <w:r w:rsidR="002B376E" w:rsidRPr="002B376E">
        <w:t>binds the book where distinction of form might divide it, while conversely formal continuity binds the book where distinction of language might divide it. Such structural features underline diversity in unity as an im</w:t>
      </w:r>
      <w:r w:rsidR="00AA3D9C">
        <w:t xml:space="preserve">portant feature of the book; compare </w:t>
      </w:r>
      <w:r w:rsidR="002B376E" w:rsidRPr="002B376E">
        <w:t>the distinction between material that speak</w:t>
      </w:r>
      <w:r w:rsidR="00AA3D9C">
        <w:t>s about Daniel and the friends (</w:t>
      </w:r>
      <w:r w:rsidR="002B376E" w:rsidRPr="002B376E">
        <w:t>1:1–</w:t>
      </w:r>
      <w:r w:rsidR="00AA3D9C">
        <w:t>7:1; 10:1)</w:t>
      </w:r>
      <w:r w:rsidR="002B376E" w:rsidRPr="002B376E">
        <w:t xml:space="preserve"> and m</w:t>
      </w:r>
      <w:r w:rsidR="00AA3D9C">
        <w:t>aterial in which Daniel speaks (the remainder</w:t>
      </w:r>
      <w:r w:rsidR="002B376E" w:rsidRPr="002B376E">
        <w:t>). They also draw attention to chap. 7 as the center of the book, belonging as it does to the first part by language, to the second by form.</w:t>
      </w:r>
    </w:p>
    <w:p w:rsidR="002B376E" w:rsidRDefault="00AA3D9C" w:rsidP="002B376E">
      <w:r>
        <w:t>C</w:t>
      </w:r>
      <w:r w:rsidR="002B376E" w:rsidRPr="002B376E">
        <w:t>haps. 2–7</w:t>
      </w:r>
      <w:r>
        <w:t xml:space="preserve"> form a chiasm,</w:t>
      </w:r>
      <w:r>
        <w:rPr>
          <w:rStyle w:val="FootnoteReference"/>
        </w:rPr>
        <w:footnoteReference w:id="869"/>
      </w:r>
      <w:r>
        <w:t xml:space="preserve"> which</w:t>
      </w:r>
      <w:r w:rsidR="002B376E" w:rsidRPr="002B376E">
        <w:t xml:space="preserve"> holds together yet another sequence of chapters and further strengthens the bonds that hold together the diversi</w:t>
      </w:r>
      <w:r>
        <w:t>ty in the book.T</w:t>
      </w:r>
      <w:r w:rsidR="002B376E" w:rsidRPr="002B376E">
        <w:t xml:space="preserve">he rest of the book can </w:t>
      </w:r>
      <w:r>
        <w:t xml:space="preserve">then </w:t>
      </w:r>
      <w:r w:rsidR="002B376E" w:rsidRPr="002B376E">
        <w:t>be seen as structured around this chiasm:</w:t>
      </w:r>
    </w:p>
    <w:p w:rsidR="00C25C1F" w:rsidRPr="002B376E" w:rsidRDefault="00C25C1F" w:rsidP="002B376E"/>
    <w:p w:rsidR="002B376E" w:rsidRPr="002B376E" w:rsidRDefault="002B376E" w:rsidP="002B376E">
      <w:r w:rsidRPr="002B376E">
        <w:t>1 Exile and the questions it raises: story</w:t>
      </w:r>
    </w:p>
    <w:p w:rsidR="002B376E" w:rsidRPr="002B376E" w:rsidRDefault="00AA3D9C" w:rsidP="002B376E">
      <w:r>
        <w:tab/>
      </w:r>
      <w:r w:rsidR="002B376E" w:rsidRPr="002B376E">
        <w:t>2 A vision of four empires</w:t>
      </w:r>
    </w:p>
    <w:p w:rsidR="002B376E" w:rsidRPr="002B376E" w:rsidRDefault="00AA3D9C" w:rsidP="002B376E">
      <w:r>
        <w:tab/>
      </w:r>
      <w:r>
        <w:tab/>
      </w:r>
      <w:r w:rsidR="002B376E" w:rsidRPr="002B376E">
        <w:t>3 A trial of faithfulness and a marvelous deliverance</w:t>
      </w:r>
    </w:p>
    <w:p w:rsidR="002B376E" w:rsidRPr="002B376E" w:rsidRDefault="00AA3D9C" w:rsidP="002B376E">
      <w:r>
        <w:tab/>
      </w:r>
      <w:r>
        <w:tab/>
      </w:r>
      <w:r>
        <w:tab/>
      </w:r>
      <w:r w:rsidR="002B376E" w:rsidRPr="002B376E">
        <w:t>4 An omen interpreted and a king challenged and chastised</w:t>
      </w:r>
    </w:p>
    <w:p w:rsidR="002B376E" w:rsidRPr="002B376E" w:rsidRDefault="00AA3D9C" w:rsidP="002B376E">
      <w:r>
        <w:tab/>
      </w:r>
      <w:r>
        <w:tab/>
      </w:r>
      <w:r>
        <w:tab/>
      </w:r>
      <w:r w:rsidR="002B376E" w:rsidRPr="002B376E">
        <w:t>5 An omen interpreted and a king challenged and deposed</w:t>
      </w:r>
    </w:p>
    <w:p w:rsidR="002B376E" w:rsidRPr="002B376E" w:rsidRDefault="00AA3D9C" w:rsidP="002B376E">
      <w:r>
        <w:tab/>
      </w:r>
      <w:r>
        <w:tab/>
      </w:r>
      <w:r w:rsidR="002B376E" w:rsidRPr="002B376E">
        <w:t>6 A trial of faithfulness and a marvelous deliverance</w:t>
      </w:r>
    </w:p>
    <w:p w:rsidR="002B376E" w:rsidRPr="002B376E" w:rsidRDefault="00AA3D9C" w:rsidP="002B376E">
      <w:r>
        <w:tab/>
      </w:r>
      <w:r w:rsidR="002B376E" w:rsidRPr="002B376E">
        <w:t>7 A vision of four empires</w:t>
      </w:r>
    </w:p>
    <w:p w:rsidR="002B376E" w:rsidRPr="002B376E" w:rsidRDefault="00AA3D9C" w:rsidP="002B376E">
      <w:r>
        <w:tab/>
      </w:r>
      <w:r>
        <w:tab/>
      </w:r>
      <w:r w:rsidR="002B376E" w:rsidRPr="002B376E">
        <w:t>8 Aspects of this vision developed</w:t>
      </w:r>
    </w:p>
    <w:p w:rsidR="002B376E" w:rsidRPr="002B376E" w:rsidRDefault="002B376E" w:rsidP="002B376E">
      <w:r w:rsidRPr="002B376E">
        <w:t>9 Exile and the questions it raises: vision</w:t>
      </w:r>
    </w:p>
    <w:p w:rsidR="002B376E" w:rsidRPr="002B376E" w:rsidRDefault="00AA3D9C" w:rsidP="002B376E">
      <w:r>
        <w:tab/>
      </w:r>
      <w:r w:rsidR="002B376E" w:rsidRPr="002B376E">
        <w:t>10–12 Aspects of this vision developed</w:t>
      </w:r>
      <w:r>
        <w:rPr>
          <w:rStyle w:val="FootnoteReference"/>
        </w:rPr>
        <w:footnoteReference w:id="870"/>
      </w:r>
    </w:p>
    <w:p w:rsidR="00C25C1F" w:rsidRDefault="00C25C1F" w:rsidP="002B376E"/>
    <w:p w:rsidR="002B376E" w:rsidRPr="002B376E" w:rsidRDefault="00AA3D9C" w:rsidP="002B376E">
      <w:r>
        <w:t>T</w:t>
      </w:r>
      <w:r w:rsidR="002B376E" w:rsidRPr="002B376E">
        <w:t xml:space="preserve">he stories </w:t>
      </w:r>
      <w:r>
        <w:t xml:space="preserve">themselves </w:t>
      </w:r>
      <w:r w:rsidR="002B376E" w:rsidRPr="002B376E">
        <w:t xml:space="preserve">develop </w:t>
      </w:r>
      <w:r w:rsidR="000C6CB7">
        <w:t xml:space="preserve">towards </w:t>
      </w:r>
      <w:r w:rsidR="002B376E" w:rsidRPr="002B376E">
        <w:t xml:space="preserve">a climax. Nebuchadnezzar acknowledges Daniel’s brilliance (chap. 1), then prostrates himself to him (chap. 2); he acknowledges the God of the exiles as uniquely able to deliver (chap. 3), then as ruling through all ages (chap. 4); Belshazzar finds that this God cannot be defied (chap. 5), then Darius requires that the whole empire acknowledge him (chap. 6). The four men progress from being the most insightful sages (chap. 1) via being responsible for provincial affairs and </w:t>
      </w:r>
      <w:r>
        <w:t xml:space="preserve">being </w:t>
      </w:r>
      <w:r w:rsidR="002B376E" w:rsidRPr="002B376E">
        <w:t>active at court (chap. 2) to the three friends’ being promoted in Babylon (chap. 3) and Daniel’s being the only interpreter in whom the spirit of deity dwells (chap. 4), and on to Daniel’s being Deputy in the realm (chap. 5) and ultimately the most distinguished of the three most senior ministers of state (chap. 6). Their confession moves from private abstinence (chap. 1) through discreet revelation (chap. 2) and discreet noncooperation (chap. 3) to straight challenge (chaps. 4–5) and open defiance (chap. 6).</w:t>
      </w:r>
    </w:p>
    <w:p w:rsidR="008E5D88" w:rsidRDefault="008E5D88" w:rsidP="002B376E">
      <w:r>
        <w:t>The visions also develop towards a climax, at least in the sense that the last of the four is the most detailed. They offer four perspect</w:t>
      </w:r>
      <w:r w:rsidR="0022349D">
        <w:t xml:space="preserve">ives on the future that are </w:t>
      </w:r>
      <w:r w:rsidR="00DD5E95">
        <w:t>different in form:</w:t>
      </w:r>
    </w:p>
    <w:p w:rsidR="00DD5E95" w:rsidRDefault="00DD5E95" w:rsidP="002B376E"/>
    <w:p w:rsidR="00DD5E95" w:rsidRDefault="00DD5E95" w:rsidP="00DD5E95">
      <w:pPr>
        <w:pStyle w:val="Quote"/>
      </w:pPr>
      <w:r>
        <w:t>Cha</w:t>
      </w:r>
      <w:r w:rsidR="0022349D">
        <w:t>p. 7 is a portrayal in symbol</w:t>
      </w:r>
      <w:r>
        <w:t xml:space="preserve"> and myth</w:t>
      </w:r>
    </w:p>
    <w:p w:rsidR="00DD5E95" w:rsidRDefault="00DD5E95" w:rsidP="00DD5E95">
      <w:pPr>
        <w:pStyle w:val="Quote"/>
      </w:pPr>
      <w:r>
        <w:t>Chap. 8 is more c</w:t>
      </w:r>
      <w:r w:rsidR="0022349D">
        <w:t xml:space="preserve">oncrete and it explicitly </w:t>
      </w:r>
      <w:r>
        <w:t>refers to specific emp</w:t>
      </w:r>
      <w:r w:rsidR="0022349D">
        <w:t>ires</w:t>
      </w:r>
    </w:p>
    <w:p w:rsidR="00DD5E95" w:rsidRDefault="00DD5E95" w:rsidP="00DD5E95">
      <w:pPr>
        <w:pStyle w:val="Quote"/>
      </w:pPr>
      <w:r>
        <w:t>Chap. 9 alone explicitly refers to a specific scripture and it is dominated by a prayer</w:t>
      </w:r>
    </w:p>
    <w:p w:rsidR="00DD5E95" w:rsidRDefault="00DD5E95" w:rsidP="00DD5E95">
      <w:pPr>
        <w:pStyle w:val="Quote"/>
      </w:pPr>
      <w:r>
        <w:lastRenderedPageBreak/>
        <w:t>Chaps. 1</w:t>
      </w:r>
      <w:r w:rsidR="0022349D">
        <w:t xml:space="preserve">0—12 is much the longest vision, </w:t>
      </w:r>
      <w:r>
        <w:t>giv</w:t>
      </w:r>
      <w:r w:rsidR="0022349D">
        <w:t>eing a unique amount of detail, though</w:t>
      </w:r>
      <w:r>
        <w:t xml:space="preserve"> </w:t>
      </w:r>
      <w:r w:rsidR="0022349D">
        <w:t>naming</w:t>
      </w:r>
      <w:r>
        <w:t xml:space="preserve"> no names.</w:t>
      </w:r>
    </w:p>
    <w:p w:rsidR="00DD5E95" w:rsidRPr="00DD5E95" w:rsidRDefault="00DD5E95" w:rsidP="00DD5E95">
      <w:pPr>
        <w:rPr>
          <w:lang w:bidi="he-IL"/>
        </w:rPr>
      </w:pPr>
    </w:p>
    <w:p w:rsidR="002B376E" w:rsidRDefault="002B376E" w:rsidP="002B376E">
      <w:r w:rsidRPr="002B376E">
        <w:t>The relationship between the visions may be expressed schematically.</w:t>
      </w:r>
    </w:p>
    <w:p w:rsidR="008E5D88" w:rsidRPr="002B376E" w:rsidRDefault="008E5D88" w:rsidP="002B376E"/>
    <w:tbl>
      <w:tblPr>
        <w:tblW w:w="0" w:type="auto"/>
        <w:tblLook w:val="04A0" w:firstRow="1" w:lastRow="0" w:firstColumn="1" w:lastColumn="0" w:noHBand="0" w:noVBand="1"/>
      </w:tblPr>
      <w:tblGrid>
        <w:gridCol w:w="1915"/>
        <w:gridCol w:w="1915"/>
        <w:gridCol w:w="1915"/>
        <w:gridCol w:w="1915"/>
        <w:gridCol w:w="1915"/>
      </w:tblGrid>
      <w:tr w:rsidR="002B376E" w:rsidRPr="002B376E" w:rsidTr="002B376E">
        <w:tc>
          <w:tcPr>
            <w:tcW w:w="1915" w:type="dxa"/>
          </w:tcPr>
          <w:p w:rsidR="002B376E" w:rsidRPr="002B376E" w:rsidRDefault="002B376E" w:rsidP="00C25C1F">
            <w:pPr>
              <w:ind w:firstLine="0"/>
            </w:pPr>
            <w:r w:rsidRPr="002B376E">
              <w:t> </w:t>
            </w:r>
          </w:p>
        </w:tc>
        <w:tc>
          <w:tcPr>
            <w:tcW w:w="1915" w:type="dxa"/>
          </w:tcPr>
          <w:p w:rsidR="002B376E" w:rsidRPr="002B376E" w:rsidRDefault="002B376E" w:rsidP="00C25C1F">
            <w:pPr>
              <w:ind w:firstLine="0"/>
            </w:pPr>
            <w:r w:rsidRPr="002B376E">
              <w:t>Chap. 7</w:t>
            </w:r>
          </w:p>
        </w:tc>
        <w:tc>
          <w:tcPr>
            <w:tcW w:w="1915" w:type="dxa"/>
          </w:tcPr>
          <w:p w:rsidR="002B376E" w:rsidRPr="002B376E" w:rsidRDefault="002B376E" w:rsidP="00C25C1F">
            <w:pPr>
              <w:ind w:firstLine="0"/>
            </w:pPr>
            <w:r w:rsidRPr="002B376E">
              <w:t>Chap. 8</w:t>
            </w:r>
          </w:p>
        </w:tc>
        <w:tc>
          <w:tcPr>
            <w:tcW w:w="1915" w:type="dxa"/>
          </w:tcPr>
          <w:p w:rsidR="002B376E" w:rsidRPr="002B376E" w:rsidRDefault="002B376E" w:rsidP="00C25C1F">
            <w:pPr>
              <w:ind w:firstLine="0"/>
            </w:pPr>
            <w:r w:rsidRPr="002B376E">
              <w:t>Chap. 9</w:t>
            </w:r>
          </w:p>
        </w:tc>
        <w:tc>
          <w:tcPr>
            <w:tcW w:w="1915" w:type="dxa"/>
          </w:tcPr>
          <w:p w:rsidR="002B376E" w:rsidRPr="002B376E" w:rsidRDefault="002B376E" w:rsidP="00C25C1F">
            <w:pPr>
              <w:ind w:hanging="10"/>
            </w:pPr>
            <w:r w:rsidRPr="002B376E">
              <w:t>Chaps. 10–12</w:t>
            </w:r>
          </w:p>
        </w:tc>
      </w:tr>
      <w:tr w:rsidR="002B376E" w:rsidRPr="002B376E" w:rsidTr="002B376E">
        <w:tc>
          <w:tcPr>
            <w:tcW w:w="1915" w:type="dxa"/>
          </w:tcPr>
          <w:p w:rsidR="002B376E" w:rsidRPr="002B376E" w:rsidRDefault="00596326" w:rsidP="00C25C1F">
            <w:pPr>
              <w:ind w:firstLine="0"/>
            </w:pPr>
            <w:r>
              <w:t xml:space="preserve">            </w:t>
            </w:r>
            <w:r w:rsidR="002B376E" w:rsidRPr="002B376E">
              <w:t>focus:</w:t>
            </w:r>
          </w:p>
        </w:tc>
        <w:tc>
          <w:tcPr>
            <w:tcW w:w="1915" w:type="dxa"/>
          </w:tcPr>
          <w:p w:rsidR="002B376E" w:rsidRPr="002B376E" w:rsidRDefault="002B376E" w:rsidP="00C25C1F">
            <w:pPr>
              <w:ind w:firstLine="0"/>
            </w:pPr>
            <w:r w:rsidRPr="002B376E">
              <w:t>kingdom</w:t>
            </w:r>
          </w:p>
        </w:tc>
        <w:tc>
          <w:tcPr>
            <w:tcW w:w="1915" w:type="dxa"/>
          </w:tcPr>
          <w:p w:rsidR="002B376E" w:rsidRPr="002B376E" w:rsidRDefault="0001614B" w:rsidP="00C25C1F">
            <w:pPr>
              <w:ind w:firstLine="0"/>
            </w:pPr>
            <w:r w:rsidRPr="002B376E">
              <w:t>T</w:t>
            </w:r>
            <w:r w:rsidR="002B376E" w:rsidRPr="002B376E">
              <w:t>emple</w:t>
            </w:r>
          </w:p>
        </w:tc>
        <w:tc>
          <w:tcPr>
            <w:tcW w:w="1915" w:type="dxa"/>
          </w:tcPr>
          <w:p w:rsidR="002B376E" w:rsidRPr="002B376E" w:rsidRDefault="00596326" w:rsidP="00C25C1F">
            <w:pPr>
              <w:ind w:firstLine="0"/>
            </w:pPr>
            <w:r>
              <w:t>t</w:t>
            </w:r>
            <w:r w:rsidR="002B376E" w:rsidRPr="002B376E">
              <w:t>emple</w:t>
            </w:r>
          </w:p>
        </w:tc>
        <w:tc>
          <w:tcPr>
            <w:tcW w:w="1915" w:type="dxa"/>
          </w:tcPr>
          <w:p w:rsidR="002B376E" w:rsidRPr="002B376E" w:rsidRDefault="002B376E" w:rsidP="00C25C1F">
            <w:pPr>
              <w:ind w:hanging="10"/>
            </w:pPr>
            <w:r w:rsidRPr="002B376E">
              <w:t>persecution</w:t>
            </w:r>
          </w:p>
        </w:tc>
      </w:tr>
      <w:tr w:rsidR="002B376E" w:rsidRPr="002B376E" w:rsidTr="002B376E">
        <w:tc>
          <w:tcPr>
            <w:tcW w:w="1915" w:type="dxa"/>
          </w:tcPr>
          <w:p w:rsidR="002B376E" w:rsidRPr="002B376E" w:rsidRDefault="002B376E" w:rsidP="00C25C1F">
            <w:pPr>
              <w:ind w:firstLine="0"/>
            </w:pPr>
            <w:r w:rsidRPr="002B376E">
              <w:t>following on:</w:t>
            </w:r>
          </w:p>
        </w:tc>
        <w:tc>
          <w:tcPr>
            <w:tcW w:w="1915" w:type="dxa"/>
          </w:tcPr>
          <w:p w:rsidR="002B376E" w:rsidRPr="002B376E" w:rsidRDefault="00596326" w:rsidP="00C25C1F">
            <w:pPr>
              <w:ind w:firstLine="0"/>
            </w:pPr>
            <w:r>
              <w:t>A</w:t>
            </w:r>
            <w:r w:rsidR="002B376E" w:rsidRPr="002B376E">
              <w:t>pollonius</w:t>
            </w:r>
          </w:p>
        </w:tc>
        <w:tc>
          <w:tcPr>
            <w:tcW w:w="1915" w:type="dxa"/>
          </w:tcPr>
          <w:p w:rsidR="002B376E" w:rsidRPr="002B376E" w:rsidRDefault="0001614B" w:rsidP="00C25C1F">
            <w:pPr>
              <w:ind w:firstLine="0"/>
            </w:pPr>
            <w:r w:rsidRPr="002B376E">
              <w:t>D</w:t>
            </w:r>
            <w:r w:rsidR="002B376E" w:rsidRPr="002B376E">
              <w:t>esecration</w:t>
            </w:r>
          </w:p>
        </w:tc>
        <w:tc>
          <w:tcPr>
            <w:tcW w:w="1915" w:type="dxa"/>
          </w:tcPr>
          <w:p w:rsidR="002B376E" w:rsidRPr="002B376E" w:rsidRDefault="00596326" w:rsidP="00C25C1F">
            <w:pPr>
              <w:ind w:firstLine="0"/>
            </w:pPr>
            <w:r>
              <w:t>d</w:t>
            </w:r>
            <w:r w:rsidR="002B376E" w:rsidRPr="002B376E">
              <w:t>esecration</w:t>
            </w:r>
          </w:p>
        </w:tc>
        <w:tc>
          <w:tcPr>
            <w:tcW w:w="1915" w:type="dxa"/>
          </w:tcPr>
          <w:p w:rsidR="002B376E" w:rsidRPr="002B376E" w:rsidRDefault="002B376E" w:rsidP="00C25C1F">
            <w:pPr>
              <w:ind w:hanging="10"/>
            </w:pPr>
            <w:r w:rsidRPr="002B376E">
              <w:t>resistance begins</w:t>
            </w:r>
          </w:p>
        </w:tc>
      </w:tr>
      <w:tr w:rsidR="002B376E" w:rsidRPr="002B376E" w:rsidTr="002B376E">
        <w:tc>
          <w:tcPr>
            <w:tcW w:w="1915" w:type="dxa"/>
          </w:tcPr>
          <w:p w:rsidR="002B376E" w:rsidRPr="002B376E" w:rsidRDefault="00596326" w:rsidP="00C25C1F">
            <w:pPr>
              <w:ind w:firstLine="0"/>
            </w:pPr>
            <w:r>
              <w:t xml:space="preserve">     revelation:</w:t>
            </w:r>
          </w:p>
        </w:tc>
        <w:tc>
          <w:tcPr>
            <w:tcW w:w="1915" w:type="dxa"/>
          </w:tcPr>
          <w:p w:rsidR="002B376E" w:rsidRPr="002B376E" w:rsidRDefault="002B376E" w:rsidP="00C25C1F">
            <w:pPr>
              <w:ind w:firstLine="0"/>
            </w:pPr>
            <w:r w:rsidRPr="002B376E">
              <w:t>dream</w:t>
            </w:r>
          </w:p>
        </w:tc>
        <w:tc>
          <w:tcPr>
            <w:tcW w:w="1915" w:type="dxa"/>
          </w:tcPr>
          <w:p w:rsidR="002B376E" w:rsidRPr="002B376E" w:rsidRDefault="0001614B" w:rsidP="00C25C1F">
            <w:pPr>
              <w:ind w:firstLine="0"/>
            </w:pPr>
            <w:r w:rsidRPr="002B376E">
              <w:t>V</w:t>
            </w:r>
            <w:r w:rsidR="002B376E" w:rsidRPr="002B376E">
              <w:t>ision</w:t>
            </w:r>
          </w:p>
        </w:tc>
        <w:tc>
          <w:tcPr>
            <w:tcW w:w="1915" w:type="dxa"/>
          </w:tcPr>
          <w:p w:rsidR="002B376E" w:rsidRPr="002B376E" w:rsidRDefault="00AA0821" w:rsidP="00C25C1F">
            <w:pPr>
              <w:ind w:firstLine="0"/>
            </w:pPr>
            <w:r>
              <w:t>auditory event</w:t>
            </w:r>
          </w:p>
        </w:tc>
        <w:tc>
          <w:tcPr>
            <w:tcW w:w="1915" w:type="dxa"/>
          </w:tcPr>
          <w:p w:rsidR="002B376E" w:rsidRPr="002B376E" w:rsidRDefault="00AA0821" w:rsidP="00C25C1F">
            <w:pPr>
              <w:ind w:hanging="10"/>
            </w:pPr>
            <w:r>
              <w:t>auditory event</w:t>
            </w:r>
          </w:p>
        </w:tc>
      </w:tr>
      <w:tr w:rsidR="002B376E" w:rsidRPr="002B376E" w:rsidTr="002B376E">
        <w:tc>
          <w:tcPr>
            <w:tcW w:w="1915" w:type="dxa"/>
          </w:tcPr>
          <w:p w:rsidR="002B376E" w:rsidRPr="002B376E" w:rsidRDefault="002B376E" w:rsidP="00C25C1F">
            <w:pPr>
              <w:ind w:firstLine="0"/>
            </w:pPr>
            <w:r w:rsidRPr="002B376E">
              <w:t> </w:t>
            </w:r>
            <w:r w:rsidR="00596326">
              <w:t xml:space="preserve">             form:</w:t>
            </w:r>
          </w:p>
        </w:tc>
        <w:tc>
          <w:tcPr>
            <w:tcW w:w="1915" w:type="dxa"/>
          </w:tcPr>
          <w:p w:rsidR="002B376E" w:rsidRPr="002B376E" w:rsidRDefault="002B376E" w:rsidP="00C25C1F">
            <w:pPr>
              <w:ind w:firstLine="0"/>
            </w:pPr>
            <w:r w:rsidRPr="002B376E">
              <w:t>myth</w:t>
            </w:r>
          </w:p>
        </w:tc>
        <w:tc>
          <w:tcPr>
            <w:tcW w:w="1915" w:type="dxa"/>
          </w:tcPr>
          <w:p w:rsidR="002B376E" w:rsidRPr="002B376E" w:rsidRDefault="0001614B" w:rsidP="00C25C1F">
            <w:pPr>
              <w:ind w:firstLine="0"/>
            </w:pPr>
            <w:r w:rsidRPr="002B376E">
              <w:t>A</w:t>
            </w:r>
            <w:r w:rsidR="002B376E" w:rsidRPr="002B376E">
              <w:t>llegory</w:t>
            </w:r>
          </w:p>
        </w:tc>
        <w:tc>
          <w:tcPr>
            <w:tcW w:w="1915" w:type="dxa"/>
          </w:tcPr>
          <w:p w:rsidR="002B376E" w:rsidRPr="002B376E" w:rsidRDefault="00596326" w:rsidP="00C25C1F">
            <w:pPr>
              <w:ind w:firstLine="0"/>
            </w:pPr>
            <w:r>
              <w:t>m</w:t>
            </w:r>
            <w:r w:rsidR="002B376E" w:rsidRPr="002B376E">
              <w:t>idrash</w:t>
            </w:r>
          </w:p>
        </w:tc>
        <w:tc>
          <w:tcPr>
            <w:tcW w:w="1915" w:type="dxa"/>
          </w:tcPr>
          <w:p w:rsidR="002B376E" w:rsidRDefault="002B376E" w:rsidP="00C25C1F">
            <w:pPr>
              <w:ind w:hanging="10"/>
            </w:pPr>
            <w:r w:rsidRPr="002B376E">
              <w:t>oracle in code</w:t>
            </w:r>
          </w:p>
          <w:p w:rsidR="00596326" w:rsidRPr="002B376E" w:rsidRDefault="00596326" w:rsidP="00C25C1F">
            <w:pPr>
              <w:ind w:hanging="10"/>
            </w:pPr>
          </w:p>
        </w:tc>
      </w:tr>
      <w:tr w:rsidR="002B376E" w:rsidRPr="002B376E" w:rsidTr="002B376E">
        <w:tc>
          <w:tcPr>
            <w:tcW w:w="1915" w:type="dxa"/>
          </w:tcPr>
          <w:p w:rsidR="00596326" w:rsidRDefault="00596326" w:rsidP="00C25C1F">
            <w:pPr>
              <w:ind w:firstLine="0"/>
            </w:pPr>
            <w:r>
              <w:t>content/portrayal:</w:t>
            </w:r>
          </w:p>
          <w:p w:rsidR="002B376E" w:rsidRPr="002B376E" w:rsidRDefault="002B376E" w:rsidP="00C25C1F">
            <w:pPr>
              <w:ind w:firstLine="0"/>
            </w:pPr>
            <w:r w:rsidRPr="002B376E">
              <w:t>Babylon</w:t>
            </w:r>
          </w:p>
        </w:tc>
        <w:tc>
          <w:tcPr>
            <w:tcW w:w="1915" w:type="dxa"/>
          </w:tcPr>
          <w:p w:rsidR="00596326" w:rsidRDefault="00596326" w:rsidP="00C25C1F">
            <w:pPr>
              <w:ind w:firstLine="0"/>
            </w:pPr>
          </w:p>
          <w:p w:rsidR="002B376E" w:rsidRPr="002B376E" w:rsidRDefault="002B376E" w:rsidP="00C25C1F">
            <w:pPr>
              <w:ind w:firstLine="0"/>
            </w:pPr>
            <w:r w:rsidRPr="002B376E">
              <w:t>lion/eagle</w:t>
            </w:r>
          </w:p>
        </w:tc>
        <w:tc>
          <w:tcPr>
            <w:tcW w:w="1915" w:type="dxa"/>
          </w:tcPr>
          <w:p w:rsidR="002B376E" w:rsidRPr="002B376E" w:rsidRDefault="002B376E" w:rsidP="00C25C1F">
            <w:pPr>
              <w:ind w:firstLine="0"/>
            </w:pPr>
            <w:r w:rsidRPr="002B376E">
              <w:t> </w:t>
            </w:r>
          </w:p>
        </w:tc>
        <w:tc>
          <w:tcPr>
            <w:tcW w:w="1915" w:type="dxa"/>
          </w:tcPr>
          <w:p w:rsidR="00596326" w:rsidRDefault="00596326" w:rsidP="00C25C1F">
            <w:pPr>
              <w:ind w:firstLine="0"/>
            </w:pPr>
          </w:p>
          <w:p w:rsidR="002B376E" w:rsidRPr="002B376E" w:rsidRDefault="002B376E" w:rsidP="00C25C1F">
            <w:pPr>
              <w:ind w:firstLine="0"/>
            </w:pPr>
            <w:r w:rsidRPr="002B376E">
              <w:t>7 times</w:t>
            </w:r>
          </w:p>
        </w:tc>
        <w:tc>
          <w:tcPr>
            <w:tcW w:w="1915" w:type="dxa"/>
          </w:tcPr>
          <w:p w:rsidR="002B376E" w:rsidRPr="002B376E" w:rsidRDefault="002B376E" w:rsidP="00C25C1F">
            <w:pPr>
              <w:ind w:hanging="10"/>
            </w:pPr>
            <w:r w:rsidRPr="002B376E">
              <w:t> </w:t>
            </w:r>
          </w:p>
        </w:tc>
      </w:tr>
      <w:tr w:rsidR="002B376E" w:rsidRPr="002B376E" w:rsidTr="002B376E">
        <w:tc>
          <w:tcPr>
            <w:tcW w:w="1915" w:type="dxa"/>
          </w:tcPr>
          <w:p w:rsidR="002B376E" w:rsidRPr="002B376E" w:rsidRDefault="002B376E" w:rsidP="00C25C1F">
            <w:pPr>
              <w:ind w:firstLine="0"/>
            </w:pPr>
            <w:r w:rsidRPr="002B376E">
              <w:t> </w:t>
            </w:r>
          </w:p>
        </w:tc>
        <w:tc>
          <w:tcPr>
            <w:tcW w:w="1915" w:type="dxa"/>
          </w:tcPr>
          <w:p w:rsidR="002B376E" w:rsidRPr="002B376E" w:rsidRDefault="002B376E" w:rsidP="00C25C1F">
            <w:pPr>
              <w:ind w:firstLine="0"/>
            </w:pPr>
            <w:r w:rsidRPr="002B376E">
              <w:t> </w:t>
            </w:r>
          </w:p>
        </w:tc>
        <w:tc>
          <w:tcPr>
            <w:tcW w:w="1915" w:type="dxa"/>
          </w:tcPr>
          <w:p w:rsidR="002B376E" w:rsidRPr="002B376E" w:rsidRDefault="002B376E" w:rsidP="00C25C1F">
            <w:pPr>
              <w:ind w:firstLine="0"/>
            </w:pPr>
            <w:r w:rsidRPr="002B376E">
              <w:t> </w:t>
            </w:r>
          </w:p>
        </w:tc>
        <w:tc>
          <w:tcPr>
            <w:tcW w:w="1915" w:type="dxa"/>
          </w:tcPr>
          <w:p w:rsidR="002B376E" w:rsidRPr="002B376E" w:rsidRDefault="002B376E" w:rsidP="00C25C1F">
            <w:pPr>
              <w:ind w:firstLine="0"/>
            </w:pPr>
            <w:r w:rsidRPr="002B376E">
              <w:t>7 weeks</w:t>
            </w:r>
          </w:p>
        </w:tc>
        <w:tc>
          <w:tcPr>
            <w:tcW w:w="1915" w:type="dxa"/>
          </w:tcPr>
          <w:p w:rsidR="00596326" w:rsidRDefault="00596326" w:rsidP="00C25C1F">
            <w:pPr>
              <w:ind w:hanging="10"/>
            </w:pPr>
          </w:p>
          <w:p w:rsidR="002B376E" w:rsidRPr="002B376E" w:rsidRDefault="002B376E" w:rsidP="00C25C1F">
            <w:pPr>
              <w:ind w:hanging="10"/>
            </w:pPr>
            <w:r w:rsidRPr="002B376E">
              <w:t> </w:t>
            </w:r>
          </w:p>
        </w:tc>
      </w:tr>
      <w:tr w:rsidR="002B376E" w:rsidRPr="002B376E" w:rsidTr="002B376E">
        <w:tc>
          <w:tcPr>
            <w:tcW w:w="1915" w:type="dxa"/>
          </w:tcPr>
          <w:p w:rsidR="002B376E" w:rsidRPr="002B376E" w:rsidRDefault="002B376E" w:rsidP="00C25C1F">
            <w:pPr>
              <w:ind w:firstLine="0"/>
            </w:pPr>
            <w:r w:rsidRPr="002B376E">
              <w:t>Media/Persia</w:t>
            </w:r>
          </w:p>
        </w:tc>
        <w:tc>
          <w:tcPr>
            <w:tcW w:w="1915" w:type="dxa"/>
          </w:tcPr>
          <w:p w:rsidR="002B376E" w:rsidRPr="002B376E" w:rsidRDefault="002B376E" w:rsidP="00C25C1F">
            <w:pPr>
              <w:ind w:firstLine="0"/>
            </w:pPr>
            <w:r w:rsidRPr="002B376E">
              <w:t>bear, then</w:t>
            </w:r>
          </w:p>
        </w:tc>
        <w:tc>
          <w:tcPr>
            <w:tcW w:w="1915" w:type="dxa"/>
          </w:tcPr>
          <w:p w:rsidR="002B376E" w:rsidRPr="002B376E" w:rsidRDefault="002B376E" w:rsidP="00C25C1F">
            <w:pPr>
              <w:ind w:firstLine="0"/>
            </w:pPr>
            <w:r w:rsidRPr="002B376E">
              <w:t>ram with</w:t>
            </w:r>
          </w:p>
        </w:tc>
        <w:tc>
          <w:tcPr>
            <w:tcW w:w="1915" w:type="dxa"/>
          </w:tcPr>
          <w:p w:rsidR="002B376E" w:rsidRPr="002B376E" w:rsidRDefault="002B376E" w:rsidP="00C25C1F">
            <w:pPr>
              <w:ind w:firstLine="0"/>
            </w:pPr>
            <w:r w:rsidRPr="002B376E">
              <w:t> </w:t>
            </w:r>
          </w:p>
        </w:tc>
        <w:tc>
          <w:tcPr>
            <w:tcW w:w="1915" w:type="dxa"/>
          </w:tcPr>
          <w:p w:rsidR="002B376E" w:rsidRPr="002B376E" w:rsidRDefault="002B376E" w:rsidP="00C25C1F">
            <w:pPr>
              <w:ind w:hanging="10"/>
            </w:pPr>
            <w:r w:rsidRPr="002B376E">
              <w:t>four/five</w:t>
            </w:r>
          </w:p>
        </w:tc>
      </w:tr>
      <w:tr w:rsidR="002B376E" w:rsidRPr="002B376E" w:rsidTr="002B376E">
        <w:tc>
          <w:tcPr>
            <w:tcW w:w="1915" w:type="dxa"/>
          </w:tcPr>
          <w:p w:rsidR="002B376E" w:rsidRPr="002B376E" w:rsidRDefault="002B376E" w:rsidP="00C25C1F">
            <w:pPr>
              <w:ind w:firstLine="0"/>
            </w:pPr>
            <w:r w:rsidRPr="002B376E">
              <w:t> </w:t>
            </w:r>
          </w:p>
        </w:tc>
        <w:tc>
          <w:tcPr>
            <w:tcW w:w="1915" w:type="dxa"/>
          </w:tcPr>
          <w:p w:rsidR="002B376E" w:rsidRPr="002B376E" w:rsidRDefault="002B376E" w:rsidP="00C25C1F">
            <w:pPr>
              <w:ind w:firstLine="0"/>
            </w:pPr>
            <w:r w:rsidRPr="002B376E">
              <w:t>leopard</w:t>
            </w:r>
          </w:p>
        </w:tc>
        <w:tc>
          <w:tcPr>
            <w:tcW w:w="1915" w:type="dxa"/>
          </w:tcPr>
          <w:p w:rsidR="002B376E" w:rsidRPr="002B376E" w:rsidRDefault="002B376E" w:rsidP="00C25C1F">
            <w:pPr>
              <w:ind w:firstLine="0"/>
            </w:pPr>
            <w:r w:rsidRPr="002B376E">
              <w:t>two horns</w:t>
            </w:r>
          </w:p>
        </w:tc>
        <w:tc>
          <w:tcPr>
            <w:tcW w:w="1915" w:type="dxa"/>
          </w:tcPr>
          <w:p w:rsidR="002B376E" w:rsidRPr="002B376E" w:rsidRDefault="002B376E" w:rsidP="00C25C1F">
            <w:pPr>
              <w:ind w:firstLine="0"/>
            </w:pPr>
            <w:r w:rsidRPr="002B376E">
              <w:t>7</w:t>
            </w:r>
            <w:r w:rsidR="00596326">
              <w:t xml:space="preserve"> times</w:t>
            </w:r>
          </w:p>
        </w:tc>
        <w:tc>
          <w:tcPr>
            <w:tcW w:w="1915" w:type="dxa"/>
          </w:tcPr>
          <w:p w:rsidR="002B376E" w:rsidRDefault="00596326" w:rsidP="00C25C1F">
            <w:pPr>
              <w:ind w:hanging="10"/>
            </w:pPr>
            <w:r w:rsidRPr="002B376E">
              <w:t>K</w:t>
            </w:r>
            <w:r w:rsidR="002B376E" w:rsidRPr="002B376E">
              <w:t>ings</w:t>
            </w:r>
          </w:p>
          <w:p w:rsidR="00596326" w:rsidRPr="002B376E" w:rsidRDefault="00596326" w:rsidP="00C25C1F">
            <w:pPr>
              <w:ind w:hanging="10"/>
            </w:pPr>
          </w:p>
        </w:tc>
      </w:tr>
      <w:tr w:rsidR="002B376E" w:rsidRPr="002B376E" w:rsidTr="002B376E">
        <w:tc>
          <w:tcPr>
            <w:tcW w:w="1915" w:type="dxa"/>
          </w:tcPr>
          <w:p w:rsidR="002B376E" w:rsidRPr="002B376E" w:rsidRDefault="002B376E" w:rsidP="00C25C1F">
            <w:pPr>
              <w:ind w:firstLine="0"/>
            </w:pPr>
            <w:r w:rsidRPr="002B376E">
              <w:t>Greece:</w:t>
            </w:r>
          </w:p>
        </w:tc>
        <w:tc>
          <w:tcPr>
            <w:tcW w:w="1915" w:type="dxa"/>
          </w:tcPr>
          <w:p w:rsidR="002B376E" w:rsidRPr="002B376E" w:rsidRDefault="002B376E" w:rsidP="00C25C1F">
            <w:pPr>
              <w:ind w:firstLine="0"/>
            </w:pPr>
            <w:r w:rsidRPr="002B376E">
              <w:t> </w:t>
            </w:r>
          </w:p>
        </w:tc>
        <w:tc>
          <w:tcPr>
            <w:tcW w:w="1915" w:type="dxa"/>
          </w:tcPr>
          <w:p w:rsidR="002B376E" w:rsidRPr="002B376E" w:rsidRDefault="002B376E" w:rsidP="00C25C1F">
            <w:pPr>
              <w:ind w:firstLine="0"/>
            </w:pPr>
            <w:r w:rsidRPr="002B376E">
              <w:t> </w:t>
            </w:r>
          </w:p>
        </w:tc>
        <w:tc>
          <w:tcPr>
            <w:tcW w:w="1915" w:type="dxa"/>
          </w:tcPr>
          <w:p w:rsidR="002B376E" w:rsidRPr="002B376E" w:rsidRDefault="002B376E" w:rsidP="00C25C1F">
            <w:pPr>
              <w:ind w:firstLine="0"/>
            </w:pPr>
          </w:p>
        </w:tc>
        <w:tc>
          <w:tcPr>
            <w:tcW w:w="1915" w:type="dxa"/>
          </w:tcPr>
          <w:p w:rsidR="002B376E" w:rsidRPr="002B376E" w:rsidRDefault="002B376E" w:rsidP="00C25C1F">
            <w:pPr>
              <w:ind w:hanging="10"/>
            </w:pPr>
            <w:r w:rsidRPr="002B376E">
              <w:t> </w:t>
            </w:r>
          </w:p>
        </w:tc>
      </w:tr>
      <w:tr w:rsidR="002B376E" w:rsidRPr="002B376E" w:rsidTr="002B376E">
        <w:tc>
          <w:tcPr>
            <w:tcW w:w="1915" w:type="dxa"/>
          </w:tcPr>
          <w:p w:rsidR="002B376E" w:rsidRPr="002B376E" w:rsidRDefault="002B376E" w:rsidP="00C25C1F">
            <w:pPr>
              <w:ind w:firstLine="0"/>
            </w:pPr>
            <w:r w:rsidRPr="002B376E">
              <w:t>(a) Alexander</w:t>
            </w:r>
          </w:p>
        </w:tc>
        <w:tc>
          <w:tcPr>
            <w:tcW w:w="1915" w:type="dxa"/>
          </w:tcPr>
          <w:p w:rsidR="002B376E" w:rsidRPr="002B376E" w:rsidRDefault="002B376E" w:rsidP="00C25C1F">
            <w:pPr>
              <w:ind w:firstLine="0"/>
            </w:pPr>
            <w:r w:rsidRPr="002B376E">
              <w:t>horned ani-</w:t>
            </w:r>
          </w:p>
        </w:tc>
        <w:tc>
          <w:tcPr>
            <w:tcW w:w="1915" w:type="dxa"/>
          </w:tcPr>
          <w:p w:rsidR="002B376E" w:rsidRPr="002B376E" w:rsidRDefault="002B376E" w:rsidP="00C25C1F">
            <w:pPr>
              <w:ind w:firstLine="0"/>
            </w:pPr>
            <w:r w:rsidRPr="002B376E">
              <w:t>goat with big</w:t>
            </w:r>
          </w:p>
        </w:tc>
        <w:tc>
          <w:tcPr>
            <w:tcW w:w="1915" w:type="dxa"/>
          </w:tcPr>
          <w:p w:rsidR="002B376E" w:rsidRPr="002B376E" w:rsidRDefault="002B376E" w:rsidP="00C25C1F">
            <w:pPr>
              <w:ind w:firstLine="0"/>
            </w:pPr>
            <w:r w:rsidRPr="002B376E">
              <w:t> </w:t>
            </w:r>
          </w:p>
        </w:tc>
        <w:tc>
          <w:tcPr>
            <w:tcW w:w="1915" w:type="dxa"/>
          </w:tcPr>
          <w:p w:rsidR="002B376E" w:rsidRPr="002B376E" w:rsidRDefault="002B376E" w:rsidP="00C25C1F">
            <w:pPr>
              <w:ind w:hanging="10"/>
            </w:pPr>
            <w:r w:rsidRPr="002B376E">
              <w:t>mighty king of</w:t>
            </w:r>
          </w:p>
        </w:tc>
      </w:tr>
      <w:tr w:rsidR="002B376E" w:rsidRPr="002B376E" w:rsidTr="002B376E">
        <w:tc>
          <w:tcPr>
            <w:tcW w:w="1915" w:type="dxa"/>
          </w:tcPr>
          <w:p w:rsidR="002B376E" w:rsidRPr="002B376E" w:rsidRDefault="002B376E" w:rsidP="00C25C1F">
            <w:pPr>
              <w:ind w:firstLine="0"/>
            </w:pPr>
            <w:r w:rsidRPr="002B376E">
              <w:t> </w:t>
            </w:r>
          </w:p>
        </w:tc>
        <w:tc>
          <w:tcPr>
            <w:tcW w:w="1915" w:type="dxa"/>
          </w:tcPr>
          <w:p w:rsidR="002B376E" w:rsidRPr="002B376E" w:rsidRDefault="002B376E" w:rsidP="00C25C1F">
            <w:pPr>
              <w:ind w:firstLine="0"/>
            </w:pPr>
            <w:r w:rsidRPr="002B376E">
              <w:t>mal</w:t>
            </w:r>
          </w:p>
        </w:tc>
        <w:tc>
          <w:tcPr>
            <w:tcW w:w="1915" w:type="dxa"/>
          </w:tcPr>
          <w:p w:rsidR="002B376E" w:rsidRPr="002B376E" w:rsidRDefault="0001614B" w:rsidP="00C25C1F">
            <w:pPr>
              <w:ind w:firstLine="0"/>
            </w:pPr>
            <w:r w:rsidRPr="002B376E">
              <w:t>H</w:t>
            </w:r>
            <w:r w:rsidR="002B376E" w:rsidRPr="002B376E">
              <w:t>orn</w:t>
            </w:r>
          </w:p>
        </w:tc>
        <w:tc>
          <w:tcPr>
            <w:tcW w:w="1915" w:type="dxa"/>
          </w:tcPr>
          <w:p w:rsidR="002B376E" w:rsidRPr="002B376E" w:rsidRDefault="002B376E" w:rsidP="00C25C1F">
            <w:pPr>
              <w:ind w:firstLine="0"/>
            </w:pPr>
            <w:r w:rsidRPr="002B376E">
              <w:t>62</w:t>
            </w:r>
          </w:p>
        </w:tc>
        <w:tc>
          <w:tcPr>
            <w:tcW w:w="1915" w:type="dxa"/>
          </w:tcPr>
          <w:p w:rsidR="002B376E" w:rsidRPr="002B376E" w:rsidRDefault="002B376E" w:rsidP="00C25C1F">
            <w:pPr>
              <w:ind w:hanging="10"/>
            </w:pPr>
            <w:r w:rsidRPr="002B376E">
              <w:t>Greece</w:t>
            </w:r>
          </w:p>
        </w:tc>
      </w:tr>
      <w:tr w:rsidR="002B376E" w:rsidRPr="002B376E" w:rsidTr="002B376E">
        <w:tc>
          <w:tcPr>
            <w:tcW w:w="1915" w:type="dxa"/>
          </w:tcPr>
          <w:p w:rsidR="002B376E" w:rsidRPr="002B376E" w:rsidRDefault="002B376E" w:rsidP="00C25C1F">
            <w:pPr>
              <w:ind w:firstLine="0"/>
            </w:pPr>
            <w:r w:rsidRPr="002B376E">
              <w:t>(b) Hellenistic</w:t>
            </w:r>
          </w:p>
        </w:tc>
        <w:tc>
          <w:tcPr>
            <w:tcW w:w="1915" w:type="dxa"/>
          </w:tcPr>
          <w:p w:rsidR="002B376E" w:rsidRPr="002B376E" w:rsidRDefault="002B376E" w:rsidP="00C25C1F">
            <w:pPr>
              <w:ind w:firstLine="0"/>
            </w:pPr>
            <w:r w:rsidRPr="002B376E">
              <w:t>ten horns</w:t>
            </w:r>
          </w:p>
        </w:tc>
        <w:tc>
          <w:tcPr>
            <w:tcW w:w="1915" w:type="dxa"/>
          </w:tcPr>
          <w:p w:rsidR="002B376E" w:rsidRPr="002B376E" w:rsidRDefault="002B376E" w:rsidP="00C25C1F">
            <w:pPr>
              <w:ind w:firstLine="0"/>
            </w:pPr>
            <w:r w:rsidRPr="002B376E">
              <w:t>four horns</w:t>
            </w:r>
          </w:p>
        </w:tc>
        <w:tc>
          <w:tcPr>
            <w:tcW w:w="1915" w:type="dxa"/>
          </w:tcPr>
          <w:p w:rsidR="002B376E" w:rsidRPr="002B376E" w:rsidRDefault="008E5D88" w:rsidP="00C25C1F">
            <w:pPr>
              <w:ind w:firstLine="0"/>
            </w:pPr>
            <w:r w:rsidRPr="002B376E">
              <w:t>W</w:t>
            </w:r>
            <w:r w:rsidR="002B376E" w:rsidRPr="002B376E">
              <w:t>eeks</w:t>
            </w:r>
          </w:p>
        </w:tc>
        <w:tc>
          <w:tcPr>
            <w:tcW w:w="1915" w:type="dxa"/>
          </w:tcPr>
          <w:p w:rsidR="002B376E" w:rsidRPr="002B376E" w:rsidRDefault="002B376E" w:rsidP="00C25C1F">
            <w:pPr>
              <w:ind w:hanging="10"/>
            </w:pPr>
            <w:r w:rsidRPr="002B376E">
              <w:t>breaking of his</w:t>
            </w:r>
          </w:p>
        </w:tc>
      </w:tr>
      <w:tr w:rsidR="002B376E" w:rsidRPr="002B376E" w:rsidTr="002B376E">
        <w:tc>
          <w:tcPr>
            <w:tcW w:w="1915" w:type="dxa"/>
          </w:tcPr>
          <w:p w:rsidR="002B376E" w:rsidRPr="002B376E" w:rsidRDefault="008E5D88" w:rsidP="00C25C1F">
            <w:pPr>
              <w:ind w:firstLine="0"/>
            </w:pPr>
            <w:r w:rsidRPr="002B376E">
              <w:t>E</w:t>
            </w:r>
            <w:r w:rsidR="002B376E" w:rsidRPr="002B376E">
              <w:t>mpires</w:t>
            </w:r>
          </w:p>
        </w:tc>
        <w:tc>
          <w:tcPr>
            <w:tcW w:w="1915" w:type="dxa"/>
          </w:tcPr>
          <w:p w:rsidR="002B376E" w:rsidRPr="002B376E" w:rsidRDefault="002B376E" w:rsidP="00C25C1F">
            <w:pPr>
              <w:ind w:firstLine="0"/>
            </w:pPr>
            <w:r w:rsidRPr="002B376E">
              <w:t> </w:t>
            </w:r>
          </w:p>
        </w:tc>
        <w:tc>
          <w:tcPr>
            <w:tcW w:w="1915" w:type="dxa"/>
          </w:tcPr>
          <w:p w:rsidR="002B376E" w:rsidRPr="002B376E" w:rsidRDefault="002B376E" w:rsidP="00C25C1F">
            <w:pPr>
              <w:ind w:firstLine="0"/>
            </w:pPr>
            <w:r w:rsidRPr="002B376E">
              <w:t> </w:t>
            </w:r>
          </w:p>
        </w:tc>
        <w:tc>
          <w:tcPr>
            <w:tcW w:w="1915" w:type="dxa"/>
          </w:tcPr>
          <w:p w:rsidR="002B376E" w:rsidRPr="002B376E" w:rsidRDefault="002B376E" w:rsidP="00C25C1F">
            <w:pPr>
              <w:ind w:firstLine="0"/>
            </w:pPr>
            <w:r w:rsidRPr="002B376E">
              <w:t> </w:t>
            </w:r>
          </w:p>
        </w:tc>
        <w:tc>
          <w:tcPr>
            <w:tcW w:w="1915" w:type="dxa"/>
          </w:tcPr>
          <w:p w:rsidR="002B376E" w:rsidRPr="002B376E" w:rsidRDefault="002B376E" w:rsidP="00C25C1F">
            <w:pPr>
              <w:ind w:hanging="10"/>
            </w:pPr>
            <w:r w:rsidRPr="002B376E">
              <w:t>kingship</w:t>
            </w:r>
          </w:p>
        </w:tc>
      </w:tr>
      <w:tr w:rsidR="002B376E" w:rsidRPr="002B376E" w:rsidTr="002B376E">
        <w:tc>
          <w:tcPr>
            <w:tcW w:w="1915" w:type="dxa"/>
          </w:tcPr>
          <w:p w:rsidR="002B376E" w:rsidRPr="002B376E" w:rsidRDefault="002B376E" w:rsidP="00C25C1F">
            <w:pPr>
              <w:ind w:firstLine="0"/>
            </w:pPr>
            <w:r w:rsidRPr="002B376E">
              <w:t>(c) Antiochus</w:t>
            </w:r>
          </w:p>
        </w:tc>
        <w:tc>
          <w:tcPr>
            <w:tcW w:w="1915" w:type="dxa"/>
          </w:tcPr>
          <w:p w:rsidR="002B376E" w:rsidRPr="002B376E" w:rsidRDefault="002B376E" w:rsidP="00C25C1F">
            <w:pPr>
              <w:ind w:firstLine="0"/>
            </w:pPr>
            <w:r w:rsidRPr="002B376E">
              <w:t>small horn</w:t>
            </w:r>
          </w:p>
        </w:tc>
        <w:tc>
          <w:tcPr>
            <w:tcW w:w="1915" w:type="dxa"/>
          </w:tcPr>
          <w:p w:rsidR="002B376E" w:rsidRPr="002B376E" w:rsidRDefault="002B376E" w:rsidP="00C25C1F">
            <w:pPr>
              <w:ind w:firstLine="0"/>
            </w:pPr>
            <w:r w:rsidRPr="002B376E">
              <w:t>small horn</w:t>
            </w:r>
          </w:p>
        </w:tc>
        <w:tc>
          <w:tcPr>
            <w:tcW w:w="1915" w:type="dxa"/>
          </w:tcPr>
          <w:p w:rsidR="002B376E" w:rsidRPr="002B376E" w:rsidRDefault="002B376E" w:rsidP="00C25C1F">
            <w:pPr>
              <w:ind w:firstLine="0"/>
            </w:pPr>
            <w:r w:rsidRPr="002B376E">
              <w:t>final week</w:t>
            </w:r>
          </w:p>
        </w:tc>
        <w:tc>
          <w:tcPr>
            <w:tcW w:w="1915" w:type="dxa"/>
          </w:tcPr>
          <w:p w:rsidR="002B376E" w:rsidRPr="002B376E" w:rsidRDefault="002B376E" w:rsidP="00596326">
            <w:pPr>
              <w:ind w:right="-181" w:hanging="10"/>
            </w:pPr>
            <w:r w:rsidRPr="002B376E">
              <w:t>north-south battles</w:t>
            </w:r>
          </w:p>
        </w:tc>
      </w:tr>
      <w:tr w:rsidR="002B376E" w:rsidRPr="002B376E" w:rsidTr="002B376E">
        <w:tc>
          <w:tcPr>
            <w:tcW w:w="1915" w:type="dxa"/>
          </w:tcPr>
          <w:p w:rsidR="002B376E" w:rsidRPr="002B376E" w:rsidRDefault="002B376E" w:rsidP="00C25C1F">
            <w:pPr>
              <w:ind w:firstLine="0"/>
            </w:pPr>
            <w:r w:rsidRPr="002B376E">
              <w:t> </w:t>
            </w:r>
          </w:p>
        </w:tc>
        <w:tc>
          <w:tcPr>
            <w:tcW w:w="1915" w:type="dxa"/>
          </w:tcPr>
          <w:p w:rsidR="002B376E" w:rsidRPr="002B376E" w:rsidRDefault="002B376E" w:rsidP="00C25C1F">
            <w:pPr>
              <w:ind w:firstLine="0"/>
            </w:pPr>
            <w:r w:rsidRPr="002B376E">
              <w:t> </w:t>
            </w:r>
          </w:p>
        </w:tc>
        <w:tc>
          <w:tcPr>
            <w:tcW w:w="1915" w:type="dxa"/>
          </w:tcPr>
          <w:p w:rsidR="002B376E" w:rsidRPr="002B376E" w:rsidRDefault="002B376E" w:rsidP="00C25C1F">
            <w:pPr>
              <w:ind w:firstLine="0"/>
            </w:pPr>
            <w:r w:rsidRPr="002B376E">
              <w:t> </w:t>
            </w:r>
          </w:p>
        </w:tc>
        <w:tc>
          <w:tcPr>
            <w:tcW w:w="1915" w:type="dxa"/>
          </w:tcPr>
          <w:p w:rsidR="002B376E" w:rsidRPr="002B376E" w:rsidRDefault="002B376E" w:rsidP="00C25C1F">
            <w:pPr>
              <w:ind w:firstLine="0"/>
            </w:pPr>
            <w:r w:rsidRPr="002B376E">
              <w:t>of horror</w:t>
            </w:r>
          </w:p>
        </w:tc>
        <w:tc>
          <w:tcPr>
            <w:tcW w:w="1915" w:type="dxa"/>
          </w:tcPr>
          <w:p w:rsidR="002B376E" w:rsidRDefault="002B376E" w:rsidP="00C25C1F">
            <w:pPr>
              <w:ind w:hanging="10"/>
            </w:pPr>
            <w:r w:rsidRPr="002B376E">
              <w:t> </w:t>
            </w:r>
          </w:p>
          <w:p w:rsidR="00596326" w:rsidRPr="002B376E" w:rsidRDefault="00596326" w:rsidP="00C25C1F">
            <w:pPr>
              <w:ind w:hanging="10"/>
            </w:pPr>
          </w:p>
        </w:tc>
      </w:tr>
      <w:tr w:rsidR="002B376E" w:rsidRPr="002B376E" w:rsidTr="002B376E">
        <w:tc>
          <w:tcPr>
            <w:tcW w:w="1915" w:type="dxa"/>
          </w:tcPr>
          <w:p w:rsidR="002B376E" w:rsidRPr="002B376E" w:rsidRDefault="002B376E" w:rsidP="00C25C1F">
            <w:pPr>
              <w:ind w:firstLine="0"/>
            </w:pPr>
            <w:r w:rsidRPr="002B376E">
              <w:t>God’s act:</w:t>
            </w:r>
          </w:p>
        </w:tc>
        <w:tc>
          <w:tcPr>
            <w:tcW w:w="1915" w:type="dxa"/>
          </w:tcPr>
          <w:p w:rsidR="002B376E" w:rsidRPr="002B376E" w:rsidRDefault="002B376E" w:rsidP="00C25C1F">
            <w:pPr>
              <w:ind w:firstLine="0"/>
            </w:pPr>
            <w:r w:rsidRPr="002B376E">
              <w:t> </w:t>
            </w:r>
          </w:p>
        </w:tc>
        <w:tc>
          <w:tcPr>
            <w:tcW w:w="1915" w:type="dxa"/>
          </w:tcPr>
          <w:p w:rsidR="002B376E" w:rsidRPr="002B376E" w:rsidRDefault="002B376E" w:rsidP="00C25C1F">
            <w:pPr>
              <w:ind w:firstLine="0"/>
            </w:pPr>
            <w:r w:rsidRPr="002B376E">
              <w:t> </w:t>
            </w:r>
          </w:p>
        </w:tc>
        <w:tc>
          <w:tcPr>
            <w:tcW w:w="1915" w:type="dxa"/>
          </w:tcPr>
          <w:p w:rsidR="002B376E" w:rsidRPr="002B376E" w:rsidRDefault="002B376E" w:rsidP="00C25C1F">
            <w:pPr>
              <w:ind w:firstLine="0"/>
            </w:pPr>
            <w:r w:rsidRPr="002B376E">
              <w:t> </w:t>
            </w:r>
          </w:p>
        </w:tc>
        <w:tc>
          <w:tcPr>
            <w:tcW w:w="1915" w:type="dxa"/>
          </w:tcPr>
          <w:p w:rsidR="002B376E" w:rsidRPr="002B376E" w:rsidRDefault="002B376E" w:rsidP="00C25C1F">
            <w:pPr>
              <w:ind w:hanging="10"/>
            </w:pPr>
            <w:r w:rsidRPr="002B376E">
              <w:t> </w:t>
            </w:r>
          </w:p>
        </w:tc>
      </w:tr>
      <w:tr w:rsidR="002B376E" w:rsidRPr="002B376E" w:rsidTr="002B376E">
        <w:tc>
          <w:tcPr>
            <w:tcW w:w="1915" w:type="dxa"/>
          </w:tcPr>
          <w:p w:rsidR="002B376E" w:rsidRPr="002B376E" w:rsidRDefault="002B376E" w:rsidP="00C25C1F">
            <w:pPr>
              <w:ind w:firstLine="0"/>
            </w:pPr>
            <w:r w:rsidRPr="002B376E">
              <w:t>(a) judgment</w:t>
            </w:r>
          </w:p>
        </w:tc>
        <w:tc>
          <w:tcPr>
            <w:tcW w:w="1915" w:type="dxa"/>
          </w:tcPr>
          <w:p w:rsidR="002B376E" w:rsidRPr="002B376E" w:rsidRDefault="002B376E" w:rsidP="00C25C1F">
            <w:pPr>
              <w:ind w:firstLine="0"/>
            </w:pPr>
            <w:r w:rsidRPr="002B376E">
              <w:t>beast killed</w:t>
            </w:r>
          </w:p>
        </w:tc>
        <w:tc>
          <w:tcPr>
            <w:tcW w:w="1915" w:type="dxa"/>
          </w:tcPr>
          <w:p w:rsidR="002B376E" w:rsidRPr="002B376E" w:rsidRDefault="002B376E" w:rsidP="00C25C1F">
            <w:pPr>
              <w:ind w:firstLine="0"/>
            </w:pPr>
            <w:r w:rsidRPr="002B376E">
              <w:t>last king broken</w:t>
            </w:r>
          </w:p>
        </w:tc>
        <w:tc>
          <w:tcPr>
            <w:tcW w:w="1915" w:type="dxa"/>
          </w:tcPr>
          <w:p w:rsidR="002B376E" w:rsidRPr="002B376E" w:rsidRDefault="002B376E" w:rsidP="00C25C1F">
            <w:pPr>
              <w:ind w:firstLine="0"/>
            </w:pPr>
            <w:r w:rsidRPr="002B376E">
              <w:t> </w:t>
            </w:r>
          </w:p>
        </w:tc>
        <w:tc>
          <w:tcPr>
            <w:tcW w:w="1915" w:type="dxa"/>
          </w:tcPr>
          <w:p w:rsidR="002B376E" w:rsidRPr="002B376E" w:rsidRDefault="002B376E" w:rsidP="00C25C1F">
            <w:pPr>
              <w:ind w:hanging="10"/>
            </w:pPr>
            <w:r w:rsidRPr="002B376E">
              <w:t>northern king dies</w:t>
            </w:r>
          </w:p>
        </w:tc>
      </w:tr>
      <w:tr w:rsidR="004B7BDD" w:rsidRPr="002B376E" w:rsidTr="002B376E">
        <w:tc>
          <w:tcPr>
            <w:tcW w:w="1915" w:type="dxa"/>
          </w:tcPr>
          <w:p w:rsidR="004B7BDD" w:rsidRPr="002B376E" w:rsidRDefault="004B7BDD" w:rsidP="00E91769">
            <w:pPr>
              <w:ind w:firstLine="0"/>
            </w:pPr>
            <w:r w:rsidRPr="002B376E">
              <w:t>(b) restoration</w:t>
            </w:r>
          </w:p>
        </w:tc>
        <w:tc>
          <w:tcPr>
            <w:tcW w:w="1915" w:type="dxa"/>
          </w:tcPr>
          <w:p w:rsidR="004B7BDD" w:rsidRPr="002B376E" w:rsidRDefault="004B7BDD" w:rsidP="00E91769">
            <w:pPr>
              <w:ind w:firstLine="0"/>
            </w:pPr>
            <w:r>
              <w:t>new kingship</w:t>
            </w:r>
          </w:p>
        </w:tc>
        <w:tc>
          <w:tcPr>
            <w:tcW w:w="1915" w:type="dxa"/>
          </w:tcPr>
          <w:p w:rsidR="004B7BDD" w:rsidRPr="002B376E" w:rsidRDefault="004B7BDD" w:rsidP="00E91769">
            <w:pPr>
              <w:ind w:firstLine="0"/>
            </w:pPr>
            <w:r>
              <w:t>temple vindicated</w:t>
            </w:r>
          </w:p>
        </w:tc>
        <w:tc>
          <w:tcPr>
            <w:tcW w:w="1915" w:type="dxa"/>
          </w:tcPr>
          <w:p w:rsidR="004B7BDD" w:rsidRPr="002B376E" w:rsidRDefault="004B7BDD" w:rsidP="00E91769">
            <w:pPr>
              <w:ind w:firstLine="0"/>
            </w:pPr>
            <w:r w:rsidRPr="002B376E">
              <w:t> </w:t>
            </w:r>
          </w:p>
        </w:tc>
        <w:tc>
          <w:tcPr>
            <w:tcW w:w="1915" w:type="dxa"/>
          </w:tcPr>
          <w:p w:rsidR="004B7BDD" w:rsidRPr="002B376E" w:rsidRDefault="004B7BDD" w:rsidP="00E91769">
            <w:pPr>
              <w:ind w:hanging="10"/>
            </w:pPr>
            <w:r w:rsidRPr="002B376E">
              <w:t>faithful delivered</w:t>
            </w:r>
          </w:p>
        </w:tc>
      </w:tr>
      <w:tr w:rsidR="004B7BDD" w:rsidRPr="002B376E" w:rsidTr="002B376E">
        <w:tc>
          <w:tcPr>
            <w:tcW w:w="1915" w:type="dxa"/>
          </w:tcPr>
          <w:p w:rsidR="004B7BDD" w:rsidRDefault="004B7BDD" w:rsidP="00C25C1F">
            <w:pPr>
              <w:ind w:firstLine="0"/>
            </w:pPr>
          </w:p>
          <w:p w:rsidR="00887E25" w:rsidRPr="002B376E" w:rsidRDefault="00887E25" w:rsidP="00C25C1F">
            <w:pPr>
              <w:ind w:firstLine="0"/>
            </w:pPr>
          </w:p>
        </w:tc>
        <w:tc>
          <w:tcPr>
            <w:tcW w:w="1915" w:type="dxa"/>
          </w:tcPr>
          <w:p w:rsidR="004B7BDD" w:rsidRPr="002B376E" w:rsidRDefault="004B7BDD" w:rsidP="00C25C1F">
            <w:pPr>
              <w:ind w:firstLine="0"/>
            </w:pPr>
          </w:p>
        </w:tc>
        <w:tc>
          <w:tcPr>
            <w:tcW w:w="1915" w:type="dxa"/>
          </w:tcPr>
          <w:p w:rsidR="004B7BDD" w:rsidRPr="002B376E" w:rsidRDefault="004B7BDD" w:rsidP="00C25C1F">
            <w:pPr>
              <w:ind w:firstLine="0"/>
            </w:pPr>
          </w:p>
        </w:tc>
        <w:tc>
          <w:tcPr>
            <w:tcW w:w="1915" w:type="dxa"/>
          </w:tcPr>
          <w:p w:rsidR="004B7BDD" w:rsidRPr="002B376E" w:rsidRDefault="004B7BDD" w:rsidP="00C25C1F">
            <w:pPr>
              <w:ind w:firstLine="0"/>
            </w:pPr>
          </w:p>
        </w:tc>
        <w:tc>
          <w:tcPr>
            <w:tcW w:w="1915" w:type="dxa"/>
          </w:tcPr>
          <w:p w:rsidR="004B7BDD" w:rsidRPr="002B376E" w:rsidRDefault="004B7BDD" w:rsidP="00C25C1F">
            <w:pPr>
              <w:ind w:hanging="10"/>
            </w:pPr>
          </w:p>
        </w:tc>
      </w:tr>
    </w:tbl>
    <w:p w:rsidR="00887E25" w:rsidRDefault="00887E25" w:rsidP="00887E25">
      <w:r>
        <w:t xml:space="preserve">Yet the book’s chiastic structure also suggests that it goes nowhere. There is more </w:t>
      </w:r>
      <w:r w:rsidRPr="00D0288E">
        <w:rPr>
          <w:i/>
        </w:rPr>
        <w:t>Sturm und Drang</w:t>
      </w:r>
      <w:r w:rsidR="00960230" w:rsidRPr="00D0288E">
        <w:rPr>
          <w:i/>
        </w:rPr>
        <w:t xml:space="preserve"> </w:t>
      </w:r>
      <w:r w:rsidR="00960230">
        <w:t>about chap. 7</w:t>
      </w:r>
      <w:r w:rsidR="00274278">
        <w:rPr>
          <w:rStyle w:val="FootnoteReference"/>
        </w:rPr>
        <w:footnoteReference w:id="871"/>
      </w:r>
      <w:r w:rsidR="00960230">
        <w:t xml:space="preserve"> but neither it nor the chapters that follow go much beyond chap. 2. The</w:t>
      </w:r>
      <w:r w:rsidR="00D0288E">
        <w:t xml:space="preserve"> sequence of visions in Daniel d</w:t>
      </w:r>
      <w:r w:rsidR="00960230">
        <w:t>o not “solve” the problem the book sets itself; in the manner of narrative, they rather explore it.</w:t>
      </w:r>
      <w:r w:rsidR="00960230">
        <w:rPr>
          <w:rStyle w:val="FootnoteReference"/>
        </w:rPr>
        <w:footnoteReference w:id="872"/>
      </w:r>
    </w:p>
    <w:p w:rsidR="002B376E" w:rsidRPr="002B376E" w:rsidRDefault="002B376E" w:rsidP="00C25C1F">
      <w:pPr>
        <w:pStyle w:val="Heading2"/>
      </w:pPr>
      <w:r w:rsidRPr="002B376E">
        <w:t>The Book’s Origin</w:t>
      </w:r>
    </w:p>
    <w:p w:rsidR="002B376E" w:rsidRPr="002B376E" w:rsidRDefault="002B376E" w:rsidP="002B376E">
      <w:r w:rsidRPr="002B376E">
        <w:t xml:space="preserve">The </w:t>
      </w:r>
      <w:r w:rsidR="00F2461B">
        <w:t>two halves of the book</w:t>
      </w:r>
      <w:r w:rsidRPr="002B376E">
        <w:t xml:space="preserve"> offer contrary indi</w:t>
      </w:r>
      <w:r w:rsidR="0097171A">
        <w:t>cators regarding their origin. Individually, at least, t</w:t>
      </w:r>
      <w:r w:rsidRPr="002B376E">
        <w:t xml:space="preserve">he stories suggest a setting in the eastern dispersion in the Persian period where there are specific pressures on Jewish faith but </w:t>
      </w:r>
      <w:r w:rsidR="00F2461B">
        <w:t xml:space="preserve">there is the possibility </w:t>
      </w:r>
      <w:r w:rsidRPr="002B376E">
        <w:t xml:space="preserve">not only </w:t>
      </w:r>
      <w:r w:rsidR="00F2461B">
        <w:t xml:space="preserve">of </w:t>
      </w:r>
      <w:r w:rsidRPr="002B376E">
        <w:t xml:space="preserve">survival but </w:t>
      </w:r>
      <w:r w:rsidR="00F2461B">
        <w:t>of success</w:t>
      </w:r>
      <w:r w:rsidRPr="002B376E">
        <w:t>.</w:t>
      </w:r>
      <w:r w:rsidR="00F2461B">
        <w:rPr>
          <w:rStyle w:val="FootnoteReference"/>
        </w:rPr>
        <w:footnoteReference w:id="873"/>
      </w:r>
      <w:r w:rsidRPr="002B376E">
        <w:t xml:space="preserve"> The visions presuppose a settin</w:t>
      </w:r>
      <w:r w:rsidR="00D0288E">
        <w:t xml:space="preserve">g in Jerusalem in the 160s </w:t>
      </w:r>
      <w:r w:rsidRPr="002B376E">
        <w:t xml:space="preserve">where power lies in the hands of constitutionally hostile gentile authorities and a compliant Jewish leadership that has cooperated with the subversion and </w:t>
      </w:r>
      <w:r w:rsidRPr="002B376E">
        <w:lastRenderedPageBreak/>
        <w:t>outlawing of traditional Jewish faith.</w:t>
      </w:r>
      <w:r w:rsidR="00404126">
        <w:rPr>
          <w:rStyle w:val="FootnoteReference"/>
        </w:rPr>
        <w:footnoteReference w:id="874"/>
      </w:r>
      <w:r w:rsidRPr="002B376E">
        <w:t xml:space="preserve"> It is natural to ask whether the visions</w:t>
      </w:r>
      <w:r w:rsidR="00F2461B">
        <w:t xml:space="preserve"> </w:t>
      </w:r>
      <w:r w:rsidR="00D0288E">
        <w:t xml:space="preserve">in chaps. 7—12 </w:t>
      </w:r>
      <w:r w:rsidR="00F2461B">
        <w:t>have a pre-second-century history, and</w:t>
      </w:r>
      <w:r w:rsidRPr="002B376E">
        <w:t xml:space="preserve"> indication of this has been found in chap. 7 and el</w:t>
      </w:r>
      <w:r w:rsidR="00F2461B">
        <w:t xml:space="preserve">sewhere, but </w:t>
      </w:r>
      <w:r w:rsidRPr="002B376E">
        <w:t>the arguments for identifying earlier strata are not compelling.</w:t>
      </w:r>
    </w:p>
    <w:p w:rsidR="002B376E" w:rsidRPr="002B376E" w:rsidRDefault="002B376E" w:rsidP="002B376E">
      <w:r w:rsidRPr="002B376E">
        <w:t xml:space="preserve">It is natural to ask conversely whether </w:t>
      </w:r>
      <w:r w:rsidR="00F2461B">
        <w:t xml:space="preserve">the stories were </w:t>
      </w:r>
      <w:r w:rsidRPr="002B376E">
        <w:t>composed in a similar period to the visions</w:t>
      </w:r>
      <w:r w:rsidR="00F2461B">
        <w:t xml:space="preserve">, </w:t>
      </w:r>
      <w:r w:rsidR="00F2461B" w:rsidRPr="00F2461B">
        <w:t>despite appearances</w:t>
      </w:r>
      <w:r w:rsidR="00F2461B">
        <w:t>,</w:t>
      </w:r>
      <w:r w:rsidRPr="002B376E">
        <w:t xml:space="preserve"> or were edited th</w:t>
      </w:r>
      <w:r w:rsidR="00F2461B">
        <w:t>en.</w:t>
      </w:r>
      <w:r w:rsidR="00B13603">
        <w:rPr>
          <w:rStyle w:val="FootnoteReference"/>
        </w:rPr>
        <w:footnoteReference w:id="875"/>
      </w:r>
      <w:r w:rsidR="00F2461B">
        <w:t xml:space="preserve"> Specific indication </w:t>
      </w:r>
      <w:r w:rsidRPr="002B376E">
        <w:t>has been found in 2:41–43, but interma</w:t>
      </w:r>
      <w:r w:rsidR="00F2461B">
        <w:t xml:space="preserve">rriage was a common phenomenon and </w:t>
      </w:r>
      <w:r w:rsidRPr="002B376E">
        <w:t>we cannot infer that these verses refer to a particular instance. The chiasm formed by chaps. 2–7 presumably came into existence in the second cen</w:t>
      </w:r>
      <w:r w:rsidR="00F2461B">
        <w:t>tury and a</w:t>
      </w:r>
      <w:r w:rsidRPr="002B376E">
        <w:t>spec</w:t>
      </w:r>
      <w:r w:rsidR="00F2461B">
        <w:t xml:space="preserve">ts of the stories would be </w:t>
      </w:r>
      <w:r w:rsidRPr="002B376E">
        <w:t>rel</w:t>
      </w:r>
      <w:r w:rsidR="00F2461B">
        <w:t>evant in that context, but they</w:t>
      </w:r>
      <w:r w:rsidRPr="002B376E">
        <w:t xml:space="preserve"> would not have come in</w:t>
      </w:r>
      <w:r w:rsidR="00F2461B">
        <w:t>to existence in this form then</w:t>
      </w:r>
      <w:r w:rsidRPr="002B376E">
        <w:t>.</w:t>
      </w:r>
      <w:r w:rsidR="00F2461B">
        <w:rPr>
          <w:rStyle w:val="FootnoteReference"/>
        </w:rPr>
        <w:footnoteReference w:id="876"/>
      </w:r>
      <w:r w:rsidRPr="002B376E">
        <w:t xml:space="preserve"> Th</w:t>
      </w:r>
      <w:r w:rsidR="00F2461B">
        <w:t xml:space="preserve">e geographically and contextually separate background of the stories and the visions </w:t>
      </w:r>
      <w:r w:rsidR="00D0288E">
        <w:t xml:space="preserve">in chaps. 7—12 </w:t>
      </w:r>
      <w:r w:rsidR="00F2461B">
        <w:t xml:space="preserve">does not </w:t>
      </w:r>
      <w:r w:rsidRPr="002B376E">
        <w:t>im</w:t>
      </w:r>
      <w:r w:rsidR="00F2461B">
        <w:t>ply that they</w:t>
      </w:r>
      <w:r w:rsidRPr="002B376E">
        <w:t xml:space="preserve"> were produced independently of each ot</w:t>
      </w:r>
      <w:r w:rsidR="003F28D2">
        <w:t>her and</w:t>
      </w:r>
      <w:r w:rsidR="00F2461B">
        <w:t xml:space="preserve"> were then</w:t>
      </w:r>
      <w:r w:rsidR="003F28D2">
        <w:t xml:space="preserve"> later combined</w:t>
      </w:r>
      <w:r w:rsidRPr="002B376E">
        <w:t>.</w:t>
      </w:r>
      <w:r w:rsidR="003F28D2" w:rsidRPr="003F28D2">
        <w:rPr>
          <w:vertAlign w:val="superscript"/>
        </w:rPr>
        <w:footnoteReference w:id="877"/>
      </w:r>
      <w:r w:rsidR="00945C8C">
        <w:t xml:space="preserve"> </w:t>
      </w:r>
      <w:r w:rsidRPr="002B376E">
        <w:t>The stories contribute important features to the visions, such as the person of Daniel himself and thus the feature of pseudonymity, the four empires, and the characterization of Babylon as a lion. The visions were written in the light of the stories: they have been seen as a pesher or actualization of earlier Aramaic mate</w:t>
      </w:r>
      <w:r w:rsidR="00D0288E">
        <w:t>rial now appearing in</w:t>
      </w:r>
      <w:r w:rsidR="00F2461B">
        <w:t xml:space="preserve"> chaps. 2–7</w:t>
      </w:r>
      <w:r w:rsidRPr="002B376E">
        <w:t>.</w:t>
      </w:r>
      <w:r w:rsidR="00F2461B">
        <w:rPr>
          <w:rStyle w:val="FootnoteReference"/>
        </w:rPr>
        <w:footnoteReference w:id="878"/>
      </w:r>
    </w:p>
    <w:p w:rsidR="002B376E" w:rsidRPr="002B376E" w:rsidRDefault="002B376E" w:rsidP="002B376E">
      <w:r w:rsidRPr="002B376E">
        <w:t xml:space="preserve">Can we go behind the story cycle as we know it? </w:t>
      </w:r>
      <w:r w:rsidR="00E91769">
        <w:t xml:space="preserve">There have been various </w:t>
      </w:r>
      <w:r w:rsidRPr="002B376E">
        <w:t>attempts</w:t>
      </w:r>
      <w:r w:rsidR="00E91769">
        <w:t xml:space="preserve"> to trace the process where the story sequence developed, especially in connection with extra-biblical material relating to Nabonidus</w:t>
      </w:r>
      <w:r w:rsidR="00E91769">
        <w:rPr>
          <w:rStyle w:val="FootnoteReference"/>
        </w:rPr>
        <w:footnoteReference w:id="879"/>
      </w:r>
      <w:r w:rsidR="00E91769">
        <w:t xml:space="preserve"> but it is impossible to have any conviction about one reconstruction rather than another. In</w:t>
      </w:r>
      <w:r w:rsidRPr="002B376E">
        <w:t xml:space="preserve"> the v</w:t>
      </w:r>
      <w:r w:rsidR="00E91769">
        <w:t xml:space="preserve">ision cycle, </w:t>
      </w:r>
      <w:r w:rsidRPr="002B376E">
        <w:t>the chapters are chro</w:t>
      </w:r>
      <w:r w:rsidR="00E91769">
        <w:t>nologically sequential, and</w:t>
      </w:r>
      <w:r w:rsidRPr="002B376E">
        <w:t xml:space="preserve"> as well as deriving features from the stories, each refers back to one o</w:t>
      </w:r>
      <w:r w:rsidR="00E91769">
        <w:t>r more of its predecessors. The visions</w:t>
      </w:r>
      <w:r w:rsidRPr="002B376E">
        <w:t xml:space="preserve"> manifest a generally consistent viewpoint, though this </w:t>
      </w:r>
      <w:r w:rsidR="00E91769">
        <w:t xml:space="preserve">consistency </w:t>
      </w:r>
      <w:r w:rsidRPr="002B376E">
        <w:t xml:space="preserve">need not suggest common authorship, </w:t>
      </w:r>
      <w:r w:rsidR="00E91769">
        <w:t>which can be</w:t>
      </w:r>
      <w:r w:rsidRPr="002B376E">
        <w:t xml:space="preserve"> contested on stylistic grounds.</w:t>
      </w:r>
      <w:r w:rsidR="00E91769">
        <w:rPr>
          <w:rStyle w:val="FootnoteReference"/>
        </w:rPr>
        <w:footnoteReference w:id="880"/>
      </w:r>
      <w:r w:rsidRPr="002B376E">
        <w:t xml:space="preserve"> Diversit</w:t>
      </w:r>
      <w:r w:rsidR="00E91769">
        <w:t>y of authorship might be one reason</w:t>
      </w:r>
      <w:r w:rsidRPr="002B376E">
        <w:t xml:space="preserve"> for diversity of language</w:t>
      </w:r>
      <w:r w:rsidR="00E91769">
        <w:t xml:space="preserve"> in the book</w:t>
      </w:r>
      <w:r w:rsidRPr="002B376E">
        <w:t>; perhaps Hebrew-writing authors added chaps. 8, 9, and 10–12 to the Aramaic chiasm.</w:t>
      </w:r>
      <w:r w:rsidR="00E91769">
        <w:rPr>
          <w:rStyle w:val="FootnoteReference"/>
        </w:rPr>
        <w:footnoteReference w:id="881"/>
      </w:r>
      <w:r w:rsidRPr="002B376E">
        <w:t xml:space="preserve"> </w:t>
      </w:r>
      <w:r w:rsidR="00EF0B7D">
        <w:t>They might</w:t>
      </w:r>
      <w:r w:rsidRPr="002B376E">
        <w:t xml:space="preserve"> also have been responsible for chap. 1</w:t>
      </w:r>
      <w:r w:rsidR="00EF0B7D">
        <w:t xml:space="preserve"> (</w:t>
      </w:r>
      <w:r w:rsidR="00EF0B7D" w:rsidRPr="00EF0B7D">
        <w:t>though in their period one might have expected an introduction that was less friendly to foreign powers</w:t>
      </w:r>
      <w:r w:rsidR="00EF0B7D">
        <w:t>);</w:t>
      </w:r>
      <w:r w:rsidR="00EF0B7D" w:rsidRPr="00EF0B7D">
        <w:rPr>
          <w:vertAlign w:val="superscript"/>
        </w:rPr>
        <w:footnoteReference w:id="882"/>
      </w:r>
      <w:r w:rsidR="00EF0B7D">
        <w:t xml:space="preserve"> a</w:t>
      </w:r>
      <w:r w:rsidRPr="002B376E">
        <w:t xml:space="preserve">s well as introducing the chapters that make up the chiasm, it is also Hebrew, and </w:t>
      </w:r>
      <w:r w:rsidR="00EF0B7D">
        <w:t xml:space="preserve">it </w:t>
      </w:r>
      <w:r w:rsidRPr="002B376E">
        <w:t>has in common with chaps. 10–12 the term “discerning,” the visionaries’ self-designation, and a number of linguistic parallels with Gen 41.</w:t>
      </w:r>
    </w:p>
    <w:p w:rsidR="002B376E" w:rsidRDefault="002B376E" w:rsidP="002B376E">
      <w:r w:rsidRPr="002B376E">
        <w:t>We have no dir</w:t>
      </w:r>
      <w:r w:rsidR="00847BF3">
        <w:t xml:space="preserve">ect information concerning the </w:t>
      </w:r>
      <w:r w:rsidRPr="002B376E">
        <w:t xml:space="preserve">circles </w:t>
      </w:r>
      <w:r w:rsidR="00847BF3">
        <w:t xml:space="preserve">that </w:t>
      </w:r>
      <w:r w:rsidRPr="002B376E">
        <w:t>might have generated these stories and visions. What follows is conjecture based on the unproved assumption that the information may lie between the lines of the work itself.</w:t>
      </w:r>
    </w:p>
    <w:p w:rsidR="002B376E" w:rsidRDefault="002B376E" w:rsidP="002B376E">
      <w:r w:rsidRPr="002B376E">
        <w:lastRenderedPageBreak/>
        <w:t xml:space="preserve">The stories concern life at court in the dispersion and </w:t>
      </w:r>
      <w:r w:rsidR="0001614B">
        <w:t>they speak most obviously</w:t>
      </w:r>
      <w:r w:rsidRPr="002B376E">
        <w:t xml:space="preserve"> to Jews with leadership positions there. They presuppose a situation in which Jews can do well in dispersion</w:t>
      </w:r>
      <w:r w:rsidR="00847BF3">
        <w:t>.</w:t>
      </w:r>
      <w:r w:rsidR="00847BF3">
        <w:rPr>
          <w:rStyle w:val="FootnoteReference"/>
        </w:rPr>
        <w:footnoteReference w:id="883"/>
      </w:r>
      <w:r w:rsidR="00945C8C">
        <w:t xml:space="preserve"> </w:t>
      </w:r>
      <w:r w:rsidRPr="002B376E">
        <w:t>A suspic</w:t>
      </w:r>
      <w:r w:rsidR="00652CDD">
        <w:t>ious hermeneutic might view the stories</w:t>
      </w:r>
      <w:r w:rsidRPr="002B376E">
        <w:t xml:space="preserve"> as an upperclass text designed to justify the authors’ collaboration in exile. But they are stories of a popular kind and </w:t>
      </w:r>
      <w:r w:rsidR="0001614B">
        <w:t xml:space="preserve">they </w:t>
      </w:r>
      <w:r w:rsidRPr="002B376E">
        <w:t>may be designed to speak to Jews as an ethnic and religious minority more generally, the implicit argument being that if people like Daniel and his friends in their positions remained faithful and proved the faithfulness of God, ordinary people can do so too.</w:t>
      </w:r>
      <w:r w:rsidR="00C13951">
        <w:t xml:space="preserve"> In the structure of the book, however, chap. 7 belongs integrally with the stories in chap. 2—6. While the individual stories may have a background in the eastern dispersion, then, as an arranged sequence they belong in the second century, and there is no indication that they were collected as a sequence before that time.</w:t>
      </w:r>
      <w:r w:rsidR="00C13951">
        <w:rPr>
          <w:rStyle w:val="FootnoteReference"/>
        </w:rPr>
        <w:footnoteReference w:id="884"/>
      </w:r>
    </w:p>
    <w:p w:rsidR="002B376E" w:rsidRDefault="009C68D2" w:rsidP="002B376E">
      <w:r>
        <w:t xml:space="preserve">The visions presuppose a </w:t>
      </w:r>
      <w:r w:rsidR="002B376E" w:rsidRPr="002B376E">
        <w:t xml:space="preserve">different </w:t>
      </w:r>
      <w:r>
        <w:t>audience, in second-century</w:t>
      </w:r>
      <w:r w:rsidR="002B376E" w:rsidRPr="002B376E">
        <w:t xml:space="preserve"> Jerusalem. </w:t>
      </w:r>
      <w:r w:rsidR="00163DBF" w:rsidRPr="00163DBF">
        <w:t>The</w:t>
      </w:r>
      <w:r w:rsidR="00163DBF">
        <w:t xml:space="preserve">ir authors </w:t>
      </w:r>
      <w:r w:rsidR="00163DBF" w:rsidRPr="00163DBF">
        <w:t>might also be people involved in the administration, but it is now the Seleucid administration in Jerusalem, an involvement which would explain their extensive knowledge of political affairs and the angle of their apparent sympathy.</w:t>
      </w:r>
      <w:r w:rsidR="00163DBF" w:rsidRPr="00163DBF">
        <w:rPr>
          <w:vertAlign w:val="superscript"/>
        </w:rPr>
        <w:footnoteReference w:id="885"/>
      </w:r>
      <w:r w:rsidR="00163DBF" w:rsidRPr="00163DBF">
        <w:t xml:space="preserve"> </w:t>
      </w:r>
      <w:r w:rsidR="00163DBF">
        <w:t>And i</w:t>
      </w:r>
      <w:r w:rsidR="002B376E" w:rsidRPr="002B376E">
        <w:t>n themselves neither apocalypse as a form nor apocalypticism as a phenomenon need suggest a situation of persecution or alienation; the one can exist without the other, in the ancient and in the modern</w:t>
      </w:r>
      <w:r w:rsidR="00163DBF">
        <w:t xml:space="preserve"> world</w:t>
      </w:r>
      <w:r w:rsidR="002B376E" w:rsidRPr="002B376E">
        <w:t>.</w:t>
      </w:r>
      <w:r w:rsidR="00163DBF">
        <w:rPr>
          <w:rStyle w:val="FootnoteReference"/>
        </w:rPr>
        <w:footnoteReference w:id="886"/>
      </w:r>
      <w:r w:rsidR="00945C8C">
        <w:t xml:space="preserve"> </w:t>
      </w:r>
      <w:r w:rsidR="00163DBF">
        <w:t>But in these visions,</w:t>
      </w:r>
      <w:r w:rsidR="002B376E" w:rsidRPr="002B376E">
        <w:t xml:space="preserve"> authors and audience seem to be people who feel ousted</w:t>
      </w:r>
      <w:r w:rsidR="00163DBF">
        <w:t xml:space="preserve"> from power in their </w:t>
      </w:r>
      <w:r w:rsidR="002B376E" w:rsidRPr="002B376E">
        <w:t xml:space="preserve">community, which is divided into people who support the foreign government and people who oppose it. They are persecuted by these foreign overlords and puzzled at their God’s failure to act in response to attacks on his sphere—his </w:t>
      </w:r>
      <w:r w:rsidR="00163DBF">
        <w:t>sanctuary</w:t>
      </w:r>
      <w:r w:rsidR="002B376E" w:rsidRPr="002B376E">
        <w:t>, its priesthood, its worship, its people. They are people who attach part</w:t>
      </w:r>
      <w:r w:rsidR="00163DBF">
        <w:t>icular importance to</w:t>
      </w:r>
      <w:r w:rsidR="002B376E" w:rsidRPr="002B376E">
        <w:t xml:space="preserve"> matters</w:t>
      </w:r>
      <w:r w:rsidR="00163DBF">
        <w:t xml:space="preserve"> of worship; the authors could belong</w:t>
      </w:r>
      <w:r w:rsidR="002B376E" w:rsidRPr="002B376E">
        <w:t xml:space="preserve"> to priestly circles, though their concern abo</w:t>
      </w:r>
      <w:r w:rsidR="00163DBF">
        <w:t xml:space="preserve">ut the temple need not imply it. They feel themselves </w:t>
      </w:r>
      <w:r w:rsidR="002B376E" w:rsidRPr="002B376E">
        <w:t>distinguishable from the more liberal Judaism of people prepared to cooperate with and share some of the ways of the Helleni</w:t>
      </w:r>
      <w:r w:rsidR="00163DBF">
        <w:t>stic imperial authorities, though the visions</w:t>
      </w:r>
      <w:r w:rsidR="002B376E" w:rsidRPr="002B376E">
        <w:t xml:space="preserve"> suggests no polemic against Hellenistic culture or lifestyle as such.</w:t>
      </w:r>
    </w:p>
    <w:p w:rsidR="00562071" w:rsidRDefault="002B376E" w:rsidP="002B376E">
      <w:r w:rsidRPr="002B376E">
        <w:t xml:space="preserve">If the authors appear </w:t>
      </w:r>
      <w:r w:rsidR="009C68D2">
        <w:t>in the book, they might be</w:t>
      </w:r>
      <w:r w:rsidRPr="002B376E">
        <w:t xml:space="preserve"> the “discerning” of 11:33–35—and of 1:4, where they stand behind the figures of Daniel and his friends. They see themselves as called to a ministry of teaching and encouragement among the people </w:t>
      </w:r>
      <w:r w:rsidR="00163DBF">
        <w:t xml:space="preserve">who are </w:t>
      </w:r>
      <w:r w:rsidRPr="002B376E">
        <w:t xml:space="preserve">inclined to faithfulness but </w:t>
      </w:r>
      <w:r w:rsidR="00163DBF">
        <w:t xml:space="preserve">are </w:t>
      </w:r>
      <w:r w:rsidRPr="002B376E">
        <w:t xml:space="preserve">pressed to apostatize. Although the visions are less </w:t>
      </w:r>
      <w:r w:rsidR="00163DBF">
        <w:t>“</w:t>
      </w:r>
      <w:r w:rsidRPr="002B376E">
        <w:t>popular,</w:t>
      </w:r>
      <w:r w:rsidR="00163DBF">
        <w:t>”</w:t>
      </w:r>
      <w:r w:rsidRPr="002B376E">
        <w:t xml:space="preserve"> more lear</w:t>
      </w:r>
      <w:r w:rsidR="00163DBF">
        <w:t>ned works than the stories, in their case</w:t>
      </w:r>
      <w:r w:rsidRPr="002B376E">
        <w:t>, too, it would be unwise to infer that the</w:t>
      </w:r>
      <w:r w:rsidR="00163DBF">
        <w:t>y were expected to interest only “learned”</w:t>
      </w:r>
      <w:r w:rsidRPr="002B376E">
        <w:t xml:space="preserve"> circles</w:t>
      </w:r>
      <w:r w:rsidR="00163DBF">
        <w:t>; again it is not so in the modern world. M</w:t>
      </w:r>
      <w:r w:rsidRPr="002B376E">
        <w:t>ore likely the vis</w:t>
      </w:r>
      <w:r w:rsidR="00163DBF">
        <w:t>ions, too, were intended for all</w:t>
      </w:r>
      <w:r w:rsidRPr="002B376E">
        <w:t xml:space="preserve"> </w:t>
      </w:r>
      <w:r w:rsidR="00163DBF">
        <w:t xml:space="preserve">the faithful </w:t>
      </w:r>
      <w:r w:rsidRPr="002B376E">
        <w:t xml:space="preserve">in their time of testing, </w:t>
      </w:r>
      <w:r w:rsidR="007000B4">
        <w:t xml:space="preserve">and were </w:t>
      </w:r>
      <w:r w:rsidRPr="002B376E">
        <w:t>the means of the discerning teachers fulfilling their ministry.</w:t>
      </w:r>
      <w:r w:rsidR="00AE4EBF">
        <w:rPr>
          <w:rStyle w:val="FootnoteReference"/>
        </w:rPr>
        <w:footnoteReference w:id="887"/>
      </w:r>
      <w:r w:rsidRPr="002B376E">
        <w:t xml:space="preserve"> </w:t>
      </w:r>
    </w:p>
    <w:p w:rsidR="003D52D0" w:rsidRPr="002B376E" w:rsidRDefault="002B376E" w:rsidP="002B376E">
      <w:r w:rsidRPr="002B376E">
        <w:t xml:space="preserve">The authors will have belonged to the </w:t>
      </w:r>
      <w:r w:rsidR="00A5406F" w:rsidRPr="00A5406F">
        <w:t>ḥ</w:t>
      </w:r>
      <w:r w:rsidRPr="00A5406F">
        <w:t>asidim</w:t>
      </w:r>
      <w:r w:rsidRPr="002B376E">
        <w:t xml:space="preserve"> if we take that term to denote peo</w:t>
      </w:r>
      <w:r w:rsidR="007000B4">
        <w:t xml:space="preserve">ple </w:t>
      </w:r>
      <w:r w:rsidR="00562071">
        <w:t>“</w:t>
      </w:r>
      <w:r w:rsidR="007000B4">
        <w:t>committed</w:t>
      </w:r>
      <w:r w:rsidR="00562071">
        <w:t>”</w:t>
      </w:r>
      <w:r w:rsidR="007000B4">
        <w:t xml:space="preserve"> to traditional </w:t>
      </w:r>
      <w:r w:rsidR="00BF4EC9">
        <w:t xml:space="preserve">as opposed to reformist </w:t>
      </w:r>
      <w:r w:rsidR="007000B4">
        <w:t>Judaism.</w:t>
      </w:r>
      <w:r w:rsidRPr="002B376E">
        <w:t xml:space="preserve"> </w:t>
      </w:r>
      <w:r w:rsidR="005A1AB3">
        <w:t>But</w:t>
      </w:r>
      <w:r w:rsidR="005A1AB3" w:rsidRPr="005A1AB3">
        <w:t xml:space="preserve"> say</w:t>
      </w:r>
      <w:r w:rsidR="005A1AB3">
        <w:t>ing</w:t>
      </w:r>
      <w:r w:rsidR="005A1AB3" w:rsidRPr="005A1AB3">
        <w:t xml:space="preserve"> that the seer belogs to the ḥasidim is not to say a great deal, since there were several ways of being ḥasidim—illustrated by the </w:t>
      </w:r>
      <w:r w:rsidR="005A1AB3" w:rsidRPr="005A1AB3">
        <w:lastRenderedPageBreak/>
        <w:t>stances embodied in Enoch and in Daniel.</w:t>
      </w:r>
      <w:r w:rsidR="005A1AB3" w:rsidRPr="005A1AB3">
        <w:rPr>
          <w:vertAlign w:val="superscript"/>
        </w:rPr>
        <w:footnoteReference w:id="888"/>
      </w:r>
      <w:r w:rsidR="005A1AB3" w:rsidRPr="005A1AB3">
        <w:t xml:space="preserve"> Formulating a theory about the role of the ḥasidim “stretches the brief passing references… far beyond anything indicated in the text.”</w:t>
      </w:r>
      <w:r w:rsidR="005A1AB3" w:rsidRPr="005A1AB3">
        <w:rPr>
          <w:vertAlign w:val="superscript"/>
        </w:rPr>
        <w:footnoteReference w:id="889"/>
      </w:r>
      <w:r w:rsidR="005A1AB3" w:rsidRPr="005A1AB3">
        <w:t xml:space="preserve"> </w:t>
      </w:r>
      <w:r w:rsidR="005A1AB3" w:rsidRPr="002B376E">
        <w:t xml:space="preserve">While the visions may not oppose </w:t>
      </w:r>
      <w:r w:rsidR="005A1AB3">
        <w:t>a willingness to fight for the right to remain faithful to the Torah</w:t>
      </w:r>
      <w:r w:rsidR="005A1AB3" w:rsidRPr="002B376E">
        <w:t>, the particular calling of the “discerning” is to teach, not to fight</w:t>
      </w:r>
      <w:r w:rsidR="005A1AB3">
        <w:t>.</w:t>
      </w:r>
      <w:r w:rsidR="005A1AB3">
        <w:rPr>
          <w:rStyle w:val="FootnoteReference"/>
        </w:rPr>
        <w:footnoteReference w:id="890"/>
      </w:r>
      <w:r w:rsidR="005A1AB3">
        <w:t xml:space="preserve"> T</w:t>
      </w:r>
      <w:r w:rsidRPr="002B376E">
        <w:t xml:space="preserve">he “discerning” might be connected with circles </w:t>
      </w:r>
      <w:r w:rsidR="007000B4">
        <w:t>that produced other philosophical or speculative wisdom</w:t>
      </w:r>
      <w:r w:rsidRPr="002B376E">
        <w:t xml:space="preserve"> such as the Enoch literature (rather than the Torah-related wisdom of Sirach and the “scribes”). This interest seems to have developed in the dispersion; hence perhaps the linking of dispersion stories and visionary material of this kind, and thus the bringing of the former as well as the latter to Jerusalem.</w:t>
      </w:r>
      <w:r w:rsidR="007000B4">
        <w:rPr>
          <w:rStyle w:val="FootnoteReference"/>
        </w:rPr>
        <w:footnoteReference w:id="891"/>
      </w:r>
      <w:r w:rsidR="005A1AB3">
        <w:t xml:space="preserve"> Formulating a theory about </w:t>
      </w:r>
      <w:r w:rsidR="00BF4EC9">
        <w:t>the “discerning</w:t>
      </w:r>
      <w:r w:rsidR="005A1AB3">
        <w:t xml:space="preserve">,” too, involves much inference. One has to conclude that it </w:t>
      </w:r>
      <w:r w:rsidR="003D52D0">
        <w:t>would be illuminating to identify the social sett</w:t>
      </w:r>
      <w:r w:rsidR="005A1AB3">
        <w:t>ing of Daniel, but that</w:t>
      </w:r>
      <w:r w:rsidR="003D52D0">
        <w:t xml:space="preserve"> the variety of such identifications</w:t>
      </w:r>
      <w:r w:rsidR="003D52D0">
        <w:rPr>
          <w:rStyle w:val="FootnoteReference"/>
        </w:rPr>
        <w:footnoteReference w:id="892"/>
      </w:r>
      <w:r w:rsidR="003D52D0">
        <w:t xml:space="preserve"> </w:t>
      </w:r>
      <w:r w:rsidR="005A1AB3">
        <w:t xml:space="preserve">suggests that </w:t>
      </w:r>
      <w:r w:rsidR="003D52D0">
        <w:t>the paucity of evidence does not enable us to do so.</w:t>
      </w:r>
    </w:p>
    <w:p w:rsidR="002B376E" w:rsidRPr="002B376E" w:rsidRDefault="002B376E" w:rsidP="00C25C1F">
      <w:pPr>
        <w:pStyle w:val="Heading2"/>
      </w:pPr>
      <w:r w:rsidRPr="002B376E">
        <w:t>The Book’s Theological Significance</w:t>
      </w:r>
    </w:p>
    <w:p w:rsidR="002B376E" w:rsidRPr="002B376E" w:rsidRDefault="002B376E" w:rsidP="002B376E">
      <w:r w:rsidRPr="002B376E">
        <w:t>The points of difference—indeed, of tension—between the s</w:t>
      </w:r>
      <w:r w:rsidR="00D767B8">
        <w:t>tories and the visions are a key to recogniz</w:t>
      </w:r>
      <w:r w:rsidRPr="002B376E">
        <w:t xml:space="preserve">ing the theological significance of Daniel as a whole. Readings that begin from one or from the other will suggest different understandings of God’s relationship with the world and our life in it. The significance of the book depends </w:t>
      </w:r>
      <w:r w:rsidR="00D767B8">
        <w:t>on the interaction between them.</w:t>
      </w:r>
      <w:r w:rsidR="00D767B8">
        <w:rPr>
          <w:rStyle w:val="FootnoteReference"/>
        </w:rPr>
        <w:footnoteReference w:id="893"/>
      </w:r>
      <w:r w:rsidR="00B75572">
        <w:t xml:space="preserve"> Perhaps the variety in</w:t>
      </w:r>
      <w:r w:rsidR="00B75572" w:rsidRPr="00B75572">
        <w:t xml:space="preserve"> the book</w:t>
      </w:r>
      <w:r w:rsidR="00B75572">
        <w:t>’s placement in the scriptures is l</w:t>
      </w:r>
      <w:r w:rsidR="00B75572" w:rsidRPr="00B75572">
        <w:t>inked to the diversity within the book.</w:t>
      </w:r>
      <w:r w:rsidR="00B75572">
        <w:rPr>
          <w:rStyle w:val="FootnoteReference"/>
        </w:rPr>
        <w:footnoteReference w:id="894"/>
      </w:r>
    </w:p>
    <w:p w:rsidR="002B376E" w:rsidRDefault="002B376E" w:rsidP="002B376E">
      <w:r w:rsidRPr="006D4AD9">
        <w:rPr>
          <w:b/>
        </w:rPr>
        <w:t xml:space="preserve">(a) The book suggests varying perspectives on God’s relationships with people and </w:t>
      </w:r>
      <w:r w:rsidR="00D767B8" w:rsidRPr="006D4AD9">
        <w:rPr>
          <w:b/>
        </w:rPr>
        <w:t xml:space="preserve">on </w:t>
      </w:r>
      <w:r w:rsidRPr="006D4AD9">
        <w:rPr>
          <w:b/>
        </w:rPr>
        <w:t>his involv</w:t>
      </w:r>
      <w:r w:rsidR="00D767B8" w:rsidRPr="006D4AD9">
        <w:rPr>
          <w:b/>
        </w:rPr>
        <w:t>ement in the world.</w:t>
      </w:r>
      <w:r w:rsidR="00D767B8">
        <w:t xml:space="preserve"> It does so</w:t>
      </w:r>
      <w:r w:rsidRPr="002B376E">
        <w:t xml:space="preserve"> against the background of a consistent portrait of God as powerful, sovereign, and almighty: the special name Yahweh all but disappears in favor of terms that make explicit that he is not merely a peculiarly Jewish god but the God in/of heaven, King/Lord of heaven, God of gods, Lord of Lor</w:t>
      </w:r>
      <w:r w:rsidR="00D767B8">
        <w:t>ds, great God, living God, God On</w:t>
      </w:r>
      <w:r w:rsidR="00960230">
        <w:t xml:space="preserve"> </w:t>
      </w:r>
      <w:r w:rsidRPr="002B376E">
        <w:t xml:space="preserve">High, august, awesome, and fiery. He controls history and can therefore reveal history. Myriads of heavenly aides fulfill and reveal his will in the world. There is no need to infer that this </w:t>
      </w:r>
      <w:r w:rsidR="00D767B8">
        <w:t>loftiness</w:t>
      </w:r>
      <w:r w:rsidR="00D767B8" w:rsidRPr="002B376E">
        <w:t xml:space="preserve"> </w:t>
      </w:r>
      <w:r w:rsidRPr="002B376E">
        <w:t>makes him remote: he is also our God, my God, your God, the God of the covenant, the fathers’ God, one who is compassionate and forgiving.</w:t>
      </w:r>
      <w:r w:rsidR="00960230">
        <w:rPr>
          <w:rStyle w:val="FootnoteReference"/>
        </w:rPr>
        <w:footnoteReference w:id="895"/>
      </w:r>
      <w:r w:rsidRPr="002B376E">
        <w:t xml:space="preserve"> Story and vision portray him as th</w:t>
      </w:r>
      <w:r w:rsidR="00D767B8">
        <w:t xml:space="preserve">e hearer of prayer who is </w:t>
      </w:r>
      <w:r w:rsidRPr="002B376E">
        <w:t xml:space="preserve">accessible to people even in dispersion, and as the personal giver of revelations whose spirit indwells the servant he holds in high regard. While such revelations are transmitted via his heavenly messengers, the faithful are not confined to approaching these messengers: they approach God himself. While the revelations are expressed mysteriously and </w:t>
      </w:r>
      <w:r w:rsidR="00D767B8">
        <w:t xml:space="preserve">are </w:t>
      </w:r>
      <w:r w:rsidRPr="002B376E">
        <w:lastRenderedPageBreak/>
        <w:t>c</w:t>
      </w:r>
      <w:r w:rsidR="00D767B8">
        <w:t>ommunicated pseudonymously, these characteristics carry</w:t>
      </w:r>
      <w:r w:rsidRPr="002B376E">
        <w:t xml:space="preserve"> no implication regarding the remoteness of the God who reveals</w:t>
      </w:r>
      <w:r w:rsidR="00D767B8">
        <w:t xml:space="preserve"> himself to the anonymous seer</w:t>
      </w:r>
      <w:r w:rsidRPr="002B376E">
        <w:t>.</w:t>
      </w:r>
      <w:r w:rsidR="00D767B8">
        <w:rPr>
          <w:rStyle w:val="FootnoteReference"/>
        </w:rPr>
        <w:footnoteReference w:id="896"/>
      </w:r>
    </w:p>
    <w:p w:rsidR="002B376E" w:rsidRPr="002B376E" w:rsidRDefault="002B376E" w:rsidP="002B376E">
      <w:r w:rsidRPr="002B376E">
        <w:t>The difference betwee</w:t>
      </w:r>
      <w:r w:rsidR="00D767B8">
        <w:t>n story and vision relates to God’</w:t>
      </w:r>
      <w:r w:rsidRPr="002B376E">
        <w:t>s acts rather than to his revelations. In the stories he is involved as the God of mercy and grace in the lives of the faithful, in person or through his aides. The God of Daniel is always there when you least expect him—in a stone, in a crematorium oven, on a whitewashed wall</w:t>
      </w:r>
      <w:r w:rsidR="00D767B8">
        <w:t>, in a pit of ferocious beasts</w:t>
      </w:r>
      <w:r w:rsidRPr="002B376E">
        <w:t>.</w:t>
      </w:r>
      <w:r w:rsidR="00D767B8">
        <w:rPr>
          <w:rStyle w:val="FootnoteReference"/>
        </w:rPr>
        <w:footnoteReference w:id="897"/>
      </w:r>
      <w:r w:rsidR="00D767B8">
        <w:t xml:space="preserve"> In the visions</w:t>
      </w:r>
      <w:r w:rsidRPr="002B376E">
        <w:t xml:space="preserve"> his involvement in the present is harder to see. </w:t>
      </w:r>
      <w:r w:rsidR="009D1C4D">
        <w:t>The stories share the prophets’ view of time; they see God’s purpose being realized in history. The visions can only look for God’s definitive intervention at the End.</w:t>
      </w:r>
      <w:r w:rsidR="009D1C4D">
        <w:rPr>
          <w:rStyle w:val="FootnoteReference"/>
        </w:rPr>
        <w:footnoteReference w:id="898"/>
      </w:r>
      <w:r w:rsidR="009D1C4D">
        <w:t xml:space="preserve"> </w:t>
      </w:r>
      <w:r w:rsidRPr="002B376E">
        <w:t>Nevertheless, “it was the same God of the three youths who was the God of the Maccabees. The former escaped fire, the latter were executed by fires; but both will conquer in the eternal God</w:t>
      </w:r>
      <w:r w:rsidR="00D767B8">
        <w:t>.”</w:t>
      </w:r>
      <w:r w:rsidR="00D767B8">
        <w:rPr>
          <w:rStyle w:val="FootnoteReference"/>
        </w:rPr>
        <w:footnoteReference w:id="899"/>
      </w:r>
    </w:p>
    <w:p w:rsidR="002B376E" w:rsidRPr="002B376E" w:rsidRDefault="009D1C4D" w:rsidP="002B376E">
      <w:r>
        <w:rPr>
          <w:b/>
        </w:rPr>
        <w:t xml:space="preserve">(b) The theme central to Daniel as </w:t>
      </w:r>
      <w:r w:rsidR="002B376E" w:rsidRPr="006D4AD9">
        <w:rPr>
          <w:b/>
        </w:rPr>
        <w:t>to no other book in the OT is the kingdom of God</w:t>
      </w:r>
      <w:r w:rsidR="002B376E" w:rsidRPr="002B376E">
        <w:t>.</w:t>
      </w:r>
      <w:r w:rsidR="0060382E">
        <w:rPr>
          <w:rStyle w:val="FootnoteReference"/>
        </w:rPr>
        <w:footnoteReference w:id="900"/>
      </w:r>
      <w:r w:rsidR="002B376E" w:rsidRPr="002B376E">
        <w:t xml:space="preserve"> The book as a whole concerns how the rule of God becomes a reality of this world in contexts where Jews as such lac</w:t>
      </w:r>
      <w:r>
        <w:t xml:space="preserve">k political power but where </w:t>
      </w:r>
      <w:r w:rsidR="002B376E" w:rsidRPr="002B376E">
        <w:t>Gentiles who do exercise political power are assumed to h</w:t>
      </w:r>
      <w:r w:rsidR="0059047B">
        <w:t>ave a religious responsibility</w:t>
      </w:r>
      <w:r w:rsidR="002B376E" w:rsidRPr="002B376E">
        <w:t>.</w:t>
      </w:r>
      <w:r w:rsidR="0059047B">
        <w:rPr>
          <w:rStyle w:val="FootnoteReference"/>
        </w:rPr>
        <w:footnoteReference w:id="901"/>
      </w:r>
      <w:r w:rsidR="002B376E" w:rsidRPr="002B376E">
        <w:t xml:space="preserve"> The purpose of God is to be realized on earth, but by th</w:t>
      </w:r>
      <w:r w:rsidR="0059047B">
        <w:t>e transcendent power of heaven.</w:t>
      </w:r>
      <w:r w:rsidR="0059047B">
        <w:rPr>
          <w:rStyle w:val="FootnoteReference"/>
        </w:rPr>
        <w:footnoteReference w:id="902"/>
      </w:r>
      <w:r w:rsidR="00324AAB">
        <w:t xml:space="preserve"> In Daniel as a whole “the ideology of rule is in fact the theology of rule.”</w:t>
      </w:r>
      <w:r w:rsidR="00324AAB">
        <w:rPr>
          <w:rStyle w:val="FootnoteReference"/>
        </w:rPr>
        <w:footnoteReference w:id="903"/>
      </w:r>
      <w:r w:rsidR="00A91442">
        <w:t xml:space="preserve"> Nd throughout, the challenge of the book concerns a loyalty to God as king that refuses to acknowledge the final authority of the emperor as king.</w:t>
      </w:r>
      <w:r w:rsidR="00A91442">
        <w:rPr>
          <w:rStyle w:val="FootnoteReference"/>
        </w:rPr>
        <w:footnoteReference w:id="904"/>
      </w:r>
    </w:p>
    <w:p w:rsidR="002B376E" w:rsidRPr="002B376E" w:rsidRDefault="009D1C4D" w:rsidP="002B376E">
      <w:r>
        <w:t xml:space="preserve">The stories portray God’s reign becoming a reality </w:t>
      </w:r>
      <w:r w:rsidR="002B376E" w:rsidRPr="002B376E">
        <w:t>via the heathen ruler, who receives his kingly power from God and is responsible to act as his viceregent in his world, but they recognize that often the heathen ruler fails to exercise his power in a way that reflects this understanding of his calling. They picture the leaders of the people of God then challenging him to do so, sometimes with success, sometimes not. But they close with him acknowledging that lasting dominion indeed belon</w:t>
      </w:r>
      <w:r w:rsidR="0059047B">
        <w:t>gs to God. The stories invite readers</w:t>
      </w:r>
      <w:r w:rsidR="002B376E" w:rsidRPr="002B376E">
        <w:t xml:space="preserve"> to use their portrayal of this rule of God becoming reality to interpret the history for which we must accept responsibility. They imply that the cynicism an</w:t>
      </w:r>
      <w:r w:rsidR="0059047B">
        <w:t xml:space="preserve">d the deceit that often </w:t>
      </w:r>
      <w:r w:rsidR="002B376E" w:rsidRPr="002B376E">
        <w:t>characterize politics will not have the last word. The incompetence and s</w:t>
      </w:r>
      <w:r w:rsidR="0059047B">
        <w:t>tupidity that we often perceive in</w:t>
      </w:r>
      <w:r w:rsidR="002B376E" w:rsidRPr="002B376E">
        <w:t xml:space="preserve"> our leaders wi</w:t>
      </w:r>
      <w:r w:rsidR="0059047B">
        <w:t>ll not have their way. The faithful</w:t>
      </w:r>
      <w:r w:rsidR="002B376E" w:rsidRPr="002B376E">
        <w:t xml:space="preserve"> under pressure can stand by their convictions sure that the powers that be will ultimately acknowledge where true power lies and who is its witness. The stories invite </w:t>
      </w:r>
      <w:r w:rsidR="0059047B">
        <w:t>readers</w:t>
      </w:r>
      <w:r w:rsidR="002B376E" w:rsidRPr="002B376E">
        <w:t xml:space="preserve"> to set Daniel’s experience and testimony alongside</w:t>
      </w:r>
      <w:r>
        <w:t xml:space="preserve"> the stories that emerge from thei</w:t>
      </w:r>
      <w:r w:rsidR="002B376E" w:rsidRPr="002B376E">
        <w:t>r political experience and see what happens.</w:t>
      </w:r>
    </w:p>
    <w:p w:rsidR="00E37229" w:rsidRDefault="00E37229" w:rsidP="002B376E">
      <w:r>
        <w:t>The ambivalence in attitude to the empire in chaps. 1—6 disappears in chaps. 7—</w:t>
      </w:r>
      <w:r w:rsidR="007C0588">
        <w:t>12: “any hint of deference or obligation to empire is withdrawn.”</w:t>
      </w:r>
      <w:r w:rsidR="007C0588">
        <w:rPr>
          <w:rStyle w:val="FootnoteReference"/>
        </w:rPr>
        <w:footnoteReference w:id="905"/>
      </w:r>
    </w:p>
    <w:p w:rsidR="002B376E" w:rsidRPr="002B376E" w:rsidRDefault="00151594" w:rsidP="002B376E">
      <w:r>
        <w:t xml:space="preserve">The </w:t>
      </w:r>
      <w:r w:rsidR="002B376E" w:rsidRPr="002B376E">
        <w:t>kings</w:t>
      </w:r>
      <w:r>
        <w:t>’</w:t>
      </w:r>
      <w:r w:rsidR="002B376E" w:rsidRPr="002B376E">
        <w:t xml:space="preserve"> exercise </w:t>
      </w:r>
      <w:r>
        <w:t xml:space="preserve">of </w:t>
      </w:r>
      <w:r w:rsidR="002B376E" w:rsidRPr="002B376E">
        <w:t xml:space="preserve">their rule as the visions describe it keeps the rule of God from becoming reality. Only an act from heaven can bring God’s rule. The visions </w:t>
      </w:r>
      <w:r>
        <w:t xml:space="preserve">thus </w:t>
      </w:r>
      <w:r w:rsidR="002B376E" w:rsidRPr="002B376E">
        <w:t xml:space="preserve">offer an alternative portrayal of how God’s rule becomes reality, one designed to help us live with history when we cannot control it. They begin (chap. 7) with God’s lasting dominion: rule is taken away from heathen rulers and given to </w:t>
      </w:r>
      <w:r w:rsidR="002B376E" w:rsidRPr="002B376E">
        <w:lastRenderedPageBreak/>
        <w:t>the people</w:t>
      </w:r>
      <w:r>
        <w:t xml:space="preserve"> of the holy ones on high. T</w:t>
      </w:r>
      <w:r w:rsidR="002B376E" w:rsidRPr="002B376E">
        <w:t>hat rule is still to be exercised on earth. Even the judgment by the venerable figure of chap. 7 takes place on earth and is implemented here, while the restoration to life of chap. 12 is a restoration to earthly life of whole people, not of disembodied spirits in heaven. The millen</w:t>
      </w:r>
      <w:r>
        <w:t>n</w:t>
      </w:r>
      <w:r w:rsidR="002B376E" w:rsidRPr="002B376E">
        <w:t>arian movements were not unfaithful to Daniel in looking for a salvation that was collective, terrestrial, i</w:t>
      </w:r>
      <w:r>
        <w:t>mminent, total, and miraculous</w:t>
      </w:r>
      <w:r w:rsidR="002B376E" w:rsidRPr="002B376E">
        <w:t>.</w:t>
      </w:r>
      <w:r>
        <w:rPr>
          <w:rStyle w:val="FootnoteReference"/>
        </w:rPr>
        <w:footnoteReference w:id="906"/>
      </w:r>
    </w:p>
    <w:p w:rsidR="00FE4514" w:rsidRPr="00FE4514" w:rsidRDefault="002B376E" w:rsidP="00FE4514">
      <w:r w:rsidRPr="002B376E">
        <w:t>The whole book looks for the realization of the reign of God on earth; but apparently there is a time when we can see this coming through earthly rulers and</w:t>
      </w:r>
      <w:r w:rsidR="00151594">
        <w:t xml:space="preserve"> through us, in this age, and </w:t>
      </w:r>
      <w:r w:rsidRPr="002B376E">
        <w:t xml:space="preserve">a time when that </w:t>
      </w:r>
      <w:r w:rsidR="009D1C4D">
        <w:t xml:space="preserve">realization </w:t>
      </w:r>
      <w:r w:rsidRPr="002B376E">
        <w:t xml:space="preserve">can be neither seen nor envisaged, </w:t>
      </w:r>
      <w:r w:rsidR="00151594">
        <w:t xml:space="preserve">but </w:t>
      </w:r>
      <w:r w:rsidRPr="002B376E">
        <w:t>only hop</w:t>
      </w:r>
      <w:r w:rsidR="00151594">
        <w:t>ed for as the direct act of God</w:t>
      </w:r>
      <w:r w:rsidRPr="002B376E">
        <w:t xml:space="preserve"> which brings a transitio</w:t>
      </w:r>
      <w:r w:rsidR="00151594">
        <w:t>n from this age to another age</w:t>
      </w:r>
      <w:r w:rsidRPr="002B376E">
        <w:t>.</w:t>
      </w:r>
      <w:r w:rsidR="00151594">
        <w:rPr>
          <w:rStyle w:val="FootnoteReference"/>
        </w:rPr>
        <w:footnoteReference w:id="907"/>
      </w:r>
      <w:r w:rsidRPr="002B376E">
        <w:t xml:space="preserve"> There is a</w:t>
      </w:r>
      <w:r w:rsidR="00151594">
        <w:t xml:space="preserve"> time when the present can </w:t>
      </w:r>
      <w:r w:rsidRPr="002B376E">
        <w:t xml:space="preserve">be understood </w:t>
      </w:r>
      <w:r w:rsidR="00151594">
        <w:t xml:space="preserve">only in </w:t>
      </w:r>
      <w:r w:rsidRPr="002B376E">
        <w:t xml:space="preserve">light of the past and the future. There is a time when the people of God experience conflict with the world, and a time when behind that </w:t>
      </w:r>
      <w:r w:rsidR="00151594">
        <w:t xml:space="preserve">conflict </w:t>
      </w:r>
      <w:r w:rsidRPr="002B376E">
        <w:t>they perceive a conflict with supernatural powers.</w:t>
      </w:r>
      <w:r w:rsidR="00151594">
        <w:rPr>
          <w:rStyle w:val="FootnoteReference"/>
        </w:rPr>
        <w:footnoteReference w:id="908"/>
      </w:r>
      <w:r w:rsidRPr="002B376E">
        <w:t xml:space="preserve"> The focus on the future in chaps. 7–12 insists on our being critical of the present, in the conviction that the promise of God demands a fulfillment that cannot be identified with this present; the focus on the present in chaps. 1–6 forbids us to be escapist, and insists we face the force of the observation that “apocalyptic is full of promises, but it has never kept one of them</w:t>
      </w:r>
      <w:r w:rsidR="00151594">
        <w:t>.</w:t>
      </w:r>
      <w:r w:rsidRPr="002B376E">
        <w:t>”</w:t>
      </w:r>
      <w:r w:rsidR="00151594">
        <w:rPr>
          <w:rStyle w:val="FootnoteReference"/>
        </w:rPr>
        <w:footnoteReference w:id="909"/>
      </w:r>
      <w:r w:rsidRPr="002B376E">
        <w:t xml:space="preserve"> Between them they affirm both present and promise. Political powers stand between the perspective of chaps. 1–6 and that of chaps. 7–12, choosing which is a</w:t>
      </w:r>
      <w:r w:rsidR="00E124F7">
        <w:t>pplicable to them, and the faithful who are</w:t>
      </w:r>
      <w:r w:rsidRPr="002B376E">
        <w:t xml:space="preserve"> involved in politics have to discern which choice they are making. Sub</w:t>
      </w:r>
      <w:r w:rsidR="00E124F7">
        <w:t>ject to them, the faithful in general</w:t>
      </w:r>
      <w:r w:rsidRPr="002B376E">
        <w:t xml:space="preserve"> live as children of this age, but also as children of an age to come. It is the conviction that the new age has come in Jesus that makes apocalyptic “the mot</w:t>
      </w:r>
      <w:r w:rsidR="00E124F7">
        <w:t>her of all Christian theology</w:t>
      </w:r>
      <w:r w:rsidRPr="002B376E">
        <w:t>.</w:t>
      </w:r>
      <w:r w:rsidR="00E124F7">
        <w:t>”</w:t>
      </w:r>
      <w:r w:rsidR="00E124F7">
        <w:rPr>
          <w:rStyle w:val="FootnoteReference"/>
        </w:rPr>
        <w:footnoteReference w:id="910"/>
      </w:r>
      <w:r w:rsidR="009D1C4D">
        <w:t xml:space="preserve"> I</w:t>
      </w:r>
      <w:r w:rsidR="00B75572">
        <w:t>t might</w:t>
      </w:r>
      <w:r w:rsidR="009D1C4D">
        <w:t xml:space="preserve"> be that the book of Daniel’s</w:t>
      </w:r>
      <w:r w:rsidR="00B75572">
        <w:t xml:space="preserve"> focus on God’s kingdom is</w:t>
      </w:r>
      <w:r w:rsidR="00B75572" w:rsidRPr="00B75572">
        <w:t xml:space="preserve"> key to the mi</w:t>
      </w:r>
      <w:r w:rsidR="009D1C4D">
        <w:t>ssional implications of the book</w:t>
      </w:r>
      <w:r w:rsidR="00B75572">
        <w:rPr>
          <w:rStyle w:val="FootnoteReference"/>
        </w:rPr>
        <w:footnoteReference w:id="911"/>
      </w:r>
      <w:r w:rsidR="009D1C4D">
        <w:t xml:space="preserve"> </w:t>
      </w:r>
      <w:r w:rsidR="00FE4514" w:rsidRPr="00FE4514">
        <w:rPr>
          <w:rFonts w:eastAsiaTheme="minorHAnsi" w:cs="Arial"/>
        </w:rPr>
        <w:t>“The apocalypse, as a powerful discourse of liberative praxis,</w:t>
      </w:r>
      <w:r w:rsidR="00FE4514" w:rsidRPr="00FE4514">
        <w:t xml:space="preserve"> </w:t>
      </w:r>
      <w:r w:rsidR="009D1C4D">
        <w:rPr>
          <w:rFonts w:eastAsiaTheme="minorHAnsi" w:cs="Arial"/>
        </w:rPr>
        <w:t>has implanted in [the Jewish community]</w:t>
      </w:r>
      <w:r w:rsidR="00FE4514" w:rsidRPr="00FE4514">
        <w:rPr>
          <w:rFonts w:eastAsiaTheme="minorHAnsi" w:cs="Arial"/>
        </w:rPr>
        <w:t xml:space="preserve"> a profound theological vision and radical hope in the</w:t>
      </w:r>
      <w:r w:rsidR="00FE4514" w:rsidRPr="00FE4514">
        <w:t xml:space="preserve"> </w:t>
      </w:r>
      <w:r w:rsidR="00FE4514" w:rsidRPr="00FE4514">
        <w:rPr>
          <w:rFonts w:eastAsiaTheme="minorHAnsi" w:cs="Arial"/>
        </w:rPr>
        <w:t>ultimate victory of God and the establishment of His Kingdom, which would</w:t>
      </w:r>
      <w:r w:rsidR="00FE4514" w:rsidRPr="00FE4514">
        <w:t xml:space="preserve"> </w:t>
      </w:r>
      <w:r w:rsidR="00FE4514" w:rsidRPr="00FE4514">
        <w:rPr>
          <w:rFonts w:eastAsiaTheme="minorHAnsi" w:cs="Arial"/>
        </w:rPr>
        <w:t>finally guide to the restoration and resurrection of God's creation.”</w:t>
      </w:r>
      <w:r w:rsidR="00FE4514" w:rsidRPr="00FE4514">
        <w:rPr>
          <w:rStyle w:val="FootnoteReference"/>
          <w:rFonts w:eastAsiaTheme="minorHAnsi" w:cs="Arial"/>
        </w:rPr>
        <w:footnoteReference w:id="912"/>
      </w:r>
    </w:p>
    <w:p w:rsidR="002B376E" w:rsidRPr="002B376E" w:rsidRDefault="002B376E" w:rsidP="002B376E">
      <w:r w:rsidRPr="006D4AD9">
        <w:rPr>
          <w:b/>
        </w:rPr>
        <w:t>(c) The book</w:t>
      </w:r>
      <w:r w:rsidR="00E124F7" w:rsidRPr="006D4AD9">
        <w:rPr>
          <w:b/>
        </w:rPr>
        <w:t xml:space="preserve"> of Daniel</w:t>
      </w:r>
      <w:r w:rsidRPr="006D4AD9">
        <w:rPr>
          <w:b/>
        </w:rPr>
        <w:t xml:space="preserve"> thus suggests two understandings of the meaningfulness or ot</w:t>
      </w:r>
      <w:r w:rsidR="00E124F7" w:rsidRPr="006D4AD9">
        <w:rPr>
          <w:b/>
        </w:rPr>
        <w:t>herwise of political history.</w:t>
      </w:r>
      <w:r w:rsidR="00E124F7">
        <w:t xml:space="preserve"> The book</w:t>
      </w:r>
      <w:r w:rsidRPr="002B376E">
        <w:t xml:space="preserve"> begins with a God involv</w:t>
      </w:r>
      <w:r w:rsidR="00E124F7">
        <w:t>ed in history, giving the Judahite</w:t>
      </w:r>
      <w:r w:rsidRPr="002B376E">
        <w:t xml:space="preserve"> king into the power of Babylon. He controls historical eras and removes and sets up kings. He rules human kingdoms and gives power to whomever he wishes. He evaluates the rule of kings and puts them down when they fail his assessment. The process of history thus has meaning; it sees the outworking of God’s grace, mercy, purposefulness, justice, and zeal, even if </w:t>
      </w:r>
      <w:r w:rsidR="00E124F7">
        <w:t xml:space="preserve">the way </w:t>
      </w:r>
      <w:r w:rsidRPr="002B376E">
        <w:t>events reflect these</w:t>
      </w:r>
      <w:r w:rsidR="00E124F7">
        <w:t xml:space="preserve"> characteristics is not always clear</w:t>
      </w:r>
      <w:r w:rsidRPr="002B376E">
        <w:t>. The prophets concern themselves with international history insofar as it affects the history of Israel; Daniel is closer to having a philosophy of international history in itself.</w:t>
      </w:r>
    </w:p>
    <w:p w:rsidR="002B376E" w:rsidRPr="002B376E" w:rsidRDefault="002B376E" w:rsidP="002B376E">
      <w:r w:rsidRPr="002B376E">
        <w:t>In the visions the origins of human empires are more ambiguous: they arise out of the world itself, rather than by the gift of God, and</w:t>
      </w:r>
      <w:r w:rsidR="00E124F7">
        <w:t xml:space="preserve"> they</w:t>
      </w:r>
      <w:r w:rsidRPr="002B376E">
        <w:t xml:space="preserve"> resemble strange animals emerging from the sea—even if it is a supernatural wind that stirs that sea. God has been active in Israel’s history in revelation, in grace, and in judgment, and can be urged to be active there in mercy and m restoration (chap. 9); he is active in the nations’ history only by bringing an End to it. He is in control of their history, but in the manner of </w:t>
      </w:r>
      <w:r w:rsidRPr="002B376E">
        <w:lastRenderedPageBreak/>
        <w:t>the prison governor who still controls the prison during a riot in the sense that the prisoners can only go so f</w:t>
      </w:r>
      <w:r w:rsidR="00931431">
        <w:t>ar (the visions’ quasi-predictive</w:t>
      </w:r>
      <w:r w:rsidRPr="002B376E">
        <w:t xml:space="preserve"> form should not mislead us into thinking that Daniel sees God predetermining this history). Even in heaven there are conf</w:t>
      </w:r>
      <w:r w:rsidR="00E475BE">
        <w:t>licts between the agents of God’</w:t>
      </w:r>
      <w:r w:rsidRPr="002B376E">
        <w:t xml:space="preserve">s will who personify earthly powers in conflict with each other. The details of history have little intrinsic meaning; meaning belongs to the End, not to the process. Daniel thus differs from 1 and 2 Maccabees, which in different ways rework the classic attitude to history of books such as Kings and Chronicles, and it differs from </w:t>
      </w:r>
      <w:r w:rsidRPr="00E475BE">
        <w:rPr>
          <w:i/>
        </w:rPr>
        <w:t>1 Enoch</w:t>
      </w:r>
      <w:r w:rsidRPr="002B376E">
        <w:t>, which extends its historical perspective back to embrace creation so that it extends from Beginning to End, and—like some Christian thinking, though not the OT or the NT—sees conflicts in heaven and in history as resulting from the rebellion of heavenly beings near the beginning.</w:t>
      </w:r>
    </w:p>
    <w:p w:rsidR="00D965BE" w:rsidRPr="00D965BE" w:rsidRDefault="002B376E" w:rsidP="00D965BE">
      <w:r w:rsidRPr="002B376E">
        <w:t xml:space="preserve">Neither stories nor visions see history as a whole or see it as progressing </w:t>
      </w:r>
      <w:r w:rsidR="000C6CB7">
        <w:t xml:space="preserve">towards </w:t>
      </w:r>
      <w:r w:rsidR="00000F61">
        <w:t>a goal. Daniel does not e</w:t>
      </w:r>
      <w:r w:rsidR="00E475BE">
        <w:t>mbody</w:t>
      </w:r>
      <w:r w:rsidRPr="002B376E">
        <w:t xml:space="preserve"> the apocal</w:t>
      </w:r>
      <w:r w:rsidR="00E475BE">
        <w:t>yptic view of history</w:t>
      </w:r>
      <w:r w:rsidRPr="002B376E">
        <w:t>. The difference between stories and visions suggests that there are times when the hand of God can be detected in the processes of history and times when it has to be looked for at the End.</w:t>
      </w:r>
      <w:r w:rsidR="0001614B">
        <w:t xml:space="preserve"> </w:t>
      </w:r>
      <w:r w:rsidR="006D4AD9">
        <w:t>“The book of Daniel contains a theology of history that is neither as deterministic nor as exclusively eschatological as scholars have portrayed it…. Daniel has a keen interest in both the human and the supernatural causes of historical events.”</w:t>
      </w:r>
      <w:r w:rsidR="006D4AD9">
        <w:rPr>
          <w:rStyle w:val="FootnoteReference"/>
        </w:rPr>
        <w:footnoteReference w:id="913"/>
      </w:r>
      <w:r w:rsidR="00D965BE">
        <w:t xml:space="preserve"> </w:t>
      </w:r>
      <w:r w:rsidR="00D965BE" w:rsidRPr="00D965BE">
        <w:t>Daniel is seriously interested in history</w:t>
      </w:r>
      <w:r w:rsidR="00000F61">
        <w:t>.</w:t>
      </w:r>
    </w:p>
    <w:p w:rsidR="002B376E" w:rsidRPr="002B376E" w:rsidRDefault="002B376E" w:rsidP="002B376E">
      <w:r w:rsidRPr="006D4AD9">
        <w:rPr>
          <w:b/>
        </w:rPr>
        <w:t>(d) The book offers two paradigms of the leadership of the faithful in c</w:t>
      </w:r>
      <w:r w:rsidR="00E475BE" w:rsidRPr="006D4AD9">
        <w:rPr>
          <w:b/>
        </w:rPr>
        <w:t>ommunity life.</w:t>
      </w:r>
      <w:r w:rsidR="00DA5229" w:rsidRPr="00DA5229">
        <w:rPr>
          <w:b/>
          <w:vertAlign w:val="superscript"/>
        </w:rPr>
        <w:footnoteReference w:id="914"/>
      </w:r>
      <w:r w:rsidR="00E475BE">
        <w:t xml:space="preserve"> In the stories this leadership can mean involvement in the work</w:t>
      </w:r>
      <w:r w:rsidRPr="002B376E">
        <w:t xml:space="preserve"> of government, which presupposes an affirming of those who exercise authority. By the will of God himself and by the nature of his commission to earthly rulers, human beings have a responsibility for urging them to fulfill that calling as before God; they can realistically be challenged to fulfill such a responsibility. The perspective matches that of Rom 13.</w:t>
      </w:r>
    </w:p>
    <w:p w:rsidR="002B376E" w:rsidRPr="002B376E" w:rsidRDefault="002B376E" w:rsidP="002B376E">
      <w:r w:rsidRPr="002B376E">
        <w:t>The perspective of the visions compares rather with that of</w:t>
      </w:r>
      <w:r w:rsidR="00E475BE">
        <w:t xml:space="preserve"> Rev 13. The visions</w:t>
      </w:r>
      <w:r w:rsidRPr="002B376E">
        <w:t xml:space="preserve"> cannot see God’s activity in history. </w:t>
      </w:r>
      <w:r w:rsidR="00E475BE">
        <w:t>P</w:t>
      </w:r>
      <w:r w:rsidR="00E475BE" w:rsidRPr="00E475BE">
        <w:t xml:space="preserve">aradoxically, </w:t>
      </w:r>
      <w:r w:rsidRPr="002B376E">
        <w:t>Jews back in Jer</w:t>
      </w:r>
      <w:r w:rsidR="00E475BE">
        <w:t>usalem in the second century experience</w:t>
      </w:r>
      <w:r w:rsidRPr="002B376E">
        <w:t xml:space="preserve"> something more like exile with its meaninglessness (see especially chap. 9) than did their brothers and sisters in dispersion in the Persian peri</w:t>
      </w:r>
      <w:r w:rsidR="00E475BE">
        <w:t>od. Faithfulness to God, which</w:t>
      </w:r>
      <w:r w:rsidRPr="002B376E">
        <w:t xml:space="preserve"> </w:t>
      </w:r>
      <w:r w:rsidR="00E475BE">
        <w:t>could cohere with</w:t>
      </w:r>
      <w:r w:rsidRPr="002B376E">
        <w:t xml:space="preserve"> participation in politics</w:t>
      </w:r>
      <w:r w:rsidR="00E475BE">
        <w:t xml:space="preserve"> </w:t>
      </w:r>
      <w:r w:rsidR="00E475BE" w:rsidRPr="00E475BE">
        <w:t>in the context presupposed by the stories</w:t>
      </w:r>
      <w:r w:rsidR="00E475BE">
        <w:t xml:space="preserve">, now </w:t>
      </w:r>
      <w:r w:rsidRPr="002B376E">
        <w:t>demands critique of the governing authorities</w:t>
      </w:r>
      <w:r w:rsidR="00E475BE">
        <w:t>,</w:t>
      </w:r>
      <w:r w:rsidRPr="002B376E">
        <w:t xml:space="preserve"> and rules</w:t>
      </w:r>
      <w:r w:rsidR="00E475BE">
        <w:t xml:space="preserve"> out involvement in government</w:t>
      </w:r>
      <w:r w:rsidRPr="002B376E">
        <w:t>.</w:t>
      </w:r>
      <w:r w:rsidR="00E475BE">
        <w:rPr>
          <w:rStyle w:val="FootnoteReference"/>
        </w:rPr>
        <w:footnoteReference w:id="915"/>
      </w:r>
      <w:r w:rsidRPr="002B376E">
        <w:t xml:space="preserve"> The visions are not specific about lines of action they expect of the faithful (military action? passive resistance? continuing obedience to the Torah? withdrawal f</w:t>
      </w:r>
      <w:r w:rsidR="00E475BE">
        <w:t>rom temple worship?). H</w:t>
      </w:r>
      <w:r w:rsidRPr="002B376E">
        <w:t xml:space="preserve">istory is portrayed as closed and fixed, though this </w:t>
      </w:r>
      <w:r w:rsidR="00E475BE">
        <w:t xml:space="preserve">portrayal </w:t>
      </w:r>
      <w:r w:rsidRPr="002B376E">
        <w:t xml:space="preserve">is a way of assuring people that </w:t>
      </w:r>
      <w:r w:rsidR="00E475BE">
        <w:t>history has been under God’s</w:t>
      </w:r>
      <w:r w:rsidRPr="002B376E">
        <w:t xml:space="preserve"> control</w:t>
      </w:r>
      <w:r w:rsidR="00E475BE">
        <w:t xml:space="preserve"> even when it</w:t>
      </w:r>
      <w:r w:rsidR="00E475BE" w:rsidRPr="00E475BE">
        <w:t xml:space="preserve"> is difficult to</w:t>
      </w:r>
      <w:r w:rsidR="00E475BE">
        <w:t xml:space="preserve"> recognize as the act of God</w:t>
      </w:r>
      <w:r w:rsidRPr="002B376E">
        <w:t>. The possibility of leadership is to instruct the believing community on the significance of history, past, present, and future.</w:t>
      </w:r>
    </w:p>
    <w:p w:rsidR="002B376E" w:rsidRDefault="002B376E" w:rsidP="002B376E">
      <w:r w:rsidRPr="002B376E">
        <w:t>Throughout the book the calling of the leadership is to pray, to the God who controls and reveals history. But apparentl</w:t>
      </w:r>
      <w:r w:rsidR="00E475BE">
        <w:t>y there is a time to be active</w:t>
      </w:r>
      <w:r w:rsidRPr="002B376E">
        <w:t xml:space="preserve"> in the present and a time to teach about the End. The stories invite believers who live under oppressive regimes to allow for and to be encouraged by the possibility that there are contexts where one can be involved in the affairs of state without compromise. </w:t>
      </w:r>
      <w:r w:rsidR="00000F61">
        <w:t>Given that for them “t</w:t>
      </w:r>
      <w:r w:rsidR="00000F61" w:rsidRPr="00000F61">
        <w:t>he witness of visibility” is succeeded by</w:t>
      </w:r>
      <w:r w:rsidR="00000F61">
        <w:t xml:space="preserve"> “the witness of vulnerability,”</w:t>
      </w:r>
      <w:r w:rsidR="00000F61" w:rsidRPr="00000F61">
        <w:rPr>
          <w:vertAlign w:val="superscript"/>
        </w:rPr>
        <w:footnoteReference w:id="916"/>
      </w:r>
      <w:r w:rsidR="00000F61">
        <w:t xml:space="preserve"> t</w:t>
      </w:r>
      <w:r w:rsidRPr="002B376E">
        <w:t>he visions invite believers in easier times than theirs to an empathetic act of identification—perhaps of deed, not just of word—if they are</w:t>
      </w:r>
      <w:r w:rsidR="00E475BE">
        <w:t xml:space="preserve"> to enter into the pain of people</w:t>
      </w:r>
      <w:r w:rsidRPr="002B376E">
        <w:t xml:space="preserve"> who live </w:t>
      </w:r>
      <w:r w:rsidRPr="002B376E">
        <w:lastRenderedPageBreak/>
        <w:t>under oppressive regimes and thus to be able to share the real meaning of their visions and not just the words.</w:t>
      </w:r>
    </w:p>
    <w:p w:rsidR="002B376E" w:rsidRPr="002B376E" w:rsidRDefault="002B376E" w:rsidP="002B376E">
      <w:r w:rsidRPr="006D4AD9">
        <w:rPr>
          <w:b/>
        </w:rPr>
        <w:t>(e) The book has a vision for both life in dispersion and life in Jerusalem.</w:t>
      </w:r>
      <w:r w:rsidRPr="002B376E">
        <w:t xml:space="preserve"> The stories see dispersion life as the result of the act of God; it is neither meaningless nor the reflection of the greater power of other gods. Neither is it explicitly the result of an act of God in punishme</w:t>
      </w:r>
      <w:r w:rsidR="00E475BE">
        <w:t>nt for the sin of Judahite</w:t>
      </w:r>
      <w:r w:rsidRPr="002B376E">
        <w:t xml:space="preserve">s. It is simply his will. That </w:t>
      </w:r>
      <w:r w:rsidR="00E475BE">
        <w:t xml:space="preserve">fact </w:t>
      </w:r>
      <w:r w:rsidRPr="002B376E">
        <w:t>in itself lays the foundation for the pos</w:t>
      </w:r>
      <w:r w:rsidR="00E475BE">
        <w:t xml:space="preserve">sibility that one can </w:t>
      </w:r>
      <w:r w:rsidRPr="002B376E">
        <w:t xml:space="preserve">be a good Jew in dispersion. A Jew will remain distinctive, will remain faithful, and will continue to pray </w:t>
      </w:r>
      <w:r w:rsidR="000C6CB7">
        <w:t xml:space="preserve">towards </w:t>
      </w:r>
      <w:r w:rsidRPr="002B376E">
        <w:t xml:space="preserve">Jerusalem, but </w:t>
      </w:r>
      <w:r w:rsidR="00E475BE">
        <w:t>will do so</w:t>
      </w:r>
      <w:r w:rsidRPr="002B376E">
        <w:t xml:space="preserve"> in a dispersion s</w:t>
      </w:r>
      <w:r w:rsidR="00E475BE">
        <w:t>etting, and will prove that it</w:t>
      </w:r>
      <w:r w:rsidRPr="002B376E">
        <w:t xml:space="preserve"> can be the way to a successful life. There is no suggestion of “next year in Jerusalem.”</w:t>
      </w:r>
    </w:p>
    <w:p w:rsidR="002B376E" w:rsidRPr="002B376E" w:rsidRDefault="002B376E" w:rsidP="002B376E">
      <w:r w:rsidRPr="002B376E">
        <w:t xml:space="preserve">The visions almost ignore dispersion life. Their concern is with the restoration of the city of Jerusalem, its sanctuary, its worship, </w:t>
      </w:r>
      <w:r w:rsidR="00E475BE">
        <w:t>and its priesthood. T</w:t>
      </w:r>
      <w:r w:rsidRPr="002B376E">
        <w:t>he dispersion explicitly features only once, and there it is the result of sin (chap. 9). North and south are the origins of enemies rather than the location of brothers and sisters. Jerusalem is the only na</w:t>
      </w:r>
      <w:r w:rsidR="00E475BE">
        <w:t>tural Jewish place to live. The visions</w:t>
      </w:r>
      <w:r w:rsidRPr="002B376E">
        <w:t xml:space="preserve"> offer their own challenge to faithfulness, yet not one accompanied by an implicit promise that faithfulness will be rewarded by worldly success and promotion. The stories of the dispersion heroes both illustrate Jews being willing for faithfulness to be its own reward, and </w:t>
      </w:r>
      <w:r w:rsidR="00E475BE">
        <w:t xml:space="preserve">also </w:t>
      </w:r>
      <w:r w:rsidRPr="002B376E">
        <w:t xml:space="preserve">remind their hearers of the power and the faithfulness of God himself who will see that faithfulness receives its reward in the </w:t>
      </w:r>
      <w:r w:rsidR="00E475BE">
        <w:t>age to come if not in this age</w:t>
      </w:r>
      <w:r w:rsidRPr="002B376E">
        <w:t>.</w:t>
      </w:r>
      <w:r w:rsidR="00E475BE">
        <w:rPr>
          <w:rStyle w:val="FootnoteReference"/>
        </w:rPr>
        <w:footnoteReference w:id="917"/>
      </w:r>
    </w:p>
    <w:p w:rsidR="002B376E" w:rsidRPr="002B376E" w:rsidRDefault="002B376E" w:rsidP="002B376E">
      <w:r w:rsidRPr="002B376E">
        <w:t xml:space="preserve">In the book’s portrayal, Jewish life is precarious and Jewish faithfulness is under pressure wherever it is lived. Both Babylon and Jerusalem are experiences of “desolation,” the latter a protraction of the former, of which it can thus be a paradigm, and people dealing with the former can be prototypes of </w:t>
      </w:r>
      <w:r w:rsidR="00E475BE">
        <w:t>people dealing with the latter.</w:t>
      </w:r>
      <w:r w:rsidR="00E475BE">
        <w:rPr>
          <w:rStyle w:val="FootnoteReference"/>
        </w:rPr>
        <w:footnoteReference w:id="918"/>
      </w:r>
      <w:r w:rsidR="00E475BE">
        <w:t xml:space="preserve"> </w:t>
      </w:r>
      <w:r w:rsidRPr="002B376E">
        <w:t>One might have expected it to be obvious that dispersion was a place of pressure: actually the pressures there are usually more subtle. One might have expected Jerusalem to be a place of safety: actually the pressures there are</w:t>
      </w:r>
      <w:r w:rsidR="006B3B20">
        <w:t xml:space="preserve"> clear, to the seers at least</w:t>
      </w:r>
      <w:r w:rsidRPr="002B376E">
        <w:t>. Neither dispersion nor Jerusalem is without danger. Each brings its challenge. Neither is called to judge the other.</w:t>
      </w:r>
    </w:p>
    <w:p w:rsidR="002B376E" w:rsidRPr="002B376E" w:rsidRDefault="002B376E" w:rsidP="002B376E">
      <w:r w:rsidRPr="006D4AD9">
        <w:rPr>
          <w:b/>
        </w:rPr>
        <w:t>(f) The book suggests two different overall thrusts, summed up by its being located by the synagogue among the Writings and by</w:t>
      </w:r>
      <w:r w:rsidR="006B3B20" w:rsidRPr="006D4AD9">
        <w:rPr>
          <w:b/>
        </w:rPr>
        <w:t xml:space="preserve"> the church among the Prophets</w:t>
      </w:r>
      <w:r w:rsidRPr="002B376E">
        <w:t>.</w:t>
      </w:r>
      <w:r w:rsidR="006B3B20">
        <w:rPr>
          <w:rStyle w:val="FootnoteReference"/>
        </w:rPr>
        <w:footnoteReference w:id="919"/>
      </w:r>
      <w:r w:rsidR="002765B6" w:rsidRPr="002765B6">
        <w:rPr>
          <w:vertAlign w:val="superscript"/>
        </w:rPr>
        <w:t xml:space="preserve"> </w:t>
      </w:r>
      <w:r w:rsidRPr="002B376E">
        <w:t xml:space="preserve">That </w:t>
      </w:r>
      <w:r w:rsidR="006B3B20">
        <w:t xml:space="preserve">ambiguity </w:t>
      </w:r>
      <w:r w:rsidRPr="002B376E">
        <w:t>encourages two alternative readings of Daniel, as wisdom or as prophecy, as pedagogics or as eschatology, as halakah or as haggadah.</w:t>
      </w:r>
      <w:r w:rsidR="005A0DDF">
        <w:t xml:space="preserve"> While a location among the Prophets might seem superior to a location among the Wri</w:t>
      </w:r>
      <w:r w:rsidR="00F96C6C">
        <w:t xml:space="preserve">tings, it is possible to put a </w:t>
      </w:r>
      <w:r w:rsidR="005A0DDF">
        <w:t>positive spin on the latter location.</w:t>
      </w:r>
      <w:r w:rsidR="005A0DDF">
        <w:rPr>
          <w:rStyle w:val="FootnoteReference"/>
        </w:rPr>
        <w:footnoteReference w:id="920"/>
      </w:r>
    </w:p>
    <w:p w:rsidR="00256B38" w:rsidRPr="00EF030B" w:rsidRDefault="002B376E" w:rsidP="00EF030B">
      <w:r w:rsidRPr="002B376E">
        <w:t>Both story and vision exist to render a world. Story renders a world that is clearly one with our world, even though it points to signals of transcendence that suggest something beyond our world. It served the needs of the dispersion w</w:t>
      </w:r>
      <w:r w:rsidR="006B3B20">
        <w:t xml:space="preserve">ell. In the second-century </w:t>
      </w:r>
      <w:r w:rsidRPr="002B376E">
        <w:t>crisis “the time of narrative must now leav</w:t>
      </w:r>
      <w:r w:rsidR="006B3B20">
        <w:t>e room for the time of vision</w:t>
      </w:r>
      <w:r w:rsidRPr="002B376E">
        <w:t>.</w:t>
      </w:r>
      <w:r w:rsidR="006B3B20">
        <w:t>”</w:t>
      </w:r>
      <w:r w:rsidR="006B3B20">
        <w:rPr>
          <w:rStyle w:val="FootnoteReference"/>
        </w:rPr>
        <w:footnoteReference w:id="921"/>
      </w:r>
      <w:r w:rsidRPr="002B376E">
        <w:t xml:space="preserve"> Vision creates a radically different world that makes continuing life in this world possible on the basis of its not being the only world, or </w:t>
      </w:r>
      <w:r w:rsidR="006B3B20">
        <w:t xml:space="preserve">not being </w:t>
      </w:r>
      <w:r w:rsidRPr="002B376E">
        <w:t xml:space="preserve">in the End the most important one. Daniel’s work is preserved even though the End of which he spoke did not come, because in another sense that End did come. His vision brought the End of an old order’s power to lord it over his fellows, because it opened up an alternative world that people were prepared to believe would endure as the old order would not, a world in which what seemed at present to be weakness was </w:t>
      </w:r>
      <w:r w:rsidRPr="002B376E">
        <w:lastRenderedPageBreak/>
        <w:t>revealed to be true power and what looked like death was rev</w:t>
      </w:r>
      <w:r w:rsidR="006B3B20">
        <w:t>ealed to be the gateway to life.</w:t>
      </w:r>
      <w:r w:rsidR="006B3B20">
        <w:rPr>
          <w:rStyle w:val="FootnoteReference"/>
        </w:rPr>
        <w:footnoteReference w:id="922"/>
      </w:r>
      <w:r w:rsidR="006B3B20">
        <w:t xml:space="preserve"> </w:t>
      </w:r>
      <w:r w:rsidR="006D4AD9">
        <w:t>Daniel as a whole invites people</w:t>
      </w:r>
      <w:r w:rsidRPr="002B376E">
        <w:t xml:space="preserve"> to live this life in the light of such convictions about that life.</w:t>
      </w:r>
    </w:p>
    <w:sectPr w:rsidR="00256B38" w:rsidRPr="00EF030B" w:rsidSect="005973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505" w:rsidRDefault="00366505" w:rsidP="00482CA5">
      <w:r>
        <w:separator/>
      </w:r>
    </w:p>
  </w:endnote>
  <w:endnote w:type="continuationSeparator" w:id="0">
    <w:p w:rsidR="00366505" w:rsidRDefault="00366505" w:rsidP="0048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QVXTS U+ Times">
    <w:altName w:val="Times New Roman"/>
    <w:panose1 w:val="00000000000000000000"/>
    <w:charset w:val="00"/>
    <w:family w:val="roman"/>
    <w:notTrueType/>
    <w:pitch w:val="default"/>
    <w:sig w:usb0="00000003" w:usb1="00000000" w:usb2="00000000" w:usb3="00000000" w:csb0="00000001" w:csb1="00000000"/>
  </w:font>
  <w:font w:name="Times-Roman">
    <w:altName w:val="MS Mincho"/>
    <w:panose1 w:val="00000000000000000000"/>
    <w:charset w:val="80"/>
    <w:family w:val="auto"/>
    <w:notTrueType/>
    <w:pitch w:val="default"/>
    <w:sig w:usb0="00000003" w:usb1="08070000" w:usb2="00000010" w:usb3="00000000" w:csb0="00020001"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altName w:val="Arial"/>
    <w:panose1 w:val="00000000000000000000"/>
    <w:charset w:val="00"/>
    <w:family w:val="swiss"/>
    <w:notTrueType/>
    <w:pitch w:val="default"/>
    <w:sig w:usb0="00002883" w:usb1="00000000" w:usb2="00000000" w:usb3="00000000" w:csb0="00000069" w:csb1="00000000"/>
  </w:font>
  <w:font w:name="TimesBasis">
    <w:panose1 w:val="00000000000000000000"/>
    <w:charset w:val="00"/>
    <w:family w:val="roman"/>
    <w:notTrueType/>
    <w:pitch w:val="default"/>
    <w:sig w:usb0="00000003" w:usb1="00000000" w:usb2="00000000" w:usb3="00000000" w:csb0="00000001" w:csb1="00000000"/>
  </w:font>
  <w:font w:name="TimesBasis-Italic">
    <w:panose1 w:val="00000000000000000000"/>
    <w:charset w:val="00"/>
    <w:family w:val="roman"/>
    <w:notTrueType/>
    <w:pitch w:val="default"/>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CenturySchoolbook">
    <w:panose1 w:val="00000000000000000000"/>
    <w:charset w:val="00"/>
    <w:family w:val="swiss"/>
    <w:notTrueType/>
    <w:pitch w:val="default"/>
    <w:sig w:usb0="00000003" w:usb1="00000000" w:usb2="00000000" w:usb3="00000000" w:csb0="00000001" w:csb1="00000000"/>
  </w:font>
  <w:font w:name="TimesNewRomanPS-BoldItalicMT">
    <w:altName w:val="MS Mincho"/>
    <w:panose1 w:val="00000000000000000000"/>
    <w:charset w:val="00"/>
    <w:family w:val="auto"/>
    <w:notTrueType/>
    <w:pitch w:val="default"/>
    <w:sig w:usb0="00000003" w:usb1="08070000" w:usb2="00000010" w:usb3="00000000" w:csb0="00020001" w:csb1="00000000"/>
  </w:font>
  <w:font w:name="CIDFont+F1">
    <w:altName w:val="MS Mincho"/>
    <w:panose1 w:val="00000000000000000000"/>
    <w:charset w:val="80"/>
    <w:family w:val="auto"/>
    <w:notTrueType/>
    <w:pitch w:val="default"/>
    <w:sig w:usb0="00000001" w:usb1="08070000" w:usb2="00000010" w:usb3="00000000" w:csb0="00020000" w:csb1="00000000"/>
  </w:font>
  <w:font w:name="CIDFont+F3">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AGaramondPro-Italic">
    <w:altName w:val="Times New Roman"/>
    <w:panose1 w:val="00000000000000000000"/>
    <w:charset w:val="EE"/>
    <w:family w:val="roman"/>
    <w:notTrueType/>
    <w:pitch w:val="default"/>
    <w:sig w:usb0="00000005" w:usb1="00000000" w:usb2="00000000" w:usb3="00000000" w:csb0="00000002" w:csb1="00000000"/>
  </w:font>
  <w:font w:name="TimesNewRomanPSMT">
    <w:altName w:val="Times New Roman"/>
    <w:panose1 w:val="00000000000000000000"/>
    <w:charset w:val="B2"/>
    <w:family w:val="auto"/>
    <w:notTrueType/>
    <w:pitch w:val="default"/>
    <w:sig w:usb0="00002003" w:usb1="00000000" w:usb2="00000000" w:usb3="00000000" w:csb0="00000041" w:csb1="00000000"/>
  </w:font>
  <w:font w:name="TimesNewRomanPS-ItalicMT">
    <w:altName w:val="Times New Roman"/>
    <w:panose1 w:val="00000000000000000000"/>
    <w:charset w:val="00"/>
    <w:family w:val="auto"/>
    <w:notTrueType/>
    <w:pitch w:val="default"/>
    <w:sig w:usb0="00000803" w:usb1="00000000" w:usb2="00000000" w:usb3="00000000" w:csb0="00000061" w:csb1="00000000"/>
  </w:font>
  <w:font w:name="MinionPro-Regular">
    <w:altName w:val="Times New Roman"/>
    <w:panose1 w:val="00000000000000000000"/>
    <w:charset w:val="EE"/>
    <w:family w:val="roman"/>
    <w:notTrueType/>
    <w:pitch w:val="default"/>
    <w:sig w:usb0="00000007" w:usb1="00000000" w:usb2="00000000" w:usb3="00000000" w:csb0="00000003" w:csb1="00000000"/>
  </w:font>
  <w:font w:name="CenturySchoolbook-Bold">
    <w:panose1 w:val="00000000000000000000"/>
    <w:charset w:val="00"/>
    <w:family w:val="swiss"/>
    <w:notTrueType/>
    <w:pitch w:val="default"/>
    <w:sig w:usb0="00000003" w:usb1="00000000" w:usb2="00000000" w:usb3="00000000" w:csb0="00000001" w:csb1="00000000"/>
  </w:font>
  <w:font w:name="TimesNewRomanPSMT-Identity-H">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505" w:rsidRDefault="00366505" w:rsidP="00482CA5">
      <w:r>
        <w:separator/>
      </w:r>
    </w:p>
  </w:footnote>
  <w:footnote w:type="continuationSeparator" w:id="0">
    <w:p w:rsidR="00366505" w:rsidRDefault="00366505" w:rsidP="00482CA5">
      <w:r>
        <w:continuationSeparator/>
      </w:r>
    </w:p>
  </w:footnote>
  <w:footnote w:id="1">
    <w:p w:rsidR="008E57DC" w:rsidRPr="005D56D3" w:rsidRDefault="008E57DC" w:rsidP="00622A75">
      <w:pPr>
        <w:pStyle w:val="FootnoteText"/>
        <w:rPr>
          <w:sz w:val="22"/>
          <w:szCs w:val="22"/>
        </w:rPr>
      </w:pPr>
      <w:bookmarkStart w:id="0" w:name="_GoBack"/>
      <w:r w:rsidRPr="005D56D3">
        <w:rPr>
          <w:rStyle w:val="FootnoteReference"/>
          <w:sz w:val="22"/>
          <w:szCs w:val="22"/>
        </w:rPr>
        <w:footnoteRef/>
      </w:r>
      <w:r w:rsidRPr="005D56D3">
        <w:rPr>
          <w:sz w:val="22"/>
          <w:szCs w:val="22"/>
        </w:rPr>
        <w:t xml:space="preserve"> See Black, “The Throne-Theophany Prophetic Commission,” on the “throne-theophany” form.</w:t>
      </w:r>
    </w:p>
  </w:footnote>
  <w:footnote w:id="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Niditch, </w:t>
      </w:r>
      <w:r w:rsidRPr="005D56D3">
        <w:rPr>
          <w:i/>
          <w:sz w:val="22"/>
          <w:szCs w:val="22"/>
        </w:rPr>
        <w:t>The Symbolic Vision in Biblical Tradition</w:t>
      </w:r>
      <w:r w:rsidRPr="005D56D3">
        <w:rPr>
          <w:sz w:val="22"/>
          <w:szCs w:val="22"/>
        </w:rPr>
        <w:t>, 202.</w:t>
      </w:r>
    </w:p>
  </w:footnote>
  <w:footnote w:id="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Niditch, </w:t>
      </w:r>
      <w:r w:rsidRPr="005D56D3">
        <w:rPr>
          <w:i/>
          <w:sz w:val="22"/>
          <w:szCs w:val="22"/>
        </w:rPr>
        <w:t>The Symbolic Vision in Biblical Tradition</w:t>
      </w:r>
      <w:r w:rsidRPr="005D56D3">
        <w:rPr>
          <w:sz w:val="22"/>
          <w:szCs w:val="22"/>
        </w:rPr>
        <w:t>, 189–93.</w:t>
      </w:r>
    </w:p>
  </w:footnote>
  <w:footnote w:id="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Porter, </w:t>
      </w:r>
      <w:r w:rsidRPr="005D56D3">
        <w:rPr>
          <w:i/>
          <w:sz w:val="22"/>
          <w:szCs w:val="22"/>
        </w:rPr>
        <w:t>Metaphors and Monsters</w:t>
      </w:r>
      <w:r w:rsidRPr="005D56D3">
        <w:rPr>
          <w:sz w:val="22"/>
          <w:szCs w:val="22"/>
        </w:rPr>
        <w:t>, 43–60.</w:t>
      </w:r>
    </w:p>
  </w:footnote>
  <w:footnote w:id="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E.g., Murdock, “History and Revelation,” 181–82.</w:t>
      </w:r>
    </w:p>
  </w:footnote>
  <w:footnote w:id="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Gaston, “The Son of Man,” 377–78.</w:t>
      </w:r>
    </w:p>
  </w:footnote>
  <w:footnote w:id="7">
    <w:p w:rsidR="008E57DC" w:rsidRPr="005D56D3" w:rsidRDefault="008E57DC">
      <w:pPr>
        <w:pStyle w:val="FootnoteText"/>
        <w:rPr>
          <w:sz w:val="22"/>
          <w:szCs w:val="22"/>
        </w:rPr>
      </w:pPr>
      <w:r w:rsidRPr="005D56D3">
        <w:rPr>
          <w:rStyle w:val="FootnoteReference"/>
          <w:sz w:val="22"/>
          <w:szCs w:val="22"/>
        </w:rPr>
        <w:footnoteRef/>
      </w:r>
      <w:r w:rsidRPr="005D56D3">
        <w:rPr>
          <w:sz w:val="22"/>
          <w:szCs w:val="22"/>
        </w:rPr>
        <w:t xml:space="preserve"> See Reynolds, </w:t>
      </w:r>
      <w:r w:rsidRPr="005D56D3">
        <w:rPr>
          <w:i/>
          <w:sz w:val="22"/>
          <w:szCs w:val="22"/>
        </w:rPr>
        <w:t>Between Symbolism and Realism</w:t>
      </w:r>
      <w:r w:rsidRPr="005D56D3">
        <w:rPr>
          <w:sz w:val="22"/>
          <w:szCs w:val="22"/>
        </w:rPr>
        <w:t>.</w:t>
      </w:r>
    </w:p>
  </w:footnote>
  <w:footnote w:id="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Setio</w:t>
      </w:r>
      <w:r w:rsidRPr="005D56D3">
        <w:rPr>
          <w:b/>
          <w:sz w:val="22"/>
          <w:szCs w:val="22"/>
        </w:rPr>
        <w:t>, “</w:t>
      </w:r>
      <w:r w:rsidRPr="005D56D3">
        <w:rPr>
          <w:bCs/>
          <w:sz w:val="22"/>
          <w:szCs w:val="22"/>
        </w:rPr>
        <w:t>Fantasy in Apocalyptic Daniel 7,” 190-91; he thinks of them as fantasy, like that of a dream, though he then does not want to reduce fantasy to symbol or metaphor.</w:t>
      </w:r>
    </w:p>
  </w:footnote>
  <w:footnote w:id="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Porter, </w:t>
      </w:r>
      <w:r w:rsidRPr="005D56D3">
        <w:rPr>
          <w:i/>
          <w:sz w:val="22"/>
          <w:szCs w:val="22"/>
        </w:rPr>
        <w:t>Metaphors</w:t>
      </w:r>
      <w:r w:rsidRPr="005D56D3">
        <w:rPr>
          <w:sz w:val="22"/>
          <w:szCs w:val="22"/>
        </w:rPr>
        <w:t xml:space="preserve"> </w:t>
      </w:r>
      <w:r w:rsidRPr="005D56D3">
        <w:rPr>
          <w:i/>
          <w:sz w:val="22"/>
          <w:szCs w:val="22"/>
        </w:rPr>
        <w:t>and Monsters</w:t>
      </w:r>
      <w:r w:rsidRPr="005D56D3">
        <w:rPr>
          <w:sz w:val="22"/>
          <w:szCs w:val="22"/>
        </w:rPr>
        <w:t xml:space="preserve">, 5, following Black, </w:t>
      </w:r>
      <w:r w:rsidRPr="005D56D3">
        <w:rPr>
          <w:i/>
          <w:sz w:val="22"/>
          <w:szCs w:val="22"/>
        </w:rPr>
        <w:t xml:space="preserve">Models and </w:t>
      </w:r>
      <w:r w:rsidRPr="005D56D3">
        <w:rPr>
          <w:iCs/>
          <w:sz w:val="22"/>
          <w:szCs w:val="22"/>
        </w:rPr>
        <w:t>Metaphors</w:t>
      </w:r>
      <w:r w:rsidRPr="005D56D3">
        <w:rPr>
          <w:sz w:val="22"/>
          <w:szCs w:val="22"/>
        </w:rPr>
        <w:t>. Porter suggests that the “root metaphor” of the shepherd underlies Dan 7 and 8 as a whole, though shepherds are never mentioned.</w:t>
      </w:r>
    </w:p>
  </w:footnote>
  <w:footnote w:id="1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In Ricoeur’s terminology: see e.g., </w:t>
      </w:r>
      <w:r w:rsidRPr="005D56D3">
        <w:rPr>
          <w:i/>
          <w:sz w:val="22"/>
          <w:szCs w:val="22"/>
        </w:rPr>
        <w:t>The Symbolism of Evil</w:t>
      </w:r>
      <w:r w:rsidRPr="005D56D3">
        <w:rPr>
          <w:sz w:val="22"/>
          <w:szCs w:val="22"/>
        </w:rPr>
        <w:t>.</w:t>
      </w:r>
    </w:p>
  </w:footnote>
  <w:footnote w:id="1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In Wheelwright’s terminology: see </w:t>
      </w:r>
      <w:r w:rsidRPr="005D56D3">
        <w:rPr>
          <w:i/>
          <w:sz w:val="22"/>
          <w:szCs w:val="22"/>
        </w:rPr>
        <w:t>Metaphor and Reality</w:t>
      </w:r>
      <w:r w:rsidRPr="005D56D3">
        <w:rPr>
          <w:sz w:val="22"/>
          <w:szCs w:val="22"/>
        </w:rPr>
        <w:t xml:space="preserve"> (cf. Perrin, </w:t>
      </w:r>
      <w:r w:rsidRPr="005D56D3">
        <w:rPr>
          <w:i/>
          <w:sz w:val="22"/>
          <w:szCs w:val="22"/>
        </w:rPr>
        <w:t>Jesus and the Language of the Kingdom</w:t>
      </w:r>
      <w:r w:rsidRPr="005D56D3">
        <w:rPr>
          <w:sz w:val="22"/>
          <w:szCs w:val="22"/>
        </w:rPr>
        <w:t>, 29–31).</w:t>
      </w:r>
    </w:p>
  </w:footnote>
  <w:footnote w:id="1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Eggler</w:t>
      </w:r>
      <w:r w:rsidRPr="005D56D3">
        <w:rPr>
          <w:b/>
          <w:sz w:val="22"/>
          <w:szCs w:val="22"/>
        </w:rPr>
        <w:t xml:space="preserve">, </w:t>
      </w:r>
      <w:r w:rsidRPr="005D56D3">
        <w:rPr>
          <w:i/>
          <w:sz w:val="22"/>
          <w:szCs w:val="22"/>
        </w:rPr>
        <w:t>Influences and Traditions Underlying the Vision of Daniel 7:2-14.</w:t>
      </w:r>
    </w:p>
  </w:footnote>
  <w:footnote w:id="1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Porter, </w:t>
      </w:r>
      <w:r w:rsidRPr="005D56D3">
        <w:rPr>
          <w:i/>
          <w:sz w:val="22"/>
          <w:szCs w:val="22"/>
        </w:rPr>
        <w:t>Metaphors and Monsters</w:t>
      </w:r>
      <w:r w:rsidRPr="005D56D3">
        <w:rPr>
          <w:sz w:val="22"/>
          <w:szCs w:val="22"/>
        </w:rPr>
        <w:t>, 111–12.</w:t>
      </w:r>
    </w:p>
  </w:footnote>
  <w:footnote w:id="1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To Hos 13:7-8, Gardner adds Isa 13:5 and other passages (</w:t>
      </w:r>
      <w:r w:rsidRPr="005D56D3">
        <w:rPr>
          <w:b/>
          <w:bCs/>
          <w:iCs/>
          <w:sz w:val="22"/>
          <w:szCs w:val="22"/>
        </w:rPr>
        <w:t>“</w:t>
      </w:r>
      <w:r w:rsidRPr="005D56D3">
        <w:rPr>
          <w:bCs/>
          <w:sz w:val="22"/>
          <w:szCs w:val="22"/>
        </w:rPr>
        <w:t>Decoding Daniel”).</w:t>
      </w:r>
    </w:p>
  </w:footnote>
  <w:footnote w:id="1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Porter, </w:t>
      </w:r>
      <w:r w:rsidRPr="005D56D3">
        <w:rPr>
          <w:i/>
          <w:sz w:val="22"/>
          <w:szCs w:val="22"/>
        </w:rPr>
        <w:t>Metaphors and Monsters</w:t>
      </w:r>
      <w:r w:rsidRPr="005D56D3">
        <w:rPr>
          <w:sz w:val="22"/>
          <w:szCs w:val="22"/>
        </w:rPr>
        <w:t>, 63–86, 95–118, 121; Massyngberde Ford, “Jewish Law and Animal Symbolism,” 204–6; more broadly Lucas, “The Source of Daniel’s Animal Imagery.”</w:t>
      </w:r>
    </w:p>
  </w:footnote>
  <w:footnote w:id="1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Heaton, </w:t>
      </w:r>
      <w:r w:rsidRPr="005D56D3">
        <w:rPr>
          <w:i/>
          <w:sz w:val="22"/>
          <w:szCs w:val="22"/>
        </w:rPr>
        <w:t>Daniel</w:t>
      </w:r>
      <w:r w:rsidRPr="005D56D3">
        <w:rPr>
          <w:sz w:val="22"/>
          <w:szCs w:val="22"/>
        </w:rPr>
        <w:t>, on the passage.</w:t>
      </w:r>
    </w:p>
  </w:footnote>
  <w:footnote w:id="1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Gillingham, “Psalmody and Apocalyptic.”</w:t>
      </w:r>
    </w:p>
  </w:footnote>
  <w:footnote w:id="1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Porteous, </w:t>
      </w:r>
      <w:r w:rsidRPr="005D56D3">
        <w:rPr>
          <w:i/>
          <w:sz w:val="22"/>
          <w:szCs w:val="22"/>
        </w:rPr>
        <w:t>Daniel</w:t>
      </w:r>
      <w:r w:rsidRPr="005D56D3">
        <w:rPr>
          <w:sz w:val="22"/>
          <w:szCs w:val="22"/>
        </w:rPr>
        <w:t>, on the passage.</w:t>
      </w:r>
    </w:p>
  </w:footnote>
  <w:footnote w:id="1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Collins, “The Mythology of Holy War,” 596–600;  Bentzen, </w:t>
      </w:r>
      <w:r w:rsidRPr="005D56D3">
        <w:rPr>
          <w:i/>
          <w:sz w:val="22"/>
          <w:szCs w:val="22"/>
        </w:rPr>
        <w:t>Messias</w:t>
      </w:r>
      <w:r w:rsidRPr="005D56D3">
        <w:rPr>
          <w:sz w:val="22"/>
          <w:szCs w:val="22"/>
        </w:rPr>
        <w:t xml:space="preserve">, 71–74 (ET 73–75); Engnell, review of Sjöberg’s </w:t>
      </w:r>
      <w:r w:rsidRPr="005D56D3">
        <w:rPr>
          <w:i/>
          <w:sz w:val="22"/>
          <w:szCs w:val="22"/>
        </w:rPr>
        <w:t>Der</w:t>
      </w:r>
      <w:r w:rsidRPr="005D56D3">
        <w:rPr>
          <w:sz w:val="22"/>
          <w:szCs w:val="22"/>
        </w:rPr>
        <w:t xml:space="preserve"> </w:t>
      </w:r>
      <w:r w:rsidRPr="005D56D3">
        <w:rPr>
          <w:i/>
          <w:sz w:val="22"/>
          <w:szCs w:val="22"/>
        </w:rPr>
        <w:t>Menschensohn</w:t>
      </w:r>
      <w:r w:rsidRPr="005D56D3">
        <w:rPr>
          <w:sz w:val="22"/>
          <w:szCs w:val="22"/>
        </w:rPr>
        <w:t>, 191–92; ———, “Die Urmenschvorstellung und das AT,” 288.</w:t>
      </w:r>
    </w:p>
  </w:footnote>
  <w:footnote w:id="2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On the background of Dan 7 in Ezek 1—3, see Kim</w:t>
      </w:r>
      <w:r w:rsidRPr="005D56D3">
        <w:rPr>
          <w:b/>
          <w:sz w:val="22"/>
          <w:szCs w:val="22"/>
        </w:rPr>
        <w:t xml:space="preserve">, </w:t>
      </w:r>
      <w:r w:rsidRPr="005D56D3">
        <w:rPr>
          <w:i/>
          <w:sz w:val="22"/>
          <w:szCs w:val="22"/>
        </w:rPr>
        <w:t>Biblical Interpretation in the Book of Daniel</w:t>
      </w:r>
      <w:r w:rsidRPr="005D56D3">
        <w:rPr>
          <w:sz w:val="22"/>
          <w:szCs w:val="22"/>
        </w:rPr>
        <w:t>, 186-249.</w:t>
      </w:r>
    </w:p>
  </w:footnote>
  <w:footnote w:id="2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Bentzen, </w:t>
      </w:r>
      <w:r w:rsidRPr="005D56D3">
        <w:rPr>
          <w:i/>
          <w:sz w:val="22"/>
          <w:szCs w:val="22"/>
        </w:rPr>
        <w:t>Messias</w:t>
      </w:r>
      <w:r w:rsidRPr="005D56D3">
        <w:rPr>
          <w:sz w:val="22"/>
          <w:szCs w:val="22"/>
        </w:rPr>
        <w:t>, 37–42 (ET 39–44); Wifall, “David—Prototype of Israel’s Future?” 103–7; Haag, “Psalm 80 und der Menschensohn.”</w:t>
      </w:r>
    </w:p>
  </w:footnote>
  <w:footnote w:id="2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If one follows the text as emended by BHS in light of LXX.</w:t>
      </w:r>
    </w:p>
  </w:footnote>
  <w:footnote w:id="2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Zimmerli, </w:t>
      </w:r>
      <w:r w:rsidRPr="005D56D3">
        <w:rPr>
          <w:i/>
          <w:sz w:val="22"/>
          <w:szCs w:val="22"/>
        </w:rPr>
        <w:t>Ezechiel</w:t>
      </w:r>
      <w:r w:rsidRPr="005D56D3">
        <w:rPr>
          <w:sz w:val="22"/>
          <w:szCs w:val="22"/>
        </w:rPr>
        <w:t xml:space="preserve"> on the passage; on the Ezekiel material as possible background to the humanlike figure, see Procksch, “Die Berufungsvision Hesekiels”; Feuillet, “Le Fils de l’homme de Daniel” (he also adds as background the hypostatized Wisdom of Prov 8); Black, “The Throne-Theophany Prophetic Commission and the ‘Son of Man,” 60; cf. Balz, </w:t>
      </w:r>
      <w:r w:rsidRPr="005D56D3">
        <w:rPr>
          <w:i/>
          <w:sz w:val="22"/>
          <w:szCs w:val="22"/>
        </w:rPr>
        <w:t>Methodische Probleme der NT Christologie</w:t>
      </w:r>
      <w:r w:rsidRPr="005D56D3">
        <w:rPr>
          <w:sz w:val="22"/>
          <w:szCs w:val="22"/>
        </w:rPr>
        <w:t>, 80–89.</w:t>
      </w:r>
    </w:p>
  </w:footnote>
  <w:footnote w:id="2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E.g., Grelot, “Daniel vii, 9–10 et le livre d’Hénoch”; Kvanvig, “Henoch und der Menschensohn”; ———, </w:t>
      </w:r>
      <w:r w:rsidRPr="005D56D3">
        <w:rPr>
          <w:i/>
          <w:sz w:val="22"/>
          <w:szCs w:val="22"/>
        </w:rPr>
        <w:t>Roots of Apocalyptic</w:t>
      </w:r>
      <w:r w:rsidRPr="005D56D3">
        <w:rPr>
          <w:sz w:val="22"/>
          <w:szCs w:val="22"/>
        </w:rPr>
        <w:t xml:space="preserve"> ; Müller, “Beobachtungen zur Entwicklung der Menschensohnvorstellung, 253–61; Rowland, </w:t>
      </w:r>
      <w:r w:rsidRPr="005D56D3">
        <w:rPr>
          <w:i/>
          <w:sz w:val="22"/>
          <w:szCs w:val="22"/>
        </w:rPr>
        <w:t>The Open Heaven</w:t>
      </w:r>
      <w:r w:rsidRPr="005D56D3">
        <w:rPr>
          <w:sz w:val="22"/>
          <w:szCs w:val="22"/>
        </w:rPr>
        <w:t>, 255–58.</w:t>
      </w:r>
    </w:p>
  </w:footnote>
  <w:footnote w:id="2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E.g., Emerton, “The Origin of the Son of Man Imagery,” 226; Casey, “The Use of the Term ‘Son of Man’ in the Similitudes of Enoch,” 20–22.</w:t>
      </w:r>
    </w:p>
  </w:footnote>
  <w:footnote w:id="2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E.g., Coppens, “La vision du Très-Haut en Dan., vii et Hén. éthiop. xiv”; Müller, “Menschensohn und Messias,” 175–79.</w:t>
      </w:r>
    </w:p>
  </w:footnote>
  <w:footnote w:id="2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the survey in Collins, </w:t>
      </w:r>
      <w:r w:rsidRPr="005D56D3">
        <w:rPr>
          <w:i/>
          <w:sz w:val="22"/>
          <w:szCs w:val="22"/>
        </w:rPr>
        <w:t>Daniel</w:t>
      </w:r>
      <w:r w:rsidRPr="005D56D3">
        <w:rPr>
          <w:sz w:val="22"/>
          <w:szCs w:val="22"/>
        </w:rPr>
        <w:t>, 280-94.</w:t>
      </w:r>
    </w:p>
  </w:footnote>
  <w:footnote w:id="2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Gressmann, </w:t>
      </w:r>
      <w:r w:rsidRPr="005D56D3">
        <w:rPr>
          <w:i/>
          <w:sz w:val="22"/>
          <w:szCs w:val="22"/>
        </w:rPr>
        <w:t>Der Messias</w:t>
      </w:r>
      <w:r w:rsidRPr="005D56D3">
        <w:rPr>
          <w:sz w:val="22"/>
          <w:szCs w:val="22"/>
        </w:rPr>
        <w:t>, 403–9; Lebram, “König Antiochus,” 743–50.</w:t>
      </w:r>
    </w:p>
  </w:footnote>
  <w:footnote w:id="2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Morgenstern, “The ‘Son of Man’ of Daniel 7 13f”; ———, “Jesus as the ‘Son of Man.’”</w:t>
      </w:r>
    </w:p>
  </w:footnote>
  <w:footnote w:id="3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the systematic exposition in Borsch, </w:t>
      </w:r>
      <w:r w:rsidRPr="005D56D3">
        <w:rPr>
          <w:i/>
          <w:sz w:val="22"/>
          <w:szCs w:val="22"/>
        </w:rPr>
        <w:t>Son of Man</w:t>
      </w:r>
      <w:r w:rsidRPr="005D56D3">
        <w:rPr>
          <w:sz w:val="22"/>
          <w:szCs w:val="22"/>
        </w:rPr>
        <w:t>, 55–106.</w:t>
      </w:r>
    </w:p>
  </w:footnote>
  <w:footnote w:id="3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the survey in Hultgård “Das Judentum in der hellenistisch-römischen Zeit und die iranische Religion,” 515–36.</w:t>
      </w:r>
    </w:p>
  </w:footnote>
  <w:footnote w:id="3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w:t>
      </w:r>
      <w:r w:rsidRPr="005D56D3">
        <w:rPr>
          <w:i/>
          <w:sz w:val="22"/>
          <w:szCs w:val="22"/>
        </w:rPr>
        <w:t>ANET</w:t>
      </w:r>
      <w:r w:rsidRPr="005D56D3">
        <w:rPr>
          <w:sz w:val="22"/>
          <w:szCs w:val="22"/>
        </w:rPr>
        <w:t xml:space="preserve">, 102; cf. Gunkel, </w:t>
      </w:r>
      <w:r w:rsidRPr="005D56D3">
        <w:rPr>
          <w:i/>
          <w:sz w:val="22"/>
          <w:szCs w:val="22"/>
        </w:rPr>
        <w:t>Schöpfung und Chaos</w:t>
      </w:r>
      <w:r w:rsidRPr="005D56D3">
        <w:rPr>
          <w:sz w:val="22"/>
          <w:szCs w:val="22"/>
        </w:rPr>
        <w:t>, 148 (ET 98, 325); Hommel, “The Apocalyptic Origin of the Expression ‘Son of Man.’”</w:t>
      </w:r>
    </w:p>
  </w:footnote>
  <w:footnote w:id="3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w:t>
      </w:r>
      <w:r w:rsidRPr="005D56D3">
        <w:rPr>
          <w:i/>
          <w:sz w:val="22"/>
          <w:szCs w:val="22"/>
        </w:rPr>
        <w:t>ANET</w:t>
      </w:r>
      <w:r w:rsidRPr="005D56D3">
        <w:rPr>
          <w:sz w:val="22"/>
          <w:szCs w:val="22"/>
        </w:rPr>
        <w:t xml:space="preserve">, 109–10; see Kvanvig, “An Akkadian Vision as Background for Dan 7”; </w:t>
      </w:r>
      <w:r w:rsidRPr="005D56D3">
        <w:rPr>
          <w:i/>
          <w:sz w:val="22"/>
          <w:szCs w:val="22"/>
        </w:rPr>
        <w:t>Roots of Apocalyptic</w:t>
      </w:r>
      <w:r w:rsidRPr="005D56D3">
        <w:rPr>
          <w:sz w:val="22"/>
          <w:szCs w:val="22"/>
        </w:rPr>
        <w:t>.</w:t>
      </w:r>
    </w:p>
  </w:footnote>
  <w:footnote w:id="3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w:t>
      </w:r>
      <w:r w:rsidRPr="005D56D3">
        <w:rPr>
          <w:i/>
          <w:sz w:val="22"/>
          <w:szCs w:val="22"/>
        </w:rPr>
        <w:t>ANET</w:t>
      </w:r>
      <w:r w:rsidRPr="005D56D3">
        <w:rPr>
          <w:sz w:val="22"/>
          <w:szCs w:val="22"/>
        </w:rPr>
        <w:t xml:space="preserve">, 60–72, 501–3; see Gunkel, </w:t>
      </w:r>
      <w:r w:rsidRPr="005D56D3">
        <w:rPr>
          <w:i/>
          <w:sz w:val="22"/>
          <w:szCs w:val="22"/>
        </w:rPr>
        <w:t>Schöpfung</w:t>
      </w:r>
      <w:r w:rsidRPr="005D56D3">
        <w:rPr>
          <w:sz w:val="22"/>
          <w:szCs w:val="22"/>
        </w:rPr>
        <w:t xml:space="preserve"> </w:t>
      </w:r>
      <w:r w:rsidRPr="005D56D3">
        <w:rPr>
          <w:i/>
          <w:sz w:val="22"/>
          <w:szCs w:val="22"/>
        </w:rPr>
        <w:t>und Chaos</w:t>
      </w:r>
      <w:r w:rsidRPr="005D56D3">
        <w:rPr>
          <w:sz w:val="22"/>
          <w:szCs w:val="22"/>
        </w:rPr>
        <w:t>, 323–35 (ET 205-7); Kraeling, “Some Babylonian and Iranian Mythology in the Seventh Chapter of Daniel”; Gardner</w:t>
      </w:r>
      <w:r w:rsidRPr="005D56D3">
        <w:rPr>
          <w:b/>
          <w:sz w:val="22"/>
          <w:szCs w:val="22"/>
        </w:rPr>
        <w:t xml:space="preserve">, </w:t>
      </w:r>
      <w:r w:rsidRPr="005D56D3">
        <w:rPr>
          <w:sz w:val="22"/>
          <w:szCs w:val="22"/>
        </w:rPr>
        <w:t>“Daniel 7,2-14.”</w:t>
      </w:r>
    </w:p>
  </w:footnote>
  <w:footnote w:id="3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e.g., Lacocque, “Allusions to Creation in Daniel 7”; Walton notes also the </w:t>
      </w:r>
      <w:r w:rsidRPr="005D56D3">
        <w:rPr>
          <w:i/>
          <w:sz w:val="22"/>
          <w:szCs w:val="22"/>
        </w:rPr>
        <w:t xml:space="preserve">Anzu </w:t>
      </w:r>
      <w:r w:rsidRPr="005D56D3">
        <w:rPr>
          <w:sz w:val="22"/>
          <w:szCs w:val="22"/>
        </w:rPr>
        <w:t>myth (</w:t>
      </w:r>
      <w:r w:rsidRPr="005D56D3">
        <w:rPr>
          <w:iCs/>
          <w:sz w:val="22"/>
          <w:szCs w:val="22"/>
        </w:rPr>
        <w:t xml:space="preserve">“The </w:t>
      </w:r>
      <w:r w:rsidRPr="005D56D3">
        <w:rPr>
          <w:i/>
          <w:iCs/>
          <w:sz w:val="22"/>
          <w:szCs w:val="22"/>
        </w:rPr>
        <w:t>Anzu</w:t>
      </w:r>
      <w:r w:rsidRPr="005D56D3">
        <w:rPr>
          <w:iCs/>
          <w:sz w:val="22"/>
          <w:szCs w:val="22"/>
        </w:rPr>
        <w:t xml:space="preserve"> Myth as Relevant Background for Daniel 7?”).</w:t>
      </w:r>
    </w:p>
  </w:footnote>
  <w:footnote w:id="3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But see the careful discussion in Kearns, </w:t>
      </w:r>
      <w:r w:rsidRPr="005D56D3">
        <w:rPr>
          <w:i/>
          <w:sz w:val="22"/>
          <w:szCs w:val="22"/>
        </w:rPr>
        <w:t>Vorfragen zur Christologie</w:t>
      </w:r>
      <w:r w:rsidRPr="005D56D3">
        <w:rPr>
          <w:sz w:val="22"/>
          <w:szCs w:val="22"/>
        </w:rPr>
        <w:t xml:space="preserve"> 2:173–74; Collins, “Stirring up the Great Sea.”</w:t>
      </w:r>
    </w:p>
  </w:footnote>
  <w:footnote w:id="3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w:t>
      </w:r>
      <w:r w:rsidRPr="005D56D3">
        <w:rPr>
          <w:i/>
          <w:sz w:val="22"/>
          <w:szCs w:val="22"/>
        </w:rPr>
        <w:t>ANET</w:t>
      </w:r>
      <w:r w:rsidRPr="005D56D3">
        <w:rPr>
          <w:sz w:val="22"/>
          <w:szCs w:val="22"/>
        </w:rPr>
        <w:t xml:space="preserve">, 129–42; Driver/Gibson, </w:t>
      </w:r>
      <w:r w:rsidRPr="005D56D3">
        <w:rPr>
          <w:i/>
          <w:sz w:val="22"/>
          <w:szCs w:val="22"/>
        </w:rPr>
        <w:t>Canaanite Myths and Legends</w:t>
      </w:r>
      <w:r w:rsidRPr="005D56D3">
        <w:rPr>
          <w:sz w:val="22"/>
          <w:szCs w:val="22"/>
        </w:rPr>
        <w:t xml:space="preserve">; Eissfeldt, </w:t>
      </w:r>
      <w:r w:rsidRPr="005D56D3">
        <w:rPr>
          <w:i/>
          <w:sz w:val="22"/>
          <w:szCs w:val="22"/>
        </w:rPr>
        <w:t>Baal Zaphon</w:t>
      </w:r>
      <w:r w:rsidRPr="005D56D3">
        <w:rPr>
          <w:sz w:val="22"/>
          <w:szCs w:val="22"/>
        </w:rPr>
        <w:t xml:space="preserve">, 25–30; Emerton, “The Origin of the Son of Man Imagery”; Rost, </w:t>
      </w:r>
      <w:r w:rsidRPr="005D56D3">
        <w:rPr>
          <w:i/>
          <w:sz w:val="22"/>
          <w:szCs w:val="22"/>
        </w:rPr>
        <w:t>Studien zum AT</w:t>
      </w:r>
      <w:r w:rsidRPr="005D56D3">
        <w:rPr>
          <w:sz w:val="22"/>
          <w:szCs w:val="22"/>
        </w:rPr>
        <w:t xml:space="preserve">, 72–75; Colpe, “ὁ υἱὸς </w:t>
      </w:r>
      <w:r w:rsidRPr="005D56D3">
        <w:rPr>
          <w:sz w:val="22"/>
          <w:szCs w:val="22"/>
          <w:lang w:val="el-GR"/>
        </w:rPr>
        <w:t>τοῦ</w:t>
      </w:r>
      <w:r w:rsidRPr="005D56D3">
        <w:rPr>
          <w:sz w:val="22"/>
          <w:szCs w:val="22"/>
        </w:rPr>
        <w:t xml:space="preserve"> ἀνθρώπου”; Hanson, </w:t>
      </w:r>
      <w:r w:rsidRPr="005D56D3">
        <w:rPr>
          <w:i/>
          <w:sz w:val="22"/>
          <w:szCs w:val="22"/>
        </w:rPr>
        <w:t>Dawn of Apocalyptic</w:t>
      </w:r>
      <w:r w:rsidRPr="005D56D3">
        <w:rPr>
          <w:sz w:val="22"/>
          <w:szCs w:val="22"/>
        </w:rPr>
        <w:t xml:space="preserve">, 292–324, 369–401, for parallels in Zechariah; Kearns, </w:t>
      </w:r>
      <w:r w:rsidRPr="005D56D3">
        <w:rPr>
          <w:i/>
          <w:sz w:val="22"/>
          <w:szCs w:val="22"/>
        </w:rPr>
        <w:t>Vorfragen zur Christologi</w:t>
      </w:r>
      <w:r w:rsidRPr="005D56D3">
        <w:rPr>
          <w:sz w:val="22"/>
          <w:szCs w:val="22"/>
        </w:rPr>
        <w:t xml:space="preserve">e 2:83–194; Collins, </w:t>
      </w:r>
      <w:r w:rsidRPr="005D56D3">
        <w:rPr>
          <w:i/>
          <w:sz w:val="22"/>
          <w:szCs w:val="22"/>
        </w:rPr>
        <w:t>Apocalyptic Vision of the Book of Daniel</w:t>
      </w:r>
      <w:r w:rsidRPr="005D56D3">
        <w:rPr>
          <w:sz w:val="22"/>
          <w:szCs w:val="22"/>
        </w:rPr>
        <w:t xml:space="preserve">, 95–106; Day, </w:t>
      </w:r>
      <w:r w:rsidRPr="005D56D3">
        <w:rPr>
          <w:i/>
          <w:sz w:val="22"/>
          <w:szCs w:val="22"/>
        </w:rPr>
        <w:t>God’s Conflict with the Dragon</w:t>
      </w:r>
      <w:r w:rsidRPr="005D56D3">
        <w:rPr>
          <w:sz w:val="22"/>
          <w:szCs w:val="22"/>
        </w:rPr>
        <w:t xml:space="preserve">; critique in Casey, </w:t>
      </w:r>
      <w:r w:rsidRPr="005D56D3">
        <w:rPr>
          <w:i/>
          <w:sz w:val="22"/>
          <w:szCs w:val="22"/>
        </w:rPr>
        <w:t>Son of Man</w:t>
      </w:r>
      <w:r w:rsidRPr="005D56D3">
        <w:rPr>
          <w:sz w:val="22"/>
          <w:szCs w:val="22"/>
        </w:rPr>
        <w:t xml:space="preserve">, 34–38; Coppens, “Les origines du symbole du Fils d’homme; Ferch, </w:t>
      </w:r>
      <w:r w:rsidRPr="005D56D3">
        <w:rPr>
          <w:i/>
          <w:sz w:val="22"/>
          <w:szCs w:val="22"/>
        </w:rPr>
        <w:t>Son of Man</w:t>
      </w:r>
      <w:r w:rsidRPr="005D56D3">
        <w:rPr>
          <w:sz w:val="22"/>
          <w:szCs w:val="22"/>
        </w:rPr>
        <w:t>, 54–77; Mosca, “Ugarit and Daniel 7.”</w:t>
      </w:r>
    </w:p>
  </w:footnote>
  <w:footnote w:id="3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Steinmann, </w:t>
      </w:r>
      <w:r w:rsidRPr="005D56D3">
        <w:rPr>
          <w:i/>
          <w:sz w:val="22"/>
          <w:szCs w:val="22"/>
        </w:rPr>
        <w:t>Daniel</w:t>
      </w:r>
      <w:r w:rsidRPr="005D56D3">
        <w:rPr>
          <w:sz w:val="22"/>
          <w:szCs w:val="22"/>
        </w:rPr>
        <w:t>, 85.</w:t>
      </w:r>
    </w:p>
  </w:footnote>
  <w:footnote w:id="3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Wittstruck, “The Influence of Treaty Curse Imagery on the Beast Imagery of Daniel 7”; but see Rimbach, “Bears or Bees?”</w:t>
      </w:r>
    </w:p>
  </w:footnote>
  <w:footnote w:id="4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Hillers, Treaty Curses and the OT Prophets, 56.</w:t>
      </w:r>
    </w:p>
  </w:footnote>
  <w:footnote w:id="4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Caquot, “Sur les quatre bêtes de Daniel vii.”</w:t>
      </w:r>
    </w:p>
  </w:footnote>
  <w:footnote w:id="4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Coppens, “Un nouvel essai d’interpréter Dan., vii”; Day, </w:t>
      </w:r>
      <w:r w:rsidRPr="005D56D3">
        <w:rPr>
          <w:i/>
          <w:sz w:val="22"/>
          <w:szCs w:val="22"/>
        </w:rPr>
        <w:t>God’s Conflict with the Dragon</w:t>
      </w:r>
      <w:r w:rsidRPr="005D56D3">
        <w:rPr>
          <w:sz w:val="22"/>
          <w:szCs w:val="22"/>
        </w:rPr>
        <w:t>, 154–55.</w:t>
      </w:r>
    </w:p>
  </w:footnote>
  <w:footnote w:id="4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on 1:3–5; also Porter, </w:t>
      </w:r>
      <w:r w:rsidRPr="005D56D3">
        <w:rPr>
          <w:i/>
          <w:sz w:val="22"/>
          <w:szCs w:val="22"/>
        </w:rPr>
        <w:t>Metaphors and Monsters</w:t>
      </w:r>
      <w:r w:rsidRPr="005D56D3">
        <w:rPr>
          <w:sz w:val="22"/>
          <w:szCs w:val="22"/>
        </w:rPr>
        <w:t>, 15–29.</w:t>
      </w:r>
    </w:p>
  </w:footnote>
  <w:footnote w:id="4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w:t>
      </w:r>
      <w:r w:rsidRPr="005D56D3">
        <w:rPr>
          <w:i/>
          <w:sz w:val="22"/>
          <w:szCs w:val="22"/>
        </w:rPr>
        <w:t>ANET</w:t>
      </w:r>
      <w:r w:rsidRPr="005D56D3">
        <w:rPr>
          <w:sz w:val="22"/>
          <w:szCs w:val="22"/>
        </w:rPr>
        <w:t xml:space="preserve">, 585–86; see Porter, </w:t>
      </w:r>
      <w:r w:rsidRPr="005D56D3">
        <w:rPr>
          <w:i/>
          <w:sz w:val="22"/>
          <w:szCs w:val="22"/>
        </w:rPr>
        <w:t>Metaphors and Monsters</w:t>
      </w:r>
      <w:r w:rsidRPr="005D56D3">
        <w:rPr>
          <w:sz w:val="22"/>
          <w:szCs w:val="22"/>
        </w:rPr>
        <w:t>, 84–85.</w:t>
      </w:r>
    </w:p>
  </w:footnote>
  <w:footnote w:id="4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Morenz, “Das Tier mit den Hörnern”; Staub, “Das Tier mit den Hörnern.”</w:t>
      </w:r>
    </w:p>
  </w:footnote>
  <w:footnote w:id="4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Momigliano, “The Origins of Universal History”; </w:t>
      </w:r>
      <w:r w:rsidRPr="005D56D3">
        <w:rPr>
          <w:b/>
          <w:sz w:val="22"/>
          <w:szCs w:val="22"/>
        </w:rPr>
        <w:t xml:space="preserve">——— </w:t>
      </w:r>
      <w:r w:rsidRPr="005D56D3">
        <w:rPr>
          <w:sz w:val="22"/>
          <w:szCs w:val="22"/>
        </w:rPr>
        <w:t xml:space="preserve">“Daniel and Imperial Succession”; Niskanen, </w:t>
      </w:r>
      <w:r w:rsidRPr="005D56D3">
        <w:rPr>
          <w:i/>
          <w:sz w:val="22"/>
          <w:szCs w:val="22"/>
        </w:rPr>
        <w:t>The Human and the Divine in History</w:t>
      </w:r>
      <w:r w:rsidRPr="005D56D3">
        <w:rPr>
          <w:sz w:val="22"/>
          <w:szCs w:val="22"/>
        </w:rPr>
        <w:t xml:space="preserve">, 27-43. Keel (“Die Teere und der Mensch in Daniel 7,” in Keel/Staub, </w:t>
      </w:r>
      <w:r w:rsidRPr="005D56D3">
        <w:rPr>
          <w:i/>
          <w:sz w:val="22"/>
          <w:szCs w:val="22"/>
        </w:rPr>
        <w:t>Hellenismus und Judentum</w:t>
      </w:r>
      <w:r w:rsidRPr="005D56D3">
        <w:rPr>
          <w:sz w:val="22"/>
          <w:szCs w:val="22"/>
        </w:rPr>
        <w:t>, 1-35) urges attention to other aspects of Greek background to the chapter.</w:t>
      </w:r>
    </w:p>
  </w:footnote>
  <w:footnote w:id="4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E.g., Beasley-Murray, “The Interpretation of Daniel 7.”</w:t>
      </w:r>
    </w:p>
  </w:footnote>
  <w:footnote w:id="4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Heaton, </w:t>
      </w:r>
      <w:r w:rsidRPr="005D56D3">
        <w:rPr>
          <w:i/>
          <w:sz w:val="22"/>
          <w:szCs w:val="22"/>
        </w:rPr>
        <w:t>Daniel</w:t>
      </w:r>
      <w:r w:rsidRPr="005D56D3">
        <w:rPr>
          <w:sz w:val="22"/>
          <w:szCs w:val="22"/>
        </w:rPr>
        <w:t>, on the chapter.</w:t>
      </w:r>
    </w:p>
  </w:footnote>
  <w:footnote w:id="4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Plöger, </w:t>
      </w:r>
      <w:r w:rsidRPr="005D56D3">
        <w:rPr>
          <w:i/>
          <w:sz w:val="22"/>
          <w:szCs w:val="22"/>
        </w:rPr>
        <w:t>Daniel</w:t>
      </w:r>
      <w:r w:rsidRPr="005D56D3">
        <w:rPr>
          <w:sz w:val="22"/>
          <w:szCs w:val="22"/>
        </w:rPr>
        <w:t>, on the chapter.</w:t>
      </w:r>
    </w:p>
  </w:footnote>
  <w:footnote w:id="50">
    <w:p w:rsidR="008E57DC" w:rsidRPr="005D56D3" w:rsidRDefault="008E57DC" w:rsidP="00CB4556">
      <w:pPr>
        <w:pStyle w:val="FootnoteText"/>
        <w:rPr>
          <w:sz w:val="22"/>
          <w:szCs w:val="22"/>
        </w:rPr>
      </w:pPr>
      <w:r w:rsidRPr="005D56D3">
        <w:rPr>
          <w:rStyle w:val="FootnoteReference"/>
          <w:sz w:val="22"/>
          <w:szCs w:val="22"/>
        </w:rPr>
        <w:footnoteRef/>
      </w:r>
      <w:r w:rsidRPr="005D56D3">
        <w:rPr>
          <w:sz w:val="22"/>
          <w:szCs w:val="22"/>
        </w:rPr>
        <w:t xml:space="preserve"> Cf. Newsom, </w:t>
      </w:r>
      <w:r w:rsidRPr="005D56D3">
        <w:rPr>
          <w:i/>
          <w:sz w:val="22"/>
          <w:szCs w:val="22"/>
        </w:rPr>
        <w:t>Daniel</w:t>
      </w:r>
      <w:r w:rsidRPr="005D56D3">
        <w:rPr>
          <w:sz w:val="22"/>
          <w:szCs w:val="22"/>
        </w:rPr>
        <w:t>, 217-20.</w:t>
      </w:r>
    </w:p>
  </w:footnote>
  <w:footnote w:id="5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Rowe, “Is Daniel’s ‘Son of Man’ Messianic?” 84–85.</w:t>
      </w:r>
    </w:p>
  </w:footnote>
  <w:footnote w:id="5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Plöger, </w:t>
      </w:r>
      <w:r w:rsidRPr="005D56D3">
        <w:rPr>
          <w:i/>
          <w:sz w:val="22"/>
          <w:szCs w:val="22"/>
        </w:rPr>
        <w:t>Daniel</w:t>
      </w:r>
      <w:r w:rsidRPr="005D56D3">
        <w:rPr>
          <w:sz w:val="22"/>
          <w:szCs w:val="22"/>
        </w:rPr>
        <w:t>, on the passage.</w:t>
      </w:r>
    </w:p>
  </w:footnote>
  <w:footnote w:id="5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Gressmann, </w:t>
      </w:r>
      <w:r w:rsidRPr="005D56D3">
        <w:rPr>
          <w:i/>
          <w:sz w:val="22"/>
          <w:szCs w:val="22"/>
        </w:rPr>
        <w:t>Der Messias</w:t>
      </w:r>
      <w:r w:rsidRPr="005D56D3">
        <w:rPr>
          <w:sz w:val="22"/>
          <w:szCs w:val="22"/>
        </w:rPr>
        <w:t>, 346.</w:t>
      </w:r>
    </w:p>
  </w:footnote>
  <w:footnote w:id="5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This understanding combines insights from Ferch (</w:t>
      </w:r>
      <w:r w:rsidRPr="005D56D3">
        <w:rPr>
          <w:i/>
          <w:sz w:val="22"/>
          <w:szCs w:val="22"/>
        </w:rPr>
        <w:t>Son of Man</w:t>
      </w:r>
      <w:r w:rsidRPr="005D56D3">
        <w:rPr>
          <w:sz w:val="22"/>
          <w:szCs w:val="22"/>
        </w:rPr>
        <w:t>, 136–37) and Kvanvig (“Struktur und Geschichte in Dan 7,1–14,”  101–2). The larger chiasm Ferch finds in Dan 7 as a whole (</w:t>
      </w:r>
      <w:r w:rsidRPr="005D56D3">
        <w:rPr>
          <w:i/>
          <w:sz w:val="22"/>
          <w:szCs w:val="22"/>
        </w:rPr>
        <w:t>Son of Man</w:t>
      </w:r>
      <w:r w:rsidRPr="005D56D3">
        <w:rPr>
          <w:sz w:val="22"/>
          <w:szCs w:val="22"/>
        </w:rPr>
        <w:t>,</w:t>
      </w:r>
      <w:r w:rsidRPr="005D56D3">
        <w:rPr>
          <w:i/>
          <w:sz w:val="22"/>
          <w:szCs w:val="22"/>
        </w:rPr>
        <w:t xml:space="preserve"> </w:t>
      </w:r>
      <w:r w:rsidRPr="005D56D3">
        <w:rPr>
          <w:sz w:val="22"/>
          <w:szCs w:val="22"/>
        </w:rPr>
        <w:t>142; cf. Raabe, “Daniel 7,” 267–68) seems more forced.</w:t>
      </w:r>
    </w:p>
    <w:p w:rsidR="008E57DC" w:rsidRPr="005D56D3" w:rsidRDefault="008E57DC" w:rsidP="00622A75">
      <w:pPr>
        <w:pStyle w:val="FootnoteText"/>
        <w:rPr>
          <w:sz w:val="22"/>
          <w:szCs w:val="22"/>
        </w:rPr>
      </w:pPr>
    </w:p>
  </w:footnote>
  <w:footnote w:id="5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Niditch, </w:t>
      </w:r>
      <w:r w:rsidRPr="005D56D3">
        <w:rPr>
          <w:i/>
          <w:sz w:val="22"/>
          <w:szCs w:val="22"/>
        </w:rPr>
        <w:t>The Symbolic Vision in Biblical Tradition</w:t>
      </w:r>
      <w:r w:rsidRPr="005D56D3">
        <w:rPr>
          <w:sz w:val="22"/>
          <w:szCs w:val="22"/>
        </w:rPr>
        <w:t>, on the passage.</w:t>
      </w:r>
    </w:p>
  </w:footnote>
  <w:footnote w:id="5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Niditch, </w:t>
      </w:r>
      <w:r w:rsidRPr="005D56D3">
        <w:rPr>
          <w:i/>
          <w:sz w:val="22"/>
          <w:szCs w:val="22"/>
        </w:rPr>
        <w:t>The Symbolic Vision in Biblical Tradition</w:t>
      </w:r>
      <w:r w:rsidRPr="005D56D3">
        <w:rPr>
          <w:sz w:val="22"/>
          <w:szCs w:val="22"/>
        </w:rPr>
        <w:t>, 189–92.</w:t>
      </w:r>
    </w:p>
  </w:footnote>
  <w:footnote w:id="5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Casey, review of Collins, </w:t>
      </w:r>
      <w:r w:rsidRPr="005D56D3">
        <w:rPr>
          <w:i/>
          <w:sz w:val="22"/>
          <w:szCs w:val="22"/>
        </w:rPr>
        <w:t>Daniel with an Introduction to Apocalyptic Literature</w:t>
      </w:r>
      <w:r w:rsidRPr="005D56D3">
        <w:rPr>
          <w:sz w:val="22"/>
          <w:szCs w:val="22"/>
        </w:rPr>
        <w:t>,</w:t>
      </w:r>
      <w:r w:rsidRPr="005D56D3">
        <w:rPr>
          <w:i/>
          <w:sz w:val="22"/>
          <w:szCs w:val="22"/>
        </w:rPr>
        <w:t xml:space="preserve"> </w:t>
      </w:r>
      <w:r w:rsidRPr="005D56D3">
        <w:rPr>
          <w:sz w:val="22"/>
          <w:szCs w:val="22"/>
        </w:rPr>
        <w:t>480–81.</w:t>
      </w:r>
    </w:p>
  </w:footnote>
  <w:footnote w:id="5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E.g., Coppens, Dequeker, Haag, Haller, Kearns, Kvanvig, K. Müller, Noth,Weimar (see </w:t>
      </w:r>
      <w:r w:rsidRPr="005D56D3">
        <w:rPr>
          <w:i/>
          <w:sz w:val="22"/>
          <w:szCs w:val="22"/>
        </w:rPr>
        <w:t>Pericope Bibliography</w:t>
      </w:r>
      <w:r w:rsidRPr="005D56D3">
        <w:rPr>
          <w:sz w:val="22"/>
          <w:szCs w:val="22"/>
        </w:rPr>
        <w:t xml:space="preserve">); also Ginsberg, </w:t>
      </w:r>
      <w:r w:rsidRPr="005D56D3">
        <w:rPr>
          <w:i/>
          <w:sz w:val="22"/>
          <w:szCs w:val="22"/>
        </w:rPr>
        <w:t>Studies in Daniel</w:t>
      </w:r>
      <w:r w:rsidRPr="005D56D3">
        <w:rPr>
          <w:sz w:val="22"/>
          <w:szCs w:val="22"/>
        </w:rPr>
        <w:t xml:space="preserve">; </w:t>
      </w:r>
      <w:r w:rsidRPr="005D56D3">
        <w:rPr>
          <w:i/>
          <w:sz w:val="22"/>
          <w:szCs w:val="22"/>
        </w:rPr>
        <w:t xml:space="preserve"> </w:t>
      </w:r>
      <w:r w:rsidRPr="005D56D3">
        <w:rPr>
          <w:sz w:val="22"/>
          <w:szCs w:val="22"/>
        </w:rPr>
        <w:t xml:space="preserve">Hölscher,“Die Entstehung des Buches Daniel.” </w:t>
      </w:r>
    </w:p>
  </w:footnote>
  <w:footnote w:id="5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Kruse, “Compositio Libri Danielis et idea Filii Hominis.”</w:t>
      </w:r>
    </w:p>
  </w:footnote>
  <w:footnote w:id="6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E.g., Weimar, “Daniel 7,” 15–25; Hölscher, ,“Die Entstehung des Buches Daniel,” 120–21.</w:t>
      </w:r>
    </w:p>
  </w:footnote>
  <w:footnote w:id="6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E.g., Rowley, “Composition of the Book of Daniel,” Collins, </w:t>
      </w:r>
      <w:r w:rsidRPr="005D56D3">
        <w:rPr>
          <w:i/>
          <w:sz w:val="22"/>
          <w:szCs w:val="22"/>
        </w:rPr>
        <w:t>Daniel</w:t>
      </w:r>
      <w:r w:rsidRPr="005D56D3">
        <w:rPr>
          <w:sz w:val="22"/>
          <w:szCs w:val="22"/>
        </w:rPr>
        <w:t xml:space="preserve">, 278-80; Casey, </w:t>
      </w:r>
      <w:r w:rsidRPr="005D56D3">
        <w:rPr>
          <w:i/>
          <w:sz w:val="22"/>
          <w:szCs w:val="22"/>
        </w:rPr>
        <w:t>Son of Man</w:t>
      </w:r>
      <w:r w:rsidRPr="005D56D3">
        <w:rPr>
          <w:sz w:val="22"/>
          <w:szCs w:val="22"/>
        </w:rPr>
        <w:t xml:space="preserve">; Ferch, </w:t>
      </w:r>
      <w:r w:rsidRPr="005D56D3">
        <w:rPr>
          <w:i/>
          <w:sz w:val="22"/>
          <w:szCs w:val="22"/>
        </w:rPr>
        <w:t>Son of Man</w:t>
      </w:r>
      <w:r w:rsidRPr="005D56D3">
        <w:rPr>
          <w:sz w:val="22"/>
          <w:szCs w:val="22"/>
        </w:rPr>
        <w:t>; Munnich</w:t>
      </w:r>
      <w:r w:rsidRPr="005D56D3">
        <w:rPr>
          <w:b/>
          <w:sz w:val="22"/>
          <w:szCs w:val="22"/>
        </w:rPr>
        <w:t xml:space="preserve">, </w:t>
      </w:r>
      <w:r w:rsidRPr="005D56D3">
        <w:rPr>
          <w:b/>
          <w:iCs/>
          <w:sz w:val="22"/>
          <w:szCs w:val="22"/>
        </w:rPr>
        <w:t>“</w:t>
      </w:r>
      <w:r w:rsidRPr="005D56D3">
        <w:rPr>
          <w:sz w:val="22"/>
          <w:szCs w:val="22"/>
        </w:rPr>
        <w:t>Retouches rédactionnelles au texte proto-massorétique”; Beyerle</w:t>
      </w:r>
      <w:r w:rsidRPr="005D56D3">
        <w:rPr>
          <w:b/>
          <w:sz w:val="22"/>
          <w:szCs w:val="22"/>
        </w:rPr>
        <w:t>,</w:t>
      </w:r>
      <w:r w:rsidRPr="005D56D3">
        <w:rPr>
          <w:sz w:val="22"/>
          <w:szCs w:val="22"/>
        </w:rPr>
        <w:t xml:space="preserve">“‘Der mit den Wolken des Himmels kommt,’” in Sänger/Backhaus (eds.), </w:t>
      </w:r>
      <w:r w:rsidRPr="005D56D3">
        <w:rPr>
          <w:i/>
          <w:sz w:val="22"/>
          <w:szCs w:val="22"/>
        </w:rPr>
        <w:t>Gottessohn und Menschensohn</w:t>
      </w:r>
      <w:r w:rsidRPr="005D56D3">
        <w:rPr>
          <w:sz w:val="22"/>
          <w:szCs w:val="22"/>
        </w:rPr>
        <w:t xml:space="preserve">, 1-52. </w:t>
      </w:r>
      <w:r w:rsidRPr="005D56D3">
        <w:rPr>
          <w:bCs/>
          <w:sz w:val="22"/>
          <w:szCs w:val="22"/>
        </w:rPr>
        <w:t>Miller</w:t>
      </w:r>
      <w:r w:rsidRPr="005D56D3">
        <w:rPr>
          <w:b/>
          <w:bCs/>
          <w:sz w:val="22"/>
          <w:szCs w:val="22"/>
        </w:rPr>
        <w:t xml:space="preserve"> (</w:t>
      </w:r>
      <w:r w:rsidRPr="005D56D3">
        <w:rPr>
          <w:bCs/>
          <w:sz w:val="22"/>
          <w:szCs w:val="22"/>
        </w:rPr>
        <w:t>“The Redaction of Daniel”) sees vv 1-2a a redactional joint to unite what were earlier two separate blocks of material.</w:t>
      </w:r>
    </w:p>
  </w:footnote>
  <w:footnote w:id="6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Boyarin, (</w:t>
      </w:r>
      <w:r w:rsidRPr="005D56D3">
        <w:rPr>
          <w:b/>
          <w:sz w:val="22"/>
          <w:szCs w:val="22"/>
        </w:rPr>
        <w:t>“</w:t>
      </w:r>
      <w:r w:rsidRPr="005D56D3">
        <w:rPr>
          <w:sz w:val="22"/>
          <w:szCs w:val="22"/>
        </w:rPr>
        <w:t>Daniel 7, Intertextuality, and the History of Israel’s Cult”) offers a distinctive version of this approach.</w:t>
      </w:r>
    </w:p>
  </w:footnote>
  <w:footnote w:id="6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Wilson, </w:t>
      </w:r>
      <w:r w:rsidRPr="005D56D3">
        <w:rPr>
          <w:i/>
          <w:sz w:val="22"/>
          <w:szCs w:val="22"/>
        </w:rPr>
        <w:t>Magic and the Millennium</w:t>
      </w:r>
      <w:r w:rsidRPr="005D56D3">
        <w:rPr>
          <w:sz w:val="22"/>
          <w:szCs w:val="22"/>
        </w:rPr>
        <w:t>, 12.</w:t>
      </w:r>
    </w:p>
  </w:footnote>
  <w:footnote w:id="64">
    <w:p w:rsidR="008E57DC" w:rsidRPr="005D56D3" w:rsidRDefault="008E57DC">
      <w:pPr>
        <w:pStyle w:val="FootnoteText"/>
        <w:rPr>
          <w:sz w:val="22"/>
          <w:szCs w:val="22"/>
        </w:rPr>
      </w:pPr>
      <w:r w:rsidRPr="005D56D3">
        <w:rPr>
          <w:rStyle w:val="FootnoteReference"/>
          <w:sz w:val="22"/>
          <w:szCs w:val="22"/>
        </w:rPr>
        <w:footnoteRef/>
      </w:r>
      <w:r w:rsidRPr="005D56D3">
        <w:rPr>
          <w:sz w:val="22"/>
          <w:szCs w:val="22"/>
        </w:rPr>
        <w:t xml:space="preserve"> The nature of Antiochus’s action and the dynamic of Jewish resistance is a controverted question: see recently Collins/Manning (eds.), </w:t>
      </w:r>
      <w:r w:rsidRPr="005D56D3">
        <w:rPr>
          <w:i/>
          <w:sz w:val="22"/>
          <w:szCs w:val="22"/>
        </w:rPr>
        <w:t>Revolt and Resistance in the Ancient Classical World and the Near East</w:t>
      </w:r>
      <w:r w:rsidRPr="005D56D3">
        <w:rPr>
          <w:sz w:val="22"/>
          <w:szCs w:val="22"/>
        </w:rPr>
        <w:t xml:space="preserve">.   </w:t>
      </w:r>
    </w:p>
  </w:footnote>
  <w:footnote w:id="6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I adapt the typology from Wilson, </w:t>
      </w:r>
      <w:r w:rsidRPr="005D56D3">
        <w:rPr>
          <w:i/>
          <w:sz w:val="22"/>
          <w:szCs w:val="22"/>
        </w:rPr>
        <w:t>Magic</w:t>
      </w:r>
      <w:r w:rsidRPr="005D56D3">
        <w:rPr>
          <w:sz w:val="22"/>
          <w:szCs w:val="22"/>
        </w:rPr>
        <w:t xml:space="preserve"> </w:t>
      </w:r>
      <w:r w:rsidRPr="005D56D3">
        <w:rPr>
          <w:i/>
          <w:sz w:val="22"/>
          <w:szCs w:val="22"/>
        </w:rPr>
        <w:t>and the Millennium</w:t>
      </w:r>
      <w:r w:rsidRPr="005D56D3">
        <w:rPr>
          <w:sz w:val="22"/>
          <w:szCs w:val="22"/>
        </w:rPr>
        <w:t>, 18–30.</w:t>
      </w:r>
    </w:p>
  </w:footnote>
  <w:footnote w:id="6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Reid, </w:t>
      </w:r>
      <w:r w:rsidRPr="005D56D3">
        <w:rPr>
          <w:i/>
          <w:sz w:val="22"/>
          <w:szCs w:val="22"/>
        </w:rPr>
        <w:t xml:space="preserve">Sociological Setting of the Historical </w:t>
      </w:r>
      <w:r w:rsidRPr="005D56D3">
        <w:rPr>
          <w:sz w:val="22"/>
          <w:szCs w:val="22"/>
        </w:rPr>
        <w:t xml:space="preserve">Apocalypses, 162–63; </w:t>
      </w:r>
      <w:r w:rsidRPr="005D56D3">
        <w:rPr>
          <w:i/>
          <w:sz w:val="22"/>
          <w:szCs w:val="22"/>
        </w:rPr>
        <w:t>Enoch and Daniel</w:t>
      </w:r>
      <w:r w:rsidRPr="005D56D3">
        <w:rPr>
          <w:sz w:val="22"/>
          <w:szCs w:val="22"/>
        </w:rPr>
        <w:t>, 89-91.</w:t>
      </w:r>
    </w:p>
  </w:footnote>
  <w:footnote w:id="6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e.g., Meadowcroft</w:t>
      </w:r>
      <w:r w:rsidRPr="005D56D3">
        <w:rPr>
          <w:b/>
          <w:sz w:val="22"/>
          <w:szCs w:val="22"/>
        </w:rPr>
        <w:t xml:space="preserve">, </w:t>
      </w:r>
      <w:r w:rsidRPr="005D56D3">
        <w:rPr>
          <w:bCs/>
          <w:sz w:val="22"/>
          <w:szCs w:val="22"/>
        </w:rPr>
        <w:t>“‘One Like a Son of Man’ in the Court of the Foreign King”; Tanner, Literary Structure of the Book of Daniel”; Patterson</w:t>
      </w:r>
      <w:r w:rsidRPr="005D56D3">
        <w:rPr>
          <w:b/>
          <w:bCs/>
          <w:sz w:val="22"/>
          <w:szCs w:val="22"/>
        </w:rPr>
        <w:t xml:space="preserve">, </w:t>
      </w:r>
      <w:r w:rsidRPr="005D56D3">
        <w:rPr>
          <w:bCs/>
          <w:sz w:val="22"/>
          <w:szCs w:val="22"/>
        </w:rPr>
        <w:t xml:space="preserve">“The Key Role of Daniel 7”; David, </w:t>
      </w:r>
      <w:r w:rsidRPr="005D56D3">
        <w:rPr>
          <w:bCs/>
          <w:i/>
          <w:sz w:val="22"/>
          <w:szCs w:val="22"/>
        </w:rPr>
        <w:t>Composition and Structure</w:t>
      </w:r>
      <w:r w:rsidRPr="005D56D3">
        <w:rPr>
          <w:bCs/>
          <w:sz w:val="22"/>
          <w:szCs w:val="22"/>
        </w:rPr>
        <w:t>, 97-180.</w:t>
      </w:r>
    </w:p>
  </w:footnote>
  <w:footnote w:id="6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Lenglet, “Structure littéraire de Daniel 2–7”; Weimar, “Daniel 7,” 33–34.</w:t>
      </w:r>
    </w:p>
  </w:footnote>
  <w:footnote w:id="6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Husser, </w:t>
      </w:r>
      <w:r w:rsidRPr="005D56D3">
        <w:rPr>
          <w:i/>
          <w:sz w:val="22"/>
          <w:szCs w:val="22"/>
        </w:rPr>
        <w:t>Dreams and Dream Narratives</w:t>
      </w:r>
      <w:r w:rsidRPr="005D56D3">
        <w:rPr>
          <w:sz w:val="22"/>
          <w:szCs w:val="22"/>
        </w:rPr>
        <w:t>, 122.</w:t>
      </w:r>
    </w:p>
  </w:footnote>
  <w:footnote w:id="7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Newsom, </w:t>
      </w:r>
      <w:r w:rsidRPr="005D56D3">
        <w:rPr>
          <w:i/>
          <w:sz w:val="22"/>
          <w:szCs w:val="22"/>
        </w:rPr>
        <w:t>Daniel</w:t>
      </w:r>
      <w:r w:rsidRPr="005D56D3">
        <w:rPr>
          <w:sz w:val="22"/>
          <w:szCs w:val="22"/>
        </w:rPr>
        <w:t>, 19.</w:t>
      </w:r>
    </w:p>
  </w:footnote>
  <w:footnote w:id="7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Newsom, </w:t>
      </w:r>
      <w:r w:rsidRPr="005D56D3">
        <w:rPr>
          <w:i/>
          <w:sz w:val="22"/>
          <w:szCs w:val="22"/>
        </w:rPr>
        <w:t>Daniel</w:t>
      </w:r>
      <w:r w:rsidRPr="005D56D3">
        <w:rPr>
          <w:sz w:val="22"/>
          <w:szCs w:val="22"/>
        </w:rPr>
        <w:t>, 18.</w:t>
      </w:r>
    </w:p>
  </w:footnote>
  <w:footnote w:id="7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Frisch, </w:t>
      </w:r>
      <w:r w:rsidRPr="005D56D3">
        <w:rPr>
          <w:i/>
          <w:sz w:val="22"/>
          <w:szCs w:val="22"/>
        </w:rPr>
        <w:t>The Danielic Discourse on Empire</w:t>
      </w:r>
      <w:r w:rsidRPr="005D56D3">
        <w:rPr>
          <w:sz w:val="22"/>
          <w:szCs w:val="22"/>
        </w:rPr>
        <w:t>, 82.</w:t>
      </w:r>
    </w:p>
  </w:footnote>
  <w:footnote w:id="7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Plöger, </w:t>
      </w:r>
      <w:r w:rsidRPr="005D56D3">
        <w:rPr>
          <w:i/>
          <w:sz w:val="22"/>
          <w:szCs w:val="22"/>
        </w:rPr>
        <w:t>Daniel</w:t>
      </w:r>
      <w:r w:rsidRPr="005D56D3">
        <w:rPr>
          <w:sz w:val="22"/>
          <w:szCs w:val="22"/>
        </w:rPr>
        <w:t>, on the passage.</w:t>
      </w:r>
    </w:p>
  </w:footnote>
  <w:footnote w:id="7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Barr, “Daniel,” on the passage.</w:t>
      </w:r>
    </w:p>
  </w:footnote>
  <w:footnote w:id="7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Lacocque, </w:t>
      </w:r>
      <w:r w:rsidRPr="005D56D3">
        <w:rPr>
          <w:i/>
          <w:sz w:val="22"/>
          <w:szCs w:val="22"/>
        </w:rPr>
        <w:t>Daniel</w:t>
      </w:r>
      <w:r w:rsidRPr="005D56D3">
        <w:rPr>
          <w:sz w:val="22"/>
          <w:szCs w:val="22"/>
        </w:rPr>
        <w:t>, on the passage.</w:t>
      </w:r>
    </w:p>
  </w:footnote>
  <w:footnote w:id="7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Towner, </w:t>
      </w:r>
      <w:r w:rsidRPr="005D56D3">
        <w:rPr>
          <w:i/>
          <w:sz w:val="22"/>
          <w:szCs w:val="22"/>
        </w:rPr>
        <w:t>Daniel</w:t>
      </w:r>
      <w:r w:rsidRPr="005D56D3">
        <w:rPr>
          <w:sz w:val="22"/>
          <w:szCs w:val="22"/>
        </w:rPr>
        <w:t>, e.g., 114-15.</w:t>
      </w:r>
    </w:p>
  </w:footnote>
  <w:footnote w:id="7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On the links between Dan 7 and the other stories, see further Meadowcroft, </w:t>
      </w:r>
      <w:r w:rsidRPr="005D56D3">
        <w:rPr>
          <w:i/>
          <w:sz w:val="22"/>
          <w:szCs w:val="22"/>
        </w:rPr>
        <w:t>Aramaic Daniel and Greek Daniel</w:t>
      </w:r>
      <w:r w:rsidRPr="005D56D3">
        <w:rPr>
          <w:sz w:val="22"/>
          <w:szCs w:val="22"/>
        </w:rPr>
        <w:t>, 234-43.</w:t>
      </w:r>
    </w:p>
  </w:footnote>
  <w:footnote w:id="7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Sumner, “Daniel,” 159.</w:t>
      </w:r>
    </w:p>
  </w:footnote>
  <w:footnote w:id="7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Smith-Christopher, “Daniel</w:t>
      </w:r>
      <w:r w:rsidRPr="005D56D3">
        <w:rPr>
          <w:i/>
          <w:sz w:val="22"/>
          <w:szCs w:val="22"/>
        </w:rPr>
        <w:t xml:space="preserve">,” </w:t>
      </w:r>
      <w:r w:rsidRPr="005D56D3">
        <w:rPr>
          <w:sz w:val="22"/>
          <w:szCs w:val="22"/>
        </w:rPr>
        <w:t>100.</w:t>
      </w:r>
    </w:p>
  </w:footnote>
  <w:footnote w:id="8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Wright, </w:t>
      </w:r>
      <w:r w:rsidRPr="005D56D3">
        <w:rPr>
          <w:i/>
          <w:sz w:val="22"/>
          <w:szCs w:val="22"/>
        </w:rPr>
        <w:t>Hearing the Message of Daniel</w:t>
      </w:r>
      <w:r w:rsidRPr="005D56D3">
        <w:rPr>
          <w:sz w:val="22"/>
          <w:szCs w:val="22"/>
        </w:rPr>
        <w:t>, 163.</w:t>
      </w:r>
    </w:p>
  </w:footnote>
  <w:footnote w:id="8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Hasel, “The First and Third Years of Belshazzar.”</w:t>
      </w:r>
    </w:p>
  </w:footnote>
  <w:footnote w:id="8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Newsom, </w:t>
      </w:r>
      <w:r w:rsidRPr="005D56D3">
        <w:rPr>
          <w:i/>
          <w:sz w:val="22"/>
          <w:szCs w:val="22"/>
        </w:rPr>
        <w:t>Daniel</w:t>
      </w:r>
      <w:r w:rsidRPr="005D56D3">
        <w:rPr>
          <w:sz w:val="22"/>
          <w:szCs w:val="22"/>
        </w:rPr>
        <w:t>, 220.</w:t>
      </w:r>
    </w:p>
  </w:footnote>
  <w:footnote w:id="8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w:t>
      </w:r>
      <w:r w:rsidRPr="005D56D3">
        <w:rPr>
          <w:i/>
          <w:sz w:val="22"/>
          <w:szCs w:val="22"/>
        </w:rPr>
        <w:t xml:space="preserve">DSS </w:t>
      </w:r>
      <w:r w:rsidRPr="005D56D3">
        <w:rPr>
          <w:sz w:val="22"/>
          <w:szCs w:val="22"/>
        </w:rPr>
        <w:t xml:space="preserve">2:1080-81; see Angel, </w:t>
      </w:r>
      <w:r w:rsidRPr="005D56D3">
        <w:rPr>
          <w:b/>
          <w:sz w:val="22"/>
          <w:szCs w:val="22"/>
        </w:rPr>
        <w:t>“</w:t>
      </w:r>
      <w:r w:rsidRPr="005D56D3">
        <w:rPr>
          <w:bCs/>
          <w:sz w:val="22"/>
          <w:szCs w:val="22"/>
        </w:rPr>
        <w:t>The Sea in 4Q541 7.3 and in Daniel 7:2”; also Gardner, "The Great Sea of Dan. vii 2."</w:t>
      </w:r>
    </w:p>
  </w:footnote>
  <w:footnote w:id="8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Porter, </w:t>
      </w:r>
      <w:r w:rsidRPr="005D56D3">
        <w:rPr>
          <w:i/>
          <w:sz w:val="22"/>
          <w:szCs w:val="22"/>
        </w:rPr>
        <w:t>Metaphors and Monsters</w:t>
      </w:r>
      <w:r w:rsidRPr="005D56D3">
        <w:rPr>
          <w:sz w:val="22"/>
          <w:szCs w:val="22"/>
        </w:rPr>
        <w:t>, 15–29.</w:t>
      </w:r>
    </w:p>
  </w:footnote>
  <w:footnote w:id="8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Goodenough, </w:t>
      </w:r>
      <w:r w:rsidRPr="005D56D3">
        <w:rPr>
          <w:i/>
          <w:sz w:val="22"/>
          <w:szCs w:val="22"/>
        </w:rPr>
        <w:t>Jewish Symbols in the Greco-Roman Period</w:t>
      </w:r>
      <w:r w:rsidRPr="005D56D3">
        <w:rPr>
          <w:sz w:val="22"/>
          <w:szCs w:val="22"/>
        </w:rPr>
        <w:t>, vol. 1; cf. Massyngberde Ford, “Jewish Law and Animal Symbolism,” 209</w:t>
      </w:r>
    </w:p>
  </w:footnote>
  <w:footnote w:id="8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G. J. Botterweck in </w:t>
      </w:r>
      <w:r w:rsidRPr="005D56D3">
        <w:rPr>
          <w:i/>
          <w:sz w:val="22"/>
          <w:szCs w:val="22"/>
        </w:rPr>
        <w:t xml:space="preserve">TWAT </w:t>
      </w:r>
      <w:r w:rsidRPr="005D56D3">
        <w:rPr>
          <w:sz w:val="22"/>
          <w:szCs w:val="22"/>
        </w:rPr>
        <w:t xml:space="preserve">on </w:t>
      </w:r>
      <w:r w:rsidRPr="005D56D3">
        <w:rPr>
          <w:rFonts w:ascii="Arial" w:hAnsi="Arial" w:cs="Arial"/>
          <w:sz w:val="22"/>
          <w:szCs w:val="22"/>
        </w:rPr>
        <w:t>ירא</w:t>
      </w:r>
      <w:r w:rsidRPr="005D56D3">
        <w:rPr>
          <w:sz w:val="22"/>
          <w:szCs w:val="22"/>
        </w:rPr>
        <w:t>.</w:t>
      </w:r>
    </w:p>
  </w:footnote>
  <w:footnote w:id="8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Alon, </w:t>
      </w:r>
      <w:r w:rsidRPr="005D56D3">
        <w:rPr>
          <w:i/>
          <w:sz w:val="22"/>
          <w:szCs w:val="22"/>
        </w:rPr>
        <w:t>Natural History of the Land of the Bible</w:t>
      </w:r>
      <w:r w:rsidRPr="005D56D3">
        <w:rPr>
          <w:sz w:val="22"/>
          <w:szCs w:val="22"/>
        </w:rPr>
        <w:t>, 220–21.</w:t>
      </w:r>
    </w:p>
  </w:footnote>
  <w:footnote w:id="8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Saggs, </w:t>
      </w:r>
      <w:r w:rsidRPr="005D56D3">
        <w:rPr>
          <w:i/>
          <w:sz w:val="22"/>
          <w:szCs w:val="22"/>
        </w:rPr>
        <w:t>The Greatness That Was Babylon</w:t>
      </w:r>
      <w:r w:rsidRPr="005D56D3">
        <w:rPr>
          <w:sz w:val="22"/>
          <w:szCs w:val="22"/>
        </w:rPr>
        <w:t>, 479–80; plate 53.</w:t>
      </w:r>
    </w:p>
  </w:footnote>
  <w:footnote w:id="89">
    <w:p w:rsidR="008E57DC" w:rsidRPr="005D56D3" w:rsidRDefault="008E57DC" w:rsidP="00622A75">
      <w:pPr>
        <w:pStyle w:val="FootnoteText"/>
        <w:rPr>
          <w:bCs/>
          <w:sz w:val="22"/>
          <w:szCs w:val="22"/>
        </w:rPr>
      </w:pPr>
      <w:r w:rsidRPr="005D56D3">
        <w:rPr>
          <w:rStyle w:val="FootnoteReference"/>
          <w:sz w:val="22"/>
          <w:szCs w:val="22"/>
        </w:rPr>
        <w:footnoteRef/>
      </w:r>
      <w:r w:rsidRPr="005D56D3">
        <w:rPr>
          <w:sz w:val="22"/>
          <w:szCs w:val="22"/>
        </w:rPr>
        <w:t xml:space="preserve"> Cf. Keel</w:t>
      </w:r>
      <w:r w:rsidRPr="005D56D3">
        <w:rPr>
          <w:b/>
          <w:sz w:val="22"/>
          <w:szCs w:val="22"/>
        </w:rPr>
        <w:t xml:space="preserve">, </w:t>
      </w:r>
      <w:r w:rsidRPr="005D56D3">
        <w:rPr>
          <w:bCs/>
          <w:sz w:val="22"/>
          <w:szCs w:val="22"/>
        </w:rPr>
        <w:t>“Die Tiere und die Mensch in Daniel 7.”</w:t>
      </w:r>
    </w:p>
  </w:footnote>
  <w:footnote w:id="9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Caquot, review of Delcor, </w:t>
      </w:r>
      <w:r w:rsidRPr="005D56D3">
        <w:rPr>
          <w:i/>
          <w:sz w:val="22"/>
          <w:szCs w:val="22"/>
        </w:rPr>
        <w:t>Daniel</w:t>
      </w:r>
      <w:r w:rsidRPr="005D56D3">
        <w:rPr>
          <w:sz w:val="22"/>
          <w:szCs w:val="22"/>
        </w:rPr>
        <w:t>, 114.</w:t>
      </w:r>
    </w:p>
  </w:footnote>
  <w:footnote w:id="9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Kvanvig, “Struktur und Geschichte in Dan 7,1–14,” 103; Porter, </w:t>
      </w:r>
      <w:r w:rsidRPr="005D56D3">
        <w:rPr>
          <w:i/>
          <w:sz w:val="22"/>
          <w:szCs w:val="22"/>
        </w:rPr>
        <w:t>Metaphors and Monsters</w:t>
      </w:r>
      <w:r w:rsidRPr="005D56D3">
        <w:rPr>
          <w:sz w:val="22"/>
          <w:szCs w:val="22"/>
        </w:rPr>
        <w:t>, 112.</w:t>
      </w:r>
    </w:p>
  </w:footnote>
  <w:footnote w:id="9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Porter, </w:t>
      </w:r>
      <w:r w:rsidRPr="005D56D3">
        <w:rPr>
          <w:i/>
          <w:sz w:val="22"/>
          <w:szCs w:val="22"/>
        </w:rPr>
        <w:t>Metaphors and Monsters</w:t>
      </w:r>
      <w:r w:rsidRPr="005D56D3">
        <w:rPr>
          <w:sz w:val="22"/>
          <w:szCs w:val="22"/>
        </w:rPr>
        <w:t>, 53.</w:t>
      </w:r>
    </w:p>
  </w:footnote>
  <w:footnote w:id="9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Lebram, “Apokalyptik und Hellenismus,” 517–18.</w:t>
      </w:r>
    </w:p>
  </w:footnote>
  <w:footnote w:id="9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Torrey, “‘Medes and Persians,’” 11-12; Plöger, </w:t>
      </w:r>
      <w:r w:rsidRPr="005D56D3">
        <w:rPr>
          <w:i/>
          <w:sz w:val="22"/>
          <w:szCs w:val="22"/>
        </w:rPr>
        <w:t>Daniel</w:t>
      </w:r>
      <w:r w:rsidRPr="005D56D3">
        <w:rPr>
          <w:sz w:val="22"/>
          <w:szCs w:val="22"/>
        </w:rPr>
        <w:t>, on the verse.</w:t>
      </w:r>
    </w:p>
  </w:footnote>
  <w:footnote w:id="9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Porter, </w:t>
      </w:r>
      <w:r w:rsidRPr="005D56D3">
        <w:rPr>
          <w:i/>
          <w:sz w:val="22"/>
          <w:szCs w:val="22"/>
        </w:rPr>
        <w:t>Metaphors and Monsters</w:t>
      </w:r>
      <w:r w:rsidRPr="005D56D3">
        <w:rPr>
          <w:sz w:val="22"/>
          <w:szCs w:val="22"/>
        </w:rPr>
        <w:t>, 17.</w:t>
      </w:r>
    </w:p>
  </w:footnote>
  <w:footnote w:id="9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Waterman, “A Gloss on Darius the Mede”; Hartman/Di Lella, </w:t>
      </w:r>
      <w:r w:rsidRPr="005D56D3">
        <w:rPr>
          <w:i/>
          <w:sz w:val="22"/>
          <w:szCs w:val="22"/>
        </w:rPr>
        <w:t>Daniel</w:t>
      </w:r>
      <w:r w:rsidRPr="005D56D3">
        <w:rPr>
          <w:sz w:val="22"/>
          <w:szCs w:val="22"/>
        </w:rPr>
        <w:t>, on the verse.</w:t>
      </w:r>
    </w:p>
  </w:footnote>
  <w:footnote w:id="9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Porter, </w:t>
      </w:r>
      <w:r w:rsidRPr="005D56D3">
        <w:rPr>
          <w:i/>
          <w:sz w:val="22"/>
          <w:szCs w:val="22"/>
        </w:rPr>
        <w:t>Metaphors and Monsters</w:t>
      </w:r>
      <w:r w:rsidRPr="005D56D3">
        <w:rPr>
          <w:sz w:val="22"/>
          <w:szCs w:val="22"/>
        </w:rPr>
        <w:t>, 17.</w:t>
      </w:r>
    </w:p>
  </w:footnote>
  <w:footnote w:id="9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w:t>
      </w:r>
      <w:r w:rsidRPr="005D56D3">
        <w:rPr>
          <w:i/>
          <w:sz w:val="22"/>
          <w:szCs w:val="22"/>
        </w:rPr>
        <w:t>Cant Rabbah</w:t>
      </w:r>
      <w:r w:rsidRPr="005D56D3">
        <w:rPr>
          <w:sz w:val="22"/>
          <w:szCs w:val="22"/>
        </w:rPr>
        <w:t xml:space="preserve"> 3:3, Esth </w:t>
      </w:r>
      <w:r w:rsidRPr="005D56D3">
        <w:rPr>
          <w:i/>
          <w:sz w:val="22"/>
          <w:szCs w:val="22"/>
        </w:rPr>
        <w:t>Rabbah</w:t>
      </w:r>
      <w:r w:rsidRPr="005D56D3">
        <w:rPr>
          <w:sz w:val="22"/>
          <w:szCs w:val="22"/>
        </w:rPr>
        <w:t xml:space="preserve"> 3; possibly the three subordinate kings of Jer 51:27 (Gurney, </w:t>
      </w:r>
      <w:r w:rsidRPr="005D56D3">
        <w:rPr>
          <w:i/>
          <w:sz w:val="22"/>
          <w:szCs w:val="22"/>
        </w:rPr>
        <w:t>God in Control</w:t>
      </w:r>
      <w:r w:rsidRPr="005D56D3">
        <w:rPr>
          <w:sz w:val="22"/>
          <w:szCs w:val="22"/>
        </w:rPr>
        <w:t>, on the verse.</w:t>
      </w:r>
    </w:p>
  </w:footnote>
  <w:footnote w:id="9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Hippolytus, </w:t>
      </w:r>
      <w:r w:rsidRPr="005D56D3">
        <w:rPr>
          <w:i/>
          <w:sz w:val="22"/>
          <w:szCs w:val="22"/>
        </w:rPr>
        <w:t>Daniel</w:t>
      </w:r>
      <w:r w:rsidRPr="005D56D3">
        <w:rPr>
          <w:sz w:val="22"/>
          <w:szCs w:val="22"/>
        </w:rPr>
        <w:t>, 4.3</w:t>
      </w:r>
    </w:p>
  </w:footnote>
  <w:footnote w:id="10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Ibn Ezra in </w:t>
      </w:r>
      <w:r w:rsidRPr="005D56D3">
        <w:rPr>
          <w:rFonts w:ascii="Arial" w:hAnsi="Arial" w:cs="Arial"/>
          <w:sz w:val="22"/>
          <w:szCs w:val="22"/>
        </w:rPr>
        <w:t>גדולות</w:t>
      </w:r>
      <w:r w:rsidRPr="005D56D3">
        <w:rPr>
          <w:sz w:val="22"/>
          <w:szCs w:val="22"/>
        </w:rPr>
        <w:t xml:space="preserve"> </w:t>
      </w:r>
      <w:r w:rsidRPr="005D56D3">
        <w:rPr>
          <w:rFonts w:ascii="Arial" w:hAnsi="Arial" w:cs="Arial"/>
          <w:sz w:val="22"/>
          <w:szCs w:val="22"/>
        </w:rPr>
        <w:t>מקראות</w:t>
      </w:r>
      <w:r w:rsidRPr="005D56D3">
        <w:rPr>
          <w:sz w:val="22"/>
          <w:szCs w:val="22"/>
        </w:rPr>
        <w:t xml:space="preserve"> on the verse.</w:t>
      </w:r>
    </w:p>
  </w:footnote>
  <w:footnote w:id="10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Young, </w:t>
      </w:r>
      <w:r w:rsidRPr="005D56D3">
        <w:rPr>
          <w:i/>
          <w:sz w:val="22"/>
          <w:szCs w:val="22"/>
        </w:rPr>
        <w:t>Daniel</w:t>
      </w:r>
      <w:r w:rsidRPr="005D56D3">
        <w:rPr>
          <w:sz w:val="22"/>
          <w:szCs w:val="22"/>
        </w:rPr>
        <w:t>, on the verse.</w:t>
      </w:r>
    </w:p>
  </w:footnote>
  <w:footnote w:id="10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Torrey, “‘Medes and Persians,’” 12.</w:t>
      </w:r>
    </w:p>
  </w:footnote>
  <w:footnote w:id="10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Porter, </w:t>
      </w:r>
      <w:r w:rsidRPr="005D56D3">
        <w:rPr>
          <w:i/>
          <w:sz w:val="22"/>
          <w:szCs w:val="22"/>
        </w:rPr>
        <w:t>Metaphors and Monsters</w:t>
      </w:r>
      <w:r w:rsidRPr="005D56D3">
        <w:rPr>
          <w:sz w:val="22"/>
          <w:szCs w:val="22"/>
        </w:rPr>
        <w:t>, 28.</w:t>
      </w:r>
    </w:p>
  </w:footnote>
  <w:footnote w:id="10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Against Staub, “Das Tier mit den Hörnern; Hanhart, “The Four Beasts of Daniel’s Vision in the Night,” 577.</w:t>
      </w:r>
    </w:p>
  </w:footnote>
  <w:footnote w:id="10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Against Coppens, “Dan., vii, 1–18.”</w:t>
      </w:r>
    </w:p>
  </w:footnote>
  <w:footnote w:id="10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Day, </w:t>
      </w:r>
      <w:r w:rsidRPr="005D56D3">
        <w:rPr>
          <w:i/>
          <w:sz w:val="22"/>
          <w:szCs w:val="22"/>
        </w:rPr>
        <w:t>God’s Conflict with the Dragon and the Sea</w:t>
      </w:r>
      <w:r w:rsidRPr="005D56D3">
        <w:rPr>
          <w:sz w:val="22"/>
          <w:szCs w:val="22"/>
        </w:rPr>
        <w:t>, 156–57.</w:t>
      </w:r>
    </w:p>
  </w:footnote>
  <w:footnote w:id="10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Merrill Willis,</w:t>
      </w:r>
      <w:r w:rsidRPr="005D56D3">
        <w:rPr>
          <w:b/>
          <w:sz w:val="22"/>
          <w:szCs w:val="22"/>
        </w:rPr>
        <w:t xml:space="preserve"> </w:t>
      </w:r>
      <w:r w:rsidRPr="005D56D3">
        <w:rPr>
          <w:i/>
          <w:iCs/>
          <w:sz w:val="22"/>
          <w:szCs w:val="22"/>
        </w:rPr>
        <w:t>Dissonance and the Drama of Divine Sovereignty in the Book of Daniel</w:t>
      </w:r>
      <w:r w:rsidRPr="005D56D3">
        <w:rPr>
          <w:iCs/>
          <w:sz w:val="22"/>
          <w:szCs w:val="22"/>
        </w:rPr>
        <w:t>, 70-71.</w:t>
      </w:r>
    </w:p>
  </w:footnote>
  <w:footnote w:id="10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Brongers, “Die Zehnzahl in der Bibel und ihrer Umwelt.”; TWNT.</w:t>
      </w:r>
    </w:p>
  </w:footnote>
  <w:footnote w:id="10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Flusser, “The Four Empires in the Fourth Sibyl and in the Book of Daniel,” 162–65; J. J. Collins, </w:t>
      </w:r>
      <w:r w:rsidRPr="005D56D3">
        <w:rPr>
          <w:i/>
          <w:sz w:val="22"/>
          <w:szCs w:val="22"/>
        </w:rPr>
        <w:t>OTP</w:t>
      </w:r>
      <w:r w:rsidRPr="005D56D3">
        <w:rPr>
          <w:sz w:val="22"/>
          <w:szCs w:val="22"/>
        </w:rPr>
        <w:t xml:space="preserve"> 1:381–89.</w:t>
      </w:r>
    </w:p>
  </w:footnote>
  <w:footnote w:id="11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Lester, </w:t>
      </w:r>
      <w:r w:rsidRPr="005D56D3">
        <w:rPr>
          <w:i/>
          <w:sz w:val="22"/>
          <w:szCs w:val="22"/>
        </w:rPr>
        <w:t>Daniel Evokes Isaiah</w:t>
      </w:r>
      <w:r w:rsidRPr="005D56D3">
        <w:rPr>
          <w:sz w:val="22"/>
          <w:szCs w:val="22"/>
        </w:rPr>
        <w:t>, 85-89.</w:t>
      </w:r>
    </w:p>
  </w:footnote>
  <w:footnote w:id="11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Pace, </w:t>
      </w:r>
      <w:r w:rsidRPr="005D56D3">
        <w:rPr>
          <w:i/>
          <w:sz w:val="22"/>
          <w:szCs w:val="22"/>
        </w:rPr>
        <w:t>Daniel</w:t>
      </w:r>
      <w:r w:rsidRPr="005D56D3">
        <w:rPr>
          <w:sz w:val="22"/>
          <w:szCs w:val="22"/>
        </w:rPr>
        <w:t xml:space="preserve">, 238; and see further the comparison with the vision of a divine throne and judgment scene in the Qumran </w:t>
      </w:r>
      <w:r w:rsidRPr="005D56D3">
        <w:rPr>
          <w:i/>
          <w:sz w:val="22"/>
          <w:szCs w:val="22"/>
        </w:rPr>
        <w:t xml:space="preserve">Book of Giants </w:t>
      </w:r>
      <w:r w:rsidRPr="005D56D3">
        <w:rPr>
          <w:sz w:val="22"/>
          <w:szCs w:val="22"/>
        </w:rPr>
        <w:t xml:space="preserve">(4Q530) as well as </w:t>
      </w:r>
      <w:r w:rsidRPr="005D56D3">
        <w:rPr>
          <w:i/>
          <w:sz w:val="22"/>
          <w:szCs w:val="22"/>
        </w:rPr>
        <w:t>1 Enoch</w:t>
      </w:r>
      <w:r w:rsidRPr="005D56D3">
        <w:rPr>
          <w:sz w:val="22"/>
          <w:szCs w:val="22"/>
        </w:rPr>
        <w:t xml:space="preserve">, in Newsom, </w:t>
      </w:r>
      <w:r w:rsidRPr="005D56D3">
        <w:rPr>
          <w:i/>
          <w:sz w:val="22"/>
          <w:szCs w:val="22"/>
        </w:rPr>
        <w:t>Daniel</w:t>
      </w:r>
      <w:r w:rsidRPr="005D56D3">
        <w:rPr>
          <w:sz w:val="22"/>
          <w:szCs w:val="22"/>
        </w:rPr>
        <w:t xml:space="preserve">, 227-28; also </w:t>
      </w:r>
      <w:r w:rsidRPr="005D56D3">
        <w:rPr>
          <w:bCs/>
          <w:sz w:val="22"/>
          <w:szCs w:val="22"/>
        </w:rPr>
        <w:t>Stuckenbruck</w:t>
      </w:r>
      <w:r w:rsidRPr="005D56D3">
        <w:rPr>
          <w:b/>
          <w:bCs/>
          <w:sz w:val="22"/>
          <w:szCs w:val="22"/>
        </w:rPr>
        <w:t>, “</w:t>
      </w:r>
      <w:r w:rsidRPr="005D56D3">
        <w:rPr>
          <w:bCs/>
          <w:sz w:val="22"/>
          <w:szCs w:val="22"/>
        </w:rPr>
        <w:t>The Throne Theophany of the Book of Giants.”</w:t>
      </w:r>
    </w:p>
  </w:footnote>
  <w:footnote w:id="11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w:t>
      </w:r>
      <w:r w:rsidRPr="005D56D3">
        <w:rPr>
          <w:bCs/>
          <w:sz w:val="22"/>
          <w:szCs w:val="22"/>
        </w:rPr>
        <w:t>Lopez</w:t>
      </w:r>
      <w:r w:rsidRPr="005D56D3">
        <w:rPr>
          <w:b/>
          <w:bCs/>
          <w:sz w:val="22"/>
          <w:szCs w:val="22"/>
        </w:rPr>
        <w:t>, "</w:t>
      </w:r>
      <w:r w:rsidRPr="005D56D3">
        <w:rPr>
          <w:bCs/>
          <w:sz w:val="22"/>
          <w:szCs w:val="22"/>
        </w:rPr>
        <w:t xml:space="preserve">Standing Before the Throne of God," 147; </w:t>
      </w:r>
      <w:r w:rsidRPr="005D56D3">
        <w:rPr>
          <w:sz w:val="22"/>
          <w:szCs w:val="22"/>
        </w:rPr>
        <w:t>Beasley-Murray, “The Interpretation of Daniel 7,” 49.</w:t>
      </w:r>
    </w:p>
  </w:footnote>
  <w:footnote w:id="11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Kearns, </w:t>
      </w:r>
      <w:r w:rsidRPr="005D56D3">
        <w:rPr>
          <w:i/>
          <w:sz w:val="22"/>
          <w:szCs w:val="22"/>
        </w:rPr>
        <w:t>Vorfragen zur Christologie</w:t>
      </w:r>
      <w:r w:rsidRPr="005D56D3">
        <w:rPr>
          <w:sz w:val="22"/>
          <w:szCs w:val="22"/>
        </w:rPr>
        <w:t xml:space="preserve"> 3:178.</w:t>
      </w:r>
    </w:p>
  </w:footnote>
  <w:footnote w:id="11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Collins, </w:t>
      </w:r>
      <w:r w:rsidRPr="005D56D3">
        <w:rPr>
          <w:i/>
          <w:sz w:val="22"/>
          <w:szCs w:val="22"/>
        </w:rPr>
        <w:t>Daniel</w:t>
      </w:r>
      <w:r w:rsidRPr="005D56D3">
        <w:rPr>
          <w:sz w:val="22"/>
          <w:szCs w:val="22"/>
        </w:rPr>
        <w:t>, 301.</w:t>
      </w:r>
    </w:p>
  </w:footnote>
  <w:footnote w:id="11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w:t>
      </w:r>
      <w:r w:rsidRPr="005D56D3">
        <w:rPr>
          <w:bCs/>
          <w:iCs/>
          <w:sz w:val="22"/>
          <w:szCs w:val="22"/>
        </w:rPr>
        <w:t>McEntire</w:t>
      </w:r>
      <w:r w:rsidRPr="005D56D3">
        <w:rPr>
          <w:b/>
          <w:bCs/>
          <w:iCs/>
          <w:sz w:val="22"/>
          <w:szCs w:val="22"/>
        </w:rPr>
        <w:t xml:space="preserve">, </w:t>
      </w:r>
      <w:r w:rsidRPr="005D56D3">
        <w:rPr>
          <w:bCs/>
          <w:iCs/>
          <w:sz w:val="22"/>
          <w:szCs w:val="22"/>
        </w:rPr>
        <w:t>“</w:t>
      </w:r>
      <w:r w:rsidRPr="005D56D3">
        <w:rPr>
          <w:bCs/>
          <w:sz w:val="22"/>
          <w:szCs w:val="22"/>
        </w:rPr>
        <w:t>The Graying of God in Daniel 1-7.”</w:t>
      </w:r>
    </w:p>
  </w:footnote>
  <w:footnote w:id="11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Merrill Willis, “Heavenly Bodies,” 16-17, 36.</w:t>
      </w:r>
    </w:p>
  </w:footnote>
  <w:footnote w:id="11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Saadia, </w:t>
      </w:r>
      <w:r w:rsidRPr="005D56D3">
        <w:rPr>
          <w:i/>
          <w:sz w:val="22"/>
          <w:szCs w:val="22"/>
        </w:rPr>
        <w:t>Daniel</w:t>
      </w:r>
      <w:r w:rsidRPr="005D56D3">
        <w:rPr>
          <w:sz w:val="22"/>
          <w:szCs w:val="22"/>
        </w:rPr>
        <w:t>, 543.</w:t>
      </w:r>
    </w:p>
  </w:footnote>
  <w:footnote w:id="11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Brenner, </w:t>
      </w:r>
      <w:r w:rsidRPr="005D56D3">
        <w:rPr>
          <w:i/>
          <w:sz w:val="22"/>
          <w:szCs w:val="22"/>
        </w:rPr>
        <w:t>Colour Terms in the OT</w:t>
      </w:r>
      <w:r w:rsidRPr="005D56D3">
        <w:rPr>
          <w:sz w:val="22"/>
          <w:szCs w:val="22"/>
        </w:rPr>
        <w:t>, 90, 93, 133.</w:t>
      </w:r>
    </w:p>
  </w:footnote>
  <w:footnote w:id="11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On which see V. Hamp in </w:t>
      </w:r>
      <w:r w:rsidRPr="005D56D3">
        <w:rPr>
          <w:i/>
          <w:sz w:val="22"/>
          <w:szCs w:val="22"/>
        </w:rPr>
        <w:t xml:space="preserve">TWAT </w:t>
      </w:r>
      <w:r w:rsidRPr="005D56D3">
        <w:rPr>
          <w:sz w:val="22"/>
          <w:szCs w:val="22"/>
        </w:rPr>
        <w:t xml:space="preserve">on </w:t>
      </w:r>
      <w:r w:rsidRPr="005D56D3">
        <w:rPr>
          <w:rFonts w:ascii="Arial" w:hAnsi="Arial" w:cs="Arial"/>
          <w:sz w:val="22"/>
          <w:szCs w:val="22"/>
        </w:rPr>
        <w:t>אש</w:t>
      </w:r>
      <w:r w:rsidRPr="005D56D3">
        <w:rPr>
          <w:sz w:val="22"/>
          <w:szCs w:val="22"/>
        </w:rPr>
        <w:t xml:space="preserve">; Eichrodt, </w:t>
      </w:r>
      <w:r w:rsidRPr="005D56D3">
        <w:rPr>
          <w:i/>
          <w:sz w:val="22"/>
          <w:szCs w:val="22"/>
        </w:rPr>
        <w:t>Theologie</w:t>
      </w:r>
      <w:r w:rsidRPr="005D56D3">
        <w:rPr>
          <w:sz w:val="22"/>
          <w:szCs w:val="22"/>
        </w:rPr>
        <w:t xml:space="preserve"> </w:t>
      </w:r>
      <w:r w:rsidRPr="005D56D3">
        <w:rPr>
          <w:i/>
          <w:sz w:val="22"/>
          <w:szCs w:val="22"/>
        </w:rPr>
        <w:t xml:space="preserve">des AT </w:t>
      </w:r>
      <w:r w:rsidRPr="005D56D3">
        <w:rPr>
          <w:sz w:val="22"/>
          <w:szCs w:val="22"/>
        </w:rPr>
        <w:t>2:1–4 (ET 16–20).</w:t>
      </w:r>
    </w:p>
  </w:footnote>
  <w:footnote w:id="12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Eichrodt, </w:t>
      </w:r>
      <w:r w:rsidRPr="005D56D3">
        <w:rPr>
          <w:i/>
          <w:sz w:val="22"/>
          <w:szCs w:val="22"/>
        </w:rPr>
        <w:t>Theologie</w:t>
      </w:r>
      <w:r w:rsidRPr="005D56D3">
        <w:rPr>
          <w:sz w:val="22"/>
          <w:szCs w:val="22"/>
        </w:rPr>
        <w:t xml:space="preserve"> </w:t>
      </w:r>
      <w:r w:rsidRPr="005D56D3">
        <w:rPr>
          <w:i/>
          <w:sz w:val="22"/>
          <w:szCs w:val="22"/>
        </w:rPr>
        <w:t xml:space="preserve">des AT </w:t>
      </w:r>
      <w:r w:rsidRPr="005D56D3">
        <w:rPr>
          <w:sz w:val="22"/>
          <w:szCs w:val="22"/>
        </w:rPr>
        <w:t>2:2 (ET 18).</w:t>
      </w:r>
    </w:p>
  </w:footnote>
  <w:footnote w:id="12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Sumner (“Daniel,” 172) notes a multiplicity of link with Ps 68 in this chapter.</w:t>
      </w:r>
    </w:p>
  </w:footnote>
  <w:footnote w:id="12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Against Jeffery, “Daniel,” on the passage.</w:t>
      </w:r>
    </w:p>
  </w:footnote>
  <w:footnote w:id="12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 Koep, </w:t>
      </w:r>
      <w:r w:rsidRPr="005D56D3">
        <w:rPr>
          <w:i/>
          <w:sz w:val="22"/>
          <w:szCs w:val="22"/>
        </w:rPr>
        <w:t>Das himmlische Buch</w:t>
      </w:r>
      <w:r w:rsidRPr="005D56D3">
        <w:rPr>
          <w:sz w:val="22"/>
          <w:szCs w:val="22"/>
        </w:rPr>
        <w:t>, 1–39.</w:t>
      </w:r>
    </w:p>
  </w:footnote>
  <w:footnote w:id="12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Against Murdock, “History and Revelation.”</w:t>
      </w:r>
    </w:p>
  </w:footnote>
  <w:footnote w:id="12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Rowley, </w:t>
      </w:r>
      <w:r w:rsidRPr="005D56D3">
        <w:rPr>
          <w:i/>
          <w:sz w:val="22"/>
          <w:szCs w:val="22"/>
        </w:rPr>
        <w:t>Darius the Mede and the Four World Empires</w:t>
      </w:r>
      <w:r w:rsidRPr="005D56D3">
        <w:rPr>
          <w:sz w:val="22"/>
          <w:szCs w:val="22"/>
        </w:rPr>
        <w:t>,</w:t>
      </w:r>
      <w:r w:rsidRPr="005D56D3">
        <w:rPr>
          <w:i/>
          <w:sz w:val="22"/>
          <w:szCs w:val="22"/>
        </w:rPr>
        <w:t xml:space="preserve"> </w:t>
      </w:r>
      <w:r w:rsidRPr="005D56D3">
        <w:rPr>
          <w:sz w:val="22"/>
          <w:szCs w:val="22"/>
        </w:rPr>
        <w:t>123–24; Ginsberg (</w:t>
      </w:r>
      <w:r w:rsidRPr="005D56D3">
        <w:rPr>
          <w:i/>
          <w:sz w:val="22"/>
          <w:szCs w:val="22"/>
        </w:rPr>
        <w:t>Studies in Daniel</w:t>
      </w:r>
      <w:r w:rsidRPr="005D56D3">
        <w:rPr>
          <w:sz w:val="22"/>
          <w:szCs w:val="22"/>
        </w:rPr>
        <w:t>,</w:t>
      </w:r>
      <w:r w:rsidRPr="005D56D3">
        <w:rPr>
          <w:i/>
          <w:sz w:val="22"/>
          <w:szCs w:val="22"/>
        </w:rPr>
        <w:t xml:space="preserve"> </w:t>
      </w:r>
      <w:r w:rsidRPr="005D56D3">
        <w:rPr>
          <w:sz w:val="22"/>
          <w:szCs w:val="22"/>
        </w:rPr>
        <w:t>6–11) relates v 12b to specific decades within the Greek period.</w:t>
      </w:r>
    </w:p>
  </w:footnote>
  <w:footnote w:id="12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Heaton, </w:t>
      </w:r>
      <w:r w:rsidRPr="005D56D3">
        <w:rPr>
          <w:i/>
          <w:sz w:val="22"/>
          <w:szCs w:val="22"/>
        </w:rPr>
        <w:t>Daniel</w:t>
      </w:r>
      <w:r w:rsidRPr="005D56D3">
        <w:rPr>
          <w:sz w:val="22"/>
          <w:szCs w:val="22"/>
        </w:rPr>
        <w:t>, on the verse.</w:t>
      </w:r>
    </w:p>
  </w:footnote>
  <w:footnote w:id="12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Kvanvig, “Struktur und Geschichte in Dan 7,1–14,”  101–2.</w:t>
      </w:r>
    </w:p>
  </w:footnote>
  <w:footnote w:id="12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Ferch, </w:t>
      </w:r>
      <w:r w:rsidRPr="005D56D3">
        <w:rPr>
          <w:i/>
          <w:sz w:val="22"/>
          <w:szCs w:val="22"/>
        </w:rPr>
        <w:t>Son of Man</w:t>
      </w:r>
      <w:r w:rsidRPr="005D56D3">
        <w:rPr>
          <w:sz w:val="22"/>
          <w:szCs w:val="22"/>
        </w:rPr>
        <w:t xml:space="preserve">; Casey, </w:t>
      </w:r>
      <w:r w:rsidRPr="005D56D3">
        <w:rPr>
          <w:i/>
          <w:sz w:val="22"/>
          <w:szCs w:val="22"/>
        </w:rPr>
        <w:t>Son of Man</w:t>
      </w:r>
      <w:r w:rsidRPr="005D56D3">
        <w:rPr>
          <w:sz w:val="22"/>
          <w:szCs w:val="22"/>
        </w:rPr>
        <w:t>; on the verse.</w:t>
      </w:r>
    </w:p>
  </w:footnote>
  <w:footnote w:id="12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Sabourin, “The Biblical Cloud,” 304, following Luzarraga, </w:t>
      </w:r>
      <w:r w:rsidRPr="005D56D3">
        <w:rPr>
          <w:i/>
          <w:sz w:val="22"/>
          <w:szCs w:val="22"/>
        </w:rPr>
        <w:t>Las tradiciones de la nube en la biblia y en el judaismo</w:t>
      </w:r>
      <w:r w:rsidRPr="005D56D3">
        <w:rPr>
          <w:sz w:val="22"/>
          <w:szCs w:val="22"/>
        </w:rPr>
        <w:t>.</w:t>
      </w:r>
    </w:p>
  </w:footnote>
  <w:footnote w:id="130">
    <w:p w:rsidR="008E57DC" w:rsidRPr="005D56D3" w:rsidRDefault="008E57DC" w:rsidP="00622A75">
      <w:pPr>
        <w:pStyle w:val="FootnoteText"/>
        <w:rPr>
          <w:b/>
          <w:iCs/>
          <w:sz w:val="22"/>
          <w:szCs w:val="22"/>
        </w:rPr>
      </w:pPr>
      <w:r w:rsidRPr="005D56D3">
        <w:rPr>
          <w:rStyle w:val="FootnoteReference"/>
          <w:sz w:val="22"/>
          <w:szCs w:val="22"/>
        </w:rPr>
        <w:footnoteRef/>
      </w:r>
      <w:r w:rsidRPr="005D56D3">
        <w:rPr>
          <w:sz w:val="22"/>
          <w:szCs w:val="22"/>
        </w:rPr>
        <w:t xml:space="preserve"> Smith</w:t>
      </w:r>
      <w:r w:rsidRPr="005D56D3">
        <w:rPr>
          <w:b/>
          <w:sz w:val="22"/>
          <w:szCs w:val="22"/>
        </w:rPr>
        <w:t xml:space="preserve"> </w:t>
      </w:r>
      <w:r w:rsidRPr="005D56D3">
        <w:rPr>
          <w:sz w:val="22"/>
          <w:szCs w:val="22"/>
        </w:rPr>
        <w:t>notes an occurrence in Ugaritic</w:t>
      </w:r>
      <w:r w:rsidRPr="005D56D3">
        <w:rPr>
          <w:b/>
          <w:sz w:val="22"/>
          <w:szCs w:val="22"/>
        </w:rPr>
        <w:t xml:space="preserve"> (</w:t>
      </w:r>
      <w:r w:rsidRPr="005D56D3">
        <w:rPr>
          <w:sz w:val="22"/>
          <w:szCs w:val="22"/>
        </w:rPr>
        <w:t>“The 'Son of Man' in Ugaritic”).</w:t>
      </w:r>
    </w:p>
  </w:footnote>
  <w:footnote w:id="13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Stevanovic (“The Use of the Aramaic Word </w:t>
      </w:r>
      <w:r w:rsidRPr="005D56D3">
        <w:rPr>
          <w:i/>
          <w:sz w:val="22"/>
          <w:szCs w:val="22"/>
        </w:rPr>
        <w:t>bar</w:t>
      </w:r>
      <w:r w:rsidRPr="005D56D3">
        <w:rPr>
          <w:sz w:val="22"/>
          <w:szCs w:val="22"/>
        </w:rPr>
        <w:t xml:space="preserve"> (“son”) as a Noun of Relation in the Book of Daniel”) notes that </w:t>
      </w:r>
      <w:r w:rsidRPr="005D56D3">
        <w:rPr>
          <w:i/>
          <w:sz w:val="22"/>
          <w:szCs w:val="22"/>
        </w:rPr>
        <w:t>bar</w:t>
      </w:r>
      <w:r w:rsidRPr="005D56D3">
        <w:rPr>
          <w:sz w:val="22"/>
          <w:szCs w:val="22"/>
        </w:rPr>
        <w:t xml:space="preserve"> means son in only two of its eight occurrences in Daniel.</w:t>
      </w:r>
    </w:p>
  </w:footnote>
  <w:footnote w:id="13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Angel (</w:t>
      </w:r>
      <w:r w:rsidRPr="005D56D3">
        <w:rPr>
          <w:i/>
          <w:sz w:val="22"/>
          <w:szCs w:val="22"/>
        </w:rPr>
        <w:t xml:space="preserve">Chaos and </w:t>
      </w:r>
      <w:r w:rsidRPr="005D56D3">
        <w:rPr>
          <w:bCs/>
          <w:i/>
          <w:iCs/>
          <w:sz w:val="22"/>
          <w:szCs w:val="22"/>
        </w:rPr>
        <w:t>Son of Man</w:t>
      </w:r>
      <w:r w:rsidRPr="005D56D3">
        <w:rPr>
          <w:bCs/>
          <w:iCs/>
          <w:sz w:val="22"/>
          <w:szCs w:val="22"/>
        </w:rPr>
        <w:t xml:space="preserve">) argues that the vision presupposes an already-existent link between a human-like figure and the theme of God as the victor over disorder. </w:t>
      </w:r>
    </w:p>
  </w:footnote>
  <w:footnote w:id="13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Mowinckel, </w:t>
      </w:r>
      <w:r w:rsidRPr="005D56D3">
        <w:rPr>
          <w:i/>
          <w:sz w:val="22"/>
          <w:szCs w:val="22"/>
        </w:rPr>
        <w:t>He That Cometh</w:t>
      </w:r>
      <w:r w:rsidRPr="005D56D3">
        <w:rPr>
          <w:sz w:val="22"/>
          <w:szCs w:val="22"/>
        </w:rPr>
        <w:t xml:space="preserve">, 352; against Kraeling, </w:t>
      </w:r>
      <w:r w:rsidRPr="005D56D3">
        <w:rPr>
          <w:i/>
          <w:sz w:val="22"/>
          <w:szCs w:val="22"/>
        </w:rPr>
        <w:t>Anthropos and Son of Man</w:t>
      </w:r>
      <w:r w:rsidRPr="005D56D3">
        <w:rPr>
          <w:sz w:val="22"/>
          <w:szCs w:val="22"/>
        </w:rPr>
        <w:t>, 142–44.</w:t>
      </w:r>
    </w:p>
  </w:footnote>
  <w:footnote w:id="13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Volz, </w:t>
      </w:r>
      <w:r w:rsidRPr="005D56D3">
        <w:rPr>
          <w:i/>
          <w:sz w:val="22"/>
          <w:szCs w:val="22"/>
        </w:rPr>
        <w:t>Eschatologie</w:t>
      </w:r>
      <w:r w:rsidRPr="005D56D3">
        <w:rPr>
          <w:sz w:val="22"/>
          <w:szCs w:val="22"/>
        </w:rPr>
        <w:t xml:space="preserve">, 11–12; Gressmann, </w:t>
      </w:r>
      <w:r w:rsidRPr="005D56D3">
        <w:rPr>
          <w:i/>
          <w:sz w:val="22"/>
          <w:szCs w:val="22"/>
        </w:rPr>
        <w:t>Ursprung der israelitisch-jödischen Eschatologie</w:t>
      </w:r>
      <w:r w:rsidRPr="005D56D3">
        <w:rPr>
          <w:sz w:val="22"/>
          <w:szCs w:val="22"/>
        </w:rPr>
        <w:t>, 342.</w:t>
      </w:r>
    </w:p>
  </w:footnote>
  <w:footnote w:id="13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Coppens, “Le Fils d’homme daniélique et les relectures,” 12.</w:t>
      </w:r>
    </w:p>
  </w:footnote>
  <w:footnote w:id="13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Herzfeld, </w:t>
      </w:r>
      <w:r w:rsidRPr="005D56D3">
        <w:rPr>
          <w:i/>
          <w:sz w:val="22"/>
          <w:szCs w:val="22"/>
        </w:rPr>
        <w:t>Zoroaster and His World</w:t>
      </w:r>
      <w:r w:rsidRPr="005D56D3">
        <w:rPr>
          <w:sz w:val="22"/>
          <w:szCs w:val="22"/>
        </w:rPr>
        <w:t>, 835–40; Caquot, “Les quatre bêtes et le ‘Fils d’homme,’” 68; Wifall, “Son of Man.”</w:t>
      </w:r>
    </w:p>
  </w:footnote>
  <w:footnote w:id="137">
    <w:p w:rsidR="008E57DC" w:rsidRPr="005D56D3" w:rsidRDefault="008E57DC" w:rsidP="00192923">
      <w:pPr>
        <w:pStyle w:val="FootnoteText"/>
        <w:rPr>
          <w:sz w:val="22"/>
          <w:szCs w:val="22"/>
        </w:rPr>
      </w:pPr>
      <w:r w:rsidRPr="005D56D3">
        <w:rPr>
          <w:rStyle w:val="FootnoteReference"/>
          <w:sz w:val="22"/>
          <w:szCs w:val="22"/>
        </w:rPr>
        <w:footnoteRef/>
      </w:r>
      <w:r w:rsidRPr="005D56D3">
        <w:rPr>
          <w:sz w:val="22"/>
          <w:szCs w:val="22"/>
        </w:rPr>
        <w:t xml:space="preserve"> Feuillet, </w:t>
      </w:r>
      <w:r w:rsidRPr="005D56D3">
        <w:rPr>
          <w:i/>
          <w:sz w:val="22"/>
          <w:szCs w:val="22"/>
        </w:rPr>
        <w:t>Etudes d’exégèse et de théologie biblique</w:t>
      </w:r>
      <w:r w:rsidRPr="005D56D3">
        <w:rPr>
          <w:sz w:val="22"/>
          <w:szCs w:val="22"/>
        </w:rPr>
        <w:t>, 454.</w:t>
      </w:r>
    </w:p>
  </w:footnote>
  <w:footnote w:id="138">
    <w:p w:rsidR="008E57DC" w:rsidRPr="005D56D3" w:rsidRDefault="008E57DC" w:rsidP="00957348">
      <w:pPr>
        <w:pStyle w:val="FootnoteText"/>
        <w:rPr>
          <w:sz w:val="22"/>
          <w:szCs w:val="22"/>
        </w:rPr>
      </w:pPr>
      <w:r w:rsidRPr="005D56D3">
        <w:rPr>
          <w:rStyle w:val="FootnoteReference"/>
          <w:sz w:val="22"/>
          <w:szCs w:val="22"/>
        </w:rPr>
        <w:footnoteRef/>
      </w:r>
      <w:r w:rsidRPr="005D56D3">
        <w:rPr>
          <w:sz w:val="22"/>
          <w:szCs w:val="22"/>
        </w:rPr>
        <w:t xml:space="preserve"> Bruce, “The Background to the Son of Man Sayings,” 58; Casey, </w:t>
      </w:r>
      <w:r w:rsidRPr="005D56D3">
        <w:rPr>
          <w:i/>
          <w:sz w:val="22"/>
          <w:szCs w:val="22"/>
        </w:rPr>
        <w:t>Son of Man</w:t>
      </w:r>
      <w:r w:rsidRPr="005D56D3">
        <w:rPr>
          <w:sz w:val="22"/>
          <w:szCs w:val="22"/>
        </w:rPr>
        <w:t>.</w:t>
      </w:r>
    </w:p>
  </w:footnote>
  <w:footnote w:id="13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Against Schmid, “Daniel, der Menschensohn.”</w:t>
      </w:r>
    </w:p>
  </w:footnote>
  <w:footnote w:id="14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Against Gaster, “The Son of Man.”</w:t>
      </w:r>
    </w:p>
  </w:footnote>
  <w:footnote w:id="14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Klein, “Über das Buch Daniel,” 239.</w:t>
      </w:r>
    </w:p>
  </w:footnote>
  <w:footnote w:id="14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Haupt, “The Son of Man,” 130; Sahlin, “Antiochus IV. Epiphanes und Judas Mackabäus”; Buchanan, </w:t>
      </w:r>
      <w:r w:rsidRPr="005D56D3">
        <w:rPr>
          <w:i/>
          <w:sz w:val="22"/>
          <w:szCs w:val="22"/>
        </w:rPr>
        <w:t>To the Hebrews</w:t>
      </w:r>
      <w:r w:rsidRPr="005D56D3">
        <w:rPr>
          <w:sz w:val="22"/>
          <w:szCs w:val="22"/>
        </w:rPr>
        <w:t>, 42–48.</w:t>
      </w:r>
    </w:p>
  </w:footnote>
  <w:footnote w:id="14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Breed, “History of Reception,” 245-52; so e.g., Yephet </w:t>
      </w:r>
      <w:r w:rsidRPr="005D56D3">
        <w:rPr>
          <w:i/>
          <w:sz w:val="22"/>
          <w:szCs w:val="22"/>
        </w:rPr>
        <w:t>Daniel</w:t>
      </w:r>
      <w:r w:rsidRPr="005D56D3">
        <w:rPr>
          <w:sz w:val="22"/>
          <w:szCs w:val="22"/>
        </w:rPr>
        <w:t>, 36</w:t>
      </w:r>
      <w:r w:rsidRPr="005D56D3">
        <w:rPr>
          <w:i/>
          <w:sz w:val="22"/>
          <w:szCs w:val="22"/>
        </w:rPr>
        <w:t xml:space="preserve"> </w:t>
      </w:r>
      <w:r w:rsidRPr="005D56D3">
        <w:rPr>
          <w:sz w:val="22"/>
          <w:szCs w:val="22"/>
        </w:rPr>
        <w:t xml:space="preserve">; recently, e.g., </w:t>
      </w:r>
      <w:r w:rsidRPr="005D56D3">
        <w:rPr>
          <w:bCs/>
          <w:sz w:val="22"/>
          <w:szCs w:val="22"/>
        </w:rPr>
        <w:t>Shepherd</w:t>
      </w:r>
      <w:r w:rsidRPr="005D56D3">
        <w:rPr>
          <w:b/>
          <w:bCs/>
          <w:sz w:val="22"/>
          <w:szCs w:val="22"/>
        </w:rPr>
        <w:t xml:space="preserve">, </w:t>
      </w:r>
      <w:r w:rsidRPr="005D56D3">
        <w:rPr>
          <w:bCs/>
          <w:sz w:val="22"/>
          <w:szCs w:val="22"/>
        </w:rPr>
        <w:t>“Daniel 7:13 and the NT Son of Man”; Alomía</w:t>
      </w:r>
      <w:r w:rsidRPr="005D56D3">
        <w:rPr>
          <w:b/>
          <w:bCs/>
          <w:sz w:val="22"/>
          <w:szCs w:val="22"/>
        </w:rPr>
        <w:t xml:space="preserve">, </w:t>
      </w:r>
      <w:r w:rsidRPr="005D56D3">
        <w:rPr>
          <w:bCs/>
          <w:i/>
          <w:sz w:val="22"/>
          <w:szCs w:val="22"/>
        </w:rPr>
        <w:t>Daniel</w:t>
      </w:r>
      <w:r w:rsidRPr="005D56D3">
        <w:rPr>
          <w:bCs/>
          <w:sz w:val="22"/>
          <w:szCs w:val="22"/>
        </w:rPr>
        <w:t xml:space="preserve"> 2:177-256.</w:t>
      </w:r>
    </w:p>
  </w:footnote>
  <w:footnote w:id="14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Rowe, “Is Daniel’s ‘Son of Man’ Messianic?”  95–96; cf. Mowinckel, </w:t>
      </w:r>
      <w:r w:rsidRPr="005D56D3">
        <w:rPr>
          <w:i/>
          <w:sz w:val="22"/>
          <w:szCs w:val="22"/>
        </w:rPr>
        <w:t>He That Cometh</w:t>
      </w:r>
      <w:r w:rsidRPr="005D56D3">
        <w:rPr>
          <w:sz w:val="22"/>
          <w:szCs w:val="22"/>
        </w:rPr>
        <w:t>, 352.</w:t>
      </w:r>
    </w:p>
  </w:footnote>
  <w:footnote w:id="14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Gross, “Der Messias im AT,” 167–69.</w:t>
      </w:r>
    </w:p>
  </w:footnote>
  <w:footnote w:id="14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Against Lacocque (</w:t>
      </w:r>
      <w:r w:rsidRPr="005D56D3">
        <w:rPr>
          <w:i/>
          <w:sz w:val="22"/>
          <w:szCs w:val="22"/>
        </w:rPr>
        <w:t>Daniel</w:t>
      </w:r>
      <w:r w:rsidRPr="005D56D3">
        <w:rPr>
          <w:sz w:val="22"/>
          <w:szCs w:val="22"/>
        </w:rPr>
        <w:t>, on the passage), who identifies him as the true high priest to hold civil, military, and religious authority in place of the Antiochene Jason; Lacocque’s view is taken up by Fletcher-Louis</w:t>
      </w:r>
      <w:r w:rsidRPr="005D56D3">
        <w:rPr>
          <w:b/>
          <w:sz w:val="22"/>
          <w:szCs w:val="22"/>
        </w:rPr>
        <w:t>,</w:t>
      </w:r>
      <w:r w:rsidRPr="005D56D3">
        <w:rPr>
          <w:sz w:val="22"/>
          <w:szCs w:val="22"/>
        </w:rPr>
        <w:t xml:space="preserve"> "The High Priest as Divine Mediator in the Hebrew Bible.”</w:t>
      </w:r>
    </w:p>
  </w:footnote>
  <w:footnote w:id="147">
    <w:p w:rsidR="008E57DC" w:rsidRPr="005D56D3" w:rsidRDefault="008E57DC" w:rsidP="00262BE8">
      <w:pPr>
        <w:pStyle w:val="FootnoteText"/>
        <w:rPr>
          <w:sz w:val="22"/>
          <w:szCs w:val="22"/>
        </w:rPr>
      </w:pPr>
      <w:r w:rsidRPr="005D56D3">
        <w:rPr>
          <w:rStyle w:val="FootnoteReference"/>
          <w:sz w:val="22"/>
          <w:szCs w:val="22"/>
        </w:rPr>
        <w:footnoteRef/>
      </w:r>
      <w:r w:rsidRPr="005D56D3">
        <w:rPr>
          <w:sz w:val="22"/>
          <w:szCs w:val="22"/>
        </w:rPr>
        <w:t xml:space="preserve"> So, e.g., Moule, </w:t>
      </w:r>
      <w:r w:rsidRPr="005D56D3">
        <w:rPr>
          <w:i/>
          <w:sz w:val="22"/>
          <w:szCs w:val="22"/>
        </w:rPr>
        <w:t>Essays in NT Interpretation</w:t>
      </w:r>
      <w:r w:rsidRPr="005D56D3">
        <w:rPr>
          <w:sz w:val="22"/>
          <w:szCs w:val="22"/>
        </w:rPr>
        <w:t>, 77, 79.</w:t>
      </w:r>
    </w:p>
  </w:footnote>
  <w:footnote w:id="14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Barrett, “The Background of Mark 10:45,” 17.</w:t>
      </w:r>
    </w:p>
  </w:footnote>
  <w:footnote w:id="14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Hooker, </w:t>
      </w:r>
      <w:r w:rsidRPr="005D56D3">
        <w:rPr>
          <w:i/>
          <w:sz w:val="22"/>
          <w:szCs w:val="22"/>
        </w:rPr>
        <w:t>Son of Man</w:t>
      </w:r>
      <w:r w:rsidRPr="005D56D3">
        <w:rPr>
          <w:sz w:val="22"/>
          <w:szCs w:val="22"/>
        </w:rPr>
        <w:t>, 19</w:t>
      </w:r>
    </w:p>
  </w:footnote>
  <w:footnote w:id="15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Against Coppens, “Le Fils d’homme daniélique et les relectures,” 17; in criticism of this notion, see, e.g., Rogerson, “The Hebrew Conception of Corporate Personality.”</w:t>
      </w:r>
    </w:p>
  </w:footnote>
  <w:footnote w:id="15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Feuillet, </w:t>
      </w:r>
      <w:r w:rsidRPr="005D56D3">
        <w:rPr>
          <w:i/>
          <w:sz w:val="22"/>
          <w:szCs w:val="22"/>
        </w:rPr>
        <w:t>Etudes d’exégèse et de théologie biblique</w:t>
      </w:r>
      <w:r w:rsidRPr="005D56D3">
        <w:rPr>
          <w:sz w:val="22"/>
          <w:szCs w:val="22"/>
        </w:rPr>
        <w:t>, 435–93.</w:t>
      </w:r>
    </w:p>
  </w:footnote>
  <w:footnote w:id="15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Procksch, “Die Berufungsvision Hesekiels,” 148–49; “Christus im AT,” 80–81.</w:t>
      </w:r>
    </w:p>
  </w:footnote>
  <w:footnote w:id="15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Caragounis, </w:t>
      </w:r>
      <w:r w:rsidRPr="005D56D3">
        <w:rPr>
          <w:i/>
          <w:sz w:val="22"/>
          <w:szCs w:val="22"/>
        </w:rPr>
        <w:t>Son of Man</w:t>
      </w:r>
      <w:r w:rsidRPr="005D56D3">
        <w:rPr>
          <w:sz w:val="22"/>
          <w:szCs w:val="22"/>
        </w:rPr>
        <w:t>.</w:t>
      </w:r>
    </w:p>
  </w:footnote>
  <w:footnote w:id="15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Black, “Die Apotheose Israels”; ———. “The Throne-Theophany Prophetic Commission and the ‘Son of Man,’” 60–62.</w:t>
      </w:r>
    </w:p>
  </w:footnote>
  <w:footnote w:id="15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Segal, </w:t>
      </w:r>
      <w:r w:rsidRPr="005D56D3">
        <w:rPr>
          <w:i/>
          <w:sz w:val="22"/>
          <w:szCs w:val="22"/>
        </w:rPr>
        <w:t>Dreams, Riddles, and Visions</w:t>
      </w:r>
      <w:r w:rsidRPr="005D56D3">
        <w:rPr>
          <w:sz w:val="22"/>
          <w:szCs w:val="22"/>
        </w:rPr>
        <w:t>, chap. 5.</w:t>
      </w:r>
    </w:p>
  </w:footnote>
  <w:footnote w:id="15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Day, </w:t>
      </w:r>
      <w:r w:rsidRPr="005D56D3">
        <w:rPr>
          <w:i/>
          <w:sz w:val="22"/>
          <w:szCs w:val="22"/>
        </w:rPr>
        <w:t>God’s Conflict with the Dragon and the Sea</w:t>
      </w:r>
      <w:r w:rsidRPr="005D56D3">
        <w:rPr>
          <w:sz w:val="22"/>
          <w:szCs w:val="22"/>
        </w:rPr>
        <w:t>, 162.</w:t>
      </w:r>
    </w:p>
  </w:footnote>
  <w:footnote w:id="15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Massyngberde Ford, “Jewish Law and Animal Symbolism,” 204.</w:t>
      </w:r>
    </w:p>
  </w:footnote>
  <w:footnote w:id="15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Hooker, </w:t>
      </w:r>
      <w:r w:rsidRPr="005D56D3">
        <w:rPr>
          <w:i/>
          <w:sz w:val="22"/>
          <w:szCs w:val="22"/>
        </w:rPr>
        <w:t>Son of Man</w:t>
      </w:r>
      <w:r w:rsidRPr="005D56D3">
        <w:rPr>
          <w:sz w:val="22"/>
          <w:szCs w:val="22"/>
        </w:rPr>
        <w:t>, 15.</w:t>
      </w:r>
    </w:p>
  </w:footnote>
  <w:footnote w:id="15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Vermes, </w:t>
      </w:r>
      <w:r w:rsidRPr="005D56D3">
        <w:rPr>
          <w:i/>
          <w:sz w:val="22"/>
          <w:szCs w:val="22"/>
        </w:rPr>
        <w:t>Jesus the Jew</w:t>
      </w:r>
      <w:r w:rsidRPr="005D56D3">
        <w:rPr>
          <w:sz w:val="22"/>
          <w:szCs w:val="22"/>
        </w:rPr>
        <w:t>, 170, 186.</w:t>
      </w:r>
    </w:p>
  </w:footnote>
  <w:footnote w:id="16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Koch, “Der ‘Menschensohn’ in Daniel”; ———, “Das Reich der Heiligen und des Menschensohns.”    Cf. Collins, </w:t>
      </w:r>
      <w:r w:rsidRPr="005D56D3">
        <w:rPr>
          <w:i/>
          <w:sz w:val="22"/>
          <w:szCs w:val="22"/>
        </w:rPr>
        <w:t>Daniel</w:t>
      </w:r>
      <w:r w:rsidRPr="005D56D3">
        <w:rPr>
          <w:sz w:val="22"/>
          <w:szCs w:val="22"/>
        </w:rPr>
        <w:t>, 304-10.</w:t>
      </w:r>
    </w:p>
  </w:footnote>
  <w:footnote w:id="16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Coppens, “Le Fils d’homme daniélique, vizir céleste?”; Stier, </w:t>
      </w:r>
      <w:r w:rsidRPr="005D56D3">
        <w:rPr>
          <w:i/>
          <w:sz w:val="22"/>
          <w:szCs w:val="22"/>
        </w:rPr>
        <w:t>Gott und sein Engel im AT</w:t>
      </w:r>
      <w:r w:rsidRPr="005D56D3">
        <w:rPr>
          <w:sz w:val="22"/>
          <w:szCs w:val="22"/>
        </w:rPr>
        <w:t>, 96–104</w:t>
      </w:r>
    </w:p>
  </w:footnote>
  <w:footnote w:id="16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Day, </w:t>
      </w:r>
      <w:r w:rsidRPr="005D56D3">
        <w:rPr>
          <w:i/>
          <w:sz w:val="22"/>
          <w:szCs w:val="22"/>
        </w:rPr>
        <w:t>God’s Conflict with the Dragon and the Sea</w:t>
      </w:r>
      <w:r w:rsidRPr="005D56D3">
        <w:rPr>
          <w:sz w:val="22"/>
          <w:szCs w:val="22"/>
        </w:rPr>
        <w:t>, 171–72, against Zevit, “The Structure and Individual Elements of Daniel 7”; ———,“The Exegetical Implications of Daniel viii 1, ix 21”; see on 9:21.</w:t>
      </w:r>
    </w:p>
  </w:footnote>
  <w:footnote w:id="16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Müller, “Der Menschensohn im Danielzyklus,” 47–48.</w:t>
      </w:r>
    </w:p>
  </w:footnote>
  <w:footnote w:id="16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Stier, </w:t>
      </w:r>
      <w:r w:rsidRPr="005D56D3">
        <w:rPr>
          <w:i/>
          <w:sz w:val="22"/>
          <w:szCs w:val="22"/>
        </w:rPr>
        <w:t>Gott und sein Engel im AT</w:t>
      </w:r>
      <w:r w:rsidRPr="005D56D3">
        <w:rPr>
          <w:sz w:val="22"/>
          <w:szCs w:val="22"/>
        </w:rPr>
        <w:t>.</w:t>
      </w:r>
    </w:p>
  </w:footnote>
  <w:footnote w:id="16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Schmidt, “The ‘Son of Man,’” 26–27; Collins, </w:t>
      </w:r>
      <w:r w:rsidRPr="005D56D3">
        <w:rPr>
          <w:i/>
          <w:sz w:val="22"/>
          <w:szCs w:val="22"/>
        </w:rPr>
        <w:t>Apocalyptic Vision of the Book of Daniel</w:t>
      </w:r>
      <w:r w:rsidRPr="005D56D3">
        <w:rPr>
          <w:sz w:val="22"/>
          <w:szCs w:val="22"/>
        </w:rPr>
        <w:t>, 123–52; Sahlin, “Wie wurde ursprünglich die Benennung ‘Der Menschensohn’ verstanden?” 147–50.</w:t>
      </w:r>
    </w:p>
  </w:footnote>
  <w:footnote w:id="16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Müller, </w:t>
      </w:r>
      <w:r w:rsidRPr="005D56D3">
        <w:rPr>
          <w:i/>
          <w:sz w:val="22"/>
          <w:szCs w:val="22"/>
        </w:rPr>
        <w:t>Messias und Menschensohn</w:t>
      </w:r>
      <w:r w:rsidRPr="005D56D3">
        <w:rPr>
          <w:sz w:val="22"/>
          <w:szCs w:val="22"/>
        </w:rPr>
        <w:t>, 7–8.</w:t>
      </w:r>
    </w:p>
  </w:footnote>
  <w:footnote w:id="16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Caquot, “Les quatre bêtes et le ‘Fils d’homme,’” 59–60.</w:t>
      </w:r>
    </w:p>
  </w:footnote>
  <w:footnote w:id="16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e.g., de Jonge and van der Woude, “11Q Melchizedek and the NT,” 302–6.</w:t>
      </w:r>
    </w:p>
  </w:footnote>
  <w:footnote w:id="16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Porteous, </w:t>
      </w:r>
      <w:r w:rsidRPr="005D56D3">
        <w:rPr>
          <w:i/>
          <w:sz w:val="22"/>
          <w:szCs w:val="22"/>
        </w:rPr>
        <w:t>Daniel</w:t>
      </w:r>
      <w:r w:rsidRPr="005D56D3">
        <w:rPr>
          <w:sz w:val="22"/>
          <w:szCs w:val="22"/>
        </w:rPr>
        <w:t>, on the passage.</w:t>
      </w:r>
    </w:p>
  </w:footnote>
  <w:footnote w:id="17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Müller, “Der Menschensohn im Danielzyklus,” 49.</w:t>
      </w:r>
    </w:p>
  </w:footnote>
  <w:footnote w:id="17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Against Collins, </w:t>
      </w:r>
      <w:r w:rsidRPr="005D56D3">
        <w:rPr>
          <w:i/>
          <w:sz w:val="22"/>
          <w:szCs w:val="22"/>
        </w:rPr>
        <w:t>Apocalyptic Vision of the Book of Daniel</w:t>
      </w:r>
      <w:r w:rsidRPr="005D56D3">
        <w:rPr>
          <w:sz w:val="22"/>
          <w:szCs w:val="22"/>
        </w:rPr>
        <w:t>, 123–52.</w:t>
      </w:r>
    </w:p>
  </w:footnote>
  <w:footnote w:id="17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Newsom, </w:t>
      </w:r>
      <w:r w:rsidRPr="005D56D3">
        <w:rPr>
          <w:i/>
          <w:sz w:val="22"/>
          <w:szCs w:val="22"/>
        </w:rPr>
        <w:t>Daniel</w:t>
      </w:r>
      <w:r w:rsidRPr="005D56D3">
        <w:rPr>
          <w:sz w:val="22"/>
          <w:szCs w:val="22"/>
        </w:rPr>
        <w:t xml:space="preserve">, 238: cf. Merrill Willis, </w:t>
      </w:r>
      <w:r w:rsidRPr="005D56D3">
        <w:rPr>
          <w:i/>
          <w:sz w:val="22"/>
          <w:szCs w:val="22"/>
        </w:rPr>
        <w:t>Dissonance and the Drama of Divine Sovereignty in the Book of Daniel</w:t>
      </w:r>
      <w:r w:rsidRPr="005D56D3">
        <w:rPr>
          <w:sz w:val="22"/>
          <w:szCs w:val="22"/>
        </w:rPr>
        <w:t xml:space="preserve">, 77. </w:t>
      </w:r>
    </w:p>
  </w:footnote>
  <w:footnote w:id="173">
    <w:p w:rsidR="008E57DC" w:rsidRPr="005D56D3" w:rsidRDefault="008E57DC" w:rsidP="00E2519E">
      <w:pPr>
        <w:pStyle w:val="FootnoteText"/>
        <w:rPr>
          <w:sz w:val="22"/>
          <w:szCs w:val="22"/>
        </w:rPr>
      </w:pPr>
      <w:r w:rsidRPr="005D56D3">
        <w:rPr>
          <w:rStyle w:val="FootnoteReference"/>
          <w:sz w:val="22"/>
          <w:szCs w:val="22"/>
        </w:rPr>
        <w:footnoteRef/>
      </w:r>
      <w:r w:rsidRPr="005D56D3">
        <w:rPr>
          <w:sz w:val="22"/>
          <w:szCs w:val="22"/>
        </w:rPr>
        <w:t xml:space="preserve"> See </w:t>
      </w:r>
      <w:r w:rsidRPr="005D56D3">
        <w:rPr>
          <w:bCs/>
          <w:sz w:val="22"/>
          <w:szCs w:val="22"/>
        </w:rPr>
        <w:t>Pyper</w:t>
      </w:r>
      <w:r w:rsidRPr="005D56D3">
        <w:rPr>
          <w:b/>
          <w:bCs/>
          <w:sz w:val="22"/>
          <w:szCs w:val="22"/>
        </w:rPr>
        <w:t xml:space="preserve">, </w:t>
      </w:r>
      <w:r w:rsidRPr="005D56D3">
        <w:rPr>
          <w:bCs/>
          <w:sz w:val="22"/>
          <w:szCs w:val="22"/>
        </w:rPr>
        <w:t>“Reading in the Dark,” 491.</w:t>
      </w:r>
    </w:p>
  </w:footnote>
  <w:footnote w:id="17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Gressmann, </w:t>
      </w:r>
      <w:r w:rsidRPr="005D56D3">
        <w:rPr>
          <w:i/>
          <w:sz w:val="22"/>
          <w:szCs w:val="22"/>
        </w:rPr>
        <w:t>Der Messias</w:t>
      </w:r>
      <w:r w:rsidRPr="005D56D3">
        <w:rPr>
          <w:sz w:val="22"/>
          <w:szCs w:val="22"/>
        </w:rPr>
        <w:t>, 344, 366; JBright, Kingdom of God, 184; cf. also Wittstruck, “The Influence of Treaty Curse Imagery on the Beast Imagery of Daniel 7.”</w:t>
      </w:r>
    </w:p>
  </w:footnote>
  <w:footnote w:id="17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Hanhart, “The Four Beasts of Daniel’s Vision in the Night.”</w:t>
      </w:r>
    </w:p>
  </w:footnote>
  <w:footnote w:id="17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e.g., Fröhlich, </w:t>
      </w:r>
      <w:r w:rsidRPr="005D56D3">
        <w:rPr>
          <w:i/>
          <w:iCs/>
          <w:sz w:val="22"/>
          <w:szCs w:val="22"/>
        </w:rPr>
        <w:t>“Time and Times and Half a Time,”</w:t>
      </w:r>
      <w:r w:rsidRPr="005D56D3">
        <w:rPr>
          <w:sz w:val="22"/>
          <w:szCs w:val="22"/>
        </w:rPr>
        <w:t xml:space="preserve"> 69-76, against e.g., Montgomery, </w:t>
      </w:r>
      <w:r w:rsidRPr="005D56D3">
        <w:rPr>
          <w:i/>
          <w:sz w:val="22"/>
          <w:szCs w:val="22"/>
        </w:rPr>
        <w:t>Daniel</w:t>
      </w:r>
      <w:r w:rsidRPr="005D56D3">
        <w:rPr>
          <w:sz w:val="22"/>
          <w:szCs w:val="22"/>
        </w:rPr>
        <w:t xml:space="preserve">; Hartman/Di Lella, </w:t>
      </w:r>
      <w:r w:rsidRPr="005D56D3">
        <w:rPr>
          <w:i/>
          <w:sz w:val="22"/>
          <w:szCs w:val="22"/>
        </w:rPr>
        <w:t>Daniel</w:t>
      </w:r>
      <w:r w:rsidRPr="005D56D3">
        <w:rPr>
          <w:sz w:val="22"/>
          <w:szCs w:val="22"/>
        </w:rPr>
        <w:t>. on the passage.</w:t>
      </w:r>
    </w:p>
  </w:footnote>
  <w:footnote w:id="17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recently Gruenwald, “Jewish Apocalyptic Literature,” 90.</w:t>
      </w:r>
    </w:p>
  </w:footnote>
  <w:footnote w:id="17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But Caragounis (“Greek Culture and Jewish Piety”) suggests that the vision is concerned especially with the baneful influence of Greek culture. </w:t>
      </w:r>
    </w:p>
  </w:footnote>
  <w:footnote w:id="17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Korner</w:t>
      </w:r>
      <w:r w:rsidRPr="005D56D3">
        <w:rPr>
          <w:b/>
          <w:sz w:val="22"/>
          <w:szCs w:val="22"/>
        </w:rPr>
        <w:t xml:space="preserve"> (</w:t>
      </w:r>
      <w:r w:rsidRPr="005D56D3">
        <w:rPr>
          <w:i/>
          <w:sz w:val="22"/>
          <w:szCs w:val="22"/>
        </w:rPr>
        <w:t>“</w:t>
      </w:r>
      <w:r w:rsidRPr="005D56D3">
        <w:rPr>
          <w:sz w:val="22"/>
          <w:szCs w:val="22"/>
        </w:rPr>
        <w:t>The ‘Exilic’ Prophecy of Daniel 7”) argues for Ptolemy I Soter in chap. 7 but not in chap. 8.</w:t>
      </w:r>
    </w:p>
  </w:footnote>
  <w:footnote w:id="18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Bevan, </w:t>
      </w:r>
      <w:r w:rsidRPr="005D56D3">
        <w:rPr>
          <w:i/>
          <w:sz w:val="22"/>
          <w:szCs w:val="22"/>
        </w:rPr>
        <w:t>Daniel</w:t>
      </w:r>
      <w:r w:rsidRPr="005D56D3">
        <w:rPr>
          <w:sz w:val="22"/>
          <w:szCs w:val="22"/>
        </w:rPr>
        <w:t>, 66.</w:t>
      </w:r>
    </w:p>
  </w:footnote>
  <w:footnote w:id="18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J. J. Collins, </w:t>
      </w:r>
      <w:r w:rsidRPr="005D56D3">
        <w:rPr>
          <w:i/>
          <w:sz w:val="22"/>
          <w:szCs w:val="22"/>
        </w:rPr>
        <w:t>OTP</w:t>
      </w:r>
      <w:r w:rsidRPr="005D56D3">
        <w:rPr>
          <w:sz w:val="22"/>
          <w:szCs w:val="22"/>
        </w:rPr>
        <w:t xml:space="preserve"> 1:359.</w:t>
      </w:r>
    </w:p>
  </w:footnote>
  <w:footnote w:id="18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Casey, </w:t>
      </w:r>
      <w:r w:rsidRPr="005D56D3">
        <w:rPr>
          <w:i/>
          <w:sz w:val="22"/>
          <w:szCs w:val="22"/>
        </w:rPr>
        <w:t>Son of Man</w:t>
      </w:r>
      <w:r w:rsidRPr="005D56D3">
        <w:rPr>
          <w:sz w:val="22"/>
          <w:szCs w:val="22"/>
        </w:rPr>
        <w:t>, 119.</w:t>
      </w:r>
    </w:p>
  </w:footnote>
  <w:footnote w:id="18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Casey, </w:t>
      </w:r>
      <w:r w:rsidRPr="005D56D3">
        <w:rPr>
          <w:i/>
          <w:sz w:val="22"/>
          <w:szCs w:val="22"/>
        </w:rPr>
        <w:t>Son of Man</w:t>
      </w:r>
      <w:r w:rsidRPr="005D56D3">
        <w:rPr>
          <w:sz w:val="22"/>
          <w:szCs w:val="22"/>
        </w:rPr>
        <w:t xml:space="preserve">, 51–70; see </w:t>
      </w:r>
      <w:r w:rsidRPr="005D56D3">
        <w:rPr>
          <w:i/>
          <w:sz w:val="22"/>
          <w:szCs w:val="22"/>
        </w:rPr>
        <w:t>Daniel in the Church 100-500</w:t>
      </w:r>
      <w:r w:rsidRPr="005D56D3">
        <w:rPr>
          <w:sz w:val="22"/>
          <w:szCs w:val="22"/>
        </w:rPr>
        <w:t xml:space="preserve"> in the Introduction to this commentary.</w:t>
      </w:r>
    </w:p>
  </w:footnote>
  <w:footnote w:id="18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Flusser, “The Four Empires in the Fourth Sibyl and in the Book of Daniel,”; J. J. Collins, </w:t>
      </w:r>
      <w:r w:rsidRPr="005D56D3">
        <w:rPr>
          <w:i/>
          <w:sz w:val="22"/>
          <w:szCs w:val="22"/>
        </w:rPr>
        <w:t>OTP</w:t>
      </w:r>
      <w:r w:rsidRPr="005D56D3">
        <w:rPr>
          <w:sz w:val="22"/>
          <w:szCs w:val="22"/>
        </w:rPr>
        <w:t xml:space="preserve"> 1:381–89.</w:t>
      </w:r>
    </w:p>
  </w:footnote>
  <w:footnote w:id="18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Walton (“The Four Kingdoms of Daniel”) sees the four as Assyria, Media, Medo-Perisa, and Greece.</w:t>
      </w:r>
    </w:p>
  </w:footnote>
  <w:footnote w:id="18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e.g., Casey, </w:t>
      </w:r>
      <w:r w:rsidRPr="005D56D3">
        <w:rPr>
          <w:i/>
          <w:sz w:val="22"/>
          <w:szCs w:val="22"/>
        </w:rPr>
        <w:t>Son of Man</w:t>
      </w:r>
      <w:r w:rsidRPr="005D56D3">
        <w:rPr>
          <w:sz w:val="22"/>
          <w:szCs w:val="22"/>
        </w:rPr>
        <w:t>, 71–73.</w:t>
      </w:r>
    </w:p>
  </w:footnote>
  <w:footnote w:id="18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at the beginning of the twentieth century, Hertlein, </w:t>
      </w:r>
      <w:r w:rsidRPr="005D56D3">
        <w:rPr>
          <w:i/>
          <w:sz w:val="22"/>
          <w:szCs w:val="22"/>
        </w:rPr>
        <w:t>Die Menschensohnfrage im letzten Stadium</w:t>
      </w:r>
      <w:r w:rsidRPr="005D56D3">
        <w:rPr>
          <w:sz w:val="22"/>
          <w:szCs w:val="22"/>
        </w:rPr>
        <w:t>; he dated Daniel in the first century AD.</w:t>
      </w:r>
    </w:p>
  </w:footnote>
  <w:footnote w:id="18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Van Hoonacker, “The Four Empires of the Book of Daniel.”</w:t>
      </w:r>
    </w:p>
  </w:footnote>
  <w:footnote w:id="18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also, e.g., Lagrange, “Les prophéties messianiques de Daniel”; Buzy, “Les symbols de Daniel.”</w:t>
      </w:r>
    </w:p>
  </w:footnote>
  <w:footnote w:id="19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Keil, </w:t>
      </w:r>
      <w:r w:rsidRPr="005D56D3">
        <w:rPr>
          <w:i/>
          <w:sz w:val="22"/>
          <w:szCs w:val="22"/>
        </w:rPr>
        <w:t>Biblischer Kommentar</w:t>
      </w:r>
      <w:r w:rsidRPr="005D56D3">
        <w:rPr>
          <w:sz w:val="22"/>
          <w:szCs w:val="22"/>
        </w:rPr>
        <w:t>, on the passage.</w:t>
      </w:r>
    </w:p>
  </w:footnote>
  <w:footnote w:id="19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Gruenthaner, “The Four Empires of Daniel,” 210.</w:t>
      </w:r>
    </w:p>
  </w:footnote>
  <w:footnote w:id="19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Caragounis, “History and Super-history,” 390-94; and more broadly on the Persians and Medes, Kuhrt, </w:t>
      </w:r>
      <w:r w:rsidRPr="005D56D3">
        <w:rPr>
          <w:i/>
          <w:sz w:val="22"/>
          <w:szCs w:val="22"/>
        </w:rPr>
        <w:t>The Ancient Near East</w:t>
      </w:r>
      <w:r w:rsidRPr="005D56D3">
        <w:rPr>
          <w:sz w:val="22"/>
          <w:szCs w:val="22"/>
        </w:rPr>
        <w:t xml:space="preserve"> 2:652-61; Briant, </w:t>
      </w:r>
      <w:r w:rsidRPr="005D56D3">
        <w:rPr>
          <w:i/>
          <w:sz w:val="22"/>
          <w:szCs w:val="22"/>
        </w:rPr>
        <w:t>From Cyrus to Alexander</w:t>
      </w:r>
      <w:r w:rsidRPr="005D56D3">
        <w:rPr>
          <w:sz w:val="22"/>
          <w:szCs w:val="22"/>
        </w:rPr>
        <w:t>, 13-28.</w:t>
      </w:r>
    </w:p>
  </w:footnote>
  <w:footnote w:id="19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Collins (</w:t>
      </w:r>
      <w:r w:rsidRPr="005D56D3">
        <w:rPr>
          <w:i/>
          <w:sz w:val="22"/>
          <w:szCs w:val="22"/>
        </w:rPr>
        <w:t>Daniel</w:t>
      </w:r>
      <w:r w:rsidRPr="005D56D3">
        <w:rPr>
          <w:sz w:val="22"/>
          <w:szCs w:val="22"/>
        </w:rPr>
        <w:t>, 313-17) argues for this meaning here.</w:t>
      </w:r>
    </w:p>
  </w:footnote>
  <w:footnote w:id="19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Brekelmans, “The Saints of the Most High and Their Kingdom,” gives a list of references, though he includes many from </w:t>
      </w:r>
      <w:r w:rsidRPr="005D56D3">
        <w:rPr>
          <w:i/>
          <w:sz w:val="22"/>
          <w:szCs w:val="22"/>
        </w:rPr>
        <w:t>1 Enoch</w:t>
      </w:r>
      <w:r w:rsidRPr="005D56D3">
        <w:rPr>
          <w:sz w:val="22"/>
          <w:szCs w:val="22"/>
        </w:rPr>
        <w:t xml:space="preserve"> 37–82 whose date is likely to be significantly later than Daniel.</w:t>
      </w:r>
    </w:p>
  </w:footnote>
  <w:footnote w:id="19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Against Charles, </w:t>
      </w:r>
      <w:r w:rsidRPr="005D56D3">
        <w:rPr>
          <w:i/>
          <w:sz w:val="22"/>
          <w:szCs w:val="22"/>
        </w:rPr>
        <w:t>A Critical and Exegetical Commentary</w:t>
      </w:r>
      <w:r w:rsidRPr="005D56D3">
        <w:rPr>
          <w:sz w:val="22"/>
          <w:szCs w:val="22"/>
        </w:rPr>
        <w:t>, on the passage.</w:t>
      </w:r>
    </w:p>
  </w:footnote>
  <w:footnote w:id="19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With Procksch, Noth, Dequeker, Coppens, Collins; against Brekelmans, Hanhart, Deissler, Hasel, Poythress, Casey (see </w:t>
      </w:r>
      <w:r w:rsidRPr="005D56D3">
        <w:rPr>
          <w:i/>
          <w:sz w:val="22"/>
          <w:szCs w:val="22"/>
        </w:rPr>
        <w:t>Pericope Bibliography</w:t>
      </w:r>
      <w:r w:rsidRPr="005D56D3">
        <w:rPr>
          <w:sz w:val="22"/>
          <w:szCs w:val="22"/>
        </w:rPr>
        <w:t>).</w:t>
      </w:r>
    </w:p>
  </w:footnote>
  <w:footnote w:id="19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Young, “Daniel’s Vision of the Son of Man,” 9; Ferch (</w:t>
      </w:r>
      <w:r w:rsidRPr="005D56D3">
        <w:rPr>
          <w:i/>
          <w:sz w:val="22"/>
          <w:szCs w:val="22"/>
        </w:rPr>
        <w:t>Son of Man</w:t>
      </w:r>
      <w:r w:rsidRPr="005D56D3">
        <w:rPr>
          <w:sz w:val="22"/>
          <w:szCs w:val="22"/>
        </w:rPr>
        <w:t>, 175–80) stresses the differences between the humanlike figure and the holy ones (cf. Hasel, “The Identity of ‘the Saints of the Most High’ in Daniel 7”; Shea, “Judgment in Daniel 7”).</w:t>
      </w:r>
    </w:p>
  </w:footnote>
  <w:footnote w:id="19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Collins (</w:t>
      </w:r>
      <w:r w:rsidRPr="005D56D3">
        <w:rPr>
          <w:i/>
          <w:sz w:val="22"/>
          <w:szCs w:val="22"/>
        </w:rPr>
        <w:t>Apocalyptic Vision of the Book of Daniel</w:t>
      </w:r>
      <w:r w:rsidRPr="005D56D3">
        <w:rPr>
          <w:sz w:val="22"/>
          <w:szCs w:val="22"/>
        </w:rPr>
        <w:t xml:space="preserve">, 123–52); cf. Lamberigts, “Le sens de </w:t>
      </w:r>
    </w:p>
    <w:p w:rsidR="008E57DC" w:rsidRPr="005D56D3" w:rsidRDefault="008E57DC" w:rsidP="00596A7D">
      <w:pPr>
        <w:pStyle w:val="FootnoteText"/>
        <w:ind w:firstLine="0"/>
        <w:rPr>
          <w:sz w:val="22"/>
          <w:szCs w:val="22"/>
        </w:rPr>
      </w:pPr>
      <w:r w:rsidRPr="005D56D3">
        <w:rPr>
          <w:rFonts w:ascii="Arial" w:hAnsi="Arial" w:cs="Arial"/>
          <w:sz w:val="22"/>
          <w:szCs w:val="22"/>
        </w:rPr>
        <w:t>ם</w:t>
      </w:r>
      <w:r w:rsidRPr="005D56D3">
        <w:rPr>
          <w:sz w:val="22"/>
          <w:szCs w:val="22"/>
        </w:rPr>
        <w:t xml:space="preserve"> </w:t>
      </w:r>
      <w:r w:rsidRPr="005D56D3">
        <w:rPr>
          <w:rFonts w:ascii="Arial" w:hAnsi="Arial" w:cs="Arial"/>
          <w:sz w:val="22"/>
          <w:szCs w:val="22"/>
        </w:rPr>
        <w:t>שי</w:t>
      </w:r>
      <w:r w:rsidRPr="005D56D3">
        <w:rPr>
          <w:sz w:val="22"/>
          <w:szCs w:val="22"/>
        </w:rPr>
        <w:t xml:space="preserve"> </w:t>
      </w:r>
      <w:r w:rsidRPr="005D56D3">
        <w:rPr>
          <w:rFonts w:ascii="Arial" w:hAnsi="Arial" w:cs="Arial"/>
          <w:sz w:val="22"/>
          <w:szCs w:val="22"/>
        </w:rPr>
        <w:t>ו</w:t>
      </w:r>
      <w:r w:rsidRPr="005D56D3">
        <w:rPr>
          <w:sz w:val="22"/>
          <w:szCs w:val="22"/>
        </w:rPr>
        <w:t xml:space="preserve"> </w:t>
      </w:r>
      <w:r w:rsidRPr="005D56D3">
        <w:rPr>
          <w:rFonts w:ascii="Arial" w:hAnsi="Arial" w:cs="Arial"/>
          <w:sz w:val="22"/>
          <w:szCs w:val="22"/>
        </w:rPr>
        <w:t>קד</w:t>
      </w:r>
      <w:r w:rsidRPr="005D56D3">
        <w:rPr>
          <w:sz w:val="22"/>
          <w:szCs w:val="22"/>
        </w:rPr>
        <w:t xml:space="preserve"> dans les textes de Qumrân; and see Mertens, </w:t>
      </w:r>
      <w:r w:rsidRPr="005D56D3">
        <w:rPr>
          <w:i/>
          <w:sz w:val="22"/>
          <w:szCs w:val="22"/>
        </w:rPr>
        <w:t>Das Buch Daniel</w:t>
      </w:r>
      <w:r w:rsidRPr="005D56D3">
        <w:rPr>
          <w:sz w:val="22"/>
          <w:szCs w:val="22"/>
        </w:rPr>
        <w:t>,</w:t>
      </w:r>
      <w:r w:rsidRPr="005D56D3">
        <w:rPr>
          <w:i/>
          <w:sz w:val="22"/>
          <w:szCs w:val="22"/>
        </w:rPr>
        <w:t xml:space="preserve"> </w:t>
      </w:r>
      <w:r w:rsidRPr="005D56D3">
        <w:rPr>
          <w:sz w:val="22"/>
          <w:szCs w:val="22"/>
        </w:rPr>
        <w:t>145–65.</w:t>
      </w:r>
    </w:p>
  </w:footnote>
  <w:footnote w:id="19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Poythress, “The Holy Ones of the Most High”; Beasley–Murray, “The Interpretation of Daniel 7,” 54–55.</w:t>
      </w:r>
    </w:p>
  </w:footnote>
  <w:footnote w:id="20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Against Hartman/Di Lella, </w:t>
      </w:r>
      <w:r w:rsidRPr="005D56D3">
        <w:rPr>
          <w:i/>
          <w:sz w:val="22"/>
          <w:szCs w:val="22"/>
        </w:rPr>
        <w:t>Daniel</w:t>
      </w:r>
      <w:r w:rsidRPr="005D56D3">
        <w:rPr>
          <w:sz w:val="22"/>
          <w:szCs w:val="22"/>
        </w:rPr>
        <w:t>, on the passage.</w:t>
      </w:r>
    </w:p>
  </w:footnote>
  <w:footnote w:id="20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Noth (“Die Heiligen des Höchsten,”, 286–90 (ET 225–28).</w:t>
      </w:r>
    </w:p>
  </w:footnote>
  <w:footnote w:id="20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Newsom, </w:t>
      </w:r>
      <w:r w:rsidRPr="005D56D3">
        <w:rPr>
          <w:i/>
          <w:sz w:val="22"/>
          <w:szCs w:val="22"/>
        </w:rPr>
        <w:t>Daniel</w:t>
      </w:r>
      <w:r w:rsidRPr="005D56D3">
        <w:rPr>
          <w:sz w:val="22"/>
          <w:szCs w:val="22"/>
        </w:rPr>
        <w:t>, 239.</w:t>
      </w:r>
    </w:p>
  </w:footnote>
  <w:footnote w:id="20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e.g., Porphyry as reported in Jerome, </w:t>
      </w:r>
      <w:r w:rsidRPr="005D56D3">
        <w:rPr>
          <w:i/>
          <w:sz w:val="22"/>
          <w:szCs w:val="22"/>
        </w:rPr>
        <w:t>Daniel</w:t>
      </w:r>
      <w:r w:rsidRPr="005D56D3">
        <w:rPr>
          <w:sz w:val="22"/>
          <w:szCs w:val="22"/>
        </w:rPr>
        <w:t>, 77;</w:t>
      </w:r>
      <w:r w:rsidRPr="005D56D3">
        <w:rPr>
          <w:i/>
          <w:sz w:val="22"/>
          <w:szCs w:val="22"/>
        </w:rPr>
        <w:t xml:space="preserve"> </w:t>
      </w:r>
      <w:r w:rsidRPr="005D56D3">
        <w:rPr>
          <w:sz w:val="22"/>
          <w:szCs w:val="22"/>
        </w:rPr>
        <w:t xml:space="preserve"> Ginsberg, </w:t>
      </w:r>
      <w:r w:rsidRPr="005D56D3">
        <w:rPr>
          <w:i/>
          <w:sz w:val="22"/>
          <w:szCs w:val="22"/>
        </w:rPr>
        <w:t>Studies in Daniel</w:t>
      </w:r>
      <w:r w:rsidRPr="005D56D3">
        <w:rPr>
          <w:sz w:val="22"/>
          <w:szCs w:val="22"/>
        </w:rPr>
        <w:t>;</w:t>
      </w:r>
      <w:r w:rsidRPr="005D56D3">
        <w:rPr>
          <w:i/>
          <w:sz w:val="22"/>
          <w:szCs w:val="22"/>
        </w:rPr>
        <w:t xml:space="preserve"> </w:t>
      </w:r>
      <w:r w:rsidRPr="005D56D3">
        <w:rPr>
          <w:sz w:val="22"/>
          <w:szCs w:val="22"/>
        </w:rPr>
        <w:t xml:space="preserve">Goldstein, </w:t>
      </w:r>
      <w:r w:rsidRPr="005D56D3">
        <w:rPr>
          <w:i/>
          <w:sz w:val="22"/>
          <w:szCs w:val="22"/>
        </w:rPr>
        <w:t>1 Maccabees,</w:t>
      </w:r>
      <w:r w:rsidRPr="005D56D3">
        <w:rPr>
          <w:sz w:val="22"/>
          <w:szCs w:val="22"/>
        </w:rPr>
        <w:t xml:space="preserve"> 42; Buchanan </w:t>
      </w:r>
      <w:r w:rsidRPr="005D56D3">
        <w:rPr>
          <w:i/>
          <w:sz w:val="22"/>
          <w:szCs w:val="22"/>
        </w:rPr>
        <w:t>To the Hebrews</w:t>
      </w:r>
      <w:r w:rsidRPr="005D56D3">
        <w:rPr>
          <w:sz w:val="22"/>
          <w:szCs w:val="22"/>
        </w:rPr>
        <w:t>, 42–48; Caragounis, “The Interpretation of the Ten Horns of Daniel 7.”</w:t>
      </w:r>
    </w:p>
  </w:footnote>
  <w:footnote w:id="20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Sachs/Wiseman, “A Babylonian King-List of the Hellenistic Period,” 208.</w:t>
      </w:r>
    </w:p>
  </w:footnote>
  <w:footnote w:id="20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Blasius, “Antiochus IV Epiphanes and the Ptolemaic Triad.”</w:t>
      </w:r>
    </w:p>
  </w:footnote>
  <w:footnote w:id="20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further Scolnic</w:t>
      </w:r>
      <w:r w:rsidRPr="005D56D3">
        <w:rPr>
          <w:b/>
          <w:sz w:val="22"/>
          <w:szCs w:val="22"/>
        </w:rPr>
        <w:t xml:space="preserve">, </w:t>
      </w:r>
      <w:r w:rsidRPr="005D56D3">
        <w:rPr>
          <w:sz w:val="22"/>
          <w:szCs w:val="22"/>
        </w:rPr>
        <w:t>“Antiochus IV and the Three Horns in Daniel 7.”</w:t>
      </w:r>
    </w:p>
  </w:footnote>
  <w:footnote w:id="20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Rowley, </w:t>
      </w:r>
      <w:r w:rsidRPr="005D56D3">
        <w:rPr>
          <w:i/>
          <w:sz w:val="22"/>
          <w:szCs w:val="22"/>
        </w:rPr>
        <w:t>Darius the Mede and the Four World Empires</w:t>
      </w:r>
      <w:r w:rsidRPr="005D56D3">
        <w:rPr>
          <w:sz w:val="22"/>
          <w:szCs w:val="22"/>
        </w:rPr>
        <w:t>,</w:t>
      </w:r>
      <w:r w:rsidRPr="005D56D3">
        <w:rPr>
          <w:i/>
          <w:sz w:val="22"/>
          <w:szCs w:val="22"/>
        </w:rPr>
        <w:t xml:space="preserve"> </w:t>
      </w:r>
      <w:r w:rsidRPr="005D56D3">
        <w:rPr>
          <w:sz w:val="22"/>
          <w:szCs w:val="22"/>
        </w:rPr>
        <w:t>103–5</w:t>
      </w:r>
    </w:p>
  </w:footnote>
  <w:footnote w:id="20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e.g., VanderKam, “Origin, Character, and Early History of the 364-Day Calendar”; “2 Maccabees 6, 7a and Calendrical Change in Jerusalem”; see further on 12:11–12.</w:t>
      </w:r>
    </w:p>
  </w:footnote>
  <w:footnote w:id="20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Barr, “Daniel,” on the passage.</w:t>
      </w:r>
    </w:p>
  </w:footnote>
  <w:footnote w:id="21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Beek, “Zeit, Zeiten und eine halbe Zeit,” 19–20.</w:t>
      </w:r>
    </w:p>
  </w:footnote>
  <w:footnote w:id="211">
    <w:p w:rsidR="008E57DC" w:rsidRPr="005D56D3" w:rsidRDefault="008E57DC" w:rsidP="001A1CA1">
      <w:pPr>
        <w:pStyle w:val="FootnoteText"/>
        <w:rPr>
          <w:sz w:val="22"/>
          <w:szCs w:val="22"/>
        </w:rPr>
      </w:pPr>
      <w:r w:rsidRPr="005D56D3">
        <w:rPr>
          <w:rStyle w:val="FootnoteReference"/>
          <w:sz w:val="22"/>
          <w:szCs w:val="22"/>
        </w:rPr>
        <w:footnoteRef/>
      </w:r>
      <w:r w:rsidRPr="005D56D3">
        <w:rPr>
          <w:sz w:val="22"/>
          <w:szCs w:val="22"/>
        </w:rPr>
        <w:t xml:space="preserve"> Merrill Willis,</w:t>
      </w:r>
      <w:r w:rsidRPr="005D56D3">
        <w:rPr>
          <w:b/>
          <w:sz w:val="22"/>
          <w:szCs w:val="22"/>
        </w:rPr>
        <w:t xml:space="preserve"> </w:t>
      </w:r>
      <w:r w:rsidRPr="005D56D3">
        <w:rPr>
          <w:i/>
          <w:iCs/>
          <w:sz w:val="22"/>
          <w:szCs w:val="22"/>
        </w:rPr>
        <w:t>Dissonance and the Drama of Divine Sovereignty in the Bookof Daniel</w:t>
      </w:r>
      <w:r w:rsidRPr="005D56D3">
        <w:rPr>
          <w:iCs/>
          <w:sz w:val="22"/>
          <w:szCs w:val="22"/>
        </w:rPr>
        <w:t xml:space="preserve">, </w:t>
      </w:r>
      <w:r w:rsidRPr="005D56D3">
        <w:rPr>
          <w:sz w:val="22"/>
          <w:szCs w:val="22"/>
        </w:rPr>
        <w:t>85.</w:t>
      </w:r>
    </w:p>
  </w:footnote>
  <w:footnote w:id="212">
    <w:p w:rsidR="008E57DC" w:rsidRPr="005D56D3" w:rsidRDefault="008E57DC" w:rsidP="00622A75">
      <w:pPr>
        <w:pStyle w:val="ListParagraph"/>
        <w:ind w:left="0" w:firstLine="720"/>
        <w:rPr>
          <w:rFonts w:asciiTheme="minorHAnsi" w:hAnsiTheme="minorHAnsi"/>
          <w:szCs w:val="22"/>
        </w:rPr>
      </w:pPr>
      <w:r w:rsidRPr="005D56D3">
        <w:rPr>
          <w:rStyle w:val="FootnoteReference"/>
          <w:szCs w:val="22"/>
        </w:rPr>
        <w:footnoteRef/>
      </w:r>
      <w:r w:rsidRPr="005D56D3">
        <w:rPr>
          <w:szCs w:val="22"/>
        </w:rPr>
        <w:t xml:space="preserve"> Cf.  Keil, </w:t>
      </w:r>
      <w:r w:rsidRPr="005D56D3">
        <w:rPr>
          <w:i/>
          <w:szCs w:val="22"/>
        </w:rPr>
        <w:t>Biblischer Kommentar</w:t>
      </w:r>
      <w:r w:rsidRPr="005D56D3">
        <w:rPr>
          <w:szCs w:val="22"/>
        </w:rPr>
        <w:t xml:space="preserve">, on the passage; cf. </w:t>
      </w:r>
      <w:r w:rsidRPr="005D56D3">
        <w:rPr>
          <w:rFonts w:asciiTheme="minorHAnsi" w:hAnsiTheme="minorHAnsi"/>
          <w:szCs w:val="22"/>
        </w:rPr>
        <w:t>Stahl</w:t>
      </w:r>
      <w:r w:rsidRPr="005D56D3">
        <w:rPr>
          <w:rFonts w:asciiTheme="minorHAnsi" w:hAnsiTheme="minorHAnsi"/>
          <w:b/>
          <w:szCs w:val="22"/>
        </w:rPr>
        <w:t xml:space="preserve">, </w:t>
      </w:r>
      <w:r w:rsidRPr="005D56D3">
        <w:rPr>
          <w:rFonts w:asciiTheme="minorHAnsi" w:hAnsiTheme="minorHAnsi"/>
          <w:szCs w:val="22"/>
        </w:rPr>
        <w:t>“‘Eine Zeit, Zeiten und die Hälfte der Zeit,’” 484 (he takes the numbers in chaps. 8—12 as attempts to give precision to the symbolic figure here).</w:t>
      </w:r>
    </w:p>
  </w:footnote>
  <w:footnote w:id="21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Collins, “The Meaning of ‘The End’ in the Book of Daniel,” 158.</w:t>
      </w:r>
    </w:p>
  </w:footnote>
  <w:footnote w:id="21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Noth, “Die Heiligen des Höchsten.” 280, 284–85 (ET 219–20, 223–24).</w:t>
      </w:r>
    </w:p>
  </w:footnote>
  <w:footnote w:id="21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e.g., Brekelmans, “The Saints of the Most High and Their Kingdom,” 321.</w:t>
      </w:r>
    </w:p>
  </w:footnote>
  <w:footnote w:id="21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Hanhart, “Die Heiligen des Höchsten,” 99–101.</w:t>
      </w:r>
    </w:p>
  </w:footnote>
  <w:footnote w:id="21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Collins, </w:t>
      </w:r>
      <w:r w:rsidRPr="005D56D3">
        <w:rPr>
          <w:i/>
          <w:sz w:val="22"/>
          <w:szCs w:val="22"/>
        </w:rPr>
        <w:t>Apocalyptic Vision of the Book of Daniel</w:t>
      </w:r>
      <w:r w:rsidRPr="005D56D3">
        <w:rPr>
          <w:sz w:val="22"/>
          <w:szCs w:val="22"/>
        </w:rPr>
        <w:t>, 143.</w:t>
      </w:r>
    </w:p>
  </w:footnote>
  <w:footnote w:id="21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Lacocque, </w:t>
      </w:r>
      <w:r w:rsidRPr="005D56D3">
        <w:rPr>
          <w:i/>
          <w:sz w:val="22"/>
          <w:szCs w:val="22"/>
        </w:rPr>
        <w:t>Daniel in His Time</w:t>
      </w:r>
      <w:r w:rsidRPr="005D56D3">
        <w:rPr>
          <w:sz w:val="22"/>
          <w:szCs w:val="22"/>
        </w:rPr>
        <w:t>, 143.</w:t>
      </w:r>
    </w:p>
  </w:footnote>
  <w:footnote w:id="21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Davies, </w:t>
      </w:r>
      <w:r w:rsidRPr="005D56D3">
        <w:rPr>
          <w:i/>
          <w:sz w:val="22"/>
          <w:szCs w:val="22"/>
        </w:rPr>
        <w:t>Daniel</w:t>
      </w:r>
      <w:r w:rsidRPr="005D56D3">
        <w:rPr>
          <w:sz w:val="22"/>
          <w:szCs w:val="22"/>
        </w:rPr>
        <w:t>, 12.</w:t>
      </w:r>
    </w:p>
  </w:footnote>
  <w:footnote w:id="22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Knibb</w:t>
      </w:r>
      <w:r w:rsidRPr="005D56D3">
        <w:rPr>
          <w:b/>
          <w:sz w:val="22"/>
          <w:szCs w:val="22"/>
        </w:rPr>
        <w:t>,</w:t>
      </w:r>
      <w:r w:rsidRPr="005D56D3">
        <w:rPr>
          <w:bCs/>
          <w:sz w:val="22"/>
          <w:szCs w:val="22"/>
        </w:rPr>
        <w:t>“The Book of Daniel in Its Context,” 17.</w:t>
      </w:r>
    </w:p>
  </w:footnote>
  <w:footnote w:id="22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Hebbard, </w:t>
      </w:r>
      <w:r w:rsidRPr="005D56D3">
        <w:rPr>
          <w:i/>
          <w:sz w:val="22"/>
          <w:szCs w:val="22"/>
        </w:rPr>
        <w:t xml:space="preserve">Reading Daniel, </w:t>
      </w:r>
      <w:r w:rsidRPr="005D56D3">
        <w:rPr>
          <w:sz w:val="22"/>
          <w:szCs w:val="22"/>
        </w:rPr>
        <w:t>160</w:t>
      </w:r>
      <w:r w:rsidRPr="005D56D3">
        <w:rPr>
          <w:i/>
          <w:sz w:val="22"/>
          <w:szCs w:val="22"/>
        </w:rPr>
        <w:t>.</w:t>
      </w:r>
    </w:p>
  </w:footnote>
  <w:footnote w:id="22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Gowan, </w:t>
      </w:r>
      <w:r w:rsidRPr="005D56D3">
        <w:rPr>
          <w:i/>
          <w:sz w:val="22"/>
          <w:szCs w:val="22"/>
        </w:rPr>
        <w:t>Daniel</w:t>
      </w:r>
      <w:r w:rsidRPr="005D56D3">
        <w:rPr>
          <w:sz w:val="22"/>
          <w:szCs w:val="22"/>
        </w:rPr>
        <w:t>, on the chapter.</w:t>
      </w:r>
    </w:p>
  </w:footnote>
  <w:footnote w:id="22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Seow, </w:t>
      </w:r>
      <w:r w:rsidRPr="005D56D3">
        <w:rPr>
          <w:i/>
          <w:sz w:val="22"/>
          <w:szCs w:val="22"/>
        </w:rPr>
        <w:t>Daniel</w:t>
      </w:r>
      <w:r w:rsidRPr="005D56D3">
        <w:rPr>
          <w:sz w:val="22"/>
          <w:szCs w:val="22"/>
        </w:rPr>
        <w:t>, 101.</w:t>
      </w:r>
    </w:p>
  </w:footnote>
  <w:footnote w:id="22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Di Lella, </w:t>
      </w:r>
      <w:r w:rsidRPr="005D56D3">
        <w:rPr>
          <w:i/>
          <w:sz w:val="22"/>
          <w:szCs w:val="22"/>
        </w:rPr>
        <w:t>Daniel</w:t>
      </w:r>
      <w:r w:rsidRPr="005D56D3">
        <w:rPr>
          <w:sz w:val="22"/>
          <w:szCs w:val="22"/>
        </w:rPr>
        <w:t>, 140.</w:t>
      </w:r>
    </w:p>
  </w:footnote>
  <w:footnote w:id="22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Newsom, </w:t>
      </w:r>
      <w:r w:rsidRPr="005D56D3">
        <w:rPr>
          <w:i/>
          <w:sz w:val="22"/>
          <w:szCs w:val="22"/>
        </w:rPr>
        <w:t>The Self As Symbolic Space,</w:t>
      </w:r>
      <w:r w:rsidRPr="005D56D3">
        <w:rPr>
          <w:sz w:val="22"/>
          <w:szCs w:val="22"/>
        </w:rPr>
        <w:t xml:space="preserve"> 44 (her emphasis); cf. Perrin, </w:t>
      </w:r>
      <w:r w:rsidRPr="005D56D3">
        <w:rPr>
          <w:i/>
          <w:sz w:val="22"/>
          <w:szCs w:val="22"/>
        </w:rPr>
        <w:t>The Dynamics of Dream-Vision Revelation</w:t>
      </w:r>
      <w:r w:rsidRPr="005D56D3">
        <w:rPr>
          <w:sz w:val="22"/>
          <w:szCs w:val="22"/>
        </w:rPr>
        <w:t>, 235.</w:t>
      </w:r>
    </w:p>
  </w:footnote>
  <w:footnote w:id="22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Moltmann, </w:t>
      </w:r>
      <w:r w:rsidRPr="005D56D3">
        <w:rPr>
          <w:i/>
          <w:sz w:val="22"/>
          <w:szCs w:val="22"/>
        </w:rPr>
        <w:t>Theologie der Hoffnung</w:t>
      </w:r>
      <w:r w:rsidRPr="005D56D3">
        <w:rPr>
          <w:sz w:val="22"/>
          <w:szCs w:val="22"/>
        </w:rPr>
        <w:t>, 92–95 (ET 102–6).</w:t>
      </w:r>
    </w:p>
  </w:footnote>
  <w:footnote w:id="22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Walker, “Daniel 7:13–14,” 180.</w:t>
      </w:r>
    </w:p>
  </w:footnote>
  <w:footnote w:id="22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Nesom, </w:t>
      </w:r>
      <w:r w:rsidRPr="005D56D3">
        <w:rPr>
          <w:i/>
          <w:sz w:val="22"/>
          <w:szCs w:val="22"/>
        </w:rPr>
        <w:t>Daniel</w:t>
      </w:r>
      <w:r w:rsidRPr="005D56D3">
        <w:rPr>
          <w:sz w:val="22"/>
          <w:szCs w:val="22"/>
        </w:rPr>
        <w:t>, 211.</w:t>
      </w:r>
    </w:p>
  </w:footnote>
  <w:footnote w:id="22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Mayer, </w:t>
      </w:r>
      <w:r w:rsidRPr="005D56D3">
        <w:rPr>
          <w:i/>
          <w:iCs/>
          <w:sz w:val="22"/>
          <w:szCs w:val="22"/>
        </w:rPr>
        <w:t>Commentary upon All the Prophets</w:t>
      </w:r>
      <w:r w:rsidRPr="005D56D3">
        <w:rPr>
          <w:iCs/>
          <w:sz w:val="22"/>
          <w:szCs w:val="22"/>
        </w:rPr>
        <w:t>, 547.</w:t>
      </w:r>
    </w:p>
  </w:footnote>
  <w:footnote w:id="23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further Wilson</w:t>
      </w:r>
      <w:r w:rsidRPr="005D56D3">
        <w:rPr>
          <w:b/>
          <w:sz w:val="22"/>
          <w:szCs w:val="22"/>
        </w:rPr>
        <w:t xml:space="preserve">, </w:t>
      </w:r>
      <w:r w:rsidRPr="005D56D3">
        <w:rPr>
          <w:sz w:val="22"/>
          <w:szCs w:val="22"/>
        </w:rPr>
        <w:t>“Creation and New Creation.”</w:t>
      </w:r>
    </w:p>
  </w:footnote>
  <w:footnote w:id="23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Owen, “Concerning the Kingdom of Christ,” 369.</w:t>
      </w:r>
    </w:p>
  </w:footnote>
  <w:footnote w:id="23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Wilson</w:t>
      </w:r>
      <w:r w:rsidRPr="005D56D3">
        <w:rPr>
          <w:b/>
          <w:sz w:val="22"/>
          <w:szCs w:val="22"/>
        </w:rPr>
        <w:t xml:space="preserve">, </w:t>
      </w:r>
      <w:r w:rsidRPr="005D56D3">
        <w:rPr>
          <w:sz w:val="22"/>
          <w:szCs w:val="22"/>
        </w:rPr>
        <w:t>“Creation and New Creation,” 202-3.</w:t>
      </w:r>
    </w:p>
  </w:footnote>
  <w:footnote w:id="23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Gammie, </w:t>
      </w:r>
      <w:r w:rsidRPr="005D56D3">
        <w:rPr>
          <w:i/>
          <w:sz w:val="22"/>
          <w:szCs w:val="22"/>
        </w:rPr>
        <w:t>Daniel</w:t>
      </w:r>
      <w:r w:rsidRPr="005D56D3">
        <w:rPr>
          <w:sz w:val="22"/>
          <w:szCs w:val="22"/>
        </w:rPr>
        <w:t>, on the passage.</w:t>
      </w:r>
    </w:p>
  </w:footnote>
  <w:footnote w:id="23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Lucas, </w:t>
      </w:r>
      <w:r w:rsidRPr="005D56D3">
        <w:rPr>
          <w:i/>
          <w:sz w:val="22"/>
          <w:szCs w:val="22"/>
        </w:rPr>
        <w:t>Daniel</w:t>
      </w:r>
      <w:r w:rsidRPr="005D56D3">
        <w:rPr>
          <w:sz w:val="22"/>
          <w:szCs w:val="22"/>
        </w:rPr>
        <w:t>, 195.</w:t>
      </w:r>
    </w:p>
  </w:footnote>
  <w:footnote w:id="23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w:t>
      </w:r>
      <w:r w:rsidRPr="005D56D3">
        <w:rPr>
          <w:iCs/>
          <w:sz w:val="22"/>
          <w:szCs w:val="22"/>
        </w:rPr>
        <w:t>Van Henten</w:t>
      </w:r>
      <w:r w:rsidRPr="005D56D3">
        <w:rPr>
          <w:sz w:val="22"/>
          <w:szCs w:val="22"/>
        </w:rPr>
        <w:t>,</w:t>
      </w:r>
      <w:r w:rsidRPr="005D56D3">
        <w:rPr>
          <w:b/>
          <w:sz w:val="22"/>
          <w:szCs w:val="22"/>
        </w:rPr>
        <w:t xml:space="preserve"> </w:t>
      </w:r>
      <w:r w:rsidRPr="005D56D3">
        <w:rPr>
          <w:sz w:val="22"/>
          <w:szCs w:val="22"/>
        </w:rPr>
        <w:t>“Antiochus IV as a Typhonic Figure in Daniel 7.”</w:t>
      </w:r>
    </w:p>
  </w:footnote>
  <w:footnote w:id="23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Macumber</w:t>
      </w:r>
      <w:r w:rsidRPr="005D56D3">
        <w:rPr>
          <w:b/>
          <w:sz w:val="22"/>
          <w:szCs w:val="22"/>
        </w:rPr>
        <w:t xml:space="preserve">, </w:t>
      </w:r>
      <w:r w:rsidRPr="005D56D3">
        <w:rPr>
          <w:sz w:val="22"/>
          <w:szCs w:val="22"/>
        </w:rPr>
        <w:t>“A Monster without a Name”; cf. Lenchak</w:t>
      </w:r>
      <w:r w:rsidRPr="005D56D3">
        <w:rPr>
          <w:b/>
          <w:sz w:val="22"/>
          <w:szCs w:val="22"/>
        </w:rPr>
        <w:t xml:space="preserve">, </w:t>
      </w:r>
      <w:r w:rsidRPr="005D56D3">
        <w:rPr>
          <w:sz w:val="22"/>
          <w:szCs w:val="22"/>
        </w:rPr>
        <w:t>“Puzzling Passages.”</w:t>
      </w:r>
    </w:p>
  </w:footnote>
  <w:footnote w:id="23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w:t>
      </w:r>
      <w:r w:rsidRPr="005D56D3">
        <w:rPr>
          <w:iCs/>
          <w:sz w:val="22"/>
          <w:szCs w:val="22"/>
        </w:rPr>
        <w:t>Van Henten</w:t>
      </w:r>
      <w:r w:rsidRPr="005D56D3">
        <w:rPr>
          <w:sz w:val="22"/>
          <w:szCs w:val="22"/>
        </w:rPr>
        <w:t>,</w:t>
      </w:r>
      <w:r w:rsidRPr="005D56D3">
        <w:rPr>
          <w:b/>
          <w:sz w:val="22"/>
          <w:szCs w:val="22"/>
        </w:rPr>
        <w:t xml:space="preserve"> </w:t>
      </w:r>
      <w:r w:rsidRPr="005D56D3">
        <w:rPr>
          <w:sz w:val="22"/>
          <w:szCs w:val="22"/>
        </w:rPr>
        <w:t>“Antiochus IV as a Typhonic Figure in Daniel 7,” 242.</w:t>
      </w:r>
    </w:p>
  </w:footnote>
  <w:footnote w:id="23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Macumber, “A Monster without a Name,” 25.</w:t>
      </w:r>
    </w:p>
  </w:footnote>
  <w:footnote w:id="23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Aukerman, </w:t>
      </w:r>
      <w:r w:rsidRPr="005D56D3">
        <w:rPr>
          <w:i/>
          <w:sz w:val="22"/>
          <w:szCs w:val="22"/>
        </w:rPr>
        <w:t>Darkening Valley</w:t>
      </w:r>
      <w:r w:rsidRPr="005D56D3">
        <w:rPr>
          <w:sz w:val="22"/>
          <w:szCs w:val="22"/>
        </w:rPr>
        <w:t>, 76–77.</w:t>
      </w:r>
    </w:p>
  </w:footnote>
  <w:footnote w:id="24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Berrigan, </w:t>
      </w:r>
      <w:r w:rsidRPr="005D56D3">
        <w:rPr>
          <w:i/>
          <w:sz w:val="22"/>
          <w:szCs w:val="22"/>
        </w:rPr>
        <w:t>Daniel</w:t>
      </w:r>
      <w:r w:rsidRPr="005D56D3">
        <w:rPr>
          <w:sz w:val="22"/>
          <w:szCs w:val="22"/>
        </w:rPr>
        <w:t>, 112.</w:t>
      </w:r>
    </w:p>
  </w:footnote>
  <w:footnote w:id="24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Frisch, </w:t>
      </w:r>
      <w:r w:rsidRPr="005D56D3">
        <w:rPr>
          <w:i/>
          <w:sz w:val="22"/>
          <w:szCs w:val="22"/>
        </w:rPr>
        <w:t>The Danielic Discourse on Empire</w:t>
      </w:r>
      <w:r w:rsidRPr="005D56D3">
        <w:rPr>
          <w:sz w:val="22"/>
          <w:szCs w:val="22"/>
        </w:rPr>
        <w:t>, 1.</w:t>
      </w:r>
    </w:p>
  </w:footnote>
  <w:footnote w:id="24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Sumner, “Daniel,” 174.</w:t>
      </w:r>
    </w:p>
  </w:footnote>
  <w:footnote w:id="24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Koch, “Vom profetischen zum apokalyptischen Visionsbericht,” 439.</w:t>
      </w:r>
    </w:p>
  </w:footnote>
  <w:footnote w:id="24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Aukerman, </w:t>
      </w:r>
      <w:r w:rsidRPr="005D56D3">
        <w:rPr>
          <w:i/>
          <w:sz w:val="22"/>
          <w:szCs w:val="22"/>
        </w:rPr>
        <w:t>Darkening</w:t>
      </w:r>
      <w:r w:rsidRPr="005D56D3">
        <w:rPr>
          <w:sz w:val="22"/>
          <w:szCs w:val="22"/>
        </w:rPr>
        <w:t xml:space="preserve"> </w:t>
      </w:r>
      <w:r w:rsidRPr="005D56D3">
        <w:rPr>
          <w:i/>
          <w:sz w:val="22"/>
          <w:szCs w:val="22"/>
        </w:rPr>
        <w:t>Valley</w:t>
      </w:r>
      <w:r w:rsidRPr="005D56D3">
        <w:rPr>
          <w:sz w:val="22"/>
          <w:szCs w:val="22"/>
        </w:rPr>
        <w:t>, 79.</w:t>
      </w:r>
    </w:p>
  </w:footnote>
  <w:footnote w:id="24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e..g., Jerome, </w:t>
      </w:r>
      <w:r w:rsidRPr="005D56D3">
        <w:rPr>
          <w:i/>
          <w:sz w:val="22"/>
          <w:szCs w:val="22"/>
        </w:rPr>
        <w:t>Daniel</w:t>
      </w:r>
      <w:r w:rsidRPr="005D56D3">
        <w:rPr>
          <w:sz w:val="22"/>
          <w:szCs w:val="22"/>
        </w:rPr>
        <w:t>, 80; recently Gulley, “Why the Danielic Little Horn is not Antiochus IV Epiphanes.”</w:t>
      </w:r>
    </w:p>
  </w:footnote>
  <w:footnote w:id="24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Haag, </w:t>
      </w:r>
      <w:r w:rsidRPr="005D56D3">
        <w:rPr>
          <w:i/>
          <w:sz w:val="22"/>
          <w:szCs w:val="22"/>
        </w:rPr>
        <w:t>Daniel</w:t>
      </w:r>
      <w:r w:rsidRPr="005D56D3">
        <w:rPr>
          <w:sz w:val="22"/>
          <w:szCs w:val="22"/>
        </w:rPr>
        <w:t>, 13.</w:t>
      </w:r>
    </w:p>
  </w:footnote>
  <w:footnote w:id="24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Rowe, “Is Daniel’s ‘Son of Man’ Messianic?” 84–85.</w:t>
      </w:r>
    </w:p>
  </w:footnote>
  <w:footnote w:id="24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Moltmann, </w:t>
      </w:r>
      <w:r w:rsidRPr="005D56D3">
        <w:rPr>
          <w:i/>
          <w:sz w:val="22"/>
          <w:szCs w:val="22"/>
        </w:rPr>
        <w:t>Theologie der Hoffnung</w:t>
      </w:r>
      <w:r w:rsidRPr="005D56D3">
        <w:rPr>
          <w:sz w:val="22"/>
          <w:szCs w:val="22"/>
        </w:rPr>
        <w:t>, 123–24 (ET 137)</w:t>
      </w:r>
    </w:p>
  </w:footnote>
  <w:footnote w:id="24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Daniel thus suggests insights belonging to various theologies of history distinguished by Towner, </w:t>
      </w:r>
      <w:r w:rsidRPr="005D56D3">
        <w:rPr>
          <w:i/>
          <w:sz w:val="22"/>
          <w:szCs w:val="22"/>
        </w:rPr>
        <w:t>Daniel</w:t>
      </w:r>
      <w:r w:rsidRPr="005D56D3">
        <w:rPr>
          <w:sz w:val="22"/>
          <w:szCs w:val="22"/>
        </w:rPr>
        <w:t>, 110-12.</w:t>
      </w:r>
    </w:p>
  </w:footnote>
  <w:footnote w:id="25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Wade</w:t>
      </w:r>
      <w:r w:rsidRPr="005D56D3">
        <w:rPr>
          <w:b/>
          <w:sz w:val="22"/>
          <w:szCs w:val="22"/>
        </w:rPr>
        <w:t>,</w:t>
      </w:r>
      <w:r w:rsidRPr="005D56D3">
        <w:rPr>
          <w:sz w:val="22"/>
          <w:szCs w:val="22"/>
        </w:rPr>
        <w:t>“'Son of Man' Comes to the Judgment in Daniel 7:13,” 278.</w:t>
      </w:r>
    </w:p>
  </w:footnote>
  <w:footnote w:id="25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Calvin, </w:t>
      </w:r>
      <w:r w:rsidRPr="005D56D3">
        <w:rPr>
          <w:i/>
          <w:sz w:val="22"/>
          <w:szCs w:val="22"/>
        </w:rPr>
        <w:t>Daniel</w:t>
      </w:r>
      <w:r w:rsidRPr="005D56D3">
        <w:rPr>
          <w:sz w:val="22"/>
          <w:szCs w:val="22"/>
        </w:rPr>
        <w:t xml:space="preserve"> 2:33.</w:t>
      </w:r>
    </w:p>
  </w:footnote>
  <w:footnote w:id="25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Smith-Christopher, “Daniel,” 103.</w:t>
      </w:r>
    </w:p>
  </w:footnote>
  <w:footnote w:id="25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Lacocque, “Allusions to Creation in Daniel 7,” 114.</w:t>
      </w:r>
    </w:p>
  </w:footnote>
  <w:footnote w:id="25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Ferch, </w:t>
      </w:r>
      <w:r w:rsidRPr="005D56D3">
        <w:rPr>
          <w:i/>
          <w:sz w:val="22"/>
          <w:szCs w:val="22"/>
        </w:rPr>
        <w:t>Son of Man</w:t>
      </w:r>
      <w:r w:rsidRPr="005D56D3">
        <w:rPr>
          <w:sz w:val="22"/>
          <w:szCs w:val="22"/>
        </w:rPr>
        <w:t>, 153.</w:t>
      </w:r>
    </w:p>
  </w:footnote>
  <w:footnote w:id="25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Towner, “Were the English Puritans ‘the Saints of the Most High’?”</w:t>
      </w:r>
    </w:p>
  </w:footnote>
  <w:footnote w:id="25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Newsom, </w:t>
      </w:r>
      <w:r w:rsidRPr="005D56D3">
        <w:rPr>
          <w:i/>
          <w:sz w:val="22"/>
          <w:szCs w:val="22"/>
        </w:rPr>
        <w:t>Daniel</w:t>
      </w:r>
      <w:r w:rsidRPr="005D56D3">
        <w:rPr>
          <w:sz w:val="22"/>
          <w:szCs w:val="22"/>
        </w:rPr>
        <w:t>, 233.</w:t>
      </w:r>
    </w:p>
  </w:footnote>
  <w:footnote w:id="25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Koch, “Spätisraelitische Geschichtsdenken,” 24.</w:t>
      </w:r>
    </w:p>
  </w:footnote>
  <w:footnote w:id="25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Newsom, </w:t>
      </w:r>
      <w:r w:rsidRPr="005D56D3">
        <w:rPr>
          <w:i/>
          <w:sz w:val="22"/>
          <w:szCs w:val="22"/>
        </w:rPr>
        <w:t>Daniel</w:t>
      </w:r>
      <w:r w:rsidRPr="005D56D3">
        <w:rPr>
          <w:sz w:val="22"/>
          <w:szCs w:val="22"/>
        </w:rPr>
        <w:t>, 219.</w:t>
      </w:r>
    </w:p>
  </w:footnote>
  <w:footnote w:id="25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Niditch, </w:t>
      </w:r>
      <w:r w:rsidRPr="005D56D3">
        <w:rPr>
          <w:i/>
          <w:sz w:val="22"/>
          <w:szCs w:val="22"/>
        </w:rPr>
        <w:t>The Symbolic Vision in Biblical Tradition</w:t>
      </w:r>
      <w:r w:rsidRPr="005D56D3">
        <w:rPr>
          <w:sz w:val="22"/>
          <w:szCs w:val="22"/>
        </w:rPr>
        <w:t xml:space="preserve">, 209–15; against Hartman/Di Lella, </w:t>
      </w:r>
      <w:r w:rsidRPr="005D56D3">
        <w:rPr>
          <w:i/>
          <w:sz w:val="22"/>
          <w:szCs w:val="22"/>
        </w:rPr>
        <w:t>Daniel</w:t>
      </w:r>
      <w:r w:rsidRPr="005D56D3">
        <w:rPr>
          <w:sz w:val="22"/>
          <w:szCs w:val="22"/>
        </w:rPr>
        <w:t>,</w:t>
      </w:r>
      <w:r w:rsidRPr="005D56D3">
        <w:rPr>
          <w:i/>
          <w:sz w:val="22"/>
          <w:szCs w:val="22"/>
        </w:rPr>
        <w:t xml:space="preserve"> </w:t>
      </w:r>
      <w:r w:rsidRPr="005D56D3">
        <w:rPr>
          <w:sz w:val="22"/>
          <w:szCs w:val="22"/>
        </w:rPr>
        <w:t>93.</w:t>
      </w:r>
    </w:p>
  </w:footnote>
  <w:footnote w:id="26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Koch, “Spätisraelitische Geschichtsdenken,” 12.</w:t>
      </w:r>
    </w:p>
  </w:footnote>
  <w:footnote w:id="26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Feuillet, “Le Fils de l’homme de Daniel,” 177.</w:t>
      </w:r>
    </w:p>
  </w:footnote>
  <w:footnote w:id="26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Moltmann, </w:t>
      </w:r>
      <w:r w:rsidRPr="005D56D3">
        <w:rPr>
          <w:i/>
          <w:sz w:val="22"/>
          <w:szCs w:val="22"/>
        </w:rPr>
        <w:t>Theologie der Hoffnung</w:t>
      </w:r>
      <w:r w:rsidRPr="005D56D3">
        <w:rPr>
          <w:sz w:val="22"/>
          <w:szCs w:val="22"/>
        </w:rPr>
        <w:t>, 124 (ET 137).</w:t>
      </w:r>
    </w:p>
  </w:footnote>
  <w:footnote w:id="26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Garrison</w:t>
      </w:r>
      <w:r w:rsidRPr="005D56D3">
        <w:rPr>
          <w:i/>
          <w:sz w:val="22"/>
          <w:szCs w:val="22"/>
        </w:rPr>
        <w:t>, The Darkness of God</w:t>
      </w:r>
      <w:r w:rsidRPr="005D56D3">
        <w:rPr>
          <w:sz w:val="22"/>
          <w:szCs w:val="22"/>
        </w:rPr>
        <w:t xml:space="preserve">; Schell, </w:t>
      </w:r>
      <w:r w:rsidRPr="005D56D3">
        <w:rPr>
          <w:i/>
          <w:sz w:val="22"/>
          <w:szCs w:val="22"/>
        </w:rPr>
        <w:t>The Fate of the Earth</w:t>
      </w:r>
      <w:r w:rsidRPr="005D56D3">
        <w:rPr>
          <w:sz w:val="22"/>
          <w:szCs w:val="22"/>
        </w:rPr>
        <w:t>.</w:t>
      </w:r>
    </w:p>
  </w:footnote>
  <w:footnote w:id="26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Hanson, “Biblical Apocalypticism,” 10–14; Bauckham, “Theology after Hiroshima.”</w:t>
      </w:r>
    </w:p>
  </w:footnote>
  <w:footnote w:id="26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Sahlin, “Wie wurde ursprünglich die Benennung ‘Der Menschensohn’ verstanden?” 173–74.</w:t>
      </w:r>
    </w:p>
  </w:footnote>
  <w:footnote w:id="26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Procksch, “Christus im AT,” 81–83.</w:t>
      </w:r>
    </w:p>
  </w:footnote>
  <w:footnote w:id="26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Viviano</w:t>
      </w:r>
      <w:r w:rsidRPr="005D56D3">
        <w:rPr>
          <w:b/>
          <w:sz w:val="22"/>
          <w:szCs w:val="22"/>
        </w:rPr>
        <w:t xml:space="preserve">, </w:t>
      </w:r>
      <w:r w:rsidRPr="005D56D3">
        <w:rPr>
          <w:sz w:val="22"/>
          <w:szCs w:val="22"/>
        </w:rPr>
        <w:t>“The Trinity in the OT: from Daniel 7:13-14 to Matt 28:19.”</w:t>
      </w:r>
    </w:p>
  </w:footnote>
  <w:footnote w:id="26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Barrett, “The Background of Mark 10:45,” 8–9; cf. Stuhlmacher, “Existenzstellvertretung für die Vielen,” 419–20.</w:t>
      </w:r>
    </w:p>
  </w:footnote>
  <w:footnote w:id="26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Dodd, </w:t>
      </w:r>
      <w:r w:rsidRPr="005D56D3">
        <w:rPr>
          <w:i/>
          <w:sz w:val="22"/>
          <w:szCs w:val="22"/>
        </w:rPr>
        <w:t>According to the Scriptures</w:t>
      </w:r>
      <w:r w:rsidRPr="005D56D3">
        <w:rPr>
          <w:sz w:val="22"/>
          <w:szCs w:val="22"/>
        </w:rPr>
        <w:t>, 69.</w:t>
      </w:r>
    </w:p>
  </w:footnote>
  <w:footnote w:id="27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Gowan, </w:t>
      </w:r>
      <w:r w:rsidRPr="005D56D3">
        <w:rPr>
          <w:i/>
          <w:sz w:val="22"/>
          <w:szCs w:val="22"/>
        </w:rPr>
        <w:t>Daniel,</w:t>
      </w:r>
      <w:r w:rsidRPr="005D56D3">
        <w:rPr>
          <w:sz w:val="22"/>
          <w:szCs w:val="22"/>
        </w:rPr>
        <w:t xml:space="preserve"> on the chapter.</w:t>
      </w:r>
    </w:p>
  </w:footnote>
  <w:footnote w:id="27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w:t>
      </w:r>
      <w:r w:rsidRPr="005D56D3">
        <w:rPr>
          <w:i/>
          <w:sz w:val="22"/>
          <w:szCs w:val="22"/>
        </w:rPr>
        <w:t>Daniel</w:t>
      </w:r>
      <w:r w:rsidRPr="005D56D3">
        <w:rPr>
          <w:sz w:val="22"/>
          <w:szCs w:val="22"/>
        </w:rPr>
        <w:t>, 81.</w:t>
      </w:r>
    </w:p>
  </w:footnote>
  <w:footnote w:id="27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Calvin, </w:t>
      </w:r>
      <w:r w:rsidRPr="005D56D3">
        <w:rPr>
          <w:i/>
          <w:sz w:val="22"/>
          <w:szCs w:val="22"/>
        </w:rPr>
        <w:t xml:space="preserve">Daniel </w:t>
      </w:r>
      <w:r w:rsidRPr="005D56D3">
        <w:rPr>
          <w:sz w:val="22"/>
          <w:szCs w:val="22"/>
        </w:rPr>
        <w:t xml:space="preserve">2:74-75, responding to Avravanel, </w:t>
      </w:r>
      <w:r w:rsidRPr="005D56D3">
        <w:rPr>
          <w:rFonts w:ascii="Arial" w:hAnsi="Arial" w:cs="Arial"/>
          <w:sz w:val="22"/>
          <w:szCs w:val="22"/>
        </w:rPr>
        <w:t>הישועה</w:t>
      </w:r>
      <w:r w:rsidRPr="005D56D3">
        <w:rPr>
          <w:sz w:val="22"/>
          <w:szCs w:val="22"/>
        </w:rPr>
        <w:t xml:space="preserve"> </w:t>
      </w:r>
      <w:r w:rsidRPr="005D56D3">
        <w:rPr>
          <w:rFonts w:ascii="Arial" w:hAnsi="Arial" w:cs="Arial"/>
          <w:sz w:val="22"/>
          <w:szCs w:val="22"/>
        </w:rPr>
        <w:t>מעיני</w:t>
      </w:r>
      <w:r w:rsidRPr="005D56D3">
        <w:rPr>
          <w:sz w:val="22"/>
          <w:szCs w:val="22"/>
        </w:rPr>
        <w:t>.</w:t>
      </w:r>
    </w:p>
  </w:footnote>
  <w:footnote w:id="27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Seow, </w:t>
      </w:r>
      <w:r w:rsidRPr="005D56D3">
        <w:rPr>
          <w:i/>
          <w:sz w:val="22"/>
          <w:szCs w:val="22"/>
        </w:rPr>
        <w:t>Daniel</w:t>
      </w:r>
      <w:r w:rsidRPr="005D56D3">
        <w:rPr>
          <w:sz w:val="22"/>
          <w:szCs w:val="22"/>
        </w:rPr>
        <w:t>, 113.</w:t>
      </w:r>
    </w:p>
  </w:footnote>
  <w:footnote w:id="27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Hebbard, </w:t>
      </w:r>
      <w:r w:rsidRPr="005D56D3">
        <w:rPr>
          <w:i/>
          <w:sz w:val="22"/>
          <w:szCs w:val="22"/>
        </w:rPr>
        <w:t>Reading Daniel</w:t>
      </w:r>
      <w:r w:rsidRPr="005D56D3">
        <w:rPr>
          <w:sz w:val="22"/>
          <w:szCs w:val="22"/>
        </w:rPr>
        <w:t>, 176.</w:t>
      </w:r>
    </w:p>
  </w:footnote>
  <w:footnote w:id="27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Lucas, </w:t>
      </w:r>
      <w:r w:rsidRPr="005D56D3">
        <w:rPr>
          <w:i/>
          <w:sz w:val="22"/>
          <w:szCs w:val="22"/>
        </w:rPr>
        <w:t>Daniel</w:t>
      </w:r>
      <w:r w:rsidRPr="005D56D3">
        <w:rPr>
          <w:sz w:val="22"/>
          <w:szCs w:val="22"/>
        </w:rPr>
        <w:t>, 194.</w:t>
      </w:r>
    </w:p>
  </w:footnote>
  <w:footnote w:id="27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Meadowcroft, </w:t>
      </w:r>
      <w:r w:rsidRPr="005D56D3">
        <w:rPr>
          <w:i/>
          <w:sz w:val="22"/>
          <w:szCs w:val="22"/>
        </w:rPr>
        <w:t>Aramaic Daniel and Greek Daniel</w:t>
      </w:r>
      <w:r w:rsidRPr="005D56D3">
        <w:rPr>
          <w:sz w:val="22"/>
          <w:szCs w:val="22"/>
        </w:rPr>
        <w:t>, 210.</w:t>
      </w:r>
    </w:p>
  </w:footnote>
  <w:footnote w:id="27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Brueggemann, </w:t>
      </w:r>
      <w:r w:rsidRPr="005D56D3">
        <w:rPr>
          <w:i/>
          <w:sz w:val="22"/>
          <w:szCs w:val="22"/>
        </w:rPr>
        <w:t>Genesis</w:t>
      </w:r>
      <w:r w:rsidRPr="005D56D3">
        <w:rPr>
          <w:sz w:val="22"/>
          <w:szCs w:val="22"/>
        </w:rPr>
        <w:t>, 303.</w:t>
      </w:r>
    </w:p>
  </w:footnote>
  <w:footnote w:id="27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Pace, </w:t>
      </w:r>
      <w:r w:rsidRPr="005D56D3">
        <w:rPr>
          <w:i/>
          <w:sz w:val="22"/>
          <w:szCs w:val="22"/>
        </w:rPr>
        <w:t>Daniel</w:t>
      </w:r>
      <w:r w:rsidRPr="005D56D3">
        <w:rPr>
          <w:sz w:val="22"/>
          <w:szCs w:val="22"/>
        </w:rPr>
        <w:t>, 223.</w:t>
      </w:r>
    </w:p>
  </w:footnote>
  <w:footnote w:id="27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Mayer, </w:t>
      </w:r>
      <w:r w:rsidRPr="005D56D3">
        <w:rPr>
          <w:i/>
          <w:iCs/>
          <w:sz w:val="22"/>
          <w:szCs w:val="22"/>
        </w:rPr>
        <w:t>Commentary upon All the Prophets</w:t>
      </w:r>
      <w:r w:rsidRPr="005D56D3">
        <w:rPr>
          <w:iCs/>
          <w:sz w:val="22"/>
          <w:szCs w:val="22"/>
        </w:rPr>
        <w:t>, 547.</w:t>
      </w:r>
    </w:p>
  </w:footnote>
  <w:footnote w:id="28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Berrigan, </w:t>
      </w:r>
      <w:r w:rsidRPr="005D56D3">
        <w:rPr>
          <w:i/>
          <w:sz w:val="22"/>
          <w:szCs w:val="22"/>
        </w:rPr>
        <w:t>Daniel</w:t>
      </w:r>
      <w:r w:rsidRPr="005D56D3">
        <w:rPr>
          <w:sz w:val="22"/>
          <w:szCs w:val="22"/>
        </w:rPr>
        <w:t>, 111.</w:t>
      </w:r>
    </w:p>
  </w:footnote>
  <w:footnote w:id="28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Mermelstein</w:t>
      </w:r>
      <w:r w:rsidRPr="005D56D3">
        <w:rPr>
          <w:b/>
          <w:sz w:val="22"/>
          <w:szCs w:val="22"/>
        </w:rPr>
        <w:t>,</w:t>
      </w:r>
      <w:r w:rsidRPr="005D56D3">
        <w:rPr>
          <w:sz w:val="22"/>
          <w:szCs w:val="22"/>
        </w:rPr>
        <w:t xml:space="preserve"> “Constructing Fear and Pride in the Book of Daniel.”</w:t>
      </w:r>
    </w:p>
  </w:footnote>
  <w:footnote w:id="28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Calvin, </w:t>
      </w:r>
      <w:r w:rsidRPr="005D56D3">
        <w:rPr>
          <w:i/>
          <w:sz w:val="22"/>
          <w:szCs w:val="22"/>
        </w:rPr>
        <w:t>Daniel</w:t>
      </w:r>
      <w:r w:rsidRPr="005D56D3">
        <w:rPr>
          <w:sz w:val="22"/>
          <w:szCs w:val="22"/>
        </w:rPr>
        <w:t xml:space="preserve"> 2:58-59.</w:t>
      </w:r>
    </w:p>
  </w:footnote>
  <w:footnote w:id="28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Niditch, </w:t>
      </w:r>
      <w:r w:rsidRPr="005D56D3">
        <w:rPr>
          <w:i/>
          <w:sz w:val="22"/>
          <w:szCs w:val="22"/>
        </w:rPr>
        <w:t>The Symbolic Vision in Biblical Tradition</w:t>
      </w:r>
      <w:r w:rsidRPr="005D56D3">
        <w:rPr>
          <w:sz w:val="22"/>
          <w:szCs w:val="22"/>
        </w:rPr>
        <w:t>, 224.</w:t>
      </w:r>
    </w:p>
  </w:footnote>
  <w:footnote w:id="28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w:t>
      </w:r>
      <w:r w:rsidRPr="005D56D3">
        <w:rPr>
          <w:bCs/>
          <w:iCs/>
          <w:sz w:val="22"/>
          <w:szCs w:val="22"/>
        </w:rPr>
        <w:t>Merrill Willis, "Heavenly Bodies,” 32.</w:t>
      </w:r>
    </w:p>
  </w:footnote>
  <w:footnote w:id="28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BHS includes v 26 (cf. Segert, “Poetic Structures in the Hebrew Sections of the Book of Daniel”), but this verse rather lacks poetic features.</w:t>
      </w:r>
    </w:p>
  </w:footnote>
  <w:footnote w:id="28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Collins, </w:t>
      </w:r>
      <w:r w:rsidRPr="005D56D3">
        <w:rPr>
          <w:i/>
          <w:sz w:val="22"/>
          <w:szCs w:val="22"/>
        </w:rPr>
        <w:t>Daniel</w:t>
      </w:r>
      <w:r w:rsidRPr="005D56D3">
        <w:rPr>
          <w:sz w:val="22"/>
          <w:szCs w:val="22"/>
        </w:rPr>
        <w:t>, 339, 343.</w:t>
      </w:r>
    </w:p>
  </w:footnote>
  <w:footnote w:id="28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Hölscher, “Die Entstehung des Buches Daniel,” 129.</w:t>
      </w:r>
    </w:p>
  </w:footnote>
  <w:footnote w:id="28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Dequeker, “The ‘Saints of the Most High’ in Qumran and Daniel,” 109</w:t>
      </w:r>
    </w:p>
  </w:footnote>
  <w:footnote w:id="28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Niditch, </w:t>
      </w:r>
      <w:r w:rsidRPr="005D56D3">
        <w:rPr>
          <w:i/>
          <w:sz w:val="22"/>
          <w:szCs w:val="22"/>
        </w:rPr>
        <w:t>The Symbolic Vision in Biblical Tradition</w:t>
      </w:r>
      <w:r w:rsidRPr="005D56D3">
        <w:rPr>
          <w:sz w:val="22"/>
          <w:szCs w:val="22"/>
        </w:rPr>
        <w:t>, 232.</w:t>
      </w:r>
    </w:p>
  </w:footnote>
  <w:footnote w:id="29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Porter, </w:t>
      </w:r>
      <w:r w:rsidRPr="005D56D3">
        <w:rPr>
          <w:i/>
          <w:sz w:val="22"/>
          <w:szCs w:val="22"/>
        </w:rPr>
        <w:t>Metaphors and Monsters</w:t>
      </w:r>
      <w:r w:rsidRPr="005D56D3">
        <w:rPr>
          <w:sz w:val="22"/>
          <w:szCs w:val="22"/>
        </w:rPr>
        <w:t>, 61–120</w:t>
      </w:r>
    </w:p>
  </w:footnote>
  <w:footnote w:id="29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Merrill Willis</w:t>
      </w:r>
      <w:r w:rsidRPr="005D56D3">
        <w:rPr>
          <w:b/>
          <w:sz w:val="22"/>
          <w:szCs w:val="22"/>
        </w:rPr>
        <w:t xml:space="preserve"> </w:t>
      </w:r>
      <w:r w:rsidRPr="005D56D3">
        <w:rPr>
          <w:sz w:val="22"/>
          <w:szCs w:val="22"/>
        </w:rPr>
        <w:t>discusses the more general mythic nature of Dan 8 in</w:t>
      </w:r>
      <w:r w:rsidRPr="005D56D3">
        <w:rPr>
          <w:b/>
          <w:sz w:val="22"/>
          <w:szCs w:val="22"/>
        </w:rPr>
        <w:t xml:space="preserve"> </w:t>
      </w:r>
      <w:r w:rsidRPr="005D56D3">
        <w:rPr>
          <w:sz w:val="22"/>
          <w:szCs w:val="22"/>
        </w:rPr>
        <w:t>“Myth and History in Daniel 8.”</w:t>
      </w:r>
    </w:p>
  </w:footnote>
  <w:footnote w:id="29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Against Nicol, “Isaiah’s Vision and the Visions of Daniel,” 504.</w:t>
      </w:r>
    </w:p>
  </w:footnote>
  <w:footnote w:id="29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Though Yarbro Collins notes that the myth appears in a form closest to Dan 8 in the fifth century AD in Nonnos’s </w:t>
      </w:r>
      <w:r w:rsidRPr="005D56D3">
        <w:rPr>
          <w:i/>
          <w:sz w:val="22"/>
          <w:szCs w:val="22"/>
        </w:rPr>
        <w:t>Dionysiaca</w:t>
      </w:r>
      <w:r w:rsidRPr="005D56D3">
        <w:rPr>
          <w:sz w:val="22"/>
          <w:szCs w:val="22"/>
        </w:rPr>
        <w:t xml:space="preserve"> 1.163–64, 180–81 (</w:t>
      </w:r>
      <w:r w:rsidRPr="005D56D3">
        <w:rPr>
          <w:i/>
          <w:sz w:val="22"/>
          <w:szCs w:val="22"/>
        </w:rPr>
        <w:t>The Combat Myth in the Book of Revelation</w:t>
      </w:r>
      <w:r w:rsidRPr="005D56D3">
        <w:rPr>
          <w:sz w:val="22"/>
          <w:szCs w:val="22"/>
        </w:rPr>
        <w:t xml:space="preserve">, 76–83; cf. Niditch, </w:t>
      </w:r>
      <w:r w:rsidRPr="005D56D3">
        <w:rPr>
          <w:i/>
          <w:sz w:val="22"/>
          <w:szCs w:val="22"/>
        </w:rPr>
        <w:t>The Symbolic Vision in Biblical Tradition</w:t>
      </w:r>
      <w:r w:rsidRPr="005D56D3">
        <w:rPr>
          <w:sz w:val="22"/>
          <w:szCs w:val="22"/>
        </w:rPr>
        <w:t>, 229).</w:t>
      </w:r>
    </w:p>
  </w:footnote>
  <w:footnote w:id="29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Brownlee, “The Servant of the Lord in the Qumran Scrolls.” 13.</w:t>
      </w:r>
    </w:p>
  </w:footnote>
  <w:footnote w:id="29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Cumont, “La pius ancienne géographie astrologique,” 265.</w:t>
      </w:r>
    </w:p>
  </w:footnote>
  <w:footnote w:id="29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Hasslberger, </w:t>
      </w:r>
      <w:r w:rsidRPr="005D56D3">
        <w:rPr>
          <w:i/>
          <w:sz w:val="22"/>
          <w:szCs w:val="22"/>
        </w:rPr>
        <w:t>Hoffnung</w:t>
      </w:r>
      <w:r w:rsidRPr="005D56D3">
        <w:rPr>
          <w:sz w:val="22"/>
          <w:szCs w:val="22"/>
        </w:rPr>
        <w:t xml:space="preserve"> </w:t>
      </w:r>
      <w:r w:rsidRPr="005D56D3">
        <w:rPr>
          <w:i/>
          <w:sz w:val="22"/>
          <w:szCs w:val="22"/>
        </w:rPr>
        <w:t>in der Bedrängnis</w:t>
      </w:r>
      <w:r w:rsidRPr="005D56D3">
        <w:rPr>
          <w:sz w:val="22"/>
          <w:szCs w:val="22"/>
        </w:rPr>
        <w:t>, 401–2.</w:t>
      </w:r>
    </w:p>
  </w:footnote>
  <w:footnote w:id="29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Niditch, </w:t>
      </w:r>
      <w:r w:rsidRPr="005D56D3">
        <w:rPr>
          <w:i/>
          <w:sz w:val="22"/>
          <w:szCs w:val="22"/>
        </w:rPr>
        <w:t>The Symbolic Vision in Biblical Tradition</w:t>
      </w:r>
      <w:r w:rsidRPr="005D56D3">
        <w:rPr>
          <w:sz w:val="22"/>
          <w:szCs w:val="22"/>
        </w:rPr>
        <w:t>, 220–30.</w:t>
      </w:r>
    </w:p>
  </w:footnote>
  <w:footnote w:id="29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Lebram, “König Antiochus im Buch Daniel,” 739–43.</w:t>
      </w:r>
    </w:p>
  </w:footnote>
  <w:footnote w:id="299">
    <w:p w:rsidR="008E57DC" w:rsidRPr="005D56D3" w:rsidRDefault="008E57DC" w:rsidP="00622A75">
      <w:pPr>
        <w:pStyle w:val="ListParagraph"/>
        <w:ind w:left="0" w:firstLine="720"/>
        <w:rPr>
          <w:rFonts w:asciiTheme="minorHAnsi" w:eastAsia="Times-Roman" w:hAnsiTheme="minorHAnsi"/>
          <w:szCs w:val="22"/>
        </w:rPr>
      </w:pPr>
      <w:r w:rsidRPr="005D56D3">
        <w:rPr>
          <w:rStyle w:val="FootnoteReference"/>
          <w:szCs w:val="22"/>
        </w:rPr>
        <w:footnoteRef/>
      </w:r>
      <w:r w:rsidRPr="005D56D3">
        <w:rPr>
          <w:szCs w:val="22"/>
        </w:rPr>
        <w:t xml:space="preserve"> Nuñez (“Narrative Structure of Daniel 8”) suggests a slightly different structure on the basis of text linguistics.</w:t>
      </w:r>
    </w:p>
  </w:footnote>
  <w:footnote w:id="30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Koch, “Vom profetischen zum apokalyptischen Visionsbericht,” 418.</w:t>
      </w:r>
    </w:p>
  </w:footnote>
  <w:footnote w:id="30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Koch, “Vom profetischen zum apokalyptischen Visionsbericht,” 417–18.</w:t>
      </w:r>
    </w:p>
  </w:footnote>
  <w:footnote w:id="30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Collins, </w:t>
      </w:r>
      <w:r w:rsidRPr="005D56D3">
        <w:rPr>
          <w:rStyle w:val="st"/>
          <w:i/>
          <w:sz w:val="22"/>
          <w:szCs w:val="22"/>
        </w:rPr>
        <w:t>Daniel with an Introduction to Apocalyptic Literature</w:t>
      </w:r>
      <w:r w:rsidRPr="005D56D3">
        <w:rPr>
          <w:rStyle w:val="st"/>
          <w:sz w:val="22"/>
          <w:szCs w:val="22"/>
        </w:rPr>
        <w:t>,</w:t>
      </w:r>
      <w:r w:rsidRPr="005D56D3">
        <w:rPr>
          <w:sz w:val="22"/>
          <w:szCs w:val="22"/>
        </w:rPr>
        <w:t xml:space="preserve"> 88.</w:t>
      </w:r>
    </w:p>
  </w:footnote>
  <w:footnote w:id="30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Koch, “Vom profetischen zum apokalyptischen Visionsbericht,”  436.</w:t>
      </w:r>
    </w:p>
  </w:footnote>
  <w:footnote w:id="30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Newsom, </w:t>
      </w:r>
      <w:r w:rsidRPr="005D56D3">
        <w:rPr>
          <w:i/>
          <w:sz w:val="22"/>
          <w:szCs w:val="22"/>
        </w:rPr>
        <w:t>Daniel</w:t>
      </w:r>
      <w:r w:rsidRPr="005D56D3">
        <w:rPr>
          <w:sz w:val="22"/>
          <w:szCs w:val="22"/>
        </w:rPr>
        <w:t>, 258.</w:t>
      </w:r>
    </w:p>
  </w:footnote>
  <w:footnote w:id="30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Plöger, </w:t>
      </w:r>
      <w:r w:rsidRPr="005D56D3">
        <w:rPr>
          <w:i/>
          <w:sz w:val="22"/>
          <w:szCs w:val="22"/>
        </w:rPr>
        <w:t>Daniel</w:t>
      </w:r>
      <w:r w:rsidRPr="005D56D3">
        <w:rPr>
          <w:sz w:val="22"/>
          <w:szCs w:val="22"/>
        </w:rPr>
        <w:t>, on the passage.</w:t>
      </w:r>
    </w:p>
  </w:footnote>
  <w:footnote w:id="30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Ginsberg, </w:t>
      </w:r>
      <w:r w:rsidRPr="005D56D3">
        <w:rPr>
          <w:i/>
          <w:sz w:val="22"/>
          <w:szCs w:val="22"/>
        </w:rPr>
        <w:t>Studies in Daniel</w:t>
      </w:r>
      <w:r w:rsidRPr="005D56D3">
        <w:rPr>
          <w:sz w:val="22"/>
          <w:szCs w:val="22"/>
        </w:rPr>
        <w:t>,</w:t>
      </w:r>
      <w:r w:rsidRPr="005D56D3">
        <w:rPr>
          <w:i/>
          <w:sz w:val="22"/>
          <w:szCs w:val="22"/>
        </w:rPr>
        <w:t xml:space="preserve"> </w:t>
      </w:r>
      <w:r w:rsidRPr="005D56D3">
        <w:rPr>
          <w:sz w:val="22"/>
          <w:szCs w:val="22"/>
        </w:rPr>
        <w:t>29–38, developing points made in Noth, “Zur Komposition des Buches Daniel,” 160–61.</w:t>
      </w:r>
    </w:p>
  </w:footnote>
  <w:footnote w:id="30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Goswell (</w:t>
      </w:r>
      <w:r w:rsidRPr="005D56D3">
        <w:rPr>
          <w:bCs/>
          <w:sz w:val="22"/>
          <w:szCs w:val="22"/>
        </w:rPr>
        <w:t>“The Temple Theme in the Book of Daniel”) sees the temple as a key theme in the entire book.</w:t>
      </w:r>
    </w:p>
  </w:footnote>
  <w:footnote w:id="30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Mayer, </w:t>
      </w:r>
      <w:r w:rsidRPr="005D56D3">
        <w:rPr>
          <w:i/>
          <w:iCs/>
          <w:sz w:val="22"/>
          <w:szCs w:val="22"/>
        </w:rPr>
        <w:t>Commentary upon All the Prophets</w:t>
      </w:r>
      <w:r w:rsidRPr="005D56D3">
        <w:rPr>
          <w:iCs/>
          <w:sz w:val="22"/>
          <w:szCs w:val="22"/>
        </w:rPr>
        <w:t>, 547.</w:t>
      </w:r>
    </w:p>
  </w:footnote>
  <w:footnote w:id="30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Portier-Young,</w:t>
      </w:r>
      <w:r w:rsidRPr="005D56D3">
        <w:rPr>
          <w:b/>
          <w:sz w:val="22"/>
          <w:szCs w:val="22"/>
        </w:rPr>
        <w:t xml:space="preserve"> </w:t>
      </w:r>
      <w:r w:rsidRPr="005D56D3">
        <w:rPr>
          <w:sz w:val="22"/>
          <w:szCs w:val="22"/>
        </w:rPr>
        <w:t>“Languages of Identity and Obligation,” 104, 113.</w:t>
      </w:r>
    </w:p>
  </w:footnote>
  <w:footnote w:id="310">
    <w:p w:rsidR="008E57DC" w:rsidRPr="005D56D3" w:rsidRDefault="008E57DC" w:rsidP="00622A75">
      <w:pPr>
        <w:pStyle w:val="FootnoteText"/>
        <w:rPr>
          <w:i/>
          <w:sz w:val="22"/>
          <w:szCs w:val="22"/>
        </w:rPr>
      </w:pPr>
      <w:r w:rsidRPr="005D56D3">
        <w:rPr>
          <w:rStyle w:val="FootnoteReference"/>
          <w:sz w:val="22"/>
          <w:szCs w:val="22"/>
        </w:rPr>
        <w:footnoteRef/>
      </w:r>
      <w:r w:rsidRPr="005D56D3">
        <w:rPr>
          <w:sz w:val="22"/>
          <w:szCs w:val="22"/>
        </w:rPr>
        <w:t xml:space="preserve"> See </w:t>
      </w:r>
      <w:r w:rsidRPr="005D56D3">
        <w:rPr>
          <w:i/>
          <w:sz w:val="22"/>
          <w:szCs w:val="22"/>
        </w:rPr>
        <w:t>TTH</w:t>
      </w:r>
      <w:r w:rsidRPr="005D56D3">
        <w:rPr>
          <w:sz w:val="22"/>
          <w:szCs w:val="22"/>
        </w:rPr>
        <w:t xml:space="preserve"> 196; but also see n. 4b</w:t>
      </w:r>
      <w:r w:rsidRPr="005D56D3">
        <w:rPr>
          <w:i/>
          <w:sz w:val="22"/>
          <w:szCs w:val="22"/>
          <w:lang w:val="en-NZ"/>
        </w:rPr>
        <w:t>.</w:t>
      </w:r>
    </w:p>
  </w:footnote>
  <w:footnote w:id="31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w:t>
      </w:r>
      <w:r w:rsidRPr="005D56D3">
        <w:rPr>
          <w:sz w:val="22"/>
          <w:szCs w:val="22"/>
          <w:lang w:val="en-NZ"/>
        </w:rPr>
        <w:t>Gzella</w:t>
      </w:r>
      <w:r w:rsidRPr="005D56D3">
        <w:rPr>
          <w:b/>
          <w:sz w:val="22"/>
          <w:szCs w:val="22"/>
          <w:lang w:val="en-NZ"/>
        </w:rPr>
        <w:t xml:space="preserve">, </w:t>
      </w:r>
      <w:r w:rsidRPr="005D56D3">
        <w:rPr>
          <w:i/>
          <w:sz w:val="22"/>
          <w:szCs w:val="22"/>
          <w:lang w:val="en-NZ"/>
        </w:rPr>
        <w:t xml:space="preserve">Cosmic Battle and Political Conflict, </w:t>
      </w:r>
      <w:r w:rsidRPr="005D56D3">
        <w:rPr>
          <w:sz w:val="22"/>
          <w:szCs w:val="22"/>
          <w:lang w:val="en-NZ"/>
        </w:rPr>
        <w:t>157, at the conclusion of her verse-by-verse study.</w:t>
      </w:r>
    </w:p>
  </w:footnote>
  <w:footnote w:id="31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Charles, </w:t>
      </w:r>
      <w:r w:rsidRPr="005D56D3">
        <w:rPr>
          <w:i/>
          <w:sz w:val="22"/>
          <w:szCs w:val="22"/>
        </w:rPr>
        <w:t>A Critical and Exegetical Commentary on the Book of Daniel</w:t>
      </w:r>
      <w:r w:rsidRPr="005D56D3">
        <w:rPr>
          <w:sz w:val="22"/>
          <w:szCs w:val="22"/>
        </w:rPr>
        <w:t>, xlvii, 1–2.</w:t>
      </w:r>
    </w:p>
  </w:footnote>
  <w:footnote w:id="31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Zimmermann, </w:t>
      </w:r>
      <w:r w:rsidRPr="005D56D3">
        <w:rPr>
          <w:i/>
          <w:sz w:val="22"/>
          <w:szCs w:val="22"/>
        </w:rPr>
        <w:t>Biblical Books Translated from the Aramaic</w:t>
      </w:r>
      <w:r w:rsidRPr="005D56D3">
        <w:rPr>
          <w:sz w:val="22"/>
          <w:szCs w:val="22"/>
        </w:rPr>
        <w:t xml:space="preserve">; Ginsberg, </w:t>
      </w:r>
      <w:r w:rsidRPr="005D56D3">
        <w:rPr>
          <w:i/>
          <w:sz w:val="22"/>
          <w:szCs w:val="22"/>
        </w:rPr>
        <w:t>Studies in Daniel</w:t>
      </w:r>
      <w:r w:rsidRPr="005D56D3">
        <w:rPr>
          <w:sz w:val="22"/>
          <w:szCs w:val="22"/>
        </w:rPr>
        <w:t>; Hartman/Di Lella (</w:t>
      </w:r>
      <w:r w:rsidRPr="005D56D3">
        <w:rPr>
          <w:i/>
          <w:sz w:val="22"/>
          <w:szCs w:val="22"/>
        </w:rPr>
        <w:t>Daniel</w:t>
      </w:r>
      <w:r w:rsidRPr="005D56D3">
        <w:rPr>
          <w:sz w:val="22"/>
          <w:szCs w:val="22"/>
        </w:rPr>
        <w:t>)</w:t>
      </w:r>
      <w:r w:rsidRPr="005D56D3">
        <w:rPr>
          <w:i/>
          <w:sz w:val="22"/>
          <w:szCs w:val="22"/>
        </w:rPr>
        <w:t xml:space="preserve"> </w:t>
      </w:r>
      <w:r w:rsidRPr="005D56D3">
        <w:rPr>
          <w:sz w:val="22"/>
          <w:szCs w:val="22"/>
        </w:rPr>
        <w:t>lists the Aramaisms.</w:t>
      </w:r>
    </w:p>
  </w:footnote>
  <w:footnote w:id="31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Gowan’s comment (</w:t>
      </w:r>
      <w:r w:rsidRPr="005D56D3">
        <w:rPr>
          <w:i/>
          <w:sz w:val="22"/>
          <w:szCs w:val="22"/>
        </w:rPr>
        <w:t>Daniel</w:t>
      </w:r>
      <w:r w:rsidRPr="005D56D3">
        <w:rPr>
          <w:sz w:val="22"/>
          <w:szCs w:val="22"/>
        </w:rPr>
        <w:t>, on vv 10-12 in particular).</w:t>
      </w:r>
    </w:p>
  </w:footnote>
  <w:footnote w:id="31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Portier-Young,</w:t>
      </w:r>
      <w:r w:rsidRPr="005D56D3">
        <w:rPr>
          <w:b/>
          <w:sz w:val="22"/>
          <w:szCs w:val="22"/>
        </w:rPr>
        <w:t xml:space="preserve"> </w:t>
      </w:r>
      <w:r w:rsidRPr="005D56D3">
        <w:rPr>
          <w:sz w:val="22"/>
          <w:szCs w:val="22"/>
        </w:rPr>
        <w:t>“Languages of Identity and Obligation,” 113, 114.</w:t>
      </w:r>
    </w:p>
  </w:footnote>
  <w:footnote w:id="31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Newsom, </w:t>
      </w:r>
      <w:r w:rsidRPr="005D56D3">
        <w:rPr>
          <w:i/>
          <w:sz w:val="22"/>
          <w:szCs w:val="22"/>
        </w:rPr>
        <w:t>Daniel</w:t>
      </w:r>
      <w:r w:rsidRPr="005D56D3">
        <w:rPr>
          <w:sz w:val="22"/>
          <w:szCs w:val="22"/>
        </w:rPr>
        <w:t xml:space="preserve">, 257-58. The poor quality of the Hebrew makes it less likely that the change conveys a move from the vernacular to the scholarly (so Hebbard, </w:t>
      </w:r>
      <w:r w:rsidRPr="005D56D3">
        <w:rPr>
          <w:i/>
          <w:sz w:val="22"/>
          <w:szCs w:val="22"/>
        </w:rPr>
        <w:t>Reading Daniel</w:t>
      </w:r>
      <w:r w:rsidRPr="005D56D3">
        <w:rPr>
          <w:sz w:val="22"/>
          <w:szCs w:val="22"/>
        </w:rPr>
        <w:t>, 177).</w:t>
      </w:r>
    </w:p>
  </w:footnote>
  <w:footnote w:id="31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Pace, </w:t>
      </w:r>
      <w:r w:rsidRPr="005D56D3">
        <w:rPr>
          <w:i/>
          <w:sz w:val="22"/>
          <w:szCs w:val="22"/>
        </w:rPr>
        <w:t>Daniel</w:t>
      </w:r>
      <w:r w:rsidRPr="005D56D3">
        <w:rPr>
          <w:sz w:val="22"/>
          <w:szCs w:val="22"/>
        </w:rPr>
        <w:t>, 262.</w:t>
      </w:r>
    </w:p>
  </w:footnote>
  <w:footnote w:id="31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Lacocque, </w:t>
      </w:r>
      <w:r w:rsidRPr="005D56D3">
        <w:rPr>
          <w:i/>
          <w:sz w:val="22"/>
          <w:szCs w:val="22"/>
        </w:rPr>
        <w:t>Daniel</w:t>
      </w:r>
      <w:r w:rsidRPr="005D56D3">
        <w:rPr>
          <w:sz w:val="22"/>
          <w:szCs w:val="22"/>
        </w:rPr>
        <w:t>, on the passage.</w:t>
      </w:r>
    </w:p>
  </w:footnote>
  <w:footnote w:id="31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Cf. Hasel, “The First and Third Years of Belshazzar.”</w:t>
      </w:r>
    </w:p>
  </w:footnote>
  <w:footnote w:id="320">
    <w:p w:rsidR="008E57DC" w:rsidRPr="005D56D3" w:rsidRDefault="008E57DC" w:rsidP="005921D7">
      <w:pPr>
        <w:pStyle w:val="FootnoteText"/>
        <w:rPr>
          <w:sz w:val="22"/>
          <w:szCs w:val="22"/>
        </w:rPr>
      </w:pPr>
      <w:r w:rsidRPr="005D56D3">
        <w:rPr>
          <w:rStyle w:val="FootnoteReference"/>
          <w:sz w:val="22"/>
          <w:szCs w:val="22"/>
        </w:rPr>
        <w:footnoteRef/>
      </w:r>
      <w:r w:rsidRPr="005D56D3">
        <w:rPr>
          <w:sz w:val="22"/>
          <w:szCs w:val="22"/>
        </w:rPr>
        <w:t xml:space="preserve"> Cf. Lucas, </w:t>
      </w:r>
      <w:r w:rsidRPr="005D56D3">
        <w:rPr>
          <w:i/>
          <w:sz w:val="22"/>
          <w:szCs w:val="22"/>
        </w:rPr>
        <w:t>Daniel</w:t>
      </w:r>
      <w:r w:rsidRPr="005D56D3">
        <w:rPr>
          <w:sz w:val="22"/>
          <w:szCs w:val="22"/>
        </w:rPr>
        <w:t>, 210.</w:t>
      </w:r>
    </w:p>
  </w:footnote>
  <w:footnote w:id="32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On Susa, see Cook, </w:t>
      </w:r>
      <w:r w:rsidRPr="005D56D3">
        <w:rPr>
          <w:i/>
          <w:sz w:val="22"/>
          <w:szCs w:val="22"/>
        </w:rPr>
        <w:t>The Persian Empire</w:t>
      </w:r>
      <w:r w:rsidRPr="005D56D3">
        <w:rPr>
          <w:sz w:val="22"/>
          <w:szCs w:val="22"/>
        </w:rPr>
        <w:t xml:space="preserve">, 73–74, 145, 158–66; Olmstead, </w:t>
      </w:r>
      <w:r w:rsidRPr="005D56D3">
        <w:rPr>
          <w:i/>
          <w:sz w:val="22"/>
          <w:szCs w:val="22"/>
        </w:rPr>
        <w:t>History of the Persian Empire</w:t>
      </w:r>
      <w:r w:rsidRPr="005D56D3">
        <w:rPr>
          <w:sz w:val="22"/>
          <w:szCs w:val="22"/>
        </w:rPr>
        <w:t>, 163–71.</w:t>
      </w:r>
    </w:p>
  </w:footnote>
  <w:footnote w:id="32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w:t>
      </w:r>
      <w:r w:rsidRPr="005D56D3">
        <w:rPr>
          <w:i/>
          <w:sz w:val="22"/>
          <w:szCs w:val="22"/>
        </w:rPr>
        <w:t>IBD</w:t>
      </w:r>
      <w:r w:rsidRPr="005D56D3">
        <w:rPr>
          <w:sz w:val="22"/>
          <w:szCs w:val="22"/>
        </w:rPr>
        <w:t xml:space="preserve"> 1496, 1609.</w:t>
      </w:r>
    </w:p>
  </w:footnote>
  <w:footnote w:id="32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Massyngberde Ford, “Jewish Law and Animal Symbolism,” 205–8</w:t>
      </w:r>
    </w:p>
  </w:footnote>
  <w:footnote w:id="32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Ps-Saadia in </w:t>
      </w:r>
      <w:r w:rsidRPr="005D56D3">
        <w:rPr>
          <w:rFonts w:ascii="Arial" w:hAnsi="Arial" w:cs="Arial"/>
          <w:sz w:val="22"/>
          <w:szCs w:val="22"/>
        </w:rPr>
        <w:t>גדולות</w:t>
      </w:r>
      <w:r w:rsidRPr="005D56D3">
        <w:rPr>
          <w:sz w:val="22"/>
          <w:szCs w:val="22"/>
        </w:rPr>
        <w:t xml:space="preserve"> </w:t>
      </w:r>
      <w:r w:rsidRPr="005D56D3">
        <w:rPr>
          <w:rFonts w:ascii="Arial" w:hAnsi="Arial" w:cs="Arial"/>
          <w:sz w:val="22"/>
          <w:szCs w:val="22"/>
        </w:rPr>
        <w:t>מקראות</w:t>
      </w:r>
      <w:r w:rsidRPr="005D56D3">
        <w:rPr>
          <w:sz w:val="22"/>
          <w:szCs w:val="22"/>
        </w:rPr>
        <w:t xml:space="preserve"> on the passage (cf. Gallé, </w:t>
      </w:r>
      <w:r w:rsidRPr="005D56D3">
        <w:rPr>
          <w:i/>
          <w:sz w:val="22"/>
          <w:szCs w:val="22"/>
        </w:rPr>
        <w:t>Daniel</w:t>
      </w:r>
      <w:r w:rsidRPr="005D56D3">
        <w:rPr>
          <w:sz w:val="22"/>
          <w:szCs w:val="22"/>
        </w:rPr>
        <w:t>, 87).</w:t>
      </w:r>
    </w:p>
  </w:footnote>
  <w:footnote w:id="32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On the history, see Kuhrt, </w:t>
      </w:r>
      <w:r w:rsidRPr="005D56D3">
        <w:rPr>
          <w:i/>
          <w:sz w:val="22"/>
          <w:szCs w:val="22"/>
        </w:rPr>
        <w:t>The Ancient Near East</w:t>
      </w:r>
      <w:r w:rsidRPr="005D56D3">
        <w:rPr>
          <w:sz w:val="22"/>
          <w:szCs w:val="22"/>
        </w:rPr>
        <w:t xml:space="preserve"> 2:656-75; Briant, </w:t>
      </w:r>
      <w:r w:rsidRPr="005D56D3">
        <w:rPr>
          <w:i/>
          <w:sz w:val="22"/>
          <w:szCs w:val="22"/>
        </w:rPr>
        <w:t>From Cyrus to Alexander</w:t>
      </w:r>
      <w:r w:rsidRPr="005D56D3">
        <w:rPr>
          <w:sz w:val="22"/>
          <w:szCs w:val="22"/>
        </w:rPr>
        <w:t>.</w:t>
      </w:r>
    </w:p>
  </w:footnote>
  <w:footnote w:id="32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Merrill Willis,</w:t>
      </w:r>
      <w:r w:rsidRPr="005D56D3">
        <w:rPr>
          <w:b/>
          <w:sz w:val="22"/>
          <w:szCs w:val="22"/>
        </w:rPr>
        <w:t xml:space="preserve"> </w:t>
      </w:r>
      <w:r w:rsidRPr="005D56D3">
        <w:rPr>
          <w:i/>
          <w:iCs/>
          <w:sz w:val="22"/>
          <w:szCs w:val="22"/>
        </w:rPr>
        <w:t>Dissonance and the Drama of Divine Sovereignty in the Book of Daniel</w:t>
      </w:r>
      <w:r w:rsidRPr="005D56D3">
        <w:rPr>
          <w:iCs/>
          <w:sz w:val="22"/>
          <w:szCs w:val="22"/>
        </w:rPr>
        <w:t xml:space="preserve">, </w:t>
      </w:r>
      <w:r w:rsidRPr="005D56D3">
        <w:rPr>
          <w:sz w:val="22"/>
          <w:szCs w:val="22"/>
        </w:rPr>
        <w:t>99.</w:t>
      </w:r>
    </w:p>
  </w:footnote>
  <w:footnote w:id="32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w:t>
      </w:r>
      <w:r w:rsidRPr="005D56D3">
        <w:rPr>
          <w:sz w:val="22"/>
          <w:szCs w:val="22"/>
          <w:lang w:val="en-NZ"/>
        </w:rPr>
        <w:t>Gzella</w:t>
      </w:r>
      <w:r w:rsidRPr="005D56D3">
        <w:rPr>
          <w:b/>
          <w:sz w:val="22"/>
          <w:szCs w:val="22"/>
          <w:lang w:val="en-NZ"/>
        </w:rPr>
        <w:t xml:space="preserve">, </w:t>
      </w:r>
      <w:r w:rsidRPr="005D56D3">
        <w:rPr>
          <w:i/>
          <w:sz w:val="22"/>
          <w:szCs w:val="22"/>
          <w:lang w:val="en-NZ"/>
        </w:rPr>
        <w:t xml:space="preserve">Cosmic Battle and Political Conflict, </w:t>
      </w:r>
      <w:r w:rsidRPr="005D56D3">
        <w:rPr>
          <w:sz w:val="22"/>
          <w:szCs w:val="22"/>
          <w:lang w:val="en-NZ"/>
        </w:rPr>
        <w:t>135-38.</w:t>
      </w:r>
    </w:p>
  </w:footnote>
  <w:footnote w:id="32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Montgomery, </w:t>
      </w:r>
      <w:r w:rsidRPr="005D56D3">
        <w:rPr>
          <w:i/>
          <w:sz w:val="22"/>
          <w:szCs w:val="22"/>
        </w:rPr>
        <w:t>Daniel</w:t>
      </w:r>
      <w:r w:rsidRPr="005D56D3">
        <w:rPr>
          <w:sz w:val="22"/>
          <w:szCs w:val="22"/>
        </w:rPr>
        <w:t>, on the passage.</w:t>
      </w:r>
    </w:p>
  </w:footnote>
  <w:footnote w:id="32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e.g., Rashi in </w:t>
      </w:r>
      <w:r w:rsidRPr="005D56D3">
        <w:rPr>
          <w:rFonts w:ascii="Arial" w:hAnsi="Arial" w:cs="Arial"/>
          <w:sz w:val="22"/>
          <w:szCs w:val="22"/>
        </w:rPr>
        <w:t>גדולות</w:t>
      </w:r>
      <w:r w:rsidRPr="005D56D3">
        <w:rPr>
          <w:sz w:val="22"/>
          <w:szCs w:val="22"/>
        </w:rPr>
        <w:t xml:space="preserve"> </w:t>
      </w:r>
      <w:r w:rsidRPr="005D56D3">
        <w:rPr>
          <w:rFonts w:ascii="Arial" w:hAnsi="Arial" w:cs="Arial"/>
          <w:sz w:val="22"/>
          <w:szCs w:val="22"/>
        </w:rPr>
        <w:t>מקראות</w:t>
      </w:r>
      <w:r w:rsidRPr="005D56D3">
        <w:rPr>
          <w:sz w:val="22"/>
          <w:szCs w:val="22"/>
        </w:rPr>
        <w:t xml:space="preserve"> on 8:9, and further Goldwurm, </w:t>
      </w:r>
      <w:r w:rsidRPr="005D56D3">
        <w:rPr>
          <w:i/>
          <w:sz w:val="22"/>
          <w:szCs w:val="22"/>
        </w:rPr>
        <w:t>Daniel</w:t>
      </w:r>
      <w:r w:rsidRPr="005D56D3">
        <w:rPr>
          <w:sz w:val="22"/>
          <w:szCs w:val="22"/>
        </w:rPr>
        <w:t>, 220-38; Shea, “Why</w:t>
      </w:r>
      <w:r w:rsidRPr="005D56D3">
        <w:rPr>
          <w:rFonts w:ascii="Times New Roman" w:eastAsiaTheme="minorHAnsi" w:hAnsi="Times New Roman" w:cs="Times New Roman"/>
          <w:color w:val="111111"/>
          <w:sz w:val="22"/>
          <w:szCs w:val="22"/>
        </w:rPr>
        <w:t xml:space="preserve"> </w:t>
      </w:r>
      <w:r w:rsidRPr="005D56D3">
        <w:rPr>
          <w:rFonts w:eastAsiaTheme="minorHAnsi" w:cs="Times New Roman"/>
          <w:color w:val="111111"/>
          <w:sz w:val="22"/>
          <w:szCs w:val="22"/>
        </w:rPr>
        <w:t>Antiochus IV Is Not the Little Hom of Daniel 8”;</w:t>
      </w:r>
      <w:r w:rsidRPr="005D56D3">
        <w:rPr>
          <w:rFonts w:ascii="Times New Roman" w:eastAsiaTheme="minorHAnsi" w:hAnsi="Times New Roman" w:cs="Times New Roman"/>
          <w:color w:val="111111"/>
          <w:sz w:val="22"/>
          <w:szCs w:val="22"/>
        </w:rPr>
        <w:t xml:space="preserve"> </w:t>
      </w:r>
      <w:r w:rsidRPr="005D56D3">
        <w:rPr>
          <w:bCs/>
          <w:sz w:val="22"/>
          <w:szCs w:val="22"/>
        </w:rPr>
        <w:t>Alomía</w:t>
      </w:r>
      <w:r w:rsidRPr="005D56D3">
        <w:rPr>
          <w:b/>
          <w:bCs/>
          <w:sz w:val="22"/>
          <w:szCs w:val="22"/>
        </w:rPr>
        <w:t xml:space="preserve">, </w:t>
      </w:r>
      <w:r w:rsidRPr="005D56D3">
        <w:rPr>
          <w:bCs/>
          <w:i/>
          <w:sz w:val="22"/>
          <w:szCs w:val="22"/>
        </w:rPr>
        <w:t>Daniel</w:t>
      </w:r>
      <w:r w:rsidRPr="005D56D3">
        <w:rPr>
          <w:bCs/>
          <w:sz w:val="22"/>
          <w:szCs w:val="22"/>
        </w:rPr>
        <w:t xml:space="preserve"> 2:</w:t>
      </w:r>
      <w:r w:rsidRPr="005D56D3">
        <w:rPr>
          <w:sz w:val="22"/>
          <w:szCs w:val="22"/>
        </w:rPr>
        <w:t>269-75.</w:t>
      </w:r>
    </w:p>
  </w:footnote>
  <w:footnote w:id="33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Strugnell, “The Angelic Liturgy at Qumrân.”</w:t>
      </w:r>
    </w:p>
  </w:footnote>
  <w:footnote w:id="33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Porter, </w:t>
      </w:r>
      <w:r w:rsidRPr="005D56D3">
        <w:rPr>
          <w:i/>
          <w:sz w:val="22"/>
          <w:szCs w:val="22"/>
        </w:rPr>
        <w:t>Metaphors and Monsters</w:t>
      </w:r>
      <w:r w:rsidRPr="005D56D3">
        <w:rPr>
          <w:sz w:val="22"/>
          <w:szCs w:val="22"/>
        </w:rPr>
        <w:t>, 57, 65–66, 89–95.</w:t>
      </w:r>
    </w:p>
  </w:footnote>
  <w:footnote w:id="33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Against Goldstein, “The Persecution of the Jews by Antiochus IV,” 142–43.</w:t>
      </w:r>
    </w:p>
  </w:footnote>
  <w:footnote w:id="33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Parente, “Onias III’ Death.”</w:t>
      </w:r>
    </w:p>
  </w:footnote>
  <w:footnote w:id="33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Bampfylde</w:t>
      </w:r>
      <w:r w:rsidRPr="005D56D3">
        <w:rPr>
          <w:b/>
          <w:sz w:val="22"/>
          <w:szCs w:val="22"/>
        </w:rPr>
        <w:t xml:space="preserve"> (“</w:t>
      </w:r>
      <w:r w:rsidRPr="005D56D3">
        <w:rPr>
          <w:iCs/>
          <w:sz w:val="22"/>
          <w:szCs w:val="22"/>
        </w:rPr>
        <w:t>The Prince of the Host”) sees him as the chief angel.</w:t>
      </w:r>
    </w:p>
  </w:footnote>
  <w:footnote w:id="33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Against Lacocque, </w:t>
      </w:r>
      <w:r w:rsidRPr="005D56D3">
        <w:rPr>
          <w:i/>
          <w:sz w:val="22"/>
          <w:szCs w:val="22"/>
        </w:rPr>
        <w:t>Daniel</w:t>
      </w:r>
      <w:r w:rsidRPr="005D56D3">
        <w:rPr>
          <w:sz w:val="22"/>
          <w:szCs w:val="22"/>
        </w:rPr>
        <w:t>, on the passage.</w:t>
      </w:r>
    </w:p>
  </w:footnote>
  <w:footnote w:id="33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Collins, </w:t>
      </w:r>
      <w:r w:rsidRPr="005D56D3">
        <w:rPr>
          <w:i/>
          <w:sz w:val="22"/>
          <w:szCs w:val="22"/>
        </w:rPr>
        <w:t>Daniel</w:t>
      </w:r>
      <w:r w:rsidRPr="005D56D3">
        <w:rPr>
          <w:sz w:val="22"/>
          <w:szCs w:val="22"/>
        </w:rPr>
        <w:t>, 335.</w:t>
      </w:r>
    </w:p>
  </w:footnote>
  <w:footnote w:id="33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Hamerton-Kelly, “The Temple and the Origins of Jewish Apocalyptic.”</w:t>
      </w:r>
    </w:p>
  </w:footnote>
  <w:footnote w:id="33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Newsom, </w:t>
      </w:r>
      <w:r w:rsidRPr="005D56D3">
        <w:rPr>
          <w:i/>
          <w:sz w:val="22"/>
          <w:szCs w:val="22"/>
        </w:rPr>
        <w:t>Daniel</w:t>
      </w:r>
      <w:r w:rsidRPr="005D56D3">
        <w:rPr>
          <w:sz w:val="22"/>
          <w:szCs w:val="22"/>
        </w:rPr>
        <w:t>, 266.</w:t>
      </w:r>
    </w:p>
  </w:footnote>
  <w:footnote w:id="33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Porter, </w:t>
      </w:r>
      <w:r w:rsidRPr="005D56D3">
        <w:rPr>
          <w:i/>
          <w:sz w:val="22"/>
          <w:szCs w:val="22"/>
        </w:rPr>
        <w:t>Metaphors and Monsters</w:t>
      </w:r>
      <w:r w:rsidRPr="005D56D3">
        <w:rPr>
          <w:sz w:val="22"/>
          <w:szCs w:val="22"/>
        </w:rPr>
        <w:t xml:space="preserve">, 63–65, referring to Childs, </w:t>
      </w:r>
      <w:r w:rsidRPr="005D56D3">
        <w:rPr>
          <w:i/>
          <w:sz w:val="22"/>
          <w:szCs w:val="22"/>
        </w:rPr>
        <w:t>Introduction to the OT</w:t>
      </w:r>
      <w:r w:rsidRPr="005D56D3">
        <w:rPr>
          <w:sz w:val="22"/>
          <w:szCs w:val="22"/>
        </w:rPr>
        <w:t xml:space="preserve">, 517–18; Becker, </w:t>
      </w:r>
      <w:r w:rsidRPr="005D56D3">
        <w:rPr>
          <w:i/>
          <w:sz w:val="22"/>
          <w:szCs w:val="22"/>
        </w:rPr>
        <w:t>Israel deutet seine Psalmen</w:t>
      </w:r>
      <w:r w:rsidRPr="005D56D3">
        <w:rPr>
          <w:sz w:val="22"/>
          <w:szCs w:val="22"/>
        </w:rPr>
        <w:t>, 41–68.</w:t>
      </w:r>
    </w:p>
  </w:footnote>
  <w:footnote w:id="34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Nestle, Zu Daniel,” 248; Eissfeldt, “Ba‘alšamēm und Jahwe,” 24.</w:t>
      </w:r>
    </w:p>
  </w:footnote>
  <w:footnote w:id="34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Hasslberger, </w:t>
      </w:r>
      <w:r w:rsidRPr="005D56D3">
        <w:rPr>
          <w:i/>
          <w:sz w:val="22"/>
          <w:szCs w:val="22"/>
        </w:rPr>
        <w:t>Hoffnung</w:t>
      </w:r>
      <w:r w:rsidRPr="005D56D3">
        <w:rPr>
          <w:sz w:val="22"/>
          <w:szCs w:val="22"/>
        </w:rPr>
        <w:t xml:space="preserve"> </w:t>
      </w:r>
      <w:r w:rsidRPr="005D56D3">
        <w:rPr>
          <w:i/>
          <w:sz w:val="22"/>
          <w:szCs w:val="22"/>
        </w:rPr>
        <w:t>in der Bedrängnis</w:t>
      </w:r>
      <w:r w:rsidRPr="005D56D3">
        <w:rPr>
          <w:sz w:val="22"/>
          <w:szCs w:val="22"/>
        </w:rPr>
        <w:t>, 343.</w:t>
      </w:r>
    </w:p>
  </w:footnote>
  <w:footnote w:id="34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Jerome, </w:t>
      </w:r>
      <w:r w:rsidRPr="005D56D3">
        <w:rPr>
          <w:i/>
          <w:sz w:val="22"/>
          <w:szCs w:val="22"/>
        </w:rPr>
        <w:t>Daniel</w:t>
      </w:r>
      <w:r w:rsidRPr="005D56D3">
        <w:rPr>
          <w:sz w:val="22"/>
          <w:szCs w:val="22"/>
        </w:rPr>
        <w:t>, 86, 134.</w:t>
      </w:r>
    </w:p>
  </w:footnote>
  <w:footnote w:id="34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Bickerman, </w:t>
      </w:r>
      <w:r w:rsidRPr="005D56D3">
        <w:rPr>
          <w:i/>
          <w:sz w:val="22"/>
          <w:szCs w:val="22"/>
        </w:rPr>
        <w:t>Der Gott der Makkabäer</w:t>
      </w:r>
      <w:r w:rsidRPr="005D56D3">
        <w:rPr>
          <w:sz w:val="22"/>
          <w:szCs w:val="22"/>
        </w:rPr>
        <w:t>, 90-116 (ET 61-75); on Goldstein’s suggestion (I Maccabees, 146–47) that the abomination constituted meteorites fixed to the altar as objects to be worshiped, see Lust, “Cult and Sacrifice in Daniel.”</w:t>
      </w:r>
    </w:p>
  </w:footnote>
  <w:footnote w:id="344">
    <w:p w:rsidR="008E57DC" w:rsidRPr="005D56D3" w:rsidRDefault="008E57DC">
      <w:pPr>
        <w:pStyle w:val="FootnoteText"/>
        <w:rPr>
          <w:sz w:val="22"/>
          <w:szCs w:val="22"/>
        </w:rPr>
      </w:pPr>
      <w:r w:rsidRPr="005D56D3">
        <w:rPr>
          <w:rStyle w:val="FootnoteReference"/>
          <w:sz w:val="22"/>
          <w:szCs w:val="22"/>
        </w:rPr>
        <w:footnoteRef/>
      </w:r>
      <w:r w:rsidRPr="005D56D3">
        <w:rPr>
          <w:sz w:val="22"/>
          <w:szCs w:val="22"/>
        </w:rPr>
        <w:t xml:space="preserve"> So e.g., Saadia, </w:t>
      </w:r>
      <w:r w:rsidRPr="005D56D3">
        <w:rPr>
          <w:i/>
          <w:sz w:val="22"/>
          <w:szCs w:val="22"/>
        </w:rPr>
        <w:t>Daniel</w:t>
      </w:r>
      <w:r w:rsidRPr="005D56D3">
        <w:rPr>
          <w:sz w:val="22"/>
          <w:szCs w:val="22"/>
        </w:rPr>
        <w:t xml:space="preserve">, 573; Yephet, </w:t>
      </w:r>
      <w:r w:rsidRPr="005D56D3">
        <w:rPr>
          <w:i/>
          <w:sz w:val="22"/>
          <w:szCs w:val="22"/>
        </w:rPr>
        <w:t>Daniel</w:t>
      </w:r>
      <w:r w:rsidRPr="005D56D3">
        <w:rPr>
          <w:sz w:val="22"/>
          <w:szCs w:val="22"/>
        </w:rPr>
        <w:t>, 43.</w:t>
      </w:r>
    </w:p>
  </w:footnote>
  <w:footnote w:id="34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For more precise—but speculative—interpretations, see Schedl, “Mystische Arithmetik"; Burgmann, “Die vier Endzeittermine im Danielbuch.”</w:t>
      </w:r>
    </w:p>
  </w:footnote>
  <w:footnote w:id="34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Longman, </w:t>
      </w:r>
      <w:r w:rsidRPr="005D56D3">
        <w:rPr>
          <w:i/>
          <w:sz w:val="22"/>
          <w:szCs w:val="22"/>
        </w:rPr>
        <w:t>Daniel</w:t>
      </w:r>
      <w:r w:rsidRPr="005D56D3">
        <w:rPr>
          <w:sz w:val="22"/>
          <w:szCs w:val="22"/>
        </w:rPr>
        <w:t>, 205.</w:t>
      </w:r>
    </w:p>
  </w:footnote>
  <w:footnote w:id="34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Schwantes, “‘</w:t>
      </w:r>
      <w:r w:rsidRPr="005D56D3">
        <w:rPr>
          <w:i/>
          <w:sz w:val="22"/>
          <w:szCs w:val="22"/>
        </w:rPr>
        <w:t>Ereb bōqer</w:t>
      </w:r>
      <w:r w:rsidRPr="005D56D3">
        <w:rPr>
          <w:sz w:val="22"/>
          <w:szCs w:val="22"/>
        </w:rPr>
        <w:t xml:space="preserve"> of Daniel 8:14 Re-examined,” noting especially Ezra 3:3–5.</w:t>
      </w:r>
    </w:p>
  </w:footnote>
  <w:footnote w:id="34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e.g., Ibn Ezra, according to some accounts (cf. Goldwurm, </w:t>
      </w:r>
      <w:r w:rsidRPr="005D56D3">
        <w:rPr>
          <w:i/>
          <w:sz w:val="22"/>
          <w:szCs w:val="22"/>
        </w:rPr>
        <w:t>Daniel</w:t>
      </w:r>
      <w:r w:rsidRPr="005D56D3">
        <w:rPr>
          <w:sz w:val="22"/>
          <w:szCs w:val="22"/>
        </w:rPr>
        <w:t>, 229); also</w:t>
      </w:r>
      <w:r w:rsidRPr="005D56D3">
        <w:rPr>
          <w:i/>
          <w:sz w:val="22"/>
          <w:szCs w:val="22"/>
        </w:rPr>
        <w:t xml:space="preserve"> </w:t>
      </w:r>
      <w:r w:rsidRPr="005D56D3">
        <w:rPr>
          <w:sz w:val="22"/>
          <w:szCs w:val="22"/>
        </w:rPr>
        <w:t xml:space="preserve">Theodoret, </w:t>
      </w:r>
      <w:r w:rsidRPr="005D56D3">
        <w:rPr>
          <w:i/>
          <w:sz w:val="22"/>
          <w:szCs w:val="22"/>
        </w:rPr>
        <w:t>Daniel</w:t>
      </w:r>
      <w:r w:rsidRPr="005D56D3">
        <w:rPr>
          <w:sz w:val="22"/>
          <w:szCs w:val="22"/>
        </w:rPr>
        <w:t>, 214-15;</w:t>
      </w:r>
      <w:r w:rsidRPr="005D56D3">
        <w:rPr>
          <w:i/>
          <w:sz w:val="22"/>
          <w:szCs w:val="22"/>
        </w:rPr>
        <w:t xml:space="preserve"> </w:t>
      </w:r>
      <w:r w:rsidRPr="005D56D3">
        <w:rPr>
          <w:sz w:val="22"/>
          <w:szCs w:val="22"/>
        </w:rPr>
        <w:t>Luther, ““Vorrede uber den Propheten Daniel,” 17 (ET 302); Thiering, “The Three and a Half Years of Elijah,” 49, though her calendrical explanation is also questionable: see on 12:11–12.</w:t>
      </w:r>
    </w:p>
  </w:footnote>
  <w:footnote w:id="34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Burgmann, “Die vier Endzeittermine im Danielbuch,” 544–45.</w:t>
      </w:r>
    </w:p>
  </w:footnote>
  <w:footnote w:id="35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Keil, </w:t>
      </w:r>
      <w:r w:rsidRPr="005D56D3">
        <w:rPr>
          <w:i/>
          <w:sz w:val="22"/>
          <w:szCs w:val="22"/>
        </w:rPr>
        <w:t>Biblischer Kommentar</w:t>
      </w:r>
      <w:r w:rsidRPr="005D56D3">
        <w:rPr>
          <w:sz w:val="22"/>
          <w:szCs w:val="22"/>
        </w:rPr>
        <w:t>, on the passage.</w:t>
      </w:r>
    </w:p>
  </w:footnote>
  <w:footnote w:id="35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Porter, </w:t>
      </w:r>
      <w:r w:rsidRPr="005D56D3">
        <w:rPr>
          <w:i/>
          <w:sz w:val="22"/>
          <w:szCs w:val="22"/>
        </w:rPr>
        <w:t>Metaphors and Monsters</w:t>
      </w:r>
      <w:r w:rsidRPr="005D56D3">
        <w:rPr>
          <w:sz w:val="22"/>
          <w:szCs w:val="22"/>
        </w:rPr>
        <w:t>, 44.</w:t>
      </w:r>
    </w:p>
  </w:footnote>
  <w:footnote w:id="35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Kosmala, </w:t>
      </w:r>
      <w:r w:rsidRPr="005D56D3">
        <w:rPr>
          <w:i/>
          <w:sz w:val="22"/>
          <w:szCs w:val="22"/>
        </w:rPr>
        <w:t>Hebräer-Essener-Christen</w:t>
      </w:r>
      <w:r w:rsidRPr="005D56D3">
        <w:rPr>
          <w:sz w:val="22"/>
          <w:szCs w:val="22"/>
        </w:rPr>
        <w:t xml:space="preserve">, 208–39; “The Term </w:t>
      </w:r>
      <w:r w:rsidRPr="005D56D3">
        <w:rPr>
          <w:i/>
          <w:sz w:val="22"/>
          <w:szCs w:val="22"/>
        </w:rPr>
        <w:t>geber</w:t>
      </w:r>
      <w:r w:rsidRPr="005D56D3">
        <w:rPr>
          <w:sz w:val="22"/>
          <w:szCs w:val="22"/>
        </w:rPr>
        <w:t xml:space="preserve"> in the OT and in the Scrolls”; and in </w:t>
      </w:r>
      <w:r w:rsidRPr="005D56D3">
        <w:rPr>
          <w:i/>
          <w:sz w:val="22"/>
          <w:szCs w:val="22"/>
        </w:rPr>
        <w:t xml:space="preserve">TWAT </w:t>
      </w:r>
      <w:r w:rsidRPr="005D56D3">
        <w:rPr>
          <w:sz w:val="22"/>
          <w:szCs w:val="22"/>
        </w:rPr>
        <w:t xml:space="preserve">on </w:t>
      </w:r>
      <w:r w:rsidRPr="005D56D3">
        <w:rPr>
          <w:rFonts w:ascii="Arial" w:hAnsi="Arial" w:cs="Arial"/>
          <w:sz w:val="22"/>
          <w:szCs w:val="22"/>
        </w:rPr>
        <w:t>גבר</w:t>
      </w:r>
      <w:r w:rsidRPr="005D56D3">
        <w:rPr>
          <w:sz w:val="22"/>
          <w:szCs w:val="22"/>
        </w:rPr>
        <w:t>.</w:t>
      </w:r>
    </w:p>
  </w:footnote>
  <w:footnote w:id="35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Barth, </w:t>
      </w:r>
      <w:r w:rsidRPr="005D56D3">
        <w:rPr>
          <w:i/>
          <w:sz w:val="22"/>
          <w:szCs w:val="22"/>
        </w:rPr>
        <w:t>CD</w:t>
      </w:r>
      <w:r w:rsidRPr="005D56D3">
        <w:rPr>
          <w:sz w:val="22"/>
          <w:szCs w:val="22"/>
        </w:rPr>
        <w:t xml:space="preserve"> III, 3:456.</w:t>
      </w:r>
    </w:p>
  </w:footnote>
  <w:footnote w:id="354">
    <w:p w:rsidR="008E57DC" w:rsidRPr="005D56D3" w:rsidRDefault="008E57DC" w:rsidP="00515C81">
      <w:pPr>
        <w:pStyle w:val="FootnoteText"/>
        <w:rPr>
          <w:sz w:val="22"/>
          <w:szCs w:val="22"/>
        </w:rPr>
      </w:pPr>
      <w:r w:rsidRPr="005D56D3">
        <w:rPr>
          <w:rStyle w:val="FootnoteReference"/>
          <w:sz w:val="22"/>
          <w:szCs w:val="22"/>
        </w:rPr>
        <w:footnoteRef/>
      </w:r>
      <w:r w:rsidRPr="005D56D3">
        <w:rPr>
          <w:sz w:val="22"/>
          <w:szCs w:val="22"/>
        </w:rPr>
        <w:t xml:space="preserve"> Zuiddam (“The Shock Factor of Divine Revelation”) argues that Gabriel’s role in chaps. 8 and 9 is also to provide reassurance to Daniel.</w:t>
      </w:r>
    </w:p>
  </w:footnote>
  <w:footnote w:id="35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Plöger, </w:t>
      </w:r>
      <w:r w:rsidRPr="005D56D3">
        <w:rPr>
          <w:i/>
          <w:sz w:val="22"/>
          <w:szCs w:val="22"/>
        </w:rPr>
        <w:t>Daniel</w:t>
      </w:r>
      <w:r w:rsidRPr="005D56D3">
        <w:rPr>
          <w:sz w:val="22"/>
          <w:szCs w:val="22"/>
        </w:rPr>
        <w:t>, on the passage.</w:t>
      </w:r>
    </w:p>
  </w:footnote>
  <w:footnote w:id="35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Keil, </w:t>
      </w:r>
      <w:r w:rsidRPr="005D56D3">
        <w:rPr>
          <w:i/>
          <w:sz w:val="22"/>
          <w:szCs w:val="22"/>
        </w:rPr>
        <w:t>Biblischer Kommentar</w:t>
      </w:r>
      <w:r w:rsidRPr="005D56D3">
        <w:rPr>
          <w:sz w:val="22"/>
          <w:szCs w:val="22"/>
        </w:rPr>
        <w:t>, on the passage.</w:t>
      </w:r>
    </w:p>
  </w:footnote>
  <w:footnote w:id="35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Lucas, </w:t>
      </w:r>
      <w:r w:rsidRPr="005D56D3">
        <w:rPr>
          <w:i/>
          <w:sz w:val="22"/>
          <w:szCs w:val="22"/>
        </w:rPr>
        <w:t>Daniel</w:t>
      </w:r>
      <w:r w:rsidRPr="005D56D3">
        <w:rPr>
          <w:sz w:val="22"/>
          <w:szCs w:val="22"/>
        </w:rPr>
        <w:t>, 224.</w:t>
      </w:r>
    </w:p>
  </w:footnote>
  <w:footnote w:id="35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Collins, </w:t>
      </w:r>
      <w:r w:rsidRPr="005D56D3">
        <w:rPr>
          <w:i/>
          <w:sz w:val="22"/>
          <w:szCs w:val="22"/>
        </w:rPr>
        <w:t>Daniel with an Introduction to Apocalyptic Literature</w:t>
      </w:r>
      <w:r w:rsidRPr="005D56D3">
        <w:rPr>
          <w:sz w:val="22"/>
          <w:szCs w:val="22"/>
        </w:rPr>
        <w:t>, 95.</w:t>
      </w:r>
    </w:p>
  </w:footnote>
  <w:footnote w:id="35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Collins, </w:t>
      </w:r>
      <w:r w:rsidRPr="005D56D3">
        <w:rPr>
          <w:i/>
          <w:sz w:val="22"/>
          <w:szCs w:val="22"/>
        </w:rPr>
        <w:t>Daniel</w:t>
      </w:r>
      <w:r w:rsidRPr="005D56D3">
        <w:rPr>
          <w:sz w:val="22"/>
          <w:szCs w:val="22"/>
        </w:rPr>
        <w:t>, 339.</w:t>
      </w:r>
    </w:p>
  </w:footnote>
  <w:footnote w:id="36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Against, e.g., Steck, “Weltgeschehen und Gottesvolk im Buche Daniel,” 71.</w:t>
      </w:r>
    </w:p>
  </w:footnote>
  <w:footnote w:id="36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De Vries, </w:t>
      </w:r>
      <w:r w:rsidRPr="005D56D3">
        <w:rPr>
          <w:i/>
          <w:sz w:val="22"/>
          <w:szCs w:val="22"/>
        </w:rPr>
        <w:t>The Achievements of Biblical Religion</w:t>
      </w:r>
      <w:r w:rsidRPr="005D56D3">
        <w:rPr>
          <w:sz w:val="22"/>
          <w:szCs w:val="22"/>
        </w:rPr>
        <w:t>, 342</w:t>
      </w:r>
    </w:p>
  </w:footnote>
  <w:footnote w:id="36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Wilch, </w:t>
      </w:r>
      <w:r w:rsidRPr="005D56D3">
        <w:rPr>
          <w:i/>
          <w:sz w:val="22"/>
          <w:szCs w:val="22"/>
        </w:rPr>
        <w:t>Time</w:t>
      </w:r>
      <w:r w:rsidRPr="005D56D3">
        <w:rPr>
          <w:sz w:val="22"/>
          <w:szCs w:val="22"/>
        </w:rPr>
        <w:t xml:space="preserve"> </w:t>
      </w:r>
      <w:r w:rsidRPr="005D56D3">
        <w:rPr>
          <w:i/>
          <w:sz w:val="22"/>
          <w:szCs w:val="22"/>
        </w:rPr>
        <w:t>and Event</w:t>
      </w:r>
      <w:r w:rsidRPr="005D56D3">
        <w:rPr>
          <w:sz w:val="22"/>
          <w:szCs w:val="22"/>
        </w:rPr>
        <w:t>, 111–14.</w:t>
      </w:r>
    </w:p>
  </w:footnote>
  <w:footnote w:id="36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Against Wilch (and cf. Pfandl, “Daniel’s ‘Time of the End’”); contrast Jones, </w:t>
      </w:r>
      <w:r w:rsidRPr="005D56D3">
        <w:rPr>
          <w:i/>
          <w:sz w:val="22"/>
          <w:szCs w:val="22"/>
        </w:rPr>
        <w:t>Ideas of History in the Book of Daniel</w:t>
      </w:r>
      <w:r w:rsidRPr="005D56D3">
        <w:rPr>
          <w:sz w:val="22"/>
          <w:szCs w:val="22"/>
        </w:rPr>
        <w:t>, 178–219.</w:t>
      </w:r>
    </w:p>
  </w:footnote>
  <w:footnote w:id="36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Blaising</w:t>
      </w:r>
      <w:r w:rsidRPr="005D56D3">
        <w:rPr>
          <w:b/>
          <w:sz w:val="22"/>
          <w:szCs w:val="22"/>
        </w:rPr>
        <w:t xml:space="preserve">, </w:t>
      </w:r>
      <w:r w:rsidRPr="005D56D3">
        <w:rPr>
          <w:sz w:val="22"/>
          <w:szCs w:val="22"/>
        </w:rPr>
        <w:t>“The Da</w:t>
      </w:r>
      <w:r w:rsidRPr="005D56D3">
        <w:rPr>
          <w:bCs/>
          <w:sz w:val="22"/>
          <w:szCs w:val="22"/>
        </w:rPr>
        <w:t>y of the Lord and the Seventieth Week of Daniel.”</w:t>
      </w:r>
    </w:p>
  </w:footnote>
  <w:footnote w:id="36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Against Fox</w:t>
      </w:r>
      <w:r w:rsidRPr="005D56D3">
        <w:rPr>
          <w:b/>
          <w:sz w:val="22"/>
          <w:szCs w:val="22"/>
        </w:rPr>
        <w:t>,</w:t>
      </w:r>
      <w:r w:rsidRPr="005D56D3">
        <w:rPr>
          <w:sz w:val="22"/>
          <w:szCs w:val="22"/>
        </w:rPr>
        <w:t xml:space="preserve"> “Ben Sira on OT Canon Again: The Date of Daniel.”</w:t>
      </w:r>
    </w:p>
  </w:footnote>
  <w:footnote w:id="36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Newsom, </w:t>
      </w:r>
      <w:r w:rsidRPr="005D56D3">
        <w:rPr>
          <w:i/>
          <w:sz w:val="22"/>
          <w:szCs w:val="22"/>
        </w:rPr>
        <w:t>Daniel</w:t>
      </w:r>
      <w:r w:rsidRPr="005D56D3">
        <w:rPr>
          <w:sz w:val="22"/>
          <w:szCs w:val="22"/>
        </w:rPr>
        <w:t>, 272.</w:t>
      </w:r>
    </w:p>
  </w:footnote>
  <w:footnote w:id="36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Keil, </w:t>
      </w:r>
      <w:r w:rsidRPr="005D56D3">
        <w:rPr>
          <w:i/>
          <w:sz w:val="22"/>
          <w:szCs w:val="22"/>
        </w:rPr>
        <w:t>Biblischer Kommentar</w:t>
      </w:r>
      <w:r w:rsidRPr="005D56D3">
        <w:rPr>
          <w:sz w:val="22"/>
          <w:szCs w:val="22"/>
        </w:rPr>
        <w:t>, on the passage.</w:t>
      </w:r>
    </w:p>
  </w:footnote>
  <w:footnote w:id="36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Niditch, </w:t>
      </w:r>
      <w:r w:rsidRPr="005D56D3">
        <w:rPr>
          <w:i/>
          <w:sz w:val="22"/>
          <w:szCs w:val="22"/>
        </w:rPr>
        <w:t>The Symbolic Vision in Biblical Tradition</w:t>
      </w:r>
      <w:r w:rsidRPr="005D56D3">
        <w:rPr>
          <w:sz w:val="22"/>
          <w:szCs w:val="22"/>
        </w:rPr>
        <w:t>, 230–31.</w:t>
      </w:r>
    </w:p>
  </w:footnote>
  <w:footnote w:id="36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Lebram, “König Antiochus im Buch Daniel,” 739–43.</w:t>
      </w:r>
    </w:p>
  </w:footnote>
  <w:footnote w:id="37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Möller, “Der Begriff ‘Rätsel’ im AT,” 477–79.</w:t>
      </w:r>
    </w:p>
  </w:footnote>
  <w:footnote w:id="37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Barr, “Daniel,” on the passage.</w:t>
      </w:r>
    </w:p>
  </w:footnote>
  <w:footnote w:id="37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Lacocque, </w:t>
      </w:r>
      <w:r w:rsidRPr="005D56D3">
        <w:rPr>
          <w:i/>
          <w:sz w:val="22"/>
          <w:szCs w:val="22"/>
        </w:rPr>
        <w:t>Daniel</w:t>
      </w:r>
      <w:r w:rsidRPr="005D56D3">
        <w:rPr>
          <w:sz w:val="22"/>
          <w:szCs w:val="22"/>
        </w:rPr>
        <w:t>, on the passage.</w:t>
      </w:r>
    </w:p>
  </w:footnote>
  <w:footnote w:id="373">
    <w:p w:rsidR="000F564D" w:rsidRPr="005D56D3" w:rsidRDefault="000F564D">
      <w:pPr>
        <w:pStyle w:val="FootnoteText"/>
        <w:rPr>
          <w:sz w:val="22"/>
          <w:szCs w:val="22"/>
        </w:rPr>
      </w:pPr>
      <w:r w:rsidRPr="005D56D3">
        <w:rPr>
          <w:rStyle w:val="FootnoteReference"/>
          <w:sz w:val="22"/>
          <w:szCs w:val="22"/>
        </w:rPr>
        <w:footnoteRef/>
      </w:r>
      <w:r w:rsidRPr="005D56D3">
        <w:rPr>
          <w:sz w:val="22"/>
          <w:szCs w:val="22"/>
        </w:rPr>
        <w:t xml:space="preserve"> Portier-Young (</w:t>
      </w:r>
      <w:r w:rsidRPr="005D56D3">
        <w:rPr>
          <w:i/>
          <w:sz w:val="22"/>
          <w:szCs w:val="22"/>
        </w:rPr>
        <w:t>Apocalypse Against Empire</w:t>
      </w:r>
      <w:r w:rsidRPr="005D56D3">
        <w:rPr>
          <w:sz w:val="22"/>
          <w:szCs w:val="22"/>
        </w:rPr>
        <w:t xml:space="preserve">, 223-79) especially emphasizes the nonviolent commitment of Daniel’s visions. </w:t>
      </w:r>
    </w:p>
  </w:footnote>
  <w:footnote w:id="37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Hasslberger, </w:t>
      </w:r>
      <w:r w:rsidRPr="005D56D3">
        <w:rPr>
          <w:i/>
          <w:sz w:val="22"/>
          <w:szCs w:val="22"/>
        </w:rPr>
        <w:t>Hoffnung</w:t>
      </w:r>
      <w:r w:rsidRPr="005D56D3">
        <w:rPr>
          <w:sz w:val="22"/>
          <w:szCs w:val="22"/>
        </w:rPr>
        <w:t xml:space="preserve"> </w:t>
      </w:r>
      <w:r w:rsidRPr="005D56D3">
        <w:rPr>
          <w:i/>
          <w:sz w:val="22"/>
          <w:szCs w:val="22"/>
        </w:rPr>
        <w:t>in der Bedrängnis</w:t>
      </w:r>
      <w:r w:rsidRPr="005D56D3">
        <w:rPr>
          <w:sz w:val="22"/>
          <w:szCs w:val="22"/>
        </w:rPr>
        <w:t>, 82–83.</w:t>
      </w:r>
    </w:p>
  </w:footnote>
  <w:footnote w:id="37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Sachs and Wiseman, “A Babylonian King List.”</w:t>
      </w:r>
    </w:p>
  </w:footnote>
  <w:footnote w:id="37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Russell, </w:t>
      </w:r>
      <w:r w:rsidRPr="005D56D3">
        <w:rPr>
          <w:i/>
          <w:sz w:val="22"/>
          <w:szCs w:val="22"/>
        </w:rPr>
        <w:t>The Method and Message of Jewish Apocalyptic</w:t>
      </w:r>
      <w:r w:rsidRPr="005D56D3">
        <w:rPr>
          <w:sz w:val="22"/>
          <w:szCs w:val="22"/>
        </w:rPr>
        <w:t>, 107–14, with references to other apocalypses.</w:t>
      </w:r>
    </w:p>
  </w:footnote>
  <w:footnote w:id="37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Plöger, </w:t>
      </w:r>
      <w:r w:rsidRPr="005D56D3">
        <w:rPr>
          <w:i/>
          <w:sz w:val="22"/>
          <w:szCs w:val="22"/>
        </w:rPr>
        <w:t>Daniel</w:t>
      </w:r>
      <w:r w:rsidRPr="005D56D3">
        <w:rPr>
          <w:sz w:val="22"/>
          <w:szCs w:val="22"/>
        </w:rPr>
        <w:t>, on the passage.</w:t>
      </w:r>
    </w:p>
  </w:footnote>
  <w:footnote w:id="37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Lüthi, </w:t>
      </w:r>
      <w:r w:rsidRPr="005D56D3">
        <w:rPr>
          <w:i/>
          <w:sz w:val="22"/>
          <w:szCs w:val="22"/>
        </w:rPr>
        <w:t>The Church to Come</w:t>
      </w:r>
      <w:r w:rsidRPr="005D56D3">
        <w:rPr>
          <w:sz w:val="22"/>
          <w:szCs w:val="22"/>
        </w:rPr>
        <w:t>, 110-12.</w:t>
      </w:r>
    </w:p>
  </w:footnote>
  <w:footnote w:id="37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Newsom, </w:t>
      </w:r>
      <w:r w:rsidRPr="005D56D3">
        <w:rPr>
          <w:i/>
          <w:sz w:val="22"/>
          <w:szCs w:val="22"/>
        </w:rPr>
        <w:t>Daniel</w:t>
      </w:r>
      <w:r w:rsidRPr="005D56D3">
        <w:rPr>
          <w:sz w:val="22"/>
          <w:szCs w:val="22"/>
        </w:rPr>
        <w:t>, 256.</w:t>
      </w:r>
    </w:p>
  </w:footnote>
  <w:footnote w:id="38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Newsom, “The Past as Revelation,” 43; also 48.</w:t>
      </w:r>
    </w:p>
  </w:footnote>
  <w:footnote w:id="38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Newsom, </w:t>
      </w:r>
      <w:r w:rsidRPr="005D56D3">
        <w:rPr>
          <w:i/>
          <w:sz w:val="22"/>
          <w:szCs w:val="22"/>
        </w:rPr>
        <w:t>Daniel</w:t>
      </w:r>
      <w:r w:rsidRPr="005D56D3">
        <w:rPr>
          <w:sz w:val="22"/>
          <w:szCs w:val="22"/>
        </w:rPr>
        <w:t>, 256.</w:t>
      </w:r>
    </w:p>
  </w:footnote>
  <w:footnote w:id="38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Towner, </w:t>
      </w:r>
      <w:r w:rsidRPr="005D56D3">
        <w:rPr>
          <w:i/>
          <w:sz w:val="22"/>
          <w:szCs w:val="22"/>
        </w:rPr>
        <w:t>Daniel</w:t>
      </w:r>
      <w:r w:rsidRPr="005D56D3">
        <w:rPr>
          <w:sz w:val="22"/>
          <w:szCs w:val="22"/>
        </w:rPr>
        <w:t>, 123.</w:t>
      </w:r>
    </w:p>
  </w:footnote>
  <w:footnote w:id="38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Berrigan, </w:t>
      </w:r>
      <w:r w:rsidRPr="005D56D3">
        <w:rPr>
          <w:i/>
          <w:sz w:val="22"/>
          <w:szCs w:val="22"/>
        </w:rPr>
        <w:t>Daniel</w:t>
      </w:r>
      <w:r w:rsidRPr="005D56D3">
        <w:rPr>
          <w:sz w:val="22"/>
          <w:szCs w:val="22"/>
        </w:rPr>
        <w:t>, 137-38.</w:t>
      </w:r>
    </w:p>
  </w:footnote>
  <w:footnote w:id="38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Against Towner, </w:t>
      </w:r>
      <w:r w:rsidRPr="005D56D3">
        <w:rPr>
          <w:i/>
          <w:sz w:val="22"/>
          <w:szCs w:val="22"/>
        </w:rPr>
        <w:t>Daniel</w:t>
      </w:r>
      <w:r w:rsidRPr="005D56D3">
        <w:rPr>
          <w:sz w:val="22"/>
          <w:szCs w:val="22"/>
        </w:rPr>
        <w:t xml:space="preserve">, 117; see further the </w:t>
      </w:r>
      <w:r w:rsidRPr="005D56D3">
        <w:rPr>
          <w:i/>
          <w:sz w:val="22"/>
          <w:szCs w:val="22"/>
        </w:rPr>
        <w:t>Comment</w:t>
      </w:r>
      <w:r w:rsidRPr="005D56D3">
        <w:rPr>
          <w:sz w:val="22"/>
          <w:szCs w:val="22"/>
        </w:rPr>
        <w:t xml:space="preserve"> on 4:13-18.</w:t>
      </w:r>
    </w:p>
  </w:footnote>
  <w:footnote w:id="38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Mayer, </w:t>
      </w:r>
      <w:r w:rsidRPr="005D56D3">
        <w:rPr>
          <w:i/>
          <w:iCs/>
          <w:sz w:val="22"/>
          <w:szCs w:val="22"/>
        </w:rPr>
        <w:t>Commentary upon All the Prophets</w:t>
      </w:r>
      <w:r w:rsidRPr="005D56D3">
        <w:rPr>
          <w:iCs/>
          <w:sz w:val="22"/>
          <w:szCs w:val="22"/>
        </w:rPr>
        <w:t>, 550.</w:t>
      </w:r>
    </w:p>
  </w:footnote>
  <w:footnote w:id="38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Koch, “Spätisraelitische Geschichtsdenken am Beispiel des Buches Daniel,” 25.</w:t>
      </w:r>
    </w:p>
  </w:footnote>
  <w:footnote w:id="38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Gowan, </w:t>
      </w:r>
      <w:r w:rsidRPr="005D56D3">
        <w:rPr>
          <w:i/>
          <w:sz w:val="22"/>
          <w:szCs w:val="22"/>
        </w:rPr>
        <w:t>Daniel</w:t>
      </w:r>
      <w:r w:rsidRPr="005D56D3">
        <w:rPr>
          <w:sz w:val="22"/>
          <w:szCs w:val="22"/>
        </w:rPr>
        <w:t>, on the passage.</w:t>
      </w:r>
    </w:p>
  </w:footnote>
  <w:footnote w:id="38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Smith Christopher, “Daniel,” 114, 118.</w:t>
      </w:r>
    </w:p>
  </w:footnote>
  <w:footnote w:id="38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Plöger, </w:t>
      </w:r>
      <w:r w:rsidRPr="005D56D3">
        <w:rPr>
          <w:i/>
          <w:sz w:val="22"/>
          <w:szCs w:val="22"/>
        </w:rPr>
        <w:t>Daniel</w:t>
      </w:r>
      <w:r w:rsidRPr="005D56D3">
        <w:rPr>
          <w:sz w:val="22"/>
          <w:szCs w:val="22"/>
        </w:rPr>
        <w:t>, on the passage.</w:t>
      </w:r>
    </w:p>
  </w:footnote>
  <w:footnote w:id="39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Heaton, </w:t>
      </w:r>
      <w:r w:rsidRPr="005D56D3">
        <w:rPr>
          <w:i/>
          <w:sz w:val="22"/>
          <w:szCs w:val="22"/>
        </w:rPr>
        <w:t>Daniel</w:t>
      </w:r>
      <w:r w:rsidRPr="005D56D3">
        <w:rPr>
          <w:sz w:val="22"/>
          <w:szCs w:val="22"/>
        </w:rPr>
        <w:t>, on the passage.</w:t>
      </w:r>
    </w:p>
  </w:footnote>
  <w:footnote w:id="391">
    <w:p w:rsidR="008E57DC" w:rsidRPr="005D56D3" w:rsidRDefault="008E57DC" w:rsidP="00622A75">
      <w:pPr>
        <w:pStyle w:val="FootnoteText"/>
        <w:tabs>
          <w:tab w:val="left" w:pos="9180"/>
        </w:tabs>
        <w:rPr>
          <w:sz w:val="22"/>
          <w:szCs w:val="22"/>
        </w:rPr>
      </w:pPr>
      <w:r w:rsidRPr="005D56D3">
        <w:rPr>
          <w:rStyle w:val="FootnoteReference"/>
          <w:sz w:val="22"/>
          <w:szCs w:val="22"/>
        </w:rPr>
        <w:footnoteRef/>
      </w:r>
      <w:r w:rsidRPr="005D56D3">
        <w:rPr>
          <w:sz w:val="22"/>
          <w:szCs w:val="22"/>
        </w:rPr>
        <w:t xml:space="preserve"> Seow, </w:t>
      </w:r>
      <w:r w:rsidRPr="005D56D3">
        <w:rPr>
          <w:i/>
          <w:sz w:val="22"/>
          <w:szCs w:val="22"/>
        </w:rPr>
        <w:t>Daniel</w:t>
      </w:r>
      <w:r w:rsidRPr="005D56D3">
        <w:rPr>
          <w:sz w:val="22"/>
          <w:szCs w:val="22"/>
        </w:rPr>
        <w:t>, 130-31.</w:t>
      </w:r>
    </w:p>
  </w:footnote>
  <w:footnote w:id="39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Berrigan, </w:t>
      </w:r>
      <w:r w:rsidRPr="005D56D3">
        <w:rPr>
          <w:i/>
          <w:sz w:val="22"/>
          <w:szCs w:val="22"/>
        </w:rPr>
        <w:t>Daniel</w:t>
      </w:r>
      <w:r w:rsidRPr="005D56D3">
        <w:rPr>
          <w:sz w:val="22"/>
          <w:szCs w:val="22"/>
        </w:rPr>
        <w:t>, 142.</w:t>
      </w:r>
    </w:p>
  </w:footnote>
  <w:footnote w:id="39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Koch, “Vom profetischen zum apokalyptischen Visionsbericht,” 439.</w:t>
      </w:r>
    </w:p>
  </w:footnote>
  <w:footnote w:id="39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On the subsequent history of this approach to Daniel, see Breed, “History of Reception,” 273-83.</w:t>
      </w:r>
    </w:p>
  </w:footnote>
  <w:footnote w:id="39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w:t>
      </w:r>
      <w:r w:rsidRPr="005D56D3">
        <w:rPr>
          <w:i/>
          <w:sz w:val="22"/>
          <w:szCs w:val="22"/>
        </w:rPr>
        <w:t>Daniel</w:t>
      </w:r>
      <w:r w:rsidRPr="005D56D3">
        <w:rPr>
          <w:sz w:val="22"/>
          <w:szCs w:val="22"/>
        </w:rPr>
        <w:t>, 87.</w:t>
      </w:r>
    </w:p>
  </w:footnote>
  <w:footnote w:id="39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Luther, “Vorrede uber den Propheten Daniel,” 17 (ET 302).</w:t>
      </w:r>
    </w:p>
  </w:footnote>
  <w:footnote w:id="39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Calvin, </w:t>
      </w:r>
      <w:r w:rsidRPr="005D56D3">
        <w:rPr>
          <w:i/>
          <w:sz w:val="22"/>
          <w:szCs w:val="22"/>
        </w:rPr>
        <w:t xml:space="preserve">Daniel </w:t>
      </w:r>
      <w:r w:rsidRPr="005D56D3">
        <w:rPr>
          <w:sz w:val="22"/>
          <w:szCs w:val="22"/>
        </w:rPr>
        <w:t>2:119.</w:t>
      </w:r>
    </w:p>
  </w:footnote>
  <w:footnote w:id="39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Lüthi, </w:t>
      </w:r>
      <w:r w:rsidRPr="005D56D3">
        <w:rPr>
          <w:i/>
          <w:sz w:val="22"/>
          <w:szCs w:val="22"/>
        </w:rPr>
        <w:t>The Church to Come</w:t>
      </w:r>
      <w:r w:rsidRPr="005D56D3">
        <w:rPr>
          <w:sz w:val="22"/>
          <w:szCs w:val="22"/>
        </w:rPr>
        <w:t>, 111.</w:t>
      </w:r>
    </w:p>
  </w:footnote>
  <w:footnote w:id="39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Wright, </w:t>
      </w:r>
      <w:r w:rsidRPr="005D56D3">
        <w:rPr>
          <w:i/>
          <w:sz w:val="22"/>
          <w:szCs w:val="22"/>
        </w:rPr>
        <w:t>Hearing the Message of Daniel</w:t>
      </w:r>
      <w:r w:rsidRPr="005D56D3">
        <w:rPr>
          <w:sz w:val="22"/>
          <w:szCs w:val="22"/>
        </w:rPr>
        <w:t>, 172, 177.</w:t>
      </w:r>
    </w:p>
  </w:footnote>
  <w:footnote w:id="40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Lacocque, </w:t>
      </w:r>
      <w:r w:rsidRPr="005D56D3">
        <w:rPr>
          <w:i/>
          <w:sz w:val="22"/>
          <w:szCs w:val="22"/>
        </w:rPr>
        <w:t>Daniel</w:t>
      </w:r>
      <w:r w:rsidRPr="005D56D3">
        <w:rPr>
          <w:sz w:val="22"/>
          <w:szCs w:val="22"/>
        </w:rPr>
        <w:t>, on the passage.</w:t>
      </w:r>
    </w:p>
  </w:footnote>
  <w:footnote w:id="40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Reid, </w:t>
      </w:r>
      <w:r w:rsidRPr="005D56D3">
        <w:rPr>
          <w:i/>
          <w:sz w:val="22"/>
          <w:szCs w:val="22"/>
        </w:rPr>
        <w:t>Sociological Setting of the Historical Apocalypses of 1 Enoch and the Book of Daniel</w:t>
      </w:r>
      <w:r w:rsidRPr="005D56D3">
        <w:rPr>
          <w:sz w:val="22"/>
          <w:szCs w:val="22"/>
        </w:rPr>
        <w:t xml:space="preserve">, 184, 188; </w:t>
      </w:r>
      <w:r w:rsidRPr="005D56D3">
        <w:rPr>
          <w:i/>
          <w:sz w:val="22"/>
          <w:szCs w:val="22"/>
        </w:rPr>
        <w:t>Enoch and Daniel</w:t>
      </w:r>
      <w:r w:rsidRPr="005D56D3">
        <w:rPr>
          <w:sz w:val="22"/>
          <w:szCs w:val="22"/>
        </w:rPr>
        <w:t>, 102, 104.</w:t>
      </w:r>
    </w:p>
  </w:footnote>
  <w:footnote w:id="40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Newsom, </w:t>
      </w:r>
      <w:r w:rsidRPr="005D56D3">
        <w:rPr>
          <w:i/>
          <w:sz w:val="22"/>
          <w:szCs w:val="22"/>
        </w:rPr>
        <w:t>Daniel</w:t>
      </w:r>
      <w:r w:rsidRPr="005D56D3">
        <w:rPr>
          <w:sz w:val="22"/>
          <w:szCs w:val="22"/>
        </w:rPr>
        <w:t>, 257.</w:t>
      </w:r>
    </w:p>
  </w:footnote>
  <w:footnote w:id="40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Lüthi, </w:t>
      </w:r>
      <w:r w:rsidRPr="005D56D3">
        <w:rPr>
          <w:i/>
          <w:sz w:val="22"/>
          <w:szCs w:val="22"/>
        </w:rPr>
        <w:t>The Church to Come</w:t>
      </w:r>
      <w:r w:rsidRPr="005D56D3">
        <w:rPr>
          <w:sz w:val="22"/>
          <w:szCs w:val="22"/>
        </w:rPr>
        <w:t>, 117.</w:t>
      </w:r>
    </w:p>
  </w:footnote>
  <w:footnote w:id="40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Hebbard, </w:t>
      </w:r>
      <w:r w:rsidRPr="005D56D3">
        <w:rPr>
          <w:i/>
          <w:sz w:val="22"/>
          <w:szCs w:val="22"/>
        </w:rPr>
        <w:t>Reading Daniel</w:t>
      </w:r>
      <w:r w:rsidRPr="005D56D3">
        <w:rPr>
          <w:sz w:val="22"/>
          <w:szCs w:val="22"/>
        </w:rPr>
        <w:t>, 184, 185.</w:t>
      </w:r>
    </w:p>
  </w:footnote>
  <w:footnote w:id="40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w:t>
      </w:r>
      <w:r w:rsidRPr="005D56D3">
        <w:rPr>
          <w:i/>
          <w:sz w:val="22"/>
          <w:szCs w:val="22"/>
        </w:rPr>
        <w:t>ANET</w:t>
      </w:r>
      <w:r w:rsidRPr="005D56D3">
        <w:rPr>
          <w:sz w:val="22"/>
          <w:szCs w:val="22"/>
        </w:rPr>
        <w:t>, 606.</w:t>
      </w:r>
    </w:p>
  </w:footnote>
  <w:footnote w:id="40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Collis, </w:t>
      </w:r>
      <w:r w:rsidRPr="005D56D3">
        <w:rPr>
          <w:i/>
          <w:sz w:val="22"/>
          <w:szCs w:val="22"/>
        </w:rPr>
        <w:t>Daniel</w:t>
      </w:r>
      <w:r w:rsidRPr="005D56D3">
        <w:rPr>
          <w:sz w:val="22"/>
          <w:szCs w:val="22"/>
        </w:rPr>
        <w:t>, 359.</w:t>
      </w:r>
    </w:p>
  </w:footnote>
  <w:footnote w:id="40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Venter, </w:t>
      </w:r>
      <w:r w:rsidRPr="005D56D3">
        <w:rPr>
          <w:bCs/>
          <w:sz w:val="22"/>
          <w:szCs w:val="22"/>
        </w:rPr>
        <w:t>“Intertekstualíteít, kontekstualiteit en Daníël 9”; Van Deventer</w:t>
      </w:r>
      <w:r w:rsidRPr="005D56D3">
        <w:rPr>
          <w:b/>
          <w:bCs/>
          <w:sz w:val="22"/>
          <w:szCs w:val="22"/>
        </w:rPr>
        <w:t xml:space="preserve"> (</w:t>
      </w:r>
      <w:r w:rsidRPr="005D56D3">
        <w:rPr>
          <w:bCs/>
          <w:sz w:val="22"/>
          <w:szCs w:val="22"/>
        </w:rPr>
        <w:t>“Suffering, Psalms and Allusion in Daniel 9”) adds the Psalms to the prayer’s intertextual links; Haydon (</w:t>
      </w:r>
      <w:r w:rsidRPr="005D56D3">
        <w:rPr>
          <w:bCs/>
          <w:iCs/>
          <w:sz w:val="22"/>
          <w:szCs w:val="22"/>
        </w:rPr>
        <w:t>“‘The Law and the Prophets</w:t>
      </w:r>
      <w:r w:rsidRPr="005D56D3">
        <w:rPr>
          <w:bCs/>
          <w:sz w:val="22"/>
          <w:szCs w:val="22"/>
        </w:rPr>
        <w:t xml:space="preserve">’ </w:t>
      </w:r>
      <w:r w:rsidRPr="005D56D3">
        <w:rPr>
          <w:bCs/>
          <w:iCs/>
          <w:sz w:val="22"/>
          <w:szCs w:val="22"/>
        </w:rPr>
        <w:t>in MT Daniel 9:3-19”) sees the Torah and the Prophets as ptoviding the prayer with its “theological grammar.”</w:t>
      </w:r>
    </w:p>
  </w:footnote>
  <w:footnote w:id="40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Lipiński, “Recherches sur le Livre de Zacharie,” 35–42.</w:t>
      </w:r>
    </w:p>
  </w:footnote>
  <w:footnote w:id="40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Moore, </w:t>
      </w:r>
      <w:r w:rsidRPr="005D56D3">
        <w:rPr>
          <w:i/>
          <w:sz w:val="22"/>
          <w:szCs w:val="22"/>
        </w:rPr>
        <w:t>Daniel, Esther, and Jeremiah: The Additions</w:t>
      </w:r>
      <w:r w:rsidRPr="005D56D3">
        <w:rPr>
          <w:sz w:val="22"/>
          <w:szCs w:val="22"/>
        </w:rPr>
        <w:t>, 334–35.</w:t>
      </w:r>
    </w:p>
  </w:footnote>
  <w:footnote w:id="41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Bullinger, </w:t>
      </w:r>
      <w:r w:rsidRPr="005D56D3">
        <w:rPr>
          <w:i/>
          <w:sz w:val="22"/>
          <w:szCs w:val="22"/>
        </w:rPr>
        <w:t>Number in Scripture</w:t>
      </w:r>
      <w:r w:rsidRPr="005D56D3">
        <w:rPr>
          <w:sz w:val="22"/>
          <w:szCs w:val="22"/>
        </w:rPr>
        <w:t>, 5–6.</w:t>
      </w:r>
    </w:p>
  </w:footnote>
  <w:footnote w:id="41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Cornill, “Die siebzig Jahrwochen Daniels,” 7–9, 14–18; Milik, </w:t>
      </w:r>
      <w:r w:rsidRPr="005D56D3">
        <w:rPr>
          <w:i/>
          <w:sz w:val="22"/>
          <w:szCs w:val="22"/>
        </w:rPr>
        <w:t>The Books of Enoch</w:t>
      </w:r>
      <w:r w:rsidRPr="005D56D3">
        <w:rPr>
          <w:sz w:val="22"/>
          <w:szCs w:val="22"/>
        </w:rPr>
        <w:t>, 248–59; Koch, “Die mysteriösen Zahlen der judäischen Känige”; Thiering, “The Three and a Half Years of Elijah,” 43–45; Fitzmyer, “Further Light on Melchizedek”; Dimant</w:t>
      </w:r>
      <w:r w:rsidRPr="005D56D3">
        <w:rPr>
          <w:b/>
          <w:sz w:val="22"/>
          <w:szCs w:val="22"/>
        </w:rPr>
        <w:t xml:space="preserve">, </w:t>
      </w:r>
      <w:r w:rsidRPr="005D56D3">
        <w:rPr>
          <w:sz w:val="22"/>
          <w:szCs w:val="22"/>
        </w:rPr>
        <w:t>“The Seventy Weeks Chronology (Dan 9,24-27) in the Light of New Qumranic Texts.”</w:t>
      </w:r>
    </w:p>
  </w:footnote>
  <w:footnote w:id="41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e.g., Beckwith, </w:t>
      </w:r>
      <w:r w:rsidRPr="005D56D3">
        <w:rPr>
          <w:bCs/>
          <w:sz w:val="22"/>
          <w:szCs w:val="22"/>
        </w:rPr>
        <w:t>“The Significance of the Calendar for Interpreting Essene Chronology and Eschatology,”</w:t>
      </w:r>
      <w:r w:rsidRPr="005D56D3">
        <w:rPr>
          <w:sz w:val="22"/>
          <w:szCs w:val="22"/>
        </w:rPr>
        <w:t xml:space="preserve"> 168–71.</w:t>
      </w:r>
    </w:p>
  </w:footnote>
  <w:footnote w:id="41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Park thus speaks only of “Overtones of the Jubilee in the Seventy Weeks of Daniel 9:24-27.” CBut see further (e.g.) Lacocque, </w:t>
      </w:r>
      <w:r w:rsidRPr="005D56D3">
        <w:rPr>
          <w:i/>
          <w:sz w:val="22"/>
          <w:szCs w:val="22"/>
        </w:rPr>
        <w:t>Daniel</w:t>
      </w:r>
      <w:r w:rsidRPr="005D56D3">
        <w:rPr>
          <w:sz w:val="22"/>
          <w:szCs w:val="22"/>
        </w:rPr>
        <w:t>, on the passage</w:t>
      </w:r>
      <w:r w:rsidRPr="005D56D3">
        <w:rPr>
          <w:i/>
          <w:sz w:val="22"/>
          <w:szCs w:val="22"/>
        </w:rPr>
        <w:t xml:space="preserve"> </w:t>
      </w:r>
      <w:r w:rsidRPr="005D56D3">
        <w:rPr>
          <w:sz w:val="22"/>
          <w:szCs w:val="22"/>
        </w:rPr>
        <w:t xml:space="preserve">; Buchanan, </w:t>
      </w:r>
      <w:r w:rsidRPr="005D56D3">
        <w:rPr>
          <w:i/>
          <w:sz w:val="22"/>
          <w:szCs w:val="22"/>
        </w:rPr>
        <w:t>Hebrews</w:t>
      </w:r>
      <w:r w:rsidRPr="005D56D3">
        <w:rPr>
          <w:sz w:val="22"/>
          <w:szCs w:val="22"/>
        </w:rPr>
        <w:t xml:space="preserve">, 42–43; Ulrich, </w:t>
      </w:r>
      <w:r w:rsidRPr="005D56D3">
        <w:rPr>
          <w:rFonts w:eastAsia="Times-Roman" w:cs="Times-Roman"/>
          <w:i/>
          <w:sz w:val="22"/>
          <w:szCs w:val="22"/>
        </w:rPr>
        <w:t>The Antiochene Crisis and Jubilee Theology in Daniel’s Seventy Sevens</w:t>
      </w:r>
      <w:r w:rsidRPr="005D56D3">
        <w:rPr>
          <w:b/>
          <w:sz w:val="22"/>
          <w:szCs w:val="22"/>
        </w:rPr>
        <w:t xml:space="preserve">; </w:t>
      </w:r>
      <w:r w:rsidRPr="005D56D3">
        <w:rPr>
          <w:sz w:val="22"/>
          <w:szCs w:val="22"/>
        </w:rPr>
        <w:t xml:space="preserve">———. </w:t>
      </w:r>
      <w:r w:rsidRPr="005D56D3">
        <w:rPr>
          <w:bCs/>
          <w:i/>
          <w:sz w:val="22"/>
          <w:szCs w:val="22"/>
        </w:rPr>
        <w:t>From Judgment to Jubilee</w:t>
      </w:r>
      <w:r w:rsidRPr="005D56D3">
        <w:rPr>
          <w:bCs/>
          <w:sz w:val="22"/>
          <w:szCs w:val="22"/>
        </w:rPr>
        <w:t>; Berner</w:t>
      </w:r>
      <w:r w:rsidRPr="005D56D3">
        <w:rPr>
          <w:b/>
          <w:bCs/>
          <w:sz w:val="22"/>
          <w:szCs w:val="22"/>
        </w:rPr>
        <w:t xml:space="preserve">, </w:t>
      </w:r>
      <w:r w:rsidRPr="005D56D3">
        <w:rPr>
          <w:bCs/>
          <w:i/>
          <w:sz w:val="22"/>
          <w:szCs w:val="22"/>
        </w:rPr>
        <w:t>Jahre, Jahrwochen und Jubiläen</w:t>
      </w:r>
      <w:r w:rsidRPr="005D56D3">
        <w:rPr>
          <w:bCs/>
          <w:sz w:val="22"/>
          <w:szCs w:val="22"/>
        </w:rPr>
        <w:t>; Redditt</w:t>
      </w:r>
      <w:r w:rsidRPr="005D56D3">
        <w:rPr>
          <w:b/>
          <w:bCs/>
          <w:sz w:val="22"/>
          <w:szCs w:val="22"/>
        </w:rPr>
        <w:t xml:space="preserve">, </w:t>
      </w:r>
      <w:r w:rsidRPr="005D56D3">
        <w:rPr>
          <w:bCs/>
          <w:sz w:val="22"/>
          <w:szCs w:val="22"/>
        </w:rPr>
        <w:t>“Daniel 9”; Henze</w:t>
      </w:r>
      <w:r w:rsidRPr="005D56D3">
        <w:rPr>
          <w:b/>
          <w:bCs/>
          <w:sz w:val="22"/>
          <w:szCs w:val="22"/>
        </w:rPr>
        <w:t xml:space="preserve">, </w:t>
      </w:r>
      <w:r w:rsidRPr="005D56D3">
        <w:rPr>
          <w:bCs/>
          <w:sz w:val="22"/>
          <w:szCs w:val="22"/>
        </w:rPr>
        <w:t>“Daniel and Jubilees.”</w:t>
      </w:r>
    </w:p>
  </w:footnote>
  <w:footnote w:id="41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Doukhan, “The Seventy Weeks of Daniel 9,” 16.</w:t>
      </w:r>
    </w:p>
  </w:footnote>
  <w:footnote w:id="41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Lester, </w:t>
      </w:r>
      <w:r w:rsidRPr="005D56D3">
        <w:rPr>
          <w:i/>
          <w:sz w:val="22"/>
          <w:szCs w:val="22"/>
        </w:rPr>
        <w:t>Daniel Evokes Isaiah</w:t>
      </w:r>
      <w:r w:rsidRPr="005D56D3">
        <w:rPr>
          <w:sz w:val="22"/>
          <w:szCs w:val="22"/>
        </w:rPr>
        <w:t>, 142-45.</w:t>
      </w:r>
    </w:p>
  </w:footnote>
  <w:footnote w:id="41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Kilne, “The Covenant of the Seventieth Week,” 466–67.</w:t>
      </w:r>
    </w:p>
  </w:footnote>
  <w:footnote w:id="41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Brownlee“The Servant of the Lord in the Qumran Scrolls,” 13–14.</w:t>
      </w:r>
    </w:p>
  </w:footnote>
  <w:footnote w:id="41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Harvey, </w:t>
      </w:r>
      <w:r w:rsidRPr="005D56D3">
        <w:rPr>
          <w:i/>
          <w:sz w:val="22"/>
          <w:szCs w:val="22"/>
        </w:rPr>
        <w:t>Le plaidoyer prophétique contre Israël</w:t>
      </w:r>
      <w:r w:rsidRPr="005D56D3">
        <w:rPr>
          <w:sz w:val="22"/>
          <w:szCs w:val="22"/>
        </w:rPr>
        <w:t xml:space="preserve">; earlier Gunkel, </w:t>
      </w:r>
      <w:r w:rsidRPr="005D56D3">
        <w:rPr>
          <w:i/>
          <w:sz w:val="22"/>
          <w:szCs w:val="22"/>
        </w:rPr>
        <w:t>Einleitung in die Psalmen</w:t>
      </w:r>
      <w:r w:rsidRPr="005D56D3">
        <w:rPr>
          <w:sz w:val="22"/>
          <w:szCs w:val="22"/>
        </w:rPr>
        <w:t>, 117–39 (ET 82-98).</w:t>
      </w:r>
    </w:p>
  </w:footnote>
  <w:footnote w:id="41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Williamson, Ezra, Nehemiah, on the prayers in Ezra and Nehemiah;</w:t>
      </w:r>
      <w:r w:rsidRPr="005D56D3">
        <w:rPr>
          <w:b/>
          <w:sz w:val="22"/>
          <w:szCs w:val="22"/>
        </w:rPr>
        <w:t xml:space="preserve"> </w:t>
      </w:r>
      <w:r w:rsidRPr="005D56D3">
        <w:rPr>
          <w:sz w:val="22"/>
          <w:szCs w:val="22"/>
        </w:rPr>
        <w:t>Boda</w:t>
      </w:r>
      <w:r w:rsidRPr="005D56D3">
        <w:rPr>
          <w:b/>
          <w:sz w:val="22"/>
          <w:szCs w:val="22"/>
        </w:rPr>
        <w:t xml:space="preserve">, </w:t>
      </w:r>
      <w:r w:rsidRPr="005D56D3">
        <w:rPr>
          <w:i/>
          <w:sz w:val="22"/>
          <w:szCs w:val="22"/>
        </w:rPr>
        <w:t>Praying the Tradition</w:t>
      </w:r>
      <w:r w:rsidRPr="005D56D3">
        <w:rPr>
          <w:sz w:val="22"/>
          <w:szCs w:val="22"/>
        </w:rPr>
        <w:t>, 26-32.</w:t>
      </w:r>
    </w:p>
  </w:footnote>
  <w:footnote w:id="42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von Rad, “Gerichtsdoxologie.”</w:t>
      </w:r>
    </w:p>
  </w:footnote>
  <w:footnote w:id="42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Hoftijzer, “David and the Tekoite Woman,” 425–27.</w:t>
      </w:r>
    </w:p>
  </w:footnote>
  <w:footnote w:id="42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Laurentin, “</w:t>
      </w:r>
      <w:r w:rsidRPr="005D56D3">
        <w:rPr>
          <w:i/>
          <w:sz w:val="22"/>
          <w:szCs w:val="22"/>
        </w:rPr>
        <w:t>We‘attah-Kai nun</w:t>
      </w:r>
      <w:r w:rsidRPr="005D56D3">
        <w:rPr>
          <w:sz w:val="22"/>
          <w:szCs w:val="22"/>
        </w:rPr>
        <w:t>,” 190–97.</w:t>
      </w:r>
    </w:p>
  </w:footnote>
  <w:footnote w:id="42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Gilbert, “La prière de Daniel,” 303–4.</w:t>
      </w:r>
    </w:p>
  </w:footnote>
  <w:footnote w:id="42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Harvey, </w:t>
      </w:r>
      <w:r w:rsidRPr="005D56D3">
        <w:rPr>
          <w:i/>
          <w:sz w:val="22"/>
          <w:szCs w:val="22"/>
        </w:rPr>
        <w:t>Le plaidoyer prophétique contre Israël</w:t>
      </w:r>
      <w:r w:rsidRPr="005D56D3">
        <w:rPr>
          <w:sz w:val="22"/>
          <w:szCs w:val="22"/>
        </w:rPr>
        <w:t xml:space="preserve">; Buis, “Notification de jugement et confession nationale”; Kline, “The Covenant of the Seventieth Week,” 454–58; Baltzer, </w:t>
      </w:r>
      <w:r w:rsidRPr="005D56D3">
        <w:rPr>
          <w:i/>
          <w:sz w:val="22"/>
          <w:szCs w:val="22"/>
        </w:rPr>
        <w:t>Das Bundesformular</w:t>
      </w:r>
      <w:r w:rsidRPr="005D56D3">
        <w:rPr>
          <w:sz w:val="22"/>
          <w:szCs w:val="22"/>
        </w:rPr>
        <w:t>.</w:t>
      </w:r>
    </w:p>
  </w:footnote>
  <w:footnote w:id="42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Lacocque, “The Liturgical Prayer in Daniel 9,” 122–24; Fishbane, </w:t>
      </w:r>
      <w:r w:rsidRPr="005D56D3">
        <w:rPr>
          <w:i/>
          <w:sz w:val="22"/>
          <w:szCs w:val="22"/>
        </w:rPr>
        <w:t>Biblical Interpretation in Ancient Israel</w:t>
      </w:r>
      <w:r w:rsidRPr="005D56D3">
        <w:rPr>
          <w:sz w:val="22"/>
          <w:szCs w:val="22"/>
        </w:rPr>
        <w:t>, 488–89; against Towner, “Retributional Theology”; but Towner is right that there is a conventional element in the confession—Dan 9 is not simply a transition to “retribution theology” (Van Deventer, “The End of the End,” thinks rather in terms of the prayer being an addition to reassert Deuteronomic theology).</w:t>
      </w:r>
    </w:p>
  </w:footnote>
  <w:footnote w:id="42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Lists in Szörényi, </w:t>
      </w:r>
      <w:r w:rsidRPr="005D56D3">
        <w:rPr>
          <w:i/>
          <w:sz w:val="22"/>
          <w:szCs w:val="22"/>
        </w:rPr>
        <w:t>Psalmen und Kult im AT</w:t>
      </w:r>
      <w:r w:rsidRPr="005D56D3">
        <w:rPr>
          <w:sz w:val="22"/>
          <w:szCs w:val="22"/>
        </w:rPr>
        <w:t xml:space="preserve">, 105–9; also Montgomery, </w:t>
      </w:r>
      <w:r w:rsidRPr="005D56D3">
        <w:rPr>
          <w:i/>
          <w:sz w:val="22"/>
          <w:szCs w:val="22"/>
        </w:rPr>
        <w:t>Daniel</w:t>
      </w:r>
      <w:r w:rsidRPr="005D56D3">
        <w:rPr>
          <w:sz w:val="22"/>
          <w:szCs w:val="22"/>
        </w:rPr>
        <w:t xml:space="preserve">, and Lacocque, </w:t>
      </w:r>
      <w:r w:rsidRPr="005D56D3">
        <w:rPr>
          <w:i/>
          <w:sz w:val="22"/>
          <w:szCs w:val="22"/>
        </w:rPr>
        <w:t>Daniel</w:t>
      </w:r>
      <w:r w:rsidRPr="005D56D3">
        <w:rPr>
          <w:sz w:val="22"/>
          <w:szCs w:val="22"/>
        </w:rPr>
        <w:t>, on the chapter.</w:t>
      </w:r>
    </w:p>
  </w:footnote>
  <w:footnote w:id="42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Discussion in Moore, “Toward the Dating of the Book of Baruch.”</w:t>
      </w:r>
    </w:p>
  </w:footnote>
  <w:footnote w:id="42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Westermann, “Struktur und Geschichte der Klage im Alten Testament,” 48–49, 74–75 (ET 171–72, 206).</w:t>
      </w:r>
    </w:p>
  </w:footnote>
  <w:footnote w:id="42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further Flesher, “Tricksters and Martyrs.” </w:t>
      </w:r>
    </w:p>
  </w:footnote>
  <w:footnote w:id="43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Venter</w:t>
      </w:r>
      <w:r w:rsidRPr="005D56D3">
        <w:rPr>
          <w:b/>
          <w:sz w:val="22"/>
          <w:szCs w:val="22"/>
        </w:rPr>
        <w:t xml:space="preserve">, </w:t>
      </w:r>
      <w:r w:rsidRPr="005D56D3">
        <w:rPr>
          <w:sz w:val="22"/>
          <w:szCs w:val="22"/>
        </w:rPr>
        <w:t xml:space="preserve"> “Constitualised Space in Daniel 9.” </w:t>
      </w:r>
    </w:p>
  </w:footnote>
  <w:footnote w:id="43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Jones, “The Prayer in Daniel ix,” 491; Doukhan, “The Seventy Weeks of Daniel 9,” 8–9.</w:t>
      </w:r>
    </w:p>
  </w:footnote>
  <w:footnote w:id="43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Segert (“Poetic Structures in the Hebrew Sections of the Book of Daniel,” 267-69) has a slightly different poetic analysis and some comments on poetic features.</w:t>
      </w:r>
    </w:p>
  </w:footnote>
  <w:footnote w:id="43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Delcor, </w:t>
      </w:r>
      <w:r w:rsidRPr="005D56D3">
        <w:rPr>
          <w:i/>
          <w:sz w:val="22"/>
          <w:szCs w:val="22"/>
        </w:rPr>
        <w:t>Daniel</w:t>
      </w:r>
      <w:r w:rsidRPr="005D56D3">
        <w:rPr>
          <w:sz w:val="22"/>
          <w:szCs w:val="22"/>
        </w:rPr>
        <w:t>, on the passage. But Grabbe (“‘The End of the Desolations of Jerusalem’”) infers from its allusiveness that it is an older prophecy which the author of Daniel has taken over.</w:t>
      </w:r>
    </w:p>
  </w:footnote>
  <w:footnote w:id="43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Wilke (</w:t>
      </w:r>
      <w:r w:rsidRPr="005D56D3">
        <w:rPr>
          <w:i/>
          <w:sz w:val="22"/>
          <w:szCs w:val="22"/>
        </w:rPr>
        <w:t xml:space="preserve">Die Gebete der Propheten, </w:t>
      </w:r>
      <w:r w:rsidRPr="005D56D3">
        <w:rPr>
          <w:sz w:val="22"/>
          <w:szCs w:val="22"/>
        </w:rPr>
        <w:t>67-91) adds that vv 5-14 and 15-19 look like originally separate units.</w:t>
      </w:r>
    </w:p>
  </w:footnote>
  <w:footnote w:id="43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Rigger (</w:t>
      </w:r>
      <w:r w:rsidRPr="005D56D3">
        <w:rPr>
          <w:i/>
          <w:sz w:val="22"/>
          <w:szCs w:val="22"/>
        </w:rPr>
        <w:t>Siebzig Siebener</w:t>
      </w:r>
      <w:r w:rsidRPr="005D56D3">
        <w:rPr>
          <w:sz w:val="22"/>
          <w:szCs w:val="22"/>
        </w:rPr>
        <w:t>) suggests that the chapter developed in four stages between 180 and the 160s as the Antiochene crisis deepened.</w:t>
      </w:r>
    </w:p>
  </w:footnote>
  <w:footnote w:id="43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Bayer, </w:t>
      </w:r>
      <w:r w:rsidRPr="005D56D3">
        <w:rPr>
          <w:i/>
          <w:sz w:val="22"/>
          <w:szCs w:val="22"/>
        </w:rPr>
        <w:t>Danielstudien</w:t>
      </w:r>
      <w:r w:rsidRPr="005D56D3">
        <w:rPr>
          <w:sz w:val="22"/>
          <w:szCs w:val="22"/>
        </w:rPr>
        <w:t>, 49</w:t>
      </w:r>
    </w:p>
  </w:footnote>
  <w:footnote w:id="43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Against Lipiński, La liturgie pénitentielle, 83–106.</w:t>
      </w:r>
    </w:p>
  </w:footnote>
  <w:footnote w:id="43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And from a narrative-critical angle, see De Long,</w:t>
      </w:r>
      <w:r w:rsidRPr="005D56D3">
        <w:rPr>
          <w:b/>
          <w:sz w:val="22"/>
          <w:szCs w:val="22"/>
        </w:rPr>
        <w:t xml:space="preserve"> </w:t>
      </w:r>
      <w:r w:rsidRPr="005D56D3">
        <w:rPr>
          <w:sz w:val="22"/>
          <w:szCs w:val="22"/>
        </w:rPr>
        <w:t>“Daniel and the Narrative Integrity of His Prayer in Daniel 9.”</w:t>
      </w:r>
    </w:p>
  </w:footnote>
  <w:footnote w:id="43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Lacocque, </w:t>
      </w:r>
      <w:r w:rsidRPr="005D56D3">
        <w:rPr>
          <w:i/>
          <w:sz w:val="22"/>
          <w:szCs w:val="22"/>
        </w:rPr>
        <w:t>Daniel</w:t>
      </w:r>
      <w:r w:rsidRPr="005D56D3">
        <w:rPr>
          <w:sz w:val="22"/>
          <w:szCs w:val="22"/>
        </w:rPr>
        <w:t>, on the passage. Laato</w:t>
      </w:r>
      <w:r w:rsidRPr="005D56D3">
        <w:rPr>
          <w:b/>
          <w:sz w:val="22"/>
          <w:szCs w:val="22"/>
        </w:rPr>
        <w:t xml:space="preserve">, </w:t>
      </w:r>
      <w:r w:rsidRPr="005D56D3">
        <w:rPr>
          <w:sz w:val="22"/>
          <w:szCs w:val="22"/>
        </w:rPr>
        <w:t>“The Seventy Yearweeks in the Book of Daniel,” sees vv 24-27 as a pre-Maccabean message which has been updated in the 160s.</w:t>
      </w:r>
    </w:p>
  </w:footnote>
  <w:footnote w:id="44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Knibb, “Exile in the Literature of the Intertestamental Period”; Gowan, “The Exile in Jewish Apocalyptic.”</w:t>
      </w:r>
    </w:p>
  </w:footnote>
  <w:footnote w:id="44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Heaton, </w:t>
      </w:r>
      <w:r w:rsidRPr="005D56D3">
        <w:rPr>
          <w:i/>
          <w:sz w:val="22"/>
          <w:szCs w:val="22"/>
        </w:rPr>
        <w:t>Daniel</w:t>
      </w:r>
      <w:r w:rsidRPr="005D56D3">
        <w:rPr>
          <w:sz w:val="22"/>
          <w:szCs w:val="22"/>
        </w:rPr>
        <w:t>, on the passage.</w:t>
      </w:r>
    </w:p>
  </w:footnote>
  <w:footnote w:id="44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Collins, </w:t>
      </w:r>
      <w:r w:rsidRPr="005D56D3">
        <w:rPr>
          <w:i/>
          <w:sz w:val="22"/>
          <w:szCs w:val="22"/>
        </w:rPr>
        <w:t>Daniel with an Introduction to Apocalyptic Literature</w:t>
      </w:r>
      <w:r w:rsidRPr="005D56D3">
        <w:rPr>
          <w:sz w:val="22"/>
          <w:szCs w:val="22"/>
        </w:rPr>
        <w:t>, 92-93.</w:t>
      </w:r>
    </w:p>
  </w:footnote>
  <w:footnote w:id="44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Gilbert, “La prière de Daniel,” 288.</w:t>
      </w:r>
    </w:p>
  </w:footnote>
  <w:footnote w:id="44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Doukhan, “The Seventy Weeks of Daniel 9,” 4–6. Nel (“</w:t>
      </w:r>
      <w:r w:rsidRPr="005D56D3">
        <w:rPr>
          <w:bCs/>
          <w:sz w:val="22"/>
          <w:szCs w:val="22"/>
        </w:rPr>
        <w:t>Daniel 9 as Part of an Apocalyptic Book?”) notes its close connection with chaps. 7—12 more generally.</w:t>
      </w:r>
    </w:p>
  </w:footnote>
  <w:footnote w:id="44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Koch, “Spätisraelitische Geschichtsdenken am Beispiel des Buches Daniel,” 20–21.</w:t>
      </w:r>
    </w:p>
  </w:footnote>
  <w:footnote w:id="44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Hanhart, “Kriterien Geschichtlicher Wahrheit in der Makkabäerzeit,” 82.</w:t>
      </w:r>
    </w:p>
  </w:footnote>
  <w:footnote w:id="44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Gowan, “The Exile in Jewish Apocalyptic,” 214; cf. Janssen, </w:t>
      </w:r>
      <w:r w:rsidRPr="005D56D3">
        <w:rPr>
          <w:i/>
          <w:sz w:val="22"/>
          <w:szCs w:val="22"/>
        </w:rPr>
        <w:t>Das Gottesvolk und seine Geschichte</w:t>
      </w:r>
      <w:r w:rsidRPr="005D56D3">
        <w:rPr>
          <w:sz w:val="22"/>
          <w:szCs w:val="22"/>
        </w:rPr>
        <w:t>, 51–52.</w:t>
      </w:r>
    </w:p>
  </w:footnote>
  <w:footnote w:id="44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Werline, “Prayer, Politics, and Social Vision in Daniel 9,” 23, 25.</w:t>
      </w:r>
    </w:p>
  </w:footnote>
  <w:footnote w:id="44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Bickerman, </w:t>
      </w:r>
      <w:r w:rsidRPr="005D56D3">
        <w:rPr>
          <w:i/>
          <w:sz w:val="22"/>
          <w:szCs w:val="22"/>
        </w:rPr>
        <w:t>Der Gott der Makkabäer</w:t>
      </w:r>
      <w:r w:rsidRPr="005D56D3">
        <w:rPr>
          <w:sz w:val="22"/>
          <w:szCs w:val="22"/>
        </w:rPr>
        <w:t xml:space="preserve"> 26 (ET 16). Van Deventer (“Suffering, Psalms and Allusion in Daniel 9,” 213) calls it the “focal point.”</w:t>
      </w:r>
    </w:p>
  </w:footnote>
  <w:footnote w:id="45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Jerome, </w:t>
      </w:r>
      <w:r w:rsidRPr="005D56D3">
        <w:rPr>
          <w:i/>
          <w:sz w:val="22"/>
          <w:szCs w:val="22"/>
        </w:rPr>
        <w:t>Daniel</w:t>
      </w:r>
      <w:r w:rsidRPr="005D56D3">
        <w:rPr>
          <w:sz w:val="22"/>
          <w:szCs w:val="22"/>
        </w:rPr>
        <w:t xml:space="preserve">, 90. </w:t>
      </w:r>
      <w:r w:rsidRPr="005D56D3">
        <w:rPr>
          <w:iCs/>
          <w:sz w:val="22"/>
          <w:szCs w:val="22"/>
        </w:rPr>
        <w:t>Dequeker</w:t>
      </w:r>
      <w:r w:rsidRPr="005D56D3">
        <w:rPr>
          <w:sz w:val="22"/>
          <w:szCs w:val="22"/>
        </w:rPr>
        <w:t xml:space="preserve"> (“Darius and the Prophecy of Seventy Weeks”) takes the original reference to have been Darius II.</w:t>
      </w:r>
    </w:p>
  </w:footnote>
  <w:footnote w:id="45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Frye, </w:t>
      </w:r>
      <w:r w:rsidRPr="005D56D3">
        <w:rPr>
          <w:i/>
          <w:sz w:val="22"/>
          <w:szCs w:val="22"/>
        </w:rPr>
        <w:t>Heritage of Persia</w:t>
      </w:r>
      <w:r w:rsidRPr="005D56D3">
        <w:rPr>
          <w:sz w:val="22"/>
          <w:szCs w:val="22"/>
        </w:rPr>
        <w:t xml:space="preserve">, 97. </w:t>
      </w:r>
    </w:p>
  </w:footnote>
  <w:footnote w:id="45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Lucas’s discussion, </w:t>
      </w:r>
      <w:r w:rsidRPr="005D56D3">
        <w:rPr>
          <w:i/>
          <w:sz w:val="22"/>
          <w:szCs w:val="22"/>
        </w:rPr>
        <w:t>Daniel</w:t>
      </w:r>
      <w:r w:rsidRPr="005D56D3">
        <w:rPr>
          <w:sz w:val="22"/>
          <w:szCs w:val="22"/>
        </w:rPr>
        <w:t>, 234-35.</w:t>
      </w:r>
    </w:p>
  </w:footnote>
  <w:footnote w:id="45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Frye, </w:t>
      </w:r>
      <w:r w:rsidRPr="005D56D3">
        <w:rPr>
          <w:i/>
          <w:sz w:val="22"/>
          <w:szCs w:val="22"/>
        </w:rPr>
        <w:t>Heritage of Persia</w:t>
      </w:r>
      <w:r w:rsidRPr="005D56D3">
        <w:rPr>
          <w:sz w:val="22"/>
          <w:szCs w:val="22"/>
        </w:rPr>
        <w:t>, 72–73.</w:t>
      </w:r>
    </w:p>
  </w:footnote>
  <w:footnote w:id="45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Auchincloss, “Darius the Median”; Torrey, “‘Medes and Persians,’” 7–8.</w:t>
      </w:r>
    </w:p>
  </w:footnote>
  <w:footnote w:id="45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Luckenbill</w:t>
      </w:r>
      <w:r w:rsidRPr="005D56D3">
        <w:rPr>
          <w:b/>
          <w:sz w:val="22"/>
          <w:szCs w:val="22"/>
        </w:rPr>
        <w:t xml:space="preserve">, </w:t>
      </w:r>
      <w:r w:rsidRPr="005D56D3">
        <w:rPr>
          <w:sz w:val="22"/>
          <w:szCs w:val="22"/>
        </w:rPr>
        <w:t>“The Black Stone of Esarhaddon,” 167.</w:t>
      </w:r>
    </w:p>
  </w:footnote>
  <w:footnote w:id="45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Barton, </w:t>
      </w:r>
      <w:r w:rsidRPr="005D56D3">
        <w:rPr>
          <w:i/>
          <w:sz w:val="22"/>
          <w:szCs w:val="22"/>
        </w:rPr>
        <w:t>Oracles of God</w:t>
      </w:r>
      <w:r w:rsidRPr="005D56D3">
        <w:rPr>
          <w:sz w:val="22"/>
          <w:szCs w:val="22"/>
        </w:rPr>
        <w:t>, 47–48, on the reference to the “Prophets” in the near-contemporary Prologue to Sirach.</w:t>
      </w:r>
    </w:p>
  </w:footnote>
  <w:footnote w:id="45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Tigay, “An Early Technique of Aggadic Exegesis.”</w:t>
      </w:r>
    </w:p>
  </w:footnote>
  <w:footnote w:id="45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Lacocque, </w:t>
      </w:r>
      <w:r w:rsidRPr="005D56D3">
        <w:rPr>
          <w:i/>
          <w:sz w:val="22"/>
          <w:szCs w:val="22"/>
        </w:rPr>
        <w:t>Daniel</w:t>
      </w:r>
      <w:r w:rsidRPr="005D56D3">
        <w:rPr>
          <w:sz w:val="22"/>
          <w:szCs w:val="22"/>
        </w:rPr>
        <w:t>, on the passage.</w:t>
      </w:r>
    </w:p>
  </w:footnote>
  <w:footnote w:id="45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Wright, </w:t>
      </w:r>
      <w:r w:rsidRPr="005D56D3">
        <w:rPr>
          <w:i/>
          <w:sz w:val="22"/>
          <w:szCs w:val="22"/>
        </w:rPr>
        <w:t>Hearing the Message of Daniel</w:t>
      </w:r>
      <w:r w:rsidRPr="005D56D3">
        <w:rPr>
          <w:sz w:val="22"/>
          <w:szCs w:val="22"/>
        </w:rPr>
        <w:t>, 191.</w:t>
      </w:r>
    </w:p>
  </w:footnote>
  <w:footnote w:id="46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Scheetz, </w:t>
      </w:r>
      <w:r w:rsidRPr="005D56D3">
        <w:rPr>
          <w:i/>
          <w:sz w:val="22"/>
          <w:szCs w:val="22"/>
        </w:rPr>
        <w:t>The Concept of Canonical Intertexuality</w:t>
      </w:r>
      <w:r w:rsidRPr="005D56D3">
        <w:rPr>
          <w:sz w:val="22"/>
          <w:szCs w:val="22"/>
        </w:rPr>
        <w:t>, 107-8.</w:t>
      </w:r>
    </w:p>
  </w:footnote>
  <w:footnote w:id="46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Wilson</w:t>
      </w:r>
      <w:r w:rsidRPr="005D56D3">
        <w:rPr>
          <w:b/>
          <w:sz w:val="22"/>
          <w:szCs w:val="22"/>
        </w:rPr>
        <w:t xml:space="preserve">, </w:t>
      </w:r>
      <w:r w:rsidRPr="005D56D3">
        <w:rPr>
          <w:sz w:val="22"/>
          <w:szCs w:val="22"/>
        </w:rPr>
        <w:t>“The Prayer of Daniel 9”; cf. Bergsma</w:t>
      </w:r>
      <w:r w:rsidRPr="005D56D3">
        <w:rPr>
          <w:b/>
          <w:sz w:val="22"/>
          <w:szCs w:val="22"/>
        </w:rPr>
        <w:t xml:space="preserve">, </w:t>
      </w:r>
      <w:r w:rsidRPr="005D56D3">
        <w:rPr>
          <w:sz w:val="22"/>
          <w:szCs w:val="22"/>
        </w:rPr>
        <w:t>“The Persian Period as Penitential Era.”</w:t>
      </w:r>
    </w:p>
  </w:footnote>
  <w:footnote w:id="46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Collins, </w:t>
      </w:r>
      <w:r w:rsidRPr="005D56D3">
        <w:rPr>
          <w:i/>
          <w:sz w:val="22"/>
          <w:szCs w:val="22"/>
        </w:rPr>
        <w:t>Daniel</w:t>
      </w:r>
      <w:r w:rsidRPr="005D56D3">
        <w:rPr>
          <w:sz w:val="22"/>
          <w:szCs w:val="22"/>
        </w:rPr>
        <w:t>, 347.</w:t>
      </w:r>
    </w:p>
  </w:footnote>
  <w:footnote w:id="46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Merrill Willis, </w:t>
      </w:r>
      <w:r w:rsidRPr="005D56D3">
        <w:rPr>
          <w:i/>
          <w:sz w:val="22"/>
          <w:szCs w:val="22"/>
        </w:rPr>
        <w:t>Dissonance and the Drama of Divine Sovereignty in the Book of Daniel</w:t>
      </w:r>
      <w:r w:rsidRPr="005D56D3">
        <w:rPr>
          <w:sz w:val="22"/>
          <w:szCs w:val="22"/>
        </w:rPr>
        <w:t>, 137.</w:t>
      </w:r>
    </w:p>
  </w:footnote>
  <w:footnote w:id="46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Stoebe, “Die Bedeutung des Wortes </w:t>
      </w:r>
      <w:r w:rsidRPr="005D56D3">
        <w:rPr>
          <w:i/>
          <w:sz w:val="22"/>
          <w:szCs w:val="22"/>
        </w:rPr>
        <w:t>ḥäsäd</w:t>
      </w:r>
      <w:r w:rsidRPr="005D56D3">
        <w:rPr>
          <w:sz w:val="22"/>
          <w:szCs w:val="22"/>
        </w:rPr>
        <w:t xml:space="preserve"> im AT,” 254.</w:t>
      </w:r>
    </w:p>
  </w:footnote>
  <w:footnote w:id="46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Against Glueck, </w:t>
      </w:r>
      <w:r w:rsidRPr="005D56D3">
        <w:rPr>
          <w:i/>
          <w:sz w:val="22"/>
          <w:szCs w:val="22"/>
        </w:rPr>
        <w:t>Ḥesed</w:t>
      </w:r>
      <w:r w:rsidRPr="005D56D3">
        <w:rPr>
          <w:sz w:val="22"/>
          <w:szCs w:val="22"/>
        </w:rPr>
        <w:t xml:space="preserve"> </w:t>
      </w:r>
      <w:r w:rsidRPr="005D56D3">
        <w:rPr>
          <w:i/>
          <w:sz w:val="22"/>
          <w:szCs w:val="22"/>
        </w:rPr>
        <w:t>in the Bible</w:t>
      </w:r>
      <w:r w:rsidRPr="005D56D3">
        <w:rPr>
          <w:sz w:val="22"/>
          <w:szCs w:val="22"/>
        </w:rPr>
        <w:t>.</w:t>
      </w:r>
    </w:p>
  </w:footnote>
  <w:footnote w:id="46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Sakenfeld, </w:t>
      </w:r>
      <w:r w:rsidRPr="005D56D3">
        <w:rPr>
          <w:i/>
          <w:sz w:val="22"/>
          <w:szCs w:val="22"/>
        </w:rPr>
        <w:t>The Meaning of</w:t>
      </w:r>
      <w:r w:rsidRPr="005D56D3">
        <w:rPr>
          <w:sz w:val="22"/>
          <w:szCs w:val="22"/>
        </w:rPr>
        <w:t xml:space="preserve"> </w:t>
      </w:r>
      <w:r w:rsidRPr="005D56D3">
        <w:rPr>
          <w:i/>
          <w:sz w:val="22"/>
          <w:szCs w:val="22"/>
        </w:rPr>
        <w:t>Ḥesed</w:t>
      </w:r>
      <w:r w:rsidRPr="005D56D3">
        <w:rPr>
          <w:sz w:val="22"/>
          <w:szCs w:val="22"/>
        </w:rPr>
        <w:t xml:space="preserve"> </w:t>
      </w:r>
      <w:r w:rsidRPr="005D56D3">
        <w:rPr>
          <w:i/>
          <w:sz w:val="22"/>
          <w:szCs w:val="22"/>
        </w:rPr>
        <w:t>in the Hebrew Bible</w:t>
      </w:r>
      <w:r w:rsidRPr="005D56D3">
        <w:rPr>
          <w:sz w:val="22"/>
          <w:szCs w:val="22"/>
        </w:rPr>
        <w:t>, 137, 237–38.</w:t>
      </w:r>
    </w:p>
  </w:footnote>
  <w:footnote w:id="46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Barth, </w:t>
      </w:r>
      <w:r w:rsidRPr="005D56D3">
        <w:rPr>
          <w:i/>
          <w:sz w:val="22"/>
          <w:szCs w:val="22"/>
        </w:rPr>
        <w:t>CD</w:t>
      </w:r>
      <w:r w:rsidRPr="005D56D3">
        <w:rPr>
          <w:sz w:val="22"/>
          <w:szCs w:val="22"/>
        </w:rPr>
        <w:t xml:space="preserve"> II, 1:389-90.</w:t>
      </w:r>
    </w:p>
  </w:footnote>
  <w:footnote w:id="46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A. Jepsen in </w:t>
      </w:r>
      <w:r w:rsidRPr="005D56D3">
        <w:rPr>
          <w:i/>
          <w:sz w:val="22"/>
          <w:szCs w:val="22"/>
        </w:rPr>
        <w:t>TWAT</w:t>
      </w:r>
      <w:r w:rsidRPr="005D56D3">
        <w:rPr>
          <w:sz w:val="22"/>
          <w:szCs w:val="22"/>
        </w:rPr>
        <w:t xml:space="preserve"> on </w:t>
      </w:r>
      <w:r w:rsidRPr="005D56D3">
        <w:rPr>
          <w:rFonts w:ascii="Arial" w:hAnsi="Arial" w:cs="Arial"/>
          <w:sz w:val="22"/>
          <w:szCs w:val="22"/>
        </w:rPr>
        <w:t>אמן.</w:t>
      </w:r>
    </w:p>
  </w:footnote>
  <w:footnote w:id="46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Calvin, </w:t>
      </w:r>
      <w:r w:rsidRPr="005D56D3">
        <w:rPr>
          <w:i/>
          <w:sz w:val="22"/>
          <w:szCs w:val="22"/>
        </w:rPr>
        <w:t>Daniel</w:t>
      </w:r>
      <w:r w:rsidRPr="005D56D3">
        <w:rPr>
          <w:sz w:val="22"/>
          <w:szCs w:val="22"/>
        </w:rPr>
        <w:t xml:space="preserve"> 2:177.</w:t>
      </w:r>
    </w:p>
  </w:footnote>
  <w:footnote w:id="47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Trible, </w:t>
      </w:r>
      <w:r w:rsidRPr="005D56D3">
        <w:rPr>
          <w:i/>
          <w:sz w:val="22"/>
          <w:szCs w:val="22"/>
        </w:rPr>
        <w:t>God and the Rhetoric of Sexuality</w:t>
      </w:r>
      <w:r w:rsidRPr="005D56D3">
        <w:rPr>
          <w:sz w:val="22"/>
          <w:szCs w:val="22"/>
        </w:rPr>
        <w:t>, 31–59</w:t>
      </w:r>
    </w:p>
  </w:footnote>
  <w:footnote w:id="47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Jepsen, “Gnade und Barmherzigkeit im AT,” 262.</w:t>
      </w:r>
    </w:p>
  </w:footnote>
  <w:footnote w:id="47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Noth, </w:t>
      </w:r>
      <w:r w:rsidRPr="005D56D3">
        <w:rPr>
          <w:i/>
          <w:sz w:val="22"/>
          <w:szCs w:val="22"/>
        </w:rPr>
        <w:t>Die Gesetze im Pentateuch</w:t>
      </w:r>
      <w:r w:rsidRPr="005D56D3">
        <w:rPr>
          <w:sz w:val="22"/>
          <w:szCs w:val="22"/>
        </w:rPr>
        <w:t>.</w:t>
      </w:r>
    </w:p>
  </w:footnote>
  <w:footnote w:id="47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Sanders, </w:t>
      </w:r>
      <w:r w:rsidRPr="005D56D3">
        <w:rPr>
          <w:i/>
          <w:sz w:val="22"/>
          <w:szCs w:val="22"/>
        </w:rPr>
        <w:t>Paul and Palestinian Judaism</w:t>
      </w:r>
      <w:r w:rsidRPr="005D56D3">
        <w:rPr>
          <w:sz w:val="22"/>
          <w:szCs w:val="22"/>
        </w:rPr>
        <w:t xml:space="preserve">. It is in this sense that one could see Daniel as reflecting a focus on “law” (see Kratz, </w:t>
      </w:r>
      <w:r w:rsidRPr="005D56D3">
        <w:rPr>
          <w:bCs/>
          <w:sz w:val="22"/>
          <w:szCs w:val="22"/>
        </w:rPr>
        <w:t>“</w:t>
      </w:r>
      <w:r w:rsidRPr="005D56D3">
        <w:rPr>
          <w:sz w:val="22"/>
          <w:szCs w:val="22"/>
        </w:rPr>
        <w:t xml:space="preserve">Reich Gottes und Gesetz im Danielbuch”—he understands chap. 9 as the latest arrival in the accumulating development of the book: see Kratz, </w:t>
      </w:r>
      <w:r w:rsidRPr="005D56D3">
        <w:rPr>
          <w:iCs/>
          <w:sz w:val="22"/>
          <w:szCs w:val="22"/>
        </w:rPr>
        <w:t>“The Visions of Daniel”).</w:t>
      </w:r>
    </w:p>
  </w:footnote>
  <w:footnote w:id="47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Calvin, </w:t>
      </w:r>
      <w:r w:rsidRPr="005D56D3">
        <w:rPr>
          <w:i/>
          <w:sz w:val="22"/>
          <w:szCs w:val="22"/>
        </w:rPr>
        <w:t>Daniel</w:t>
      </w:r>
      <w:r w:rsidRPr="005D56D3">
        <w:rPr>
          <w:sz w:val="22"/>
          <w:szCs w:val="22"/>
        </w:rPr>
        <w:t xml:space="preserve"> 2:159.</w:t>
      </w:r>
    </w:p>
  </w:footnote>
  <w:footnote w:id="47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Towner, </w:t>
      </w:r>
      <w:r w:rsidRPr="005D56D3">
        <w:rPr>
          <w:i/>
          <w:sz w:val="22"/>
          <w:szCs w:val="22"/>
        </w:rPr>
        <w:t>Daniel</w:t>
      </w:r>
      <w:r w:rsidRPr="005D56D3">
        <w:rPr>
          <w:sz w:val="22"/>
          <w:szCs w:val="22"/>
        </w:rPr>
        <w:t>, 131.</w:t>
      </w:r>
    </w:p>
  </w:footnote>
  <w:footnote w:id="47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Gottwald, </w:t>
      </w:r>
      <w:r w:rsidRPr="005D56D3">
        <w:rPr>
          <w:i/>
          <w:sz w:val="22"/>
          <w:szCs w:val="22"/>
        </w:rPr>
        <w:t>The Tribes of Yahweh</w:t>
      </w:r>
      <w:r w:rsidRPr="005D56D3">
        <w:rPr>
          <w:sz w:val="22"/>
          <w:szCs w:val="22"/>
        </w:rPr>
        <w:t xml:space="preserve"> 257–92, 365; de Vaux, </w:t>
      </w:r>
      <w:r w:rsidRPr="005D56D3">
        <w:rPr>
          <w:i/>
          <w:sz w:val="22"/>
          <w:szCs w:val="22"/>
        </w:rPr>
        <w:t>Les institutions de l’AT</w:t>
      </w:r>
      <w:r w:rsidRPr="005D56D3">
        <w:rPr>
          <w:sz w:val="22"/>
          <w:szCs w:val="22"/>
        </w:rPr>
        <w:t xml:space="preserve"> 1:21–22 (ET 7–8).</w:t>
      </w:r>
    </w:p>
  </w:footnote>
  <w:footnote w:id="47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the passages in Gottwald and de Vaux just cited.</w:t>
      </w:r>
    </w:p>
  </w:footnote>
  <w:footnote w:id="47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H. Ringgren in </w:t>
      </w:r>
      <w:r w:rsidRPr="005D56D3">
        <w:rPr>
          <w:i/>
          <w:sz w:val="22"/>
          <w:szCs w:val="22"/>
        </w:rPr>
        <w:t>TWAT</w:t>
      </w:r>
      <w:r w:rsidRPr="005D56D3">
        <w:rPr>
          <w:sz w:val="22"/>
          <w:szCs w:val="22"/>
        </w:rPr>
        <w:t xml:space="preserve"> on </w:t>
      </w:r>
      <w:r w:rsidRPr="005D56D3">
        <w:rPr>
          <w:rFonts w:ascii="Arial" w:hAnsi="Arial" w:cs="Arial"/>
          <w:sz w:val="22"/>
          <w:szCs w:val="22"/>
        </w:rPr>
        <w:t>אב</w:t>
      </w:r>
      <w:r w:rsidRPr="005D56D3">
        <w:rPr>
          <w:sz w:val="22"/>
          <w:szCs w:val="22"/>
        </w:rPr>
        <w:t>.</w:t>
      </w:r>
    </w:p>
  </w:footnote>
  <w:footnote w:id="47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de Vaux, </w:t>
      </w:r>
      <w:r w:rsidRPr="005D56D3">
        <w:rPr>
          <w:i/>
          <w:sz w:val="22"/>
          <w:szCs w:val="22"/>
        </w:rPr>
        <w:t xml:space="preserve">Les institutions de l’AT </w:t>
      </w:r>
      <w:r w:rsidRPr="005D56D3">
        <w:rPr>
          <w:sz w:val="22"/>
          <w:szCs w:val="22"/>
        </w:rPr>
        <w:t xml:space="preserve">1:111–13 (ET 70–72); also Charlesworth, </w:t>
      </w:r>
      <w:r w:rsidRPr="005D56D3">
        <w:rPr>
          <w:i/>
          <w:sz w:val="22"/>
          <w:szCs w:val="22"/>
        </w:rPr>
        <w:t>The OT Pseudepigrapha and the NT</w:t>
      </w:r>
      <w:r w:rsidRPr="005D56D3">
        <w:rPr>
          <w:sz w:val="22"/>
          <w:szCs w:val="22"/>
        </w:rPr>
        <w:t>, 20–21, 146–47.</w:t>
      </w:r>
    </w:p>
  </w:footnote>
  <w:footnote w:id="48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Williamson, </w:t>
      </w:r>
      <w:r w:rsidRPr="005D56D3">
        <w:rPr>
          <w:i/>
          <w:sz w:val="22"/>
          <w:szCs w:val="22"/>
        </w:rPr>
        <w:t>1 and 2 Chronicles</w:t>
      </w:r>
      <w:r w:rsidRPr="005D56D3">
        <w:rPr>
          <w:sz w:val="22"/>
          <w:szCs w:val="22"/>
        </w:rPr>
        <w:t xml:space="preserve">, 26, referring to Williamson, </w:t>
      </w:r>
      <w:r w:rsidRPr="005D56D3">
        <w:rPr>
          <w:i/>
          <w:sz w:val="22"/>
          <w:szCs w:val="22"/>
        </w:rPr>
        <w:t>Israel in the Books of Chronicles</w:t>
      </w:r>
      <w:r w:rsidRPr="005D56D3">
        <w:rPr>
          <w:sz w:val="22"/>
          <w:szCs w:val="22"/>
        </w:rPr>
        <w:t>, 87–140.</w:t>
      </w:r>
    </w:p>
  </w:footnote>
  <w:footnote w:id="48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Calvin, </w:t>
      </w:r>
      <w:r w:rsidRPr="005D56D3">
        <w:rPr>
          <w:i/>
          <w:sz w:val="22"/>
          <w:szCs w:val="22"/>
        </w:rPr>
        <w:t>Daniel</w:t>
      </w:r>
      <w:r w:rsidRPr="005D56D3">
        <w:rPr>
          <w:sz w:val="22"/>
          <w:szCs w:val="22"/>
        </w:rPr>
        <w:t xml:space="preserve"> 2:189</w:t>
      </w:r>
    </w:p>
  </w:footnote>
  <w:footnote w:id="48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Bowker, “Intercession in the Qur’an and the Jewish Tradition,” 79–80; le Déaut, “Aspects de l’intercession dans le Judaïsme ancient,” 35–50.</w:t>
      </w:r>
    </w:p>
  </w:footnote>
  <w:footnote w:id="48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Widengren, “The Persian Period,” 510–11.</w:t>
      </w:r>
    </w:p>
  </w:footnote>
  <w:footnote w:id="48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Hengel, </w:t>
      </w:r>
      <w:r w:rsidRPr="005D56D3">
        <w:rPr>
          <w:i/>
          <w:sz w:val="22"/>
          <w:szCs w:val="22"/>
        </w:rPr>
        <w:t>Judentum und Hellenismus</w:t>
      </w:r>
      <w:r w:rsidRPr="005D56D3">
        <w:rPr>
          <w:sz w:val="22"/>
          <w:szCs w:val="22"/>
        </w:rPr>
        <w:t>, 32–105 (ET 1:18-55).</w:t>
      </w:r>
    </w:p>
  </w:footnote>
  <w:footnote w:id="48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Hengel, </w:t>
      </w:r>
      <w:r w:rsidRPr="005D56D3">
        <w:rPr>
          <w:i/>
          <w:sz w:val="22"/>
          <w:szCs w:val="22"/>
        </w:rPr>
        <w:t>Judentum</w:t>
      </w:r>
      <w:r w:rsidRPr="005D56D3">
        <w:rPr>
          <w:sz w:val="22"/>
          <w:szCs w:val="22"/>
        </w:rPr>
        <w:t xml:space="preserve"> </w:t>
      </w:r>
      <w:r w:rsidRPr="005D56D3">
        <w:rPr>
          <w:i/>
          <w:sz w:val="22"/>
          <w:szCs w:val="22"/>
        </w:rPr>
        <w:t>und Hellenismus</w:t>
      </w:r>
      <w:r w:rsidRPr="005D56D3">
        <w:rPr>
          <w:sz w:val="22"/>
          <w:szCs w:val="22"/>
        </w:rPr>
        <w:t xml:space="preserve"> 101 (ET 1:53).</w:t>
      </w:r>
    </w:p>
  </w:footnote>
  <w:footnote w:id="48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Seybold, “Reverenz und Gebet”; also in </w:t>
      </w:r>
      <w:r w:rsidRPr="005D56D3">
        <w:rPr>
          <w:i/>
          <w:sz w:val="22"/>
          <w:szCs w:val="22"/>
        </w:rPr>
        <w:t xml:space="preserve">TWAT </w:t>
      </w:r>
      <w:r w:rsidRPr="005D56D3">
        <w:rPr>
          <w:sz w:val="22"/>
          <w:szCs w:val="22"/>
        </w:rPr>
        <w:t xml:space="preserve">on </w:t>
      </w:r>
      <w:r w:rsidRPr="005D56D3">
        <w:rPr>
          <w:rFonts w:ascii="Arial" w:hAnsi="Arial" w:cs="Arial"/>
          <w:sz w:val="22"/>
          <w:szCs w:val="22"/>
        </w:rPr>
        <w:t>חלה</w:t>
      </w:r>
      <w:r w:rsidRPr="005D56D3">
        <w:rPr>
          <w:sz w:val="22"/>
          <w:szCs w:val="22"/>
        </w:rPr>
        <w:t>; Ap-Thomas, “Notes on Some Terms Relating to Prayer,” 239–40; Sawyer, “Types of Prayer in the OT,” 136–37.</w:t>
      </w:r>
    </w:p>
  </w:footnote>
  <w:footnote w:id="48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Lederach, </w:t>
      </w:r>
      <w:r w:rsidRPr="005D56D3">
        <w:rPr>
          <w:i/>
          <w:sz w:val="22"/>
          <w:szCs w:val="22"/>
        </w:rPr>
        <w:t>Daniel</w:t>
      </w:r>
      <w:r w:rsidRPr="005D56D3">
        <w:rPr>
          <w:sz w:val="22"/>
          <w:szCs w:val="22"/>
        </w:rPr>
        <w:t>, 208.</w:t>
      </w:r>
    </w:p>
  </w:footnote>
  <w:footnote w:id="48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According to K. Koch in </w:t>
      </w:r>
      <w:r w:rsidRPr="005D56D3">
        <w:rPr>
          <w:i/>
          <w:sz w:val="22"/>
          <w:szCs w:val="22"/>
        </w:rPr>
        <w:t>TWAT</w:t>
      </w:r>
      <w:r w:rsidRPr="005D56D3">
        <w:rPr>
          <w:sz w:val="22"/>
          <w:szCs w:val="22"/>
        </w:rPr>
        <w:t xml:space="preserve">, </w:t>
      </w:r>
      <w:r w:rsidRPr="005D56D3">
        <w:rPr>
          <w:rFonts w:ascii="Arial" w:hAnsi="Arial" w:cs="Arial"/>
          <w:sz w:val="22"/>
          <w:szCs w:val="22"/>
        </w:rPr>
        <w:t>חטא</w:t>
      </w:r>
      <w:r w:rsidRPr="005D56D3">
        <w:rPr>
          <w:sz w:val="22"/>
          <w:szCs w:val="22"/>
        </w:rPr>
        <w:t xml:space="preserve"> fundamentally means “to commit an offence against someone with whom one stands in an institutionalized community relationship” (ET 4:311). See also Knierim, </w:t>
      </w:r>
      <w:r w:rsidRPr="005D56D3">
        <w:rPr>
          <w:i/>
          <w:sz w:val="22"/>
          <w:szCs w:val="22"/>
        </w:rPr>
        <w:t>Die Hauptbegriffe für Sünde im AT</w:t>
      </w:r>
      <w:r w:rsidRPr="005D56D3">
        <w:rPr>
          <w:sz w:val="22"/>
          <w:szCs w:val="22"/>
        </w:rPr>
        <w:t>.</w:t>
      </w:r>
    </w:p>
  </w:footnote>
  <w:footnote w:id="48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w:t>
      </w:r>
      <w:r w:rsidRPr="005D56D3">
        <w:rPr>
          <w:i/>
          <w:sz w:val="22"/>
          <w:szCs w:val="22"/>
        </w:rPr>
        <w:t>HALOT</w:t>
      </w:r>
      <w:r w:rsidRPr="005D56D3">
        <w:rPr>
          <w:sz w:val="22"/>
          <w:szCs w:val="22"/>
        </w:rPr>
        <w:t xml:space="preserve"> for the nontheological use of </w:t>
      </w:r>
      <w:r w:rsidRPr="005D56D3">
        <w:rPr>
          <w:rFonts w:ascii="Arial" w:hAnsi="Arial" w:cs="Arial"/>
          <w:sz w:val="22"/>
          <w:szCs w:val="22"/>
        </w:rPr>
        <w:t>עוה</w:t>
      </w:r>
      <w:r w:rsidRPr="005D56D3">
        <w:rPr>
          <w:sz w:val="22"/>
          <w:szCs w:val="22"/>
        </w:rPr>
        <w:t>, against BDB, which posits separate roots.</w:t>
      </w:r>
    </w:p>
  </w:footnote>
  <w:footnote w:id="49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Milgrom, “The Concept of ma‘al in the Bible and the Ancient Near East”; expanded in Milgrom, </w:t>
      </w:r>
      <w:r w:rsidRPr="005D56D3">
        <w:rPr>
          <w:i/>
          <w:sz w:val="22"/>
          <w:szCs w:val="22"/>
        </w:rPr>
        <w:t>Cult and Conscience</w:t>
      </w:r>
      <w:r w:rsidRPr="005D56D3">
        <w:rPr>
          <w:sz w:val="22"/>
          <w:szCs w:val="22"/>
        </w:rPr>
        <w:t>, 16–35.</w:t>
      </w:r>
    </w:p>
  </w:footnote>
  <w:footnote w:id="49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Gowan, “The Exile in Jewish Apocalyptic,” 219.</w:t>
      </w:r>
    </w:p>
  </w:footnote>
  <w:footnote w:id="49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Towner, </w:t>
      </w:r>
      <w:r w:rsidRPr="005D56D3">
        <w:rPr>
          <w:i/>
          <w:sz w:val="22"/>
          <w:szCs w:val="22"/>
        </w:rPr>
        <w:t>Daniel</w:t>
      </w:r>
      <w:r w:rsidRPr="005D56D3">
        <w:rPr>
          <w:sz w:val="22"/>
          <w:szCs w:val="22"/>
        </w:rPr>
        <w:t>, 135.</w:t>
      </w:r>
    </w:p>
  </w:footnote>
  <w:footnote w:id="49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J. Scharbert in </w:t>
      </w:r>
      <w:r w:rsidRPr="005D56D3">
        <w:rPr>
          <w:i/>
          <w:sz w:val="22"/>
          <w:szCs w:val="22"/>
        </w:rPr>
        <w:t>TWAT</w:t>
      </w:r>
      <w:r w:rsidRPr="005D56D3">
        <w:rPr>
          <w:sz w:val="22"/>
          <w:szCs w:val="22"/>
        </w:rPr>
        <w:t xml:space="preserve"> on </w:t>
      </w:r>
      <w:r w:rsidRPr="005D56D3">
        <w:rPr>
          <w:rFonts w:ascii="Arial" w:hAnsi="Arial" w:cs="Arial"/>
          <w:sz w:val="22"/>
          <w:szCs w:val="22"/>
        </w:rPr>
        <w:t>אלה</w:t>
      </w:r>
      <w:r w:rsidRPr="005D56D3">
        <w:rPr>
          <w:sz w:val="22"/>
          <w:szCs w:val="22"/>
        </w:rPr>
        <w:t>.</w:t>
      </w:r>
    </w:p>
  </w:footnote>
  <w:footnote w:id="49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Again cf. Scharbert in TWAT on </w:t>
      </w:r>
      <w:r w:rsidRPr="005D56D3">
        <w:rPr>
          <w:rFonts w:ascii="Arial" w:hAnsi="Arial" w:cs="Arial"/>
          <w:sz w:val="22"/>
          <w:szCs w:val="22"/>
        </w:rPr>
        <w:t>אלה</w:t>
      </w:r>
      <w:r w:rsidRPr="005D56D3">
        <w:rPr>
          <w:sz w:val="22"/>
          <w:szCs w:val="22"/>
        </w:rPr>
        <w:t>.</w:t>
      </w:r>
    </w:p>
  </w:footnote>
  <w:footnote w:id="49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Lester, </w:t>
      </w:r>
      <w:r w:rsidRPr="005D56D3">
        <w:rPr>
          <w:i/>
          <w:sz w:val="22"/>
          <w:szCs w:val="22"/>
        </w:rPr>
        <w:t>Daniel Evokes Isaiah</w:t>
      </w:r>
      <w:r w:rsidRPr="005D56D3">
        <w:rPr>
          <w:sz w:val="22"/>
          <w:szCs w:val="22"/>
        </w:rPr>
        <w:t>, 73-79.</w:t>
      </w:r>
    </w:p>
  </w:footnote>
  <w:footnote w:id="49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E. Johnson in </w:t>
      </w:r>
      <w:r w:rsidRPr="005D56D3">
        <w:rPr>
          <w:i/>
          <w:sz w:val="22"/>
          <w:szCs w:val="22"/>
        </w:rPr>
        <w:t xml:space="preserve">TWAT </w:t>
      </w:r>
      <w:r w:rsidRPr="005D56D3">
        <w:rPr>
          <w:sz w:val="22"/>
          <w:szCs w:val="22"/>
        </w:rPr>
        <w:t xml:space="preserve">on </w:t>
      </w:r>
      <w:r w:rsidRPr="005D56D3">
        <w:rPr>
          <w:rFonts w:ascii="Arial" w:hAnsi="Arial" w:cs="Arial"/>
          <w:sz w:val="22"/>
          <w:szCs w:val="22"/>
        </w:rPr>
        <w:t>אנף.</w:t>
      </w:r>
    </w:p>
  </w:footnote>
  <w:footnote w:id="49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Layton, “Biblical Hebrew ‘To Set the Face,’” 171–72.</w:t>
      </w:r>
    </w:p>
  </w:footnote>
  <w:footnote w:id="49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On </w:t>
      </w:r>
      <w:r w:rsidRPr="005D56D3">
        <w:rPr>
          <w:rFonts w:ascii="Arial" w:hAnsi="Arial" w:cs="Arial"/>
          <w:sz w:val="22"/>
          <w:szCs w:val="22"/>
        </w:rPr>
        <w:t>ידה</w:t>
      </w:r>
      <w:r w:rsidRPr="005D56D3">
        <w:rPr>
          <w:sz w:val="22"/>
          <w:szCs w:val="22"/>
        </w:rPr>
        <w:t xml:space="preserve">, see Westermann, </w:t>
      </w:r>
      <w:r w:rsidRPr="005D56D3">
        <w:rPr>
          <w:i/>
          <w:sz w:val="22"/>
          <w:szCs w:val="22"/>
        </w:rPr>
        <w:t>Das Loben Gottes in den Psalmen</w:t>
      </w:r>
      <w:r w:rsidRPr="005D56D3">
        <w:rPr>
          <w:sz w:val="22"/>
          <w:szCs w:val="22"/>
        </w:rPr>
        <w:t>, 20–24 (ET 25–30).</w:t>
      </w:r>
    </w:p>
  </w:footnote>
  <w:footnote w:id="49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Smith-Christopher also notes that fasting could be part of preparation for war (cf. 1 Macc 3:44-46): it is “associated with a communal call on God to act when the odds seem overwhelming.” It as “an act of spiritual warfare” (“Daniel,” 126).</w:t>
      </w:r>
    </w:p>
  </w:footnote>
  <w:footnote w:id="500">
    <w:p w:rsidR="008E57DC" w:rsidRPr="005D56D3" w:rsidRDefault="008E57DC" w:rsidP="00084F3B">
      <w:pPr>
        <w:pStyle w:val="FootnoteText"/>
        <w:rPr>
          <w:sz w:val="22"/>
          <w:szCs w:val="22"/>
        </w:rPr>
      </w:pPr>
      <w:r w:rsidRPr="005D56D3">
        <w:rPr>
          <w:rStyle w:val="FootnoteReference"/>
          <w:sz w:val="22"/>
          <w:szCs w:val="22"/>
        </w:rPr>
        <w:footnoteRef/>
      </w:r>
      <w:r w:rsidRPr="005D56D3">
        <w:rPr>
          <w:sz w:val="22"/>
          <w:szCs w:val="22"/>
        </w:rPr>
        <w:t xml:space="preserve"> Boccaccini</w:t>
      </w:r>
      <w:r w:rsidRPr="005D56D3">
        <w:rPr>
          <w:b/>
          <w:sz w:val="22"/>
          <w:szCs w:val="22"/>
        </w:rPr>
        <w:t xml:space="preserve">, </w:t>
      </w:r>
      <w:r w:rsidRPr="005D56D3">
        <w:rPr>
          <w:i/>
          <w:sz w:val="22"/>
          <w:szCs w:val="22"/>
        </w:rPr>
        <w:t>Middle Judaism</w:t>
      </w:r>
      <w:r w:rsidRPr="005D56D3">
        <w:rPr>
          <w:sz w:val="22"/>
          <w:szCs w:val="22"/>
        </w:rPr>
        <w:t>, 141.</w:t>
      </w:r>
    </w:p>
  </w:footnote>
  <w:footnote w:id="50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Wilke, “Daniel 9.”</w:t>
      </w:r>
    </w:p>
  </w:footnote>
  <w:footnote w:id="50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Wright, </w:t>
      </w:r>
      <w:r w:rsidRPr="005D56D3">
        <w:rPr>
          <w:i/>
          <w:sz w:val="22"/>
          <w:szCs w:val="22"/>
        </w:rPr>
        <w:t>Hearing the Message of Daniel</w:t>
      </w:r>
      <w:r w:rsidRPr="005D56D3">
        <w:rPr>
          <w:sz w:val="22"/>
          <w:szCs w:val="22"/>
        </w:rPr>
        <w:t>, 202-3.</w:t>
      </w:r>
    </w:p>
  </w:footnote>
  <w:footnote w:id="50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w:t>
      </w:r>
      <w:r w:rsidRPr="005D56D3">
        <w:rPr>
          <w:i/>
          <w:sz w:val="22"/>
          <w:szCs w:val="22"/>
        </w:rPr>
        <w:t>Form of Prayers for the Day of Atonement</w:t>
      </w:r>
      <w:r w:rsidRPr="005D56D3">
        <w:rPr>
          <w:sz w:val="22"/>
          <w:szCs w:val="22"/>
        </w:rPr>
        <w:t xml:space="preserve">, </w:t>
      </w:r>
      <w:r w:rsidRPr="005D56D3">
        <w:rPr>
          <w:i/>
          <w:sz w:val="22"/>
          <w:szCs w:val="22"/>
        </w:rPr>
        <w:t xml:space="preserve"> </w:t>
      </w:r>
      <w:r w:rsidRPr="005D56D3">
        <w:rPr>
          <w:sz w:val="22"/>
          <w:szCs w:val="22"/>
        </w:rPr>
        <w:t>31-68; cf. Sumner, “Daniel,” 187.</w:t>
      </w:r>
    </w:p>
  </w:footnote>
  <w:footnote w:id="50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Towner, “Retributional Theology in the Apocalyptic Setting.”</w:t>
      </w:r>
    </w:p>
  </w:footnote>
  <w:footnote w:id="50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Lederach, </w:t>
      </w:r>
      <w:r w:rsidRPr="005D56D3">
        <w:rPr>
          <w:i/>
          <w:sz w:val="22"/>
          <w:szCs w:val="22"/>
        </w:rPr>
        <w:t>Daniel</w:t>
      </w:r>
      <w:r w:rsidRPr="005D56D3">
        <w:rPr>
          <w:sz w:val="22"/>
          <w:szCs w:val="22"/>
        </w:rPr>
        <w:t>, 211.</w:t>
      </w:r>
    </w:p>
  </w:footnote>
  <w:footnote w:id="50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Westermann, </w:t>
      </w:r>
      <w:r w:rsidRPr="005D56D3">
        <w:rPr>
          <w:i/>
          <w:sz w:val="22"/>
          <w:szCs w:val="22"/>
        </w:rPr>
        <w:t>Das Loben Gottes in den Psalmen</w:t>
      </w:r>
      <w:r w:rsidRPr="005D56D3">
        <w:rPr>
          <w:sz w:val="22"/>
          <w:szCs w:val="22"/>
        </w:rPr>
        <w:t>, 40, 49, 50 (ET 54, 67, 69).</w:t>
      </w:r>
    </w:p>
  </w:footnote>
  <w:footnote w:id="50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Plöger, </w:t>
      </w:r>
      <w:r w:rsidRPr="005D56D3">
        <w:rPr>
          <w:i/>
          <w:sz w:val="22"/>
          <w:szCs w:val="22"/>
        </w:rPr>
        <w:t>Daniel</w:t>
      </w:r>
      <w:r w:rsidRPr="005D56D3">
        <w:rPr>
          <w:sz w:val="22"/>
          <w:szCs w:val="22"/>
        </w:rPr>
        <w:t>, on the passage.</w:t>
      </w:r>
    </w:p>
  </w:footnote>
  <w:footnote w:id="50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Towner, </w:t>
      </w:r>
      <w:r w:rsidRPr="005D56D3">
        <w:rPr>
          <w:i/>
          <w:sz w:val="22"/>
          <w:szCs w:val="22"/>
        </w:rPr>
        <w:t>Daniel</w:t>
      </w:r>
      <w:r w:rsidRPr="005D56D3">
        <w:rPr>
          <w:sz w:val="22"/>
          <w:szCs w:val="22"/>
        </w:rPr>
        <w:t>, 139.</w:t>
      </w:r>
    </w:p>
  </w:footnote>
  <w:footnote w:id="50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Westermann, </w:t>
      </w:r>
      <w:r w:rsidRPr="005D56D3">
        <w:rPr>
          <w:i/>
          <w:sz w:val="22"/>
          <w:szCs w:val="22"/>
        </w:rPr>
        <w:t>Das Loben Gottes in den Psalmen</w:t>
      </w:r>
      <w:r w:rsidRPr="005D56D3">
        <w:rPr>
          <w:sz w:val="22"/>
          <w:szCs w:val="22"/>
        </w:rPr>
        <w:t>.</w:t>
      </w:r>
    </w:p>
  </w:footnote>
  <w:footnote w:id="51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Pace, </w:t>
      </w:r>
      <w:r w:rsidRPr="005D56D3">
        <w:rPr>
          <w:i/>
          <w:sz w:val="22"/>
          <w:szCs w:val="22"/>
        </w:rPr>
        <w:t>Daniel</w:t>
      </w:r>
      <w:r w:rsidRPr="005D56D3">
        <w:rPr>
          <w:sz w:val="22"/>
          <w:szCs w:val="22"/>
        </w:rPr>
        <w:t>, 297.</w:t>
      </w:r>
    </w:p>
  </w:footnote>
  <w:footnote w:id="51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Lebram, “The Piety of the Jewish Apocalyptists,” 187.</w:t>
      </w:r>
    </w:p>
  </w:footnote>
  <w:footnote w:id="51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Bergsma</w:t>
      </w:r>
      <w:r w:rsidRPr="005D56D3">
        <w:rPr>
          <w:b/>
          <w:sz w:val="22"/>
          <w:szCs w:val="22"/>
        </w:rPr>
        <w:t>,</w:t>
      </w:r>
      <w:r w:rsidRPr="005D56D3">
        <w:rPr>
          <w:sz w:val="22"/>
          <w:szCs w:val="22"/>
        </w:rPr>
        <w:t xml:space="preserve"> “The Persian Period as Penitential Era.”</w:t>
      </w:r>
    </w:p>
  </w:footnote>
  <w:footnote w:id="51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BDB; cf. Herrmann, “Das zehnte Gebot.”</w:t>
      </w:r>
    </w:p>
  </w:footnote>
  <w:footnote w:id="51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Wiesel, “Daniel,” 110.</w:t>
      </w:r>
    </w:p>
  </w:footnote>
  <w:footnote w:id="515">
    <w:p w:rsidR="008E57DC" w:rsidRPr="005D56D3" w:rsidRDefault="008E57DC">
      <w:pPr>
        <w:pStyle w:val="FootnoteText"/>
        <w:rPr>
          <w:sz w:val="22"/>
          <w:szCs w:val="22"/>
        </w:rPr>
      </w:pPr>
      <w:r w:rsidRPr="005D56D3">
        <w:rPr>
          <w:rStyle w:val="FootnoteReference"/>
          <w:sz w:val="22"/>
          <w:szCs w:val="22"/>
        </w:rPr>
        <w:footnoteRef/>
      </w:r>
      <w:r w:rsidRPr="005D56D3">
        <w:rPr>
          <w:sz w:val="22"/>
          <w:szCs w:val="22"/>
        </w:rPr>
        <w:t xml:space="preserve"> Cf. Yephet, </w:t>
      </w:r>
      <w:r w:rsidRPr="005D56D3">
        <w:rPr>
          <w:i/>
          <w:sz w:val="22"/>
          <w:szCs w:val="22"/>
        </w:rPr>
        <w:t>Daniel</w:t>
      </w:r>
      <w:r w:rsidRPr="005D56D3">
        <w:rPr>
          <w:sz w:val="22"/>
          <w:szCs w:val="22"/>
        </w:rPr>
        <w:t xml:space="preserve">, 49; Saadia, </w:t>
      </w:r>
      <w:r w:rsidRPr="005D56D3">
        <w:rPr>
          <w:i/>
          <w:sz w:val="22"/>
          <w:szCs w:val="22"/>
        </w:rPr>
        <w:t>Daniel</w:t>
      </w:r>
      <w:r w:rsidRPr="005D56D3">
        <w:rPr>
          <w:sz w:val="22"/>
          <w:szCs w:val="22"/>
        </w:rPr>
        <w:t>, 595.</w:t>
      </w:r>
    </w:p>
  </w:footnote>
  <w:footnote w:id="51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Le Déaut, “Aspects de l’intercession dans le Judaïsme ancient,” 51–55.</w:t>
      </w:r>
    </w:p>
  </w:footnote>
  <w:footnote w:id="51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Calvin, </w:t>
      </w:r>
      <w:r w:rsidRPr="005D56D3">
        <w:rPr>
          <w:i/>
          <w:sz w:val="22"/>
          <w:szCs w:val="22"/>
        </w:rPr>
        <w:t xml:space="preserve">Daniel </w:t>
      </w:r>
      <w:r w:rsidRPr="005D56D3">
        <w:rPr>
          <w:sz w:val="22"/>
          <w:szCs w:val="22"/>
        </w:rPr>
        <w:t>2:195-96.</w:t>
      </w:r>
    </w:p>
  </w:footnote>
  <w:footnote w:id="51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Theodoret, </w:t>
      </w:r>
      <w:r w:rsidRPr="005D56D3">
        <w:rPr>
          <w:i/>
          <w:sz w:val="22"/>
          <w:szCs w:val="22"/>
        </w:rPr>
        <w:t>Daniel</w:t>
      </w:r>
      <w:r w:rsidRPr="005D56D3">
        <w:rPr>
          <w:sz w:val="22"/>
          <w:szCs w:val="22"/>
        </w:rPr>
        <w:t>, 244-45.</w:t>
      </w:r>
    </w:p>
  </w:footnote>
  <w:footnote w:id="51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Collins, </w:t>
      </w:r>
      <w:r w:rsidRPr="005D56D3">
        <w:rPr>
          <w:i/>
          <w:sz w:val="22"/>
          <w:szCs w:val="22"/>
        </w:rPr>
        <w:t>Daniel</w:t>
      </w:r>
      <w:r w:rsidRPr="005D56D3">
        <w:rPr>
          <w:sz w:val="22"/>
          <w:szCs w:val="22"/>
        </w:rPr>
        <w:t>, 357.</w:t>
      </w:r>
    </w:p>
  </w:footnote>
  <w:footnote w:id="52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Adler, in VanderKam and Adler (eds.), 206; Spangenberg</w:t>
      </w:r>
      <w:r w:rsidRPr="005D56D3">
        <w:rPr>
          <w:b/>
          <w:sz w:val="22"/>
          <w:szCs w:val="22"/>
        </w:rPr>
        <w:t xml:space="preserve">, </w:t>
      </w:r>
      <w:r w:rsidRPr="005D56D3">
        <w:rPr>
          <w:sz w:val="22"/>
          <w:szCs w:val="22"/>
        </w:rPr>
        <w:t>“The Septuagint Translation of Daniel 9.”</w:t>
      </w:r>
    </w:p>
  </w:footnote>
  <w:footnote w:id="52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his </w:t>
      </w:r>
      <w:r w:rsidRPr="005D56D3">
        <w:rPr>
          <w:i/>
          <w:sz w:val="22"/>
          <w:szCs w:val="22"/>
        </w:rPr>
        <w:t>Chronicus canon aegyptiacus, ebraicus, graecus</w:t>
      </w:r>
      <w:r w:rsidRPr="005D56D3">
        <w:rPr>
          <w:sz w:val="22"/>
          <w:szCs w:val="22"/>
        </w:rPr>
        <w:t xml:space="preserve">, 610-19; cf Collins, </w:t>
      </w:r>
      <w:r w:rsidRPr="005D56D3">
        <w:rPr>
          <w:i/>
          <w:sz w:val="22"/>
          <w:szCs w:val="22"/>
        </w:rPr>
        <w:t>Daniel</w:t>
      </w:r>
      <w:r w:rsidRPr="005D56D3">
        <w:rPr>
          <w:sz w:val="22"/>
          <w:szCs w:val="22"/>
        </w:rPr>
        <w:t>, 356.</w:t>
      </w:r>
    </w:p>
  </w:footnote>
  <w:footnote w:id="52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w:t>
      </w:r>
      <w:r w:rsidRPr="005D56D3">
        <w:rPr>
          <w:rStyle w:val="i"/>
          <w:color w:val="auto"/>
          <w:sz w:val="22"/>
          <w:szCs w:val="22"/>
        </w:rPr>
        <w:t>The Scheme of Literal Prophecy Considered</w:t>
      </w:r>
      <w:r w:rsidRPr="005D56D3">
        <w:rPr>
          <w:rStyle w:val="i"/>
          <w:i w:val="0"/>
          <w:color w:val="auto"/>
          <w:sz w:val="22"/>
          <w:szCs w:val="22"/>
        </w:rPr>
        <w:t xml:space="preserve">, 173-200. Cf. Bickerman, </w:t>
      </w:r>
      <w:r w:rsidRPr="005D56D3">
        <w:rPr>
          <w:rStyle w:val="i"/>
          <w:color w:val="auto"/>
          <w:sz w:val="22"/>
          <w:szCs w:val="22"/>
        </w:rPr>
        <w:t>Four Strange Books</w:t>
      </w:r>
      <w:r w:rsidRPr="005D56D3">
        <w:rPr>
          <w:rStyle w:val="i"/>
          <w:i w:val="0"/>
          <w:color w:val="auto"/>
          <w:sz w:val="22"/>
          <w:szCs w:val="22"/>
        </w:rPr>
        <w:t>, 132-33.</w:t>
      </w:r>
    </w:p>
  </w:footnote>
  <w:footnote w:id="52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Ulrich, “How Early Judaism Read Daniel 9:24-27,” 1069.</w:t>
      </w:r>
    </w:p>
  </w:footnote>
  <w:footnote w:id="52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e.g., Rashi and Ibn Ezra in </w:t>
      </w:r>
      <w:r w:rsidRPr="005D56D3">
        <w:rPr>
          <w:rFonts w:ascii="Arial" w:hAnsi="Arial" w:cs="Arial"/>
          <w:sz w:val="22"/>
          <w:szCs w:val="22"/>
        </w:rPr>
        <w:t>גדולות</w:t>
      </w:r>
      <w:r w:rsidRPr="005D56D3">
        <w:rPr>
          <w:sz w:val="22"/>
          <w:szCs w:val="22"/>
        </w:rPr>
        <w:t xml:space="preserve"> </w:t>
      </w:r>
      <w:r w:rsidRPr="005D56D3">
        <w:rPr>
          <w:rFonts w:ascii="Arial" w:hAnsi="Arial" w:cs="Arial"/>
          <w:sz w:val="22"/>
          <w:szCs w:val="22"/>
        </w:rPr>
        <w:t>מקראות</w:t>
      </w:r>
      <w:r w:rsidRPr="005D56D3">
        <w:rPr>
          <w:sz w:val="22"/>
          <w:szCs w:val="22"/>
        </w:rPr>
        <w:t xml:space="preserve"> on vv 24-27; cf. Grabbe, “The Seventy Weeks Prophecy (Daniel 9:24-27) in Early Jewish Interpretation”; see also </w:t>
      </w:r>
      <w:r w:rsidRPr="005D56D3">
        <w:rPr>
          <w:bCs/>
          <w:sz w:val="22"/>
          <w:szCs w:val="22"/>
        </w:rPr>
        <w:t>Chazan’s study of medieval Jewish exegesis</w:t>
      </w:r>
      <w:r w:rsidRPr="005D56D3">
        <w:rPr>
          <w:b/>
          <w:bCs/>
          <w:sz w:val="22"/>
          <w:szCs w:val="22"/>
        </w:rPr>
        <w:t>, “</w:t>
      </w:r>
      <w:r w:rsidRPr="005D56D3">
        <w:rPr>
          <w:bCs/>
          <w:sz w:val="22"/>
          <w:szCs w:val="22"/>
        </w:rPr>
        <w:t>Daniel 9:24-27: Exegesis and Polemics.”</w:t>
      </w:r>
    </w:p>
  </w:footnote>
  <w:footnote w:id="52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the paragraphs on “Daniel in the NT” in the </w:t>
      </w:r>
      <w:r w:rsidRPr="005D56D3">
        <w:rPr>
          <w:i/>
          <w:sz w:val="22"/>
          <w:szCs w:val="22"/>
        </w:rPr>
        <w:t>Introduction</w:t>
      </w:r>
      <w:r w:rsidRPr="005D56D3">
        <w:rPr>
          <w:sz w:val="22"/>
          <w:szCs w:val="22"/>
        </w:rPr>
        <w:t xml:space="preserve"> to this Commentary.</w:t>
      </w:r>
    </w:p>
  </w:footnote>
  <w:footnote w:id="52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Dunn, “Tertullian and Daniel 9:24-27,” 336-37.</w:t>
      </w:r>
    </w:p>
  </w:footnote>
  <w:footnote w:id="52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Tanner, </w:t>
      </w:r>
      <w:r w:rsidRPr="005D56D3">
        <w:rPr>
          <w:bCs/>
          <w:sz w:val="22"/>
          <w:szCs w:val="22"/>
        </w:rPr>
        <w:t>“Is Daniel’s Seventy Weeks Prophecy Messianic?” 198.</w:t>
      </w:r>
    </w:p>
  </w:footnote>
  <w:footnote w:id="52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Jerome, </w:t>
      </w:r>
      <w:r w:rsidRPr="005D56D3">
        <w:rPr>
          <w:i/>
          <w:sz w:val="22"/>
          <w:szCs w:val="22"/>
        </w:rPr>
        <w:t>Daniel</w:t>
      </w:r>
      <w:r w:rsidRPr="005D56D3">
        <w:rPr>
          <w:sz w:val="22"/>
          <w:szCs w:val="22"/>
        </w:rPr>
        <w:t xml:space="preserve">, 95-110; on the patristic writers, </w:t>
      </w:r>
      <w:r w:rsidRPr="005D56D3">
        <w:rPr>
          <w:bCs/>
          <w:iCs/>
          <w:sz w:val="22"/>
          <w:szCs w:val="22"/>
        </w:rPr>
        <w:t>Dunn</w:t>
      </w:r>
      <w:r w:rsidRPr="005D56D3">
        <w:rPr>
          <w:b/>
          <w:bCs/>
          <w:iCs/>
          <w:sz w:val="22"/>
          <w:szCs w:val="22"/>
        </w:rPr>
        <w:t xml:space="preserve">, </w:t>
      </w:r>
      <w:r w:rsidRPr="005D56D3">
        <w:rPr>
          <w:bCs/>
          <w:iCs/>
          <w:sz w:val="22"/>
          <w:szCs w:val="22"/>
        </w:rPr>
        <w:t>“</w:t>
      </w:r>
      <w:r w:rsidRPr="005D56D3">
        <w:rPr>
          <w:bCs/>
          <w:i/>
          <w:iCs/>
          <w:sz w:val="22"/>
          <w:szCs w:val="22"/>
        </w:rPr>
        <w:t xml:space="preserve">Probabimus venisse eum iam” </w:t>
      </w:r>
      <w:r w:rsidRPr="005D56D3">
        <w:rPr>
          <w:bCs/>
          <w:iCs/>
          <w:sz w:val="22"/>
          <w:szCs w:val="22"/>
        </w:rPr>
        <w:t>and</w:t>
      </w:r>
      <w:r w:rsidRPr="005D56D3">
        <w:rPr>
          <w:b/>
          <w:bCs/>
          <w:iCs/>
          <w:sz w:val="22"/>
          <w:szCs w:val="22"/>
        </w:rPr>
        <w:t xml:space="preserve"> “</w:t>
      </w:r>
      <w:r w:rsidRPr="005D56D3">
        <w:rPr>
          <w:sz w:val="22"/>
          <w:szCs w:val="22"/>
        </w:rPr>
        <w:t xml:space="preserve">Tertullian and Daniel 9:24-27”: over the past century (e.g.) Anderson, </w:t>
      </w:r>
      <w:r w:rsidRPr="005D56D3">
        <w:rPr>
          <w:i/>
          <w:sz w:val="22"/>
          <w:szCs w:val="22"/>
        </w:rPr>
        <w:t>Prince</w:t>
      </w:r>
      <w:r w:rsidRPr="005D56D3">
        <w:rPr>
          <w:sz w:val="22"/>
          <w:szCs w:val="22"/>
        </w:rPr>
        <w:t>; Hoehner, “Daniel’s Seventy Weeks and NT Chronology”; McFall</w:t>
      </w:r>
      <w:r w:rsidRPr="005D56D3">
        <w:rPr>
          <w:b/>
          <w:sz w:val="22"/>
          <w:szCs w:val="22"/>
        </w:rPr>
        <w:t>, “</w:t>
      </w:r>
      <w:r w:rsidRPr="005D56D3">
        <w:rPr>
          <w:sz w:val="22"/>
          <w:szCs w:val="22"/>
        </w:rPr>
        <w:t>Do the Sixty-Nine Weeks of Daniel Date the Messianic Mission of Nehemiah or Jesus?” Kalafian</w:t>
      </w:r>
      <w:r w:rsidRPr="005D56D3">
        <w:rPr>
          <w:b/>
          <w:sz w:val="22"/>
          <w:szCs w:val="22"/>
        </w:rPr>
        <w:t xml:space="preserve">, </w:t>
      </w:r>
      <w:r w:rsidRPr="005D56D3">
        <w:rPr>
          <w:i/>
          <w:sz w:val="22"/>
          <w:szCs w:val="22"/>
        </w:rPr>
        <w:t>The Prophecy of the Seventy Weeks of the Book of Daniel</w:t>
      </w:r>
      <w:r w:rsidRPr="005D56D3">
        <w:rPr>
          <w:sz w:val="22"/>
          <w:szCs w:val="22"/>
        </w:rPr>
        <w:t>; Lurie</w:t>
      </w:r>
      <w:r w:rsidRPr="005D56D3">
        <w:rPr>
          <w:b/>
          <w:sz w:val="22"/>
          <w:szCs w:val="22"/>
        </w:rPr>
        <w:t xml:space="preserve">, </w:t>
      </w:r>
      <w:r w:rsidRPr="005D56D3">
        <w:rPr>
          <w:sz w:val="22"/>
          <w:szCs w:val="22"/>
        </w:rPr>
        <w:t>"A New Interpretation of Daniel's 'Sevens' and the Chronology of the Seventy 'Sevens’”; Ouro</w:t>
      </w:r>
      <w:r w:rsidRPr="005D56D3">
        <w:rPr>
          <w:b/>
          <w:sz w:val="22"/>
          <w:szCs w:val="22"/>
        </w:rPr>
        <w:t xml:space="preserve">, </w:t>
      </w:r>
      <w:r w:rsidRPr="005D56D3">
        <w:rPr>
          <w:sz w:val="22"/>
          <w:szCs w:val="22"/>
        </w:rPr>
        <w:t>“Daniel 9:27a”; Shea, “When Did the Seventy Weeks of Daniel 9:24 Begin?”</w:t>
      </w:r>
    </w:p>
  </w:footnote>
  <w:footnote w:id="52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Jerome, </w:t>
      </w:r>
      <w:r w:rsidRPr="005D56D3">
        <w:rPr>
          <w:i/>
          <w:sz w:val="22"/>
          <w:szCs w:val="22"/>
        </w:rPr>
        <w:t>Daniel</w:t>
      </w:r>
      <w:r w:rsidRPr="005D56D3">
        <w:rPr>
          <w:sz w:val="22"/>
          <w:szCs w:val="22"/>
        </w:rPr>
        <w:t>, 105.</w:t>
      </w:r>
    </w:p>
  </w:footnote>
  <w:footnote w:id="53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E.g., Behrmann, </w:t>
      </w:r>
      <w:r w:rsidRPr="005D56D3">
        <w:rPr>
          <w:i/>
          <w:sz w:val="22"/>
          <w:szCs w:val="22"/>
        </w:rPr>
        <w:t>Das Buch Daniel</w:t>
      </w:r>
      <w:r w:rsidRPr="005D56D3">
        <w:rPr>
          <w:sz w:val="22"/>
          <w:szCs w:val="22"/>
        </w:rPr>
        <w:t>, on the passage; more recently Athas, “</w:t>
      </w:r>
      <w:r w:rsidRPr="005D56D3">
        <w:rPr>
          <w:bCs/>
          <w:sz w:val="22"/>
          <w:szCs w:val="22"/>
        </w:rPr>
        <w:t>In Search of the Seventy ‘Weeks’</w:t>
      </w:r>
      <w:r w:rsidRPr="005D56D3">
        <w:rPr>
          <w:sz w:val="22"/>
          <w:szCs w:val="22"/>
        </w:rPr>
        <w:t xml:space="preserve"> o</w:t>
      </w:r>
      <w:r w:rsidRPr="005D56D3">
        <w:rPr>
          <w:bCs/>
          <w:sz w:val="22"/>
          <w:szCs w:val="22"/>
        </w:rPr>
        <w:t>f Daniel 9”; Price</w:t>
      </w:r>
      <w:r w:rsidRPr="005D56D3">
        <w:rPr>
          <w:b/>
          <w:bCs/>
          <w:sz w:val="22"/>
          <w:szCs w:val="22"/>
        </w:rPr>
        <w:t xml:space="preserve">, </w:t>
      </w:r>
      <w:r w:rsidRPr="005D56D3">
        <w:rPr>
          <w:bCs/>
          <w:sz w:val="22"/>
          <w:szCs w:val="22"/>
        </w:rPr>
        <w:t xml:space="preserve"> “Prophetic Postponement in Daniel 9 and Other Texts.” </w:t>
      </w:r>
      <w:r w:rsidRPr="005D56D3">
        <w:rPr>
          <w:sz w:val="22"/>
          <w:szCs w:val="22"/>
        </w:rPr>
        <w:t xml:space="preserve"> </w:t>
      </w:r>
      <w:r w:rsidRPr="005D56D3">
        <w:rPr>
          <w:iCs/>
          <w:sz w:val="22"/>
          <w:szCs w:val="22"/>
        </w:rPr>
        <w:t>Pierce (</w:t>
      </w:r>
      <w:r w:rsidRPr="005D56D3">
        <w:rPr>
          <w:sz w:val="22"/>
          <w:szCs w:val="22"/>
        </w:rPr>
        <w:t>“</w:t>
      </w:r>
      <w:r w:rsidRPr="005D56D3">
        <w:rPr>
          <w:iCs/>
          <w:sz w:val="22"/>
          <w:szCs w:val="22"/>
        </w:rPr>
        <w:t>Spiritual Failure</w:t>
      </w:r>
      <w:r w:rsidRPr="005D56D3">
        <w:rPr>
          <w:sz w:val="22"/>
          <w:szCs w:val="22"/>
        </w:rPr>
        <w:t>, Postponement, and Daniel 9” rather suggests a link with the Hasmonean kings. Segal (</w:t>
      </w:r>
      <w:r w:rsidRPr="005D56D3">
        <w:rPr>
          <w:bCs/>
          <w:i/>
          <w:sz w:val="22"/>
          <w:szCs w:val="22"/>
        </w:rPr>
        <w:t>Dreams, Riddles, and Visions</w:t>
      </w:r>
      <w:r w:rsidRPr="005D56D3">
        <w:rPr>
          <w:bCs/>
          <w:sz w:val="22"/>
          <w:szCs w:val="22"/>
        </w:rPr>
        <w:t>, chap. 6) takes the first seven to beging rather than end with Cyrus.</w:t>
      </w:r>
    </w:p>
  </w:footnote>
  <w:footnote w:id="53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Porteous, </w:t>
      </w:r>
      <w:r w:rsidRPr="005D56D3">
        <w:rPr>
          <w:i/>
          <w:sz w:val="22"/>
          <w:szCs w:val="22"/>
        </w:rPr>
        <w:t>Daniel</w:t>
      </w:r>
      <w:r w:rsidRPr="005D56D3">
        <w:rPr>
          <w:sz w:val="22"/>
          <w:szCs w:val="22"/>
        </w:rPr>
        <w:t>, on the passage; cf. Driver’s comment that some of the figures are “patently incorrect” (“Sacred Numbers and Round Figures,” 65).</w:t>
      </w:r>
    </w:p>
  </w:footnote>
  <w:footnote w:id="53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Beckwith, </w:t>
      </w:r>
      <w:r w:rsidRPr="005D56D3">
        <w:rPr>
          <w:bCs/>
          <w:sz w:val="22"/>
          <w:szCs w:val="22"/>
        </w:rPr>
        <w:t>“Daniel 9 and the Date of Messiah’s Coming.”</w:t>
      </w:r>
    </w:p>
  </w:footnote>
  <w:footnote w:id="53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Grabbe, “Chronography in Hellenistic Jewish Historiography,” 43–44; Young (</w:t>
      </w:r>
      <w:r w:rsidRPr="005D56D3">
        <w:rPr>
          <w:i/>
          <w:sz w:val="22"/>
          <w:szCs w:val="22"/>
        </w:rPr>
        <w:t>Daniel</w:t>
      </w:r>
      <w:r w:rsidRPr="005D56D3">
        <w:rPr>
          <w:sz w:val="22"/>
          <w:szCs w:val="22"/>
        </w:rPr>
        <w:t>, on the passage)</w:t>
      </w:r>
      <w:r w:rsidRPr="005D56D3">
        <w:rPr>
          <w:i/>
          <w:sz w:val="22"/>
          <w:szCs w:val="22"/>
        </w:rPr>
        <w:t xml:space="preserve"> </w:t>
      </w:r>
      <w:r w:rsidRPr="005D56D3">
        <w:rPr>
          <w:sz w:val="22"/>
          <w:szCs w:val="22"/>
        </w:rPr>
        <w:t>describes it as symbol.</w:t>
      </w:r>
    </w:p>
  </w:footnote>
  <w:footnote w:id="53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Jerome, </w:t>
      </w:r>
      <w:r w:rsidRPr="005D56D3">
        <w:rPr>
          <w:i/>
          <w:sz w:val="22"/>
          <w:szCs w:val="22"/>
        </w:rPr>
        <w:t>Daniel</w:t>
      </w:r>
      <w:r w:rsidRPr="005D56D3">
        <w:rPr>
          <w:sz w:val="22"/>
          <w:szCs w:val="22"/>
        </w:rPr>
        <w:t>, 105.</w:t>
      </w:r>
    </w:p>
  </w:footnote>
  <w:footnote w:id="53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Young, </w:t>
      </w:r>
      <w:r w:rsidRPr="005D56D3">
        <w:rPr>
          <w:i/>
          <w:sz w:val="22"/>
          <w:szCs w:val="22"/>
        </w:rPr>
        <w:t>The Messianic Prophecies of Daniel</w:t>
      </w:r>
      <w:r w:rsidRPr="005D56D3">
        <w:rPr>
          <w:sz w:val="22"/>
          <w:szCs w:val="22"/>
        </w:rPr>
        <w:t xml:space="preserve">, 56. Cf. e.g., </w:t>
      </w:r>
      <w:r w:rsidRPr="005D56D3">
        <w:rPr>
          <w:bCs/>
          <w:iCs/>
          <w:sz w:val="22"/>
          <w:szCs w:val="22"/>
        </w:rPr>
        <w:t>Flesher</w:t>
      </w:r>
      <w:r w:rsidRPr="005D56D3">
        <w:rPr>
          <w:b/>
          <w:bCs/>
          <w:iCs/>
          <w:sz w:val="22"/>
          <w:szCs w:val="22"/>
        </w:rPr>
        <w:t xml:space="preserve">, </w:t>
      </w:r>
      <w:r w:rsidRPr="005D56D3">
        <w:rPr>
          <w:bCs/>
          <w:sz w:val="22"/>
          <w:szCs w:val="22"/>
        </w:rPr>
        <w:t>“Daniel 9:24-27 and the Tribulation,” 586; Hess</w:t>
      </w:r>
      <w:r w:rsidRPr="005D56D3">
        <w:rPr>
          <w:b/>
          <w:bCs/>
          <w:sz w:val="22"/>
          <w:szCs w:val="22"/>
        </w:rPr>
        <w:t xml:space="preserve">, </w:t>
      </w:r>
      <w:r w:rsidRPr="005D56D3">
        <w:rPr>
          <w:bCs/>
          <w:iCs/>
          <w:sz w:val="22"/>
          <w:szCs w:val="22"/>
        </w:rPr>
        <w:t xml:space="preserve">“The Seventy Sevens of Daniel 9”; </w:t>
      </w:r>
      <w:r w:rsidRPr="005D56D3">
        <w:rPr>
          <w:sz w:val="22"/>
          <w:szCs w:val="22"/>
        </w:rPr>
        <w:t>Haydon</w:t>
      </w:r>
      <w:r w:rsidRPr="005D56D3">
        <w:rPr>
          <w:b/>
          <w:sz w:val="22"/>
          <w:szCs w:val="22"/>
        </w:rPr>
        <w:t xml:space="preserve">, </w:t>
      </w:r>
      <w:r w:rsidRPr="005D56D3">
        <w:rPr>
          <w:sz w:val="22"/>
          <w:szCs w:val="22"/>
        </w:rPr>
        <w:t xml:space="preserve">“The ‘Seventy Sevens’ (Daniel 9:24) in Light of Heptadic Themes in Qumran”; Lucas, </w:t>
      </w:r>
      <w:r w:rsidRPr="005D56D3">
        <w:rPr>
          <w:bCs/>
          <w:sz w:val="22"/>
          <w:szCs w:val="22"/>
        </w:rPr>
        <w:t>“A Statue, a Fiery Furnace and a Dismal Swamp” 296-99.</w:t>
      </w:r>
    </w:p>
  </w:footnote>
  <w:footnote w:id="53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e.g., Koch, “Die Bedeuting der Apokalyptik”; Deines, “How Long? God’s Revealed Schedule for Salvation and the Outbreak of the Bar Kokhba Revolt.”</w:t>
      </w:r>
    </w:p>
  </w:footnote>
  <w:footnote w:id="53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Janowski, </w:t>
      </w:r>
      <w:r w:rsidRPr="005D56D3">
        <w:rPr>
          <w:i/>
          <w:sz w:val="22"/>
          <w:szCs w:val="22"/>
        </w:rPr>
        <w:t>Söhne als Heilsgeschehen</w:t>
      </w:r>
      <w:r w:rsidRPr="005D56D3">
        <w:rPr>
          <w:sz w:val="22"/>
          <w:szCs w:val="22"/>
        </w:rPr>
        <w:t>, 115–37.</w:t>
      </w:r>
    </w:p>
  </w:footnote>
  <w:footnote w:id="53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Anderson, </w:t>
      </w:r>
      <w:r w:rsidRPr="005D56D3">
        <w:rPr>
          <w:i/>
          <w:sz w:val="22"/>
          <w:szCs w:val="22"/>
        </w:rPr>
        <w:t>Signs and Wonders</w:t>
      </w:r>
      <w:r w:rsidRPr="005D56D3">
        <w:rPr>
          <w:sz w:val="22"/>
          <w:szCs w:val="22"/>
        </w:rPr>
        <w:t>, on the passage; Steck, “Weltgeschehen und Gottesvolk im Buche Daniel,” 65–75.</w:t>
      </w:r>
    </w:p>
  </w:footnote>
  <w:footnote w:id="53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Collins, Daniel with </w:t>
      </w:r>
      <w:r w:rsidRPr="005D56D3">
        <w:rPr>
          <w:i/>
          <w:sz w:val="22"/>
          <w:szCs w:val="22"/>
        </w:rPr>
        <w:t>an Introduction to Apocalyptic Literature</w:t>
      </w:r>
      <w:r w:rsidRPr="005D56D3">
        <w:rPr>
          <w:sz w:val="22"/>
          <w:szCs w:val="22"/>
        </w:rPr>
        <w:t>, 94–95.</w:t>
      </w:r>
    </w:p>
  </w:footnote>
  <w:footnote w:id="54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Charles, </w:t>
      </w:r>
      <w:r w:rsidRPr="005D56D3">
        <w:rPr>
          <w:i/>
          <w:sz w:val="22"/>
          <w:szCs w:val="22"/>
        </w:rPr>
        <w:t>Daniel</w:t>
      </w:r>
      <w:r w:rsidRPr="005D56D3">
        <w:rPr>
          <w:sz w:val="22"/>
          <w:szCs w:val="22"/>
        </w:rPr>
        <w:t>, on the passage.</w:t>
      </w:r>
    </w:p>
  </w:footnote>
  <w:footnote w:id="54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Jones, “The Prayer in Daniel ix,” 493.</w:t>
      </w:r>
    </w:p>
  </w:footnote>
  <w:footnote w:id="54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Heard’s study of the perspectives of 2 Maccabees and </w:t>
      </w:r>
      <w:r w:rsidRPr="005D56D3">
        <w:rPr>
          <w:i/>
          <w:sz w:val="22"/>
          <w:szCs w:val="22"/>
        </w:rPr>
        <w:t>T. Moses</w:t>
      </w:r>
      <w:r w:rsidRPr="005D56D3">
        <w:rPr>
          <w:sz w:val="22"/>
          <w:szCs w:val="22"/>
        </w:rPr>
        <w:t>, “The Maccabean Martyrs’ Contribution to Holy War,” 293–308.</w:t>
      </w:r>
    </w:p>
  </w:footnote>
  <w:footnote w:id="54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Against Young, </w:t>
      </w:r>
      <w:r w:rsidRPr="005D56D3">
        <w:rPr>
          <w:i/>
          <w:sz w:val="22"/>
          <w:szCs w:val="22"/>
        </w:rPr>
        <w:t>Daniel</w:t>
      </w:r>
      <w:r w:rsidRPr="005D56D3">
        <w:rPr>
          <w:sz w:val="22"/>
          <w:szCs w:val="22"/>
        </w:rPr>
        <w:t>, on the passage.</w:t>
      </w:r>
    </w:p>
  </w:footnote>
  <w:footnote w:id="54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Against Delcor, </w:t>
      </w:r>
      <w:r w:rsidRPr="005D56D3">
        <w:rPr>
          <w:i/>
          <w:sz w:val="22"/>
          <w:szCs w:val="22"/>
        </w:rPr>
        <w:t>Daniel</w:t>
      </w:r>
      <w:r w:rsidRPr="005D56D3">
        <w:rPr>
          <w:sz w:val="22"/>
          <w:szCs w:val="22"/>
        </w:rPr>
        <w:t>,</w:t>
      </w:r>
      <w:r w:rsidRPr="005D56D3">
        <w:rPr>
          <w:i/>
          <w:sz w:val="22"/>
          <w:szCs w:val="22"/>
        </w:rPr>
        <w:t xml:space="preserve"> </w:t>
      </w:r>
      <w:r w:rsidRPr="005D56D3">
        <w:rPr>
          <w:sz w:val="22"/>
          <w:szCs w:val="22"/>
        </w:rPr>
        <w:t>on the passage.</w:t>
      </w:r>
    </w:p>
  </w:footnote>
  <w:footnote w:id="54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Against Baumgarten, “The Heavenly Tribunal and the Personification of Ṣedeq in Jewish Apocalyptic,” 222–23.</w:t>
      </w:r>
    </w:p>
  </w:footnote>
  <w:footnote w:id="54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Keil, </w:t>
      </w:r>
      <w:r w:rsidRPr="005D56D3">
        <w:rPr>
          <w:i/>
          <w:sz w:val="22"/>
          <w:szCs w:val="22"/>
        </w:rPr>
        <w:t>Biblischer Kommentar</w:t>
      </w:r>
      <w:r w:rsidRPr="005D56D3">
        <w:rPr>
          <w:sz w:val="22"/>
          <w:szCs w:val="22"/>
        </w:rPr>
        <w:t>, on the passage.</w:t>
      </w:r>
    </w:p>
  </w:footnote>
  <w:footnote w:id="54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Doukhan, “The Seventy Weeks of Daniel 9,” 11–12.</w:t>
      </w:r>
    </w:p>
  </w:footnote>
  <w:footnote w:id="54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w:t>
      </w:r>
      <w:r w:rsidRPr="005D56D3">
        <w:rPr>
          <w:bCs/>
          <w:sz w:val="22"/>
          <w:szCs w:val="22"/>
        </w:rPr>
        <w:t>Avalos (</w:t>
      </w:r>
      <w:r w:rsidRPr="005D56D3">
        <w:rPr>
          <w:b/>
          <w:sz w:val="22"/>
          <w:szCs w:val="22"/>
        </w:rPr>
        <w:t>“</w:t>
      </w:r>
      <w:r w:rsidRPr="005D56D3">
        <w:rPr>
          <w:bCs/>
          <w:sz w:val="22"/>
          <w:szCs w:val="22"/>
        </w:rPr>
        <w:t>Daniel 9:24-25 and Mesopotamian Temple Rededications”) notes Mesopotamiah parallels.</w:t>
      </w:r>
    </w:p>
  </w:footnote>
  <w:footnote w:id="54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Against Payne, “The Goal of Daniel’s Seventy Weeks”; Doukhan, “The Seventy Weeks of Daniel 9,” 12–15.</w:t>
      </w:r>
    </w:p>
  </w:footnote>
  <w:footnote w:id="55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Poythress</w:t>
      </w:r>
      <w:r w:rsidRPr="005D56D3">
        <w:rPr>
          <w:b/>
          <w:sz w:val="22"/>
          <w:szCs w:val="22"/>
        </w:rPr>
        <w:t>, “</w:t>
      </w:r>
      <w:r w:rsidRPr="005D56D3">
        <w:rPr>
          <w:sz w:val="22"/>
          <w:szCs w:val="22"/>
        </w:rPr>
        <w:t>Hermeneutical Factors in Determining the Beginning of the Seventy Weeks.”</w:t>
      </w:r>
    </w:p>
  </w:footnote>
  <w:footnote w:id="55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Lacocque, </w:t>
      </w:r>
      <w:r w:rsidRPr="005D56D3">
        <w:rPr>
          <w:i/>
          <w:sz w:val="22"/>
          <w:szCs w:val="22"/>
        </w:rPr>
        <w:t>Daniel</w:t>
      </w:r>
      <w:r w:rsidRPr="005D56D3">
        <w:rPr>
          <w:sz w:val="22"/>
          <w:szCs w:val="22"/>
        </w:rPr>
        <w:t>, on the passage.</w:t>
      </w:r>
    </w:p>
  </w:footnote>
  <w:footnote w:id="55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Hartman/Di Lella, </w:t>
      </w:r>
      <w:r w:rsidRPr="005D56D3">
        <w:rPr>
          <w:i/>
          <w:sz w:val="22"/>
          <w:szCs w:val="22"/>
        </w:rPr>
        <w:t>Daniel</w:t>
      </w:r>
      <w:r w:rsidRPr="005D56D3">
        <w:rPr>
          <w:sz w:val="22"/>
          <w:szCs w:val="22"/>
        </w:rPr>
        <w:t>,</w:t>
      </w:r>
      <w:r w:rsidRPr="005D56D3">
        <w:rPr>
          <w:i/>
          <w:sz w:val="22"/>
          <w:szCs w:val="22"/>
        </w:rPr>
        <w:t xml:space="preserve"> </w:t>
      </w:r>
      <w:r w:rsidRPr="005D56D3">
        <w:rPr>
          <w:sz w:val="22"/>
          <w:szCs w:val="22"/>
        </w:rPr>
        <w:t>on the passage.</w:t>
      </w:r>
    </w:p>
  </w:footnote>
  <w:footnote w:id="55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Westermann, </w:t>
      </w:r>
      <w:r w:rsidRPr="005D56D3">
        <w:rPr>
          <w:i/>
          <w:sz w:val="22"/>
          <w:szCs w:val="22"/>
        </w:rPr>
        <w:t>Das Buch Jesaja: Kap</w:t>
      </w:r>
      <w:r w:rsidRPr="005D56D3">
        <w:rPr>
          <w:sz w:val="22"/>
          <w:szCs w:val="22"/>
        </w:rPr>
        <w:t xml:space="preserve">. 40–66, and Zimmerli, </w:t>
      </w:r>
      <w:r w:rsidRPr="005D56D3">
        <w:rPr>
          <w:i/>
          <w:sz w:val="22"/>
          <w:szCs w:val="22"/>
        </w:rPr>
        <w:t>Ezechiel</w:t>
      </w:r>
      <w:r w:rsidRPr="005D56D3">
        <w:rPr>
          <w:sz w:val="22"/>
          <w:szCs w:val="22"/>
        </w:rPr>
        <w:t>, on the passages.</w:t>
      </w:r>
    </w:p>
  </w:footnote>
  <w:footnote w:id="55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Nolland, “Sib. Or. iii. 265–94,”  162–63.</w:t>
      </w:r>
    </w:p>
  </w:footnote>
  <w:footnote w:id="55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Hengstenberg, </w:t>
      </w:r>
      <w:r w:rsidRPr="005D56D3">
        <w:rPr>
          <w:i/>
          <w:sz w:val="22"/>
          <w:szCs w:val="22"/>
        </w:rPr>
        <w:t>Christologie des AT</w:t>
      </w:r>
      <w:r w:rsidRPr="005D56D3">
        <w:rPr>
          <w:sz w:val="22"/>
          <w:szCs w:val="22"/>
        </w:rPr>
        <w:t xml:space="preserve">; Baldwin, </w:t>
      </w:r>
      <w:r w:rsidRPr="005D56D3">
        <w:rPr>
          <w:i/>
          <w:sz w:val="22"/>
          <w:szCs w:val="22"/>
        </w:rPr>
        <w:t>Daniel</w:t>
      </w:r>
      <w:r w:rsidRPr="005D56D3">
        <w:rPr>
          <w:sz w:val="22"/>
          <w:szCs w:val="22"/>
        </w:rPr>
        <w:t xml:space="preserve">, on the passage; but also Montgomery, </w:t>
      </w:r>
      <w:r w:rsidRPr="005D56D3">
        <w:rPr>
          <w:i/>
          <w:sz w:val="22"/>
          <w:szCs w:val="22"/>
        </w:rPr>
        <w:t>Daniel</w:t>
      </w:r>
      <w:r w:rsidRPr="005D56D3">
        <w:rPr>
          <w:sz w:val="22"/>
          <w:szCs w:val="22"/>
        </w:rPr>
        <w:t>, 383.</w:t>
      </w:r>
    </w:p>
  </w:footnote>
  <w:footnote w:id="55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Porteous, </w:t>
      </w:r>
      <w:r w:rsidRPr="005D56D3">
        <w:rPr>
          <w:i/>
          <w:sz w:val="22"/>
          <w:szCs w:val="22"/>
        </w:rPr>
        <w:t>Daniel</w:t>
      </w:r>
      <w:r w:rsidRPr="005D56D3">
        <w:rPr>
          <w:sz w:val="22"/>
          <w:szCs w:val="22"/>
        </w:rPr>
        <w:t>, on the passage.</w:t>
      </w:r>
    </w:p>
  </w:footnote>
  <w:footnote w:id="55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Against Young, </w:t>
      </w:r>
      <w:r w:rsidRPr="005D56D3">
        <w:rPr>
          <w:i/>
          <w:sz w:val="22"/>
          <w:szCs w:val="22"/>
        </w:rPr>
        <w:t>Daniel</w:t>
      </w:r>
      <w:r w:rsidRPr="005D56D3">
        <w:rPr>
          <w:sz w:val="22"/>
          <w:szCs w:val="22"/>
        </w:rPr>
        <w:t>, on the passage.</w:t>
      </w:r>
    </w:p>
  </w:footnote>
  <w:footnote w:id="55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Against Keil, </w:t>
      </w:r>
      <w:r w:rsidRPr="005D56D3">
        <w:rPr>
          <w:i/>
          <w:sz w:val="22"/>
          <w:szCs w:val="22"/>
        </w:rPr>
        <w:t>Biblischer Kommentar</w:t>
      </w:r>
      <w:r w:rsidRPr="005D56D3">
        <w:rPr>
          <w:sz w:val="22"/>
          <w:szCs w:val="22"/>
        </w:rPr>
        <w:t>, on the passage.</w:t>
      </w:r>
    </w:p>
  </w:footnote>
  <w:footnote w:id="55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Torrey, “The Messiah Son of Ephraim,” 268–72.</w:t>
      </w:r>
    </w:p>
  </w:footnote>
  <w:footnote w:id="56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But see </w:t>
      </w:r>
      <w:r w:rsidRPr="005D56D3">
        <w:rPr>
          <w:i/>
          <w:sz w:val="22"/>
          <w:szCs w:val="22"/>
        </w:rPr>
        <w:t xml:space="preserve">Comment </w:t>
      </w:r>
      <w:r w:rsidRPr="005D56D3">
        <w:rPr>
          <w:sz w:val="22"/>
          <w:szCs w:val="22"/>
        </w:rPr>
        <w:t>on 8:10-11.</w:t>
      </w:r>
    </w:p>
  </w:footnote>
  <w:footnote w:id="56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BDB, 504a.</w:t>
      </w:r>
    </w:p>
  </w:footnote>
  <w:footnote w:id="56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Bevan, </w:t>
      </w:r>
      <w:r w:rsidRPr="005D56D3">
        <w:rPr>
          <w:i/>
          <w:sz w:val="22"/>
          <w:szCs w:val="22"/>
        </w:rPr>
        <w:t>Daniel</w:t>
      </w:r>
      <w:r w:rsidRPr="005D56D3">
        <w:rPr>
          <w:sz w:val="22"/>
          <w:szCs w:val="22"/>
        </w:rPr>
        <w:t>, on the passage.</w:t>
      </w:r>
    </w:p>
  </w:footnote>
  <w:footnote w:id="56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Philip, </w:t>
      </w:r>
      <w:r w:rsidRPr="005D56D3">
        <w:rPr>
          <w:i/>
          <w:sz w:val="22"/>
          <w:szCs w:val="22"/>
        </w:rPr>
        <w:t>By the Rivers of Babylon</w:t>
      </w:r>
      <w:r w:rsidRPr="005D56D3">
        <w:rPr>
          <w:sz w:val="22"/>
          <w:szCs w:val="22"/>
        </w:rPr>
        <w:t>, on the passage.</w:t>
      </w:r>
    </w:p>
  </w:footnote>
  <w:footnote w:id="56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Charles, </w:t>
      </w:r>
      <w:r w:rsidRPr="005D56D3">
        <w:rPr>
          <w:i/>
          <w:sz w:val="22"/>
          <w:szCs w:val="22"/>
        </w:rPr>
        <w:t>Daniel</w:t>
      </w:r>
      <w:r w:rsidRPr="005D56D3">
        <w:rPr>
          <w:sz w:val="22"/>
          <w:szCs w:val="22"/>
        </w:rPr>
        <w:t>, on the passage.</w:t>
      </w:r>
    </w:p>
  </w:footnote>
  <w:footnote w:id="56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Against Lebram, “Apokalyptik und Hellenismus im Buche Daniel,” 513–15.</w:t>
      </w:r>
    </w:p>
  </w:footnote>
  <w:footnote w:id="56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Klein, “Über das Buch Daniel,” 240.</w:t>
      </w:r>
    </w:p>
  </w:footnote>
  <w:footnote w:id="56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Ford, </w:t>
      </w:r>
      <w:r w:rsidRPr="005D56D3">
        <w:rPr>
          <w:bCs/>
          <w:i/>
          <w:iCs/>
          <w:sz w:val="22"/>
          <w:szCs w:val="22"/>
        </w:rPr>
        <w:t>The Abomination of Desolation</w:t>
      </w:r>
      <w:r w:rsidRPr="005D56D3">
        <w:rPr>
          <w:sz w:val="22"/>
          <w:szCs w:val="22"/>
        </w:rPr>
        <w:t xml:space="preserve">, 148. See further </w:t>
      </w:r>
      <w:r w:rsidRPr="005D56D3">
        <w:rPr>
          <w:bCs/>
          <w:sz w:val="22"/>
          <w:szCs w:val="22"/>
        </w:rPr>
        <w:t xml:space="preserve">Theophilos, </w:t>
      </w:r>
      <w:r w:rsidRPr="005D56D3">
        <w:rPr>
          <w:bCs/>
          <w:i/>
          <w:iCs/>
          <w:sz w:val="22"/>
          <w:szCs w:val="22"/>
        </w:rPr>
        <w:t>The Abomination of Desolation in Matthew 24</w:t>
      </w:r>
      <w:r w:rsidRPr="005D56D3">
        <w:rPr>
          <w:bCs/>
          <w:iCs/>
          <w:sz w:val="22"/>
          <w:szCs w:val="22"/>
        </w:rPr>
        <w:t xml:space="preserve">, 178-90; he also notes the irony with which </w:t>
      </w:r>
    </w:p>
  </w:footnote>
  <w:footnote w:id="56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Lacocque, </w:t>
      </w:r>
      <w:r w:rsidRPr="005D56D3">
        <w:rPr>
          <w:i/>
          <w:sz w:val="22"/>
          <w:szCs w:val="22"/>
        </w:rPr>
        <w:t>Damiel</w:t>
      </w:r>
      <w:r w:rsidRPr="005D56D3">
        <w:rPr>
          <w:sz w:val="22"/>
          <w:szCs w:val="22"/>
        </w:rPr>
        <w:t>, on the passage.</w:t>
      </w:r>
    </w:p>
  </w:footnote>
  <w:footnote w:id="56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Delcor, </w:t>
      </w:r>
      <w:r w:rsidRPr="005D56D3">
        <w:rPr>
          <w:i/>
          <w:sz w:val="22"/>
          <w:szCs w:val="22"/>
        </w:rPr>
        <w:t>Daniel</w:t>
      </w:r>
      <w:r w:rsidRPr="005D56D3">
        <w:rPr>
          <w:sz w:val="22"/>
          <w:szCs w:val="22"/>
        </w:rPr>
        <w:t>, on the passage.</w:t>
      </w:r>
    </w:p>
  </w:footnote>
  <w:footnote w:id="57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Koch, “Spätisraelitische Geschichtsdenken am Beispiel des Buches Daniel,” 21.</w:t>
      </w:r>
    </w:p>
  </w:footnote>
  <w:footnote w:id="57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Calvin, </w:t>
      </w:r>
      <w:r w:rsidRPr="005D56D3">
        <w:rPr>
          <w:i/>
          <w:sz w:val="22"/>
          <w:szCs w:val="22"/>
        </w:rPr>
        <w:t>Daniel</w:t>
      </w:r>
      <w:r w:rsidRPr="005D56D3">
        <w:rPr>
          <w:sz w:val="22"/>
          <w:szCs w:val="22"/>
        </w:rPr>
        <w:t xml:space="preserve"> 2:135.</w:t>
      </w:r>
    </w:p>
  </w:footnote>
  <w:footnote w:id="57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Petersen</w:t>
      </w:r>
      <w:r w:rsidRPr="005D56D3">
        <w:rPr>
          <w:b/>
          <w:sz w:val="22"/>
          <w:szCs w:val="22"/>
        </w:rPr>
        <w:t xml:space="preserve">, </w:t>
      </w:r>
      <w:r w:rsidRPr="005D56D3">
        <w:rPr>
          <w:sz w:val="22"/>
          <w:szCs w:val="22"/>
        </w:rPr>
        <w:t xml:space="preserve">“The Prayers of Daniel,” 63. </w:t>
      </w:r>
    </w:p>
  </w:footnote>
  <w:footnote w:id="573">
    <w:p w:rsidR="008E57DC" w:rsidRPr="005D56D3" w:rsidRDefault="008E57DC" w:rsidP="003B39BB">
      <w:pPr>
        <w:pStyle w:val="FootnoteText"/>
        <w:rPr>
          <w:sz w:val="22"/>
          <w:szCs w:val="22"/>
        </w:rPr>
      </w:pPr>
      <w:r w:rsidRPr="005D56D3">
        <w:rPr>
          <w:rStyle w:val="FootnoteReference"/>
          <w:sz w:val="22"/>
          <w:szCs w:val="22"/>
        </w:rPr>
        <w:footnoteRef/>
      </w:r>
      <w:r w:rsidRPr="005D56D3">
        <w:rPr>
          <w:sz w:val="22"/>
          <w:szCs w:val="22"/>
        </w:rPr>
        <w:t xml:space="preserve"> Flesher, “Tricksters and Martyrs,” 156.</w:t>
      </w:r>
    </w:p>
  </w:footnote>
  <w:footnote w:id="57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Lüthi, </w:t>
      </w:r>
      <w:r w:rsidRPr="005D56D3">
        <w:rPr>
          <w:i/>
          <w:sz w:val="22"/>
          <w:szCs w:val="22"/>
        </w:rPr>
        <w:t>The Church to Come</w:t>
      </w:r>
      <w:r w:rsidRPr="005D56D3">
        <w:rPr>
          <w:sz w:val="22"/>
          <w:szCs w:val="22"/>
        </w:rPr>
        <w:t xml:space="preserve">, 121-27. </w:t>
      </w:r>
    </w:p>
  </w:footnote>
  <w:footnote w:id="57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Porteous, </w:t>
      </w:r>
      <w:r w:rsidRPr="005D56D3">
        <w:rPr>
          <w:i/>
          <w:sz w:val="22"/>
          <w:szCs w:val="22"/>
        </w:rPr>
        <w:t>Daniel</w:t>
      </w:r>
      <w:r w:rsidRPr="005D56D3">
        <w:rPr>
          <w:sz w:val="22"/>
          <w:szCs w:val="22"/>
        </w:rPr>
        <w:t>, on the passage.</w:t>
      </w:r>
    </w:p>
  </w:footnote>
  <w:footnote w:id="57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Rosscup</w:t>
      </w:r>
      <w:r w:rsidRPr="005D56D3">
        <w:rPr>
          <w:b/>
          <w:sz w:val="22"/>
          <w:szCs w:val="22"/>
        </w:rPr>
        <w:t>, “</w:t>
      </w:r>
      <w:r w:rsidRPr="005D56D3">
        <w:rPr>
          <w:sz w:val="22"/>
          <w:szCs w:val="22"/>
        </w:rPr>
        <w:t>Prayer Relating to Prophecy in Daniel 9.”</w:t>
      </w:r>
    </w:p>
  </w:footnote>
  <w:footnote w:id="57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Gregory Thaumaturgus, </w:t>
      </w:r>
      <w:r w:rsidRPr="005D56D3">
        <w:rPr>
          <w:rFonts w:eastAsia="Times-Roman" w:cs="Times-Roman"/>
          <w:i/>
          <w:sz w:val="22"/>
          <w:szCs w:val="22"/>
        </w:rPr>
        <w:t>Address of Thanksgiving to Origen</w:t>
      </w:r>
      <w:r w:rsidRPr="005D56D3">
        <w:rPr>
          <w:sz w:val="22"/>
          <w:szCs w:val="22"/>
        </w:rPr>
        <w:t xml:space="preserve"> 15; cf. Bickerman, </w:t>
      </w:r>
      <w:r w:rsidRPr="005D56D3">
        <w:rPr>
          <w:i/>
          <w:sz w:val="22"/>
          <w:szCs w:val="22"/>
        </w:rPr>
        <w:t>Four Strange Books of the Bible</w:t>
      </w:r>
      <w:r w:rsidRPr="005D56D3">
        <w:rPr>
          <w:sz w:val="22"/>
          <w:szCs w:val="22"/>
        </w:rPr>
        <w:t>, 111.</w:t>
      </w:r>
    </w:p>
  </w:footnote>
  <w:footnote w:id="578">
    <w:p w:rsidR="008E57DC" w:rsidRPr="005D56D3" w:rsidRDefault="008E57DC" w:rsidP="00E95752">
      <w:pPr>
        <w:pStyle w:val="FootnoteText"/>
        <w:rPr>
          <w:sz w:val="22"/>
          <w:szCs w:val="22"/>
        </w:rPr>
      </w:pPr>
      <w:r w:rsidRPr="005D56D3">
        <w:rPr>
          <w:rStyle w:val="FootnoteReference"/>
          <w:sz w:val="22"/>
          <w:szCs w:val="22"/>
        </w:rPr>
        <w:footnoteRef/>
      </w:r>
      <w:r w:rsidRPr="005D56D3">
        <w:rPr>
          <w:sz w:val="22"/>
          <w:szCs w:val="22"/>
        </w:rPr>
        <w:t xml:space="preserve"> Briggs, “‘I Perceived in the Books,’” 124, 127.</w:t>
      </w:r>
    </w:p>
  </w:footnote>
  <w:footnote w:id="57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DeVries, </w:t>
      </w:r>
      <w:r w:rsidRPr="005D56D3">
        <w:rPr>
          <w:i/>
          <w:sz w:val="22"/>
          <w:szCs w:val="22"/>
        </w:rPr>
        <w:t>Achievements of Biblical Religion</w:t>
      </w:r>
      <w:r w:rsidRPr="005D56D3">
        <w:rPr>
          <w:sz w:val="22"/>
          <w:szCs w:val="22"/>
        </w:rPr>
        <w:t>, 342.</w:t>
      </w:r>
    </w:p>
  </w:footnote>
  <w:footnote w:id="58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Werline, “Prayer, Politics, and Social Vision in Daniel 9,” 30; Venter on “Daniel 9” in the same volums makes parallel points. </w:t>
      </w:r>
    </w:p>
  </w:footnote>
  <w:footnote w:id="58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J. Gould, </w:t>
      </w:r>
      <w:r w:rsidRPr="005D56D3">
        <w:rPr>
          <w:i/>
          <w:sz w:val="22"/>
          <w:szCs w:val="22"/>
        </w:rPr>
        <w:t>Herodotus</w:t>
      </w:r>
      <w:r w:rsidRPr="005D56D3">
        <w:rPr>
          <w:sz w:val="22"/>
          <w:szCs w:val="22"/>
        </w:rPr>
        <w:t xml:space="preserve"> (New York: St. Martin’s, 1989), as quoted in Niskanen, </w:t>
      </w:r>
      <w:r w:rsidRPr="005D56D3">
        <w:rPr>
          <w:i/>
          <w:sz w:val="22"/>
          <w:szCs w:val="22"/>
        </w:rPr>
        <w:t>The Human and the Divine in History</w:t>
      </w:r>
      <w:r w:rsidRPr="005D56D3">
        <w:rPr>
          <w:sz w:val="22"/>
          <w:szCs w:val="22"/>
        </w:rPr>
        <w:t>, 102.</w:t>
      </w:r>
    </w:p>
  </w:footnote>
  <w:footnote w:id="58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Melanchthon, </w:t>
      </w:r>
      <w:r w:rsidRPr="005D56D3">
        <w:rPr>
          <w:i/>
          <w:sz w:val="22"/>
          <w:szCs w:val="22"/>
        </w:rPr>
        <w:t>In Danielem prophetam</w:t>
      </w:r>
      <w:r w:rsidRPr="005D56D3">
        <w:rPr>
          <w:sz w:val="22"/>
          <w:szCs w:val="22"/>
        </w:rPr>
        <w:t xml:space="preserve">, 153, as quoted in Beckwith, </w:t>
      </w:r>
      <w:r w:rsidRPr="005D56D3">
        <w:rPr>
          <w:i/>
          <w:sz w:val="22"/>
          <w:szCs w:val="22"/>
        </w:rPr>
        <w:t>Ezekiel, Daniel</w:t>
      </w:r>
      <w:r w:rsidRPr="005D56D3">
        <w:rPr>
          <w:sz w:val="22"/>
          <w:szCs w:val="22"/>
        </w:rPr>
        <w:t>, 359.</w:t>
      </w:r>
    </w:p>
  </w:footnote>
  <w:footnote w:id="58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Ulrich’s comment on Jewish interpretation, “How Early Judaism Read Daniel 9:24-27.”</w:t>
      </w:r>
    </w:p>
  </w:footnote>
  <w:footnote w:id="58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Pascal’s </w:t>
      </w:r>
      <w:r w:rsidRPr="005D56D3">
        <w:rPr>
          <w:i/>
          <w:sz w:val="22"/>
          <w:szCs w:val="22"/>
        </w:rPr>
        <w:t>Pensées</w:t>
      </w:r>
      <w:r w:rsidRPr="005D56D3">
        <w:rPr>
          <w:sz w:val="22"/>
          <w:szCs w:val="22"/>
        </w:rPr>
        <w:t xml:space="preserve">, 697 or 698 (the numbering varies); </w:t>
      </w:r>
      <w:r w:rsidRPr="005D56D3">
        <w:rPr>
          <w:i/>
          <w:sz w:val="22"/>
          <w:szCs w:val="22"/>
        </w:rPr>
        <w:t>Thoughts of Blaise Pascal</w:t>
      </w:r>
      <w:r w:rsidRPr="005D56D3">
        <w:rPr>
          <w:sz w:val="22"/>
          <w:szCs w:val="22"/>
        </w:rPr>
        <w:t xml:space="preserve">, 131. Cf. Bickerman, </w:t>
      </w:r>
      <w:r w:rsidRPr="005D56D3">
        <w:rPr>
          <w:i/>
          <w:sz w:val="22"/>
          <w:szCs w:val="22"/>
        </w:rPr>
        <w:t>Four Strange Books</w:t>
      </w:r>
      <w:r w:rsidRPr="005D56D3">
        <w:rPr>
          <w:sz w:val="22"/>
          <w:szCs w:val="22"/>
        </w:rPr>
        <w:t>, 193.</w:t>
      </w:r>
    </w:p>
  </w:footnote>
  <w:footnote w:id="58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Berrigan, </w:t>
      </w:r>
      <w:r w:rsidRPr="005D56D3">
        <w:rPr>
          <w:i/>
          <w:sz w:val="22"/>
          <w:szCs w:val="22"/>
        </w:rPr>
        <w:t>Daniel</w:t>
      </w:r>
      <w:r w:rsidRPr="005D56D3">
        <w:rPr>
          <w:sz w:val="22"/>
          <w:szCs w:val="22"/>
        </w:rPr>
        <w:t>, 155.</w:t>
      </w:r>
    </w:p>
  </w:footnote>
  <w:footnote w:id="58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Heaton, </w:t>
      </w:r>
      <w:r w:rsidRPr="005D56D3">
        <w:rPr>
          <w:i/>
          <w:sz w:val="22"/>
          <w:szCs w:val="22"/>
        </w:rPr>
        <w:t>Daniel</w:t>
      </w:r>
      <w:r w:rsidRPr="005D56D3">
        <w:rPr>
          <w:sz w:val="22"/>
          <w:szCs w:val="22"/>
        </w:rPr>
        <w:t>, on the passage.</w:t>
      </w:r>
    </w:p>
  </w:footnote>
  <w:footnote w:id="58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Seow, </w:t>
      </w:r>
      <w:r w:rsidRPr="005D56D3">
        <w:rPr>
          <w:i/>
          <w:sz w:val="22"/>
          <w:szCs w:val="22"/>
        </w:rPr>
        <w:t>Daniel</w:t>
      </w:r>
      <w:r w:rsidRPr="005D56D3">
        <w:rPr>
          <w:sz w:val="22"/>
          <w:szCs w:val="22"/>
        </w:rPr>
        <w:t>, 139.</w:t>
      </w:r>
    </w:p>
  </w:footnote>
  <w:footnote w:id="58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Nolan Fewell, </w:t>
      </w:r>
      <w:r w:rsidRPr="005D56D3">
        <w:rPr>
          <w:i/>
          <w:sz w:val="22"/>
          <w:szCs w:val="22"/>
        </w:rPr>
        <w:t>Circle of Sovereignty</w:t>
      </w:r>
      <w:r w:rsidRPr="005D56D3">
        <w:rPr>
          <w:sz w:val="22"/>
          <w:szCs w:val="22"/>
        </w:rPr>
        <w:t>, 122 (she adds that God gave Jerusalem over because of its sin, but Dan 1:1 pointedly does not make that point).</w:t>
      </w:r>
    </w:p>
  </w:footnote>
  <w:footnote w:id="58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Lash, </w:t>
      </w:r>
      <w:r w:rsidRPr="005D56D3">
        <w:rPr>
          <w:i/>
          <w:sz w:val="22"/>
          <w:szCs w:val="22"/>
        </w:rPr>
        <w:t>Theology on the Way to Emmaus</w:t>
      </w:r>
      <w:r w:rsidRPr="005D56D3">
        <w:rPr>
          <w:sz w:val="22"/>
          <w:szCs w:val="22"/>
        </w:rPr>
        <w:t>, 66–69; cf. Rahner, “Weltgeschichte und Heilsgeschichte.”</w:t>
      </w:r>
    </w:p>
  </w:footnote>
  <w:footnote w:id="59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Hebbard, </w:t>
      </w:r>
      <w:r w:rsidRPr="005D56D3">
        <w:rPr>
          <w:i/>
          <w:sz w:val="22"/>
          <w:szCs w:val="22"/>
        </w:rPr>
        <w:t>Reading Daniel</w:t>
      </w:r>
      <w:r w:rsidRPr="005D56D3">
        <w:rPr>
          <w:sz w:val="22"/>
          <w:szCs w:val="22"/>
        </w:rPr>
        <w:t>, 193-94.</w:t>
      </w:r>
    </w:p>
  </w:footnote>
  <w:footnote w:id="59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Plöger, </w:t>
      </w:r>
      <w:r w:rsidRPr="005D56D3">
        <w:rPr>
          <w:i/>
          <w:sz w:val="22"/>
          <w:szCs w:val="22"/>
        </w:rPr>
        <w:t>Daniel</w:t>
      </w:r>
      <w:r w:rsidRPr="005D56D3">
        <w:rPr>
          <w:sz w:val="22"/>
          <w:szCs w:val="22"/>
        </w:rPr>
        <w:t>, on the passage.</w:t>
      </w:r>
    </w:p>
  </w:footnote>
  <w:footnote w:id="59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Rowland, </w:t>
      </w:r>
      <w:r w:rsidRPr="005D56D3">
        <w:rPr>
          <w:i/>
          <w:sz w:val="22"/>
          <w:szCs w:val="22"/>
        </w:rPr>
        <w:t>The Open Heaven</w:t>
      </w:r>
      <w:r w:rsidRPr="005D56D3">
        <w:rPr>
          <w:sz w:val="22"/>
          <w:szCs w:val="22"/>
        </w:rPr>
        <w:t>.</w:t>
      </w:r>
    </w:p>
  </w:footnote>
  <w:footnote w:id="59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Meadowcroft, “History and Eschatology in Tension,” 247.</w:t>
      </w:r>
    </w:p>
  </w:footnote>
  <w:footnote w:id="59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w:t>
      </w:r>
      <w:r w:rsidRPr="005D56D3">
        <w:rPr>
          <w:i/>
          <w:sz w:val="22"/>
          <w:szCs w:val="22"/>
        </w:rPr>
        <w:t>ANET</w:t>
      </w:r>
      <w:r w:rsidRPr="005D56D3">
        <w:rPr>
          <w:sz w:val="22"/>
          <w:szCs w:val="22"/>
        </w:rPr>
        <w:t xml:space="preserve">, 606; cf. </w:t>
      </w:r>
      <w:r w:rsidRPr="005D56D3">
        <w:rPr>
          <w:i/>
          <w:sz w:val="22"/>
          <w:szCs w:val="22"/>
        </w:rPr>
        <w:t>NERT</w:t>
      </w:r>
      <w:r w:rsidRPr="005D56D3">
        <w:rPr>
          <w:sz w:val="22"/>
          <w:szCs w:val="22"/>
        </w:rPr>
        <w:t xml:space="preserve"> 118–22.</w:t>
      </w:r>
    </w:p>
  </w:footnote>
  <w:footnote w:id="59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Grayson, </w:t>
      </w:r>
      <w:r w:rsidRPr="005D56D3">
        <w:rPr>
          <w:i/>
          <w:sz w:val="22"/>
          <w:szCs w:val="22"/>
        </w:rPr>
        <w:t>Babylonian Historical-Literary Texts</w:t>
      </w:r>
      <w:r w:rsidRPr="005D56D3">
        <w:rPr>
          <w:sz w:val="22"/>
          <w:szCs w:val="22"/>
        </w:rPr>
        <w:t xml:space="preserve">, 13–37; see also Lambert, </w:t>
      </w:r>
      <w:r w:rsidRPr="005D56D3">
        <w:rPr>
          <w:i/>
          <w:sz w:val="22"/>
          <w:szCs w:val="22"/>
        </w:rPr>
        <w:t>The Background of Jewish Apocalyptic</w:t>
      </w:r>
      <w:r w:rsidRPr="005D56D3">
        <w:rPr>
          <w:sz w:val="22"/>
          <w:szCs w:val="22"/>
        </w:rPr>
        <w:t xml:space="preserve">, 9–16; Lucas, </w:t>
      </w:r>
      <w:r w:rsidRPr="005D56D3">
        <w:rPr>
          <w:i/>
          <w:sz w:val="22"/>
          <w:szCs w:val="22"/>
        </w:rPr>
        <w:t>Daniel</w:t>
      </w:r>
      <w:r w:rsidRPr="005D56D3">
        <w:rPr>
          <w:sz w:val="22"/>
          <w:szCs w:val="22"/>
        </w:rPr>
        <w:t>, 269-72;</w:t>
      </w:r>
      <w:r w:rsidRPr="005D56D3">
        <w:rPr>
          <w:i/>
          <w:sz w:val="22"/>
          <w:szCs w:val="22"/>
        </w:rPr>
        <w:t xml:space="preserve"> </w:t>
      </w:r>
      <w:r w:rsidRPr="005D56D3">
        <w:rPr>
          <w:sz w:val="22"/>
          <w:szCs w:val="22"/>
        </w:rPr>
        <w:t xml:space="preserve">more broadly Hengel, </w:t>
      </w:r>
      <w:r w:rsidRPr="005D56D3">
        <w:rPr>
          <w:i/>
          <w:sz w:val="22"/>
          <w:szCs w:val="22"/>
        </w:rPr>
        <w:t>Judentum</w:t>
      </w:r>
      <w:r w:rsidRPr="005D56D3">
        <w:rPr>
          <w:sz w:val="22"/>
          <w:szCs w:val="22"/>
        </w:rPr>
        <w:t xml:space="preserve"> </w:t>
      </w:r>
      <w:r w:rsidRPr="005D56D3">
        <w:rPr>
          <w:i/>
          <w:sz w:val="22"/>
          <w:szCs w:val="22"/>
        </w:rPr>
        <w:t>und Hellenismus</w:t>
      </w:r>
      <w:r w:rsidRPr="005D56D3">
        <w:rPr>
          <w:sz w:val="22"/>
          <w:szCs w:val="22"/>
        </w:rPr>
        <w:t xml:space="preserve">, 337–45 (ET 1:184–89); Osswald, “Zum Problem der </w:t>
      </w:r>
      <w:r w:rsidRPr="005D56D3">
        <w:rPr>
          <w:i/>
          <w:sz w:val="22"/>
          <w:szCs w:val="22"/>
        </w:rPr>
        <w:t>vaticinia ex eventu</w:t>
      </w:r>
      <w:r w:rsidRPr="005D56D3">
        <w:rPr>
          <w:sz w:val="22"/>
          <w:szCs w:val="22"/>
        </w:rPr>
        <w:t xml:space="preserve">”; also Collins (ed.), </w:t>
      </w:r>
      <w:r w:rsidRPr="005D56D3">
        <w:rPr>
          <w:i/>
          <w:sz w:val="22"/>
          <w:szCs w:val="22"/>
        </w:rPr>
        <w:t>Apocalypse</w:t>
      </w:r>
      <w:r w:rsidRPr="005D56D3">
        <w:rPr>
          <w:sz w:val="22"/>
          <w:szCs w:val="22"/>
        </w:rPr>
        <w:t xml:space="preserve">, on </w:t>
      </w:r>
      <w:r w:rsidRPr="005D56D3">
        <w:rPr>
          <w:i/>
          <w:sz w:val="22"/>
          <w:szCs w:val="22"/>
        </w:rPr>
        <w:t>Sib. Or.,</w:t>
      </w:r>
      <w:r w:rsidRPr="005D56D3">
        <w:rPr>
          <w:sz w:val="22"/>
          <w:szCs w:val="22"/>
        </w:rPr>
        <w:t xml:space="preserve"> especially the oracle on Alexander in 3.388–400, updated to refer to Antiochus.</w:t>
      </w:r>
    </w:p>
  </w:footnote>
  <w:footnote w:id="59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w:t>
      </w:r>
      <w:r w:rsidRPr="005D56D3">
        <w:rPr>
          <w:bCs/>
          <w:sz w:val="22"/>
          <w:szCs w:val="22"/>
        </w:rPr>
        <w:t>Neujahr</w:t>
      </w:r>
      <w:r w:rsidRPr="005D56D3">
        <w:rPr>
          <w:b/>
          <w:bCs/>
          <w:sz w:val="22"/>
          <w:szCs w:val="22"/>
        </w:rPr>
        <w:t xml:space="preserve">, </w:t>
      </w:r>
      <w:r w:rsidRPr="005D56D3">
        <w:rPr>
          <w:bCs/>
          <w:i/>
          <w:sz w:val="22"/>
          <w:szCs w:val="22"/>
        </w:rPr>
        <w:t>Predicting the Past in the Ancien Near East</w:t>
      </w:r>
      <w:r w:rsidRPr="005D56D3">
        <w:rPr>
          <w:bCs/>
          <w:sz w:val="22"/>
          <w:szCs w:val="22"/>
        </w:rPr>
        <w:t>, 119-36.</w:t>
      </w:r>
    </w:p>
  </w:footnote>
  <w:footnote w:id="59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Collins, </w:t>
      </w:r>
      <w:r w:rsidRPr="005D56D3">
        <w:rPr>
          <w:i/>
          <w:sz w:val="22"/>
          <w:szCs w:val="22"/>
        </w:rPr>
        <w:t>Daniel</w:t>
      </w:r>
      <w:r w:rsidRPr="005D56D3">
        <w:rPr>
          <w:sz w:val="22"/>
          <w:szCs w:val="22"/>
        </w:rPr>
        <w:t xml:space="preserve"> </w:t>
      </w:r>
      <w:r w:rsidRPr="005D56D3">
        <w:rPr>
          <w:i/>
          <w:sz w:val="22"/>
          <w:szCs w:val="22"/>
        </w:rPr>
        <w:t>with an Introduction to Apocalyptic Literature</w:t>
      </w:r>
      <w:r w:rsidRPr="005D56D3">
        <w:rPr>
          <w:sz w:val="22"/>
          <w:szCs w:val="22"/>
        </w:rPr>
        <w:t>, 34.</w:t>
      </w:r>
    </w:p>
  </w:footnote>
  <w:footnote w:id="59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Against Baldwin, “Some Literary Affinities of the Book of Daniel,” 92–94. On theological questions that might be raised by the conclusion that the scriptures contain quasi-predictions, see the Conclusion to this commentary</w:t>
      </w:r>
      <w:r w:rsidRPr="005D56D3">
        <w:rPr>
          <w:i/>
          <w:sz w:val="22"/>
          <w:szCs w:val="22"/>
        </w:rPr>
        <w:t xml:space="preserve"> </w:t>
      </w:r>
      <w:r w:rsidRPr="005D56D3">
        <w:rPr>
          <w:sz w:val="22"/>
          <w:szCs w:val="22"/>
        </w:rPr>
        <w:t xml:space="preserve">under </w:t>
      </w:r>
      <w:r w:rsidRPr="005D56D3">
        <w:rPr>
          <w:i/>
          <w:sz w:val="22"/>
          <w:szCs w:val="22"/>
        </w:rPr>
        <w:t>Form</w:t>
      </w:r>
      <w:r w:rsidRPr="005D56D3">
        <w:rPr>
          <w:sz w:val="22"/>
          <w:szCs w:val="22"/>
        </w:rPr>
        <w:t>.</w:t>
      </w:r>
    </w:p>
  </w:footnote>
  <w:footnote w:id="59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Fishbane, </w:t>
      </w:r>
      <w:r w:rsidRPr="005D56D3">
        <w:rPr>
          <w:i/>
          <w:sz w:val="22"/>
          <w:szCs w:val="22"/>
        </w:rPr>
        <w:t>Biblical Interpretation in Ancient Israel</w:t>
      </w:r>
      <w:r w:rsidRPr="005D56D3">
        <w:rPr>
          <w:sz w:val="22"/>
          <w:szCs w:val="22"/>
        </w:rPr>
        <w:t xml:space="preserve">, 520. </w:t>
      </w:r>
    </w:p>
  </w:footnote>
  <w:footnote w:id="60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Lists in Boutflower, </w:t>
      </w:r>
      <w:r w:rsidRPr="005D56D3">
        <w:rPr>
          <w:i/>
          <w:sz w:val="22"/>
          <w:szCs w:val="22"/>
        </w:rPr>
        <w:t>In and Around the Book of Daniel</w:t>
      </w:r>
      <w:r w:rsidRPr="005D56D3">
        <w:rPr>
          <w:sz w:val="22"/>
          <w:szCs w:val="22"/>
        </w:rPr>
        <w:t>, 224–25.</w:t>
      </w:r>
    </w:p>
  </w:footnote>
  <w:footnote w:id="60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Hasslberger (</w:t>
      </w:r>
      <w:r w:rsidRPr="005D56D3">
        <w:rPr>
          <w:i/>
          <w:sz w:val="22"/>
          <w:szCs w:val="22"/>
        </w:rPr>
        <w:t>Hoffnung in der Bedrängnis</w:t>
      </w:r>
      <w:r w:rsidRPr="005D56D3">
        <w:rPr>
          <w:sz w:val="22"/>
          <w:szCs w:val="22"/>
        </w:rPr>
        <w:t>, 190–91) understands 10:14 to refer to chap. 8 in this connection.</w:t>
      </w:r>
    </w:p>
  </w:footnote>
  <w:footnote w:id="60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Kim, </w:t>
      </w:r>
      <w:r w:rsidRPr="005D56D3">
        <w:rPr>
          <w:i/>
          <w:sz w:val="22"/>
          <w:szCs w:val="22"/>
        </w:rPr>
        <w:t>Biblical Interpretation in the Book of Daniel</w:t>
      </w:r>
      <w:r w:rsidRPr="005D56D3">
        <w:rPr>
          <w:sz w:val="22"/>
          <w:szCs w:val="22"/>
        </w:rPr>
        <w:t>, 250-76.</w:t>
      </w:r>
    </w:p>
  </w:footnote>
  <w:footnote w:id="60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Weinfeld, “Patterns in Prophetic Literature,” 181–82.</w:t>
      </w:r>
    </w:p>
  </w:footnote>
  <w:footnote w:id="60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Lacocque, </w:t>
      </w:r>
      <w:r w:rsidRPr="005D56D3">
        <w:rPr>
          <w:i/>
          <w:sz w:val="22"/>
          <w:szCs w:val="22"/>
        </w:rPr>
        <w:t>Daniel</w:t>
      </w:r>
      <w:r w:rsidRPr="005D56D3">
        <w:rPr>
          <w:sz w:val="22"/>
          <w:szCs w:val="22"/>
        </w:rPr>
        <w:t>, on the passage.</w:t>
      </w:r>
    </w:p>
  </w:footnote>
  <w:footnote w:id="60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Seeligmann, “Voraussetzungen der Midraschexegese,” 171; and now more systematically </w:t>
      </w:r>
      <w:r w:rsidRPr="005D56D3">
        <w:rPr>
          <w:rFonts w:eastAsia="Times-Roman" w:cs="Times-Roman"/>
          <w:sz w:val="22"/>
          <w:szCs w:val="22"/>
        </w:rPr>
        <w:t>Teeter</w:t>
      </w:r>
      <w:r w:rsidRPr="005D56D3">
        <w:rPr>
          <w:rFonts w:eastAsia="Times-Roman" w:cs="Times-Roman"/>
          <w:b/>
          <w:sz w:val="22"/>
          <w:szCs w:val="22"/>
        </w:rPr>
        <w:t xml:space="preserve">, </w:t>
      </w:r>
      <w:r w:rsidRPr="005D56D3">
        <w:rPr>
          <w:rFonts w:eastAsia="Times-Roman" w:cs="Times-Roman"/>
          <w:sz w:val="22"/>
          <w:szCs w:val="22"/>
        </w:rPr>
        <w:t>“Isaiah and the King of As/Syria in Daniel’s Final Vision.”</w:t>
      </w:r>
    </w:p>
  </w:footnote>
  <w:footnote w:id="60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Lester, </w:t>
      </w:r>
      <w:r w:rsidRPr="005D56D3">
        <w:rPr>
          <w:i/>
          <w:sz w:val="22"/>
          <w:szCs w:val="22"/>
        </w:rPr>
        <w:t>Daniel Evokes Isaiah</w:t>
      </w:r>
      <w:r w:rsidRPr="005D56D3">
        <w:rPr>
          <w:sz w:val="22"/>
          <w:szCs w:val="22"/>
        </w:rPr>
        <w:t>, 61-93.</w:t>
      </w:r>
    </w:p>
  </w:footnote>
  <w:footnote w:id="60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Cavallin, “De visa lärarnas död och uppstȧndelse,” 51.</w:t>
      </w:r>
    </w:p>
  </w:footnote>
  <w:footnote w:id="60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Allen, “Isaiah liii. 11 and Its Echoes,” 28.</w:t>
      </w:r>
    </w:p>
  </w:footnote>
  <w:footnote w:id="60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Brownlee, “The Servant of the </w:t>
      </w:r>
      <w:r w:rsidR="0088227C" w:rsidRPr="005D56D3">
        <w:rPr>
          <w:sz w:val="22"/>
          <w:szCs w:val="22"/>
        </w:rPr>
        <w:t xml:space="preserve">Lord in the Qumran Scrolls,” 12; Portier-Young, </w:t>
      </w:r>
      <w:r w:rsidR="0088227C" w:rsidRPr="005D56D3">
        <w:rPr>
          <w:i/>
          <w:sz w:val="22"/>
          <w:szCs w:val="22"/>
        </w:rPr>
        <w:t>Apocalypse Against Empire</w:t>
      </w:r>
      <w:r w:rsidR="0088227C" w:rsidRPr="005D56D3">
        <w:rPr>
          <w:sz w:val="22"/>
          <w:szCs w:val="22"/>
        </w:rPr>
        <w:t>, 272-76.</w:t>
      </w:r>
    </w:p>
  </w:footnote>
  <w:footnote w:id="61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Gese, ““Das Geschichtsbild des Danielsbuches und Ägypten,” 150–51.</w:t>
      </w:r>
    </w:p>
  </w:footnote>
  <w:footnote w:id="61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Kossen, “De oorsprong van de Voorstelling der opstanding uit de doden in Dan. 12:2”; Bailey</w:t>
      </w:r>
      <w:r w:rsidRPr="005D56D3">
        <w:rPr>
          <w:b/>
          <w:sz w:val="22"/>
          <w:szCs w:val="22"/>
        </w:rPr>
        <w:t>,</w:t>
      </w:r>
      <w:r w:rsidRPr="005D56D3">
        <w:rPr>
          <w:sz w:val="22"/>
          <w:szCs w:val="22"/>
        </w:rPr>
        <w:t>"The Intertextual Relationship of Daniel 12:2 and Isaiah 26:19.”</w:t>
      </w:r>
    </w:p>
  </w:footnote>
  <w:footnote w:id="61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Gardner, “The Way to Eternal Life in Dan 12:1e-2.”</w:t>
      </w:r>
    </w:p>
  </w:footnote>
  <w:footnote w:id="61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Fishbane, </w:t>
      </w:r>
      <w:r w:rsidRPr="005D56D3">
        <w:rPr>
          <w:i/>
          <w:sz w:val="22"/>
          <w:szCs w:val="22"/>
        </w:rPr>
        <w:t>Biblical Interpretation in Ancient Israel</w:t>
      </w:r>
      <w:r w:rsidRPr="005D56D3">
        <w:rPr>
          <w:sz w:val="22"/>
          <w:szCs w:val="22"/>
        </w:rPr>
        <w:t xml:space="preserve">, 510–11 (and see 509–22 generally); cf. Niskanen, </w:t>
      </w:r>
      <w:r w:rsidRPr="005D56D3">
        <w:rPr>
          <w:i/>
          <w:sz w:val="22"/>
          <w:szCs w:val="22"/>
        </w:rPr>
        <w:t>The Human and the Divine in History</w:t>
      </w:r>
      <w:r w:rsidRPr="005D56D3">
        <w:rPr>
          <w:sz w:val="22"/>
          <w:szCs w:val="22"/>
        </w:rPr>
        <w:t>, 46; against e.g., Hartman, “The Functions of Some So-called Apocalyptic Timetables.”</w:t>
      </w:r>
    </w:p>
  </w:footnote>
  <w:footnote w:id="614">
    <w:p w:rsidR="008E57DC" w:rsidRPr="005D56D3" w:rsidRDefault="008E57DC" w:rsidP="00622A75">
      <w:pPr>
        <w:pStyle w:val="FootnoteText"/>
        <w:rPr>
          <w:i/>
          <w:sz w:val="22"/>
          <w:szCs w:val="22"/>
        </w:rPr>
      </w:pPr>
      <w:r w:rsidRPr="005D56D3">
        <w:rPr>
          <w:rStyle w:val="FootnoteReference"/>
          <w:sz w:val="22"/>
          <w:szCs w:val="22"/>
        </w:rPr>
        <w:footnoteRef/>
      </w:r>
      <w:r w:rsidRPr="005D56D3">
        <w:rPr>
          <w:sz w:val="22"/>
          <w:szCs w:val="22"/>
        </w:rPr>
        <w:t xml:space="preserve"> Van der Woude,</w:t>
      </w:r>
      <w:r w:rsidRPr="005D56D3">
        <w:rPr>
          <w:b/>
          <w:sz w:val="22"/>
          <w:szCs w:val="22"/>
        </w:rPr>
        <w:t xml:space="preserve"> </w:t>
      </w:r>
      <w:r w:rsidRPr="005D56D3">
        <w:rPr>
          <w:sz w:val="22"/>
          <w:szCs w:val="22"/>
        </w:rPr>
        <w:t xml:space="preserve">“Prophetic Prediction, Political Prognostication, and Firm Belief,” 63, comparing Osswald, “Zum Problem der </w:t>
      </w:r>
      <w:r w:rsidRPr="005D56D3">
        <w:rPr>
          <w:i/>
          <w:sz w:val="22"/>
          <w:szCs w:val="22"/>
        </w:rPr>
        <w:t>vaticinia ex eventu.”</w:t>
      </w:r>
    </w:p>
  </w:footnote>
  <w:footnote w:id="61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Collins, “The Mythology of Holy War in Daniel and the Qumran War Scroll,” 604–11.</w:t>
      </w:r>
    </w:p>
  </w:footnote>
  <w:footnote w:id="61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Bertholet, “Der Schutzengel Persiens,” 34–37.</w:t>
      </w:r>
    </w:p>
  </w:footnote>
  <w:footnote w:id="61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Collins, </w:t>
      </w:r>
      <w:r w:rsidRPr="005D56D3">
        <w:rPr>
          <w:i/>
          <w:sz w:val="22"/>
          <w:szCs w:val="22"/>
        </w:rPr>
        <w:t>Daniel</w:t>
      </w:r>
      <w:r w:rsidRPr="005D56D3">
        <w:rPr>
          <w:sz w:val="22"/>
          <w:szCs w:val="22"/>
        </w:rPr>
        <w:t xml:space="preserve"> </w:t>
      </w:r>
      <w:r w:rsidRPr="005D56D3">
        <w:rPr>
          <w:i/>
          <w:sz w:val="22"/>
          <w:szCs w:val="22"/>
        </w:rPr>
        <w:t>with</w:t>
      </w:r>
      <w:r w:rsidRPr="005D56D3">
        <w:rPr>
          <w:sz w:val="22"/>
          <w:szCs w:val="22"/>
        </w:rPr>
        <w:t xml:space="preserve"> </w:t>
      </w:r>
      <w:r w:rsidRPr="005D56D3">
        <w:rPr>
          <w:i/>
          <w:sz w:val="22"/>
          <w:szCs w:val="22"/>
        </w:rPr>
        <w:t>an Introduction to Apocalyptic Literature</w:t>
      </w:r>
      <w:r w:rsidRPr="005D56D3">
        <w:rPr>
          <w:sz w:val="22"/>
          <w:szCs w:val="22"/>
        </w:rPr>
        <w:t>, 102.</w:t>
      </w:r>
    </w:p>
  </w:footnote>
  <w:footnote w:id="61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Kleinknecht, </w:t>
      </w:r>
      <w:r w:rsidRPr="005D56D3">
        <w:rPr>
          <w:i/>
          <w:sz w:val="22"/>
          <w:szCs w:val="22"/>
        </w:rPr>
        <w:t>Der leidende Gerechtfertigte</w:t>
      </w:r>
      <w:r w:rsidRPr="005D56D3">
        <w:rPr>
          <w:sz w:val="22"/>
          <w:szCs w:val="22"/>
        </w:rPr>
        <w:t>, 78; Moore, Resurrection and Immortality.”</w:t>
      </w:r>
    </w:p>
  </w:footnote>
  <w:footnote w:id="61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Nötscher, </w:t>
      </w:r>
      <w:r w:rsidRPr="005D56D3">
        <w:rPr>
          <w:i/>
          <w:sz w:val="22"/>
          <w:szCs w:val="22"/>
        </w:rPr>
        <w:t>Altorientalischer und alttestamentlicher Auferstehungsglauben</w:t>
      </w:r>
      <w:r w:rsidRPr="005D56D3">
        <w:rPr>
          <w:sz w:val="22"/>
          <w:szCs w:val="22"/>
        </w:rPr>
        <w:t>, 173–261; against, e.g., Birkeland, “The Belief in the Resurrection of the Dead in the OT,” 75–78; Hultġård (“Das Judentum in der hellenistisch-römischen Zeit und die iranische Religion,” 544–45) derives the idea of double reward from Persia.</w:t>
      </w:r>
    </w:p>
  </w:footnote>
  <w:footnote w:id="62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Spronk, </w:t>
      </w:r>
      <w:r w:rsidRPr="005D56D3">
        <w:rPr>
          <w:i/>
          <w:iCs/>
          <w:sz w:val="22"/>
          <w:szCs w:val="22"/>
        </w:rPr>
        <w:t xml:space="preserve">Beatific </w:t>
      </w:r>
      <w:r w:rsidRPr="005D56D3">
        <w:rPr>
          <w:i/>
          <w:sz w:val="22"/>
          <w:szCs w:val="22"/>
        </w:rPr>
        <w:t>Afterlife</w:t>
      </w:r>
      <w:r w:rsidRPr="005D56D3">
        <w:rPr>
          <w:sz w:val="22"/>
          <w:szCs w:val="22"/>
        </w:rPr>
        <w:t>, 341–43.</w:t>
      </w:r>
    </w:p>
  </w:footnote>
  <w:footnote w:id="62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Lebram, “König Antiochus im Buch Daniel,” 750–52.</w:t>
      </w:r>
    </w:p>
  </w:footnote>
  <w:footnote w:id="62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Anderson, </w:t>
      </w:r>
      <w:r w:rsidRPr="005D56D3">
        <w:rPr>
          <w:i/>
          <w:sz w:val="22"/>
          <w:szCs w:val="22"/>
        </w:rPr>
        <w:t>Signs and Wonders</w:t>
      </w:r>
      <w:r w:rsidRPr="005D56D3">
        <w:rPr>
          <w:sz w:val="22"/>
          <w:szCs w:val="22"/>
        </w:rPr>
        <w:t>, on the passage.</w:t>
      </w:r>
    </w:p>
  </w:footnote>
  <w:footnote w:id="62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On chap. 11, see Clifford, “History and Myth in Daniel 10–12,” 24–25.</w:t>
      </w:r>
    </w:p>
  </w:footnote>
  <w:footnote w:id="624">
    <w:p w:rsidR="008E57DC" w:rsidRPr="005D56D3" w:rsidRDefault="008E57DC" w:rsidP="00DC0CFF">
      <w:pPr>
        <w:pStyle w:val="FootnoteText"/>
        <w:rPr>
          <w:sz w:val="22"/>
          <w:szCs w:val="22"/>
        </w:rPr>
      </w:pPr>
      <w:r w:rsidRPr="005D56D3">
        <w:rPr>
          <w:rStyle w:val="FootnoteReference"/>
          <w:sz w:val="22"/>
          <w:szCs w:val="22"/>
        </w:rPr>
        <w:footnoteRef/>
      </w:r>
      <w:r w:rsidRPr="005D56D3">
        <w:rPr>
          <w:sz w:val="22"/>
          <w:szCs w:val="22"/>
        </w:rPr>
        <w:t xml:space="preserve"> Segert (“Poetic Structures in the Hebrew Sections of the Book of Daniel,” 269-71) again has a slightly different poetic analysis and some comments on poetic features.</w:t>
      </w:r>
    </w:p>
  </w:footnote>
  <w:footnote w:id="62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Zamora</w:t>
      </w:r>
      <w:r w:rsidRPr="005D56D3">
        <w:rPr>
          <w:b/>
          <w:sz w:val="22"/>
          <w:szCs w:val="22"/>
        </w:rPr>
        <w:t xml:space="preserve"> </w:t>
      </w:r>
      <w:r w:rsidRPr="005D56D3">
        <w:rPr>
          <w:sz w:val="22"/>
          <w:szCs w:val="22"/>
        </w:rPr>
        <w:t>(“The Daniel and Qohelet Epilogues”) compares this last section with the last section of Ecclesiastes.</w:t>
      </w:r>
    </w:p>
  </w:footnote>
  <w:footnote w:id="62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conveniently Hartman/Di Lella, </w:t>
      </w:r>
      <w:r w:rsidRPr="005D56D3">
        <w:rPr>
          <w:i/>
          <w:sz w:val="22"/>
          <w:szCs w:val="22"/>
        </w:rPr>
        <w:t>Daniel</w:t>
      </w:r>
      <w:r w:rsidRPr="005D56D3">
        <w:rPr>
          <w:sz w:val="22"/>
          <w:szCs w:val="22"/>
        </w:rPr>
        <w:t>, on the chapters.</w:t>
      </w:r>
    </w:p>
  </w:footnote>
  <w:footnote w:id="62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Wildgruber (</w:t>
      </w:r>
      <w:r w:rsidRPr="005D56D3">
        <w:rPr>
          <w:i/>
          <w:sz w:val="22"/>
          <w:szCs w:val="22"/>
        </w:rPr>
        <w:t>Daniel 10—12</w:t>
      </w:r>
      <w:r w:rsidRPr="005D56D3">
        <w:rPr>
          <w:sz w:val="22"/>
          <w:szCs w:val="22"/>
        </w:rPr>
        <w:t>, 241-42) comments that no semantic field is as prominent in chap. 11 as the field of words for power.</w:t>
      </w:r>
    </w:p>
  </w:footnote>
  <w:footnote w:id="62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Barth, </w:t>
      </w:r>
      <w:r w:rsidRPr="005D56D3">
        <w:rPr>
          <w:i/>
          <w:sz w:val="22"/>
          <w:szCs w:val="22"/>
        </w:rPr>
        <w:t>Diesseits</w:t>
      </w:r>
      <w:r w:rsidRPr="005D56D3">
        <w:rPr>
          <w:sz w:val="22"/>
          <w:szCs w:val="22"/>
        </w:rPr>
        <w:t xml:space="preserve"> </w:t>
      </w:r>
      <w:r w:rsidRPr="005D56D3">
        <w:rPr>
          <w:i/>
          <w:sz w:val="22"/>
          <w:szCs w:val="22"/>
        </w:rPr>
        <w:t>und Jenseits im Glauben des späten Israel</w:t>
      </w:r>
      <w:r w:rsidRPr="005D56D3">
        <w:rPr>
          <w:sz w:val="22"/>
          <w:szCs w:val="22"/>
        </w:rPr>
        <w:t>, 86.</w:t>
      </w:r>
    </w:p>
  </w:footnote>
  <w:footnote w:id="629">
    <w:p w:rsidR="00F347E3" w:rsidRPr="005D56D3" w:rsidRDefault="00F347E3" w:rsidP="00F347E3">
      <w:pPr>
        <w:pStyle w:val="FootnoteText"/>
        <w:rPr>
          <w:sz w:val="22"/>
          <w:szCs w:val="22"/>
        </w:rPr>
      </w:pPr>
      <w:r w:rsidRPr="005D56D3">
        <w:rPr>
          <w:rStyle w:val="FootnoteReference"/>
          <w:sz w:val="22"/>
          <w:szCs w:val="22"/>
        </w:rPr>
        <w:footnoteRef/>
      </w:r>
      <w:r w:rsidRPr="005D56D3">
        <w:rPr>
          <w:sz w:val="22"/>
          <w:szCs w:val="22"/>
        </w:rPr>
        <w:t xml:space="preserve"> Portier-Young, </w:t>
      </w:r>
      <w:r w:rsidRPr="005D56D3">
        <w:rPr>
          <w:i/>
          <w:sz w:val="22"/>
          <w:szCs w:val="22"/>
        </w:rPr>
        <w:t>Apocalypse Against Empire</w:t>
      </w:r>
      <w:r w:rsidRPr="005D56D3">
        <w:rPr>
          <w:sz w:val="22"/>
          <w:szCs w:val="22"/>
        </w:rPr>
        <w:t>, 242.</w:t>
      </w:r>
    </w:p>
  </w:footnote>
  <w:footnote w:id="630">
    <w:p w:rsidR="008E57DC" w:rsidRPr="005D56D3" w:rsidRDefault="008E57DC" w:rsidP="00622A75">
      <w:pPr>
        <w:pStyle w:val="ListParagraph"/>
        <w:ind w:left="0" w:firstLine="720"/>
        <w:rPr>
          <w:rFonts w:asciiTheme="minorHAnsi" w:hAnsiTheme="minorHAnsi"/>
          <w:b/>
          <w:szCs w:val="22"/>
        </w:rPr>
      </w:pPr>
      <w:r w:rsidRPr="005D56D3">
        <w:rPr>
          <w:rStyle w:val="FootnoteReference"/>
          <w:szCs w:val="22"/>
        </w:rPr>
        <w:footnoteRef/>
      </w:r>
      <w:r w:rsidRPr="005D56D3">
        <w:rPr>
          <w:szCs w:val="22"/>
        </w:rPr>
        <w:t xml:space="preserve"> See, e.g., Hasslberger, </w:t>
      </w:r>
      <w:r w:rsidRPr="005D56D3">
        <w:rPr>
          <w:i/>
          <w:szCs w:val="22"/>
        </w:rPr>
        <w:t>Hoffnung in der Bedrängnis</w:t>
      </w:r>
      <w:r w:rsidRPr="005D56D3">
        <w:rPr>
          <w:szCs w:val="22"/>
        </w:rPr>
        <w:t xml:space="preserve">, 135–41; Davies, </w:t>
      </w:r>
      <w:r w:rsidRPr="005D56D3">
        <w:rPr>
          <w:i/>
          <w:szCs w:val="22"/>
        </w:rPr>
        <w:t>Daniel</w:t>
      </w:r>
      <w:r w:rsidRPr="005D56D3">
        <w:rPr>
          <w:szCs w:val="22"/>
        </w:rPr>
        <w:t>,</w:t>
      </w:r>
      <w:r w:rsidRPr="005D56D3">
        <w:rPr>
          <w:i/>
          <w:szCs w:val="22"/>
        </w:rPr>
        <w:t xml:space="preserve"> </w:t>
      </w:r>
      <w:r w:rsidRPr="005D56D3">
        <w:rPr>
          <w:szCs w:val="22"/>
        </w:rPr>
        <w:t xml:space="preserve">63–65; Redditt, P. L., </w:t>
      </w:r>
      <w:r w:rsidRPr="005D56D3">
        <w:rPr>
          <w:iCs/>
          <w:szCs w:val="22"/>
        </w:rPr>
        <w:t xml:space="preserve">“Calculating the 'Times': Daniel 12:5-13”; </w:t>
      </w:r>
      <w:r w:rsidRPr="005D56D3">
        <w:rPr>
          <w:szCs w:val="22"/>
        </w:rPr>
        <w:t>and David’s rationale for the place of 11:1 (</w:t>
      </w:r>
      <w:r w:rsidRPr="005D56D3">
        <w:rPr>
          <w:rFonts w:asciiTheme="minorHAnsi" w:hAnsiTheme="minorHAnsi"/>
          <w:szCs w:val="22"/>
        </w:rPr>
        <w:t>“Daniel 11,1”).</w:t>
      </w:r>
    </w:p>
  </w:footnote>
  <w:footnote w:id="63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Charles, </w:t>
      </w:r>
      <w:r w:rsidRPr="005D56D3">
        <w:rPr>
          <w:i/>
          <w:sz w:val="22"/>
          <w:szCs w:val="22"/>
        </w:rPr>
        <w:t>Daniel</w:t>
      </w:r>
      <w:r w:rsidRPr="005D56D3">
        <w:rPr>
          <w:sz w:val="22"/>
          <w:szCs w:val="22"/>
        </w:rPr>
        <w:t>, on the passage.</w:t>
      </w:r>
    </w:p>
  </w:footnote>
  <w:footnote w:id="63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w:t>
      </w:r>
      <w:r w:rsidRPr="005D56D3">
        <w:rPr>
          <w:i/>
          <w:sz w:val="22"/>
          <w:szCs w:val="22"/>
        </w:rPr>
        <w:t>Pericope Bibliography</w:t>
      </w:r>
      <w:r w:rsidRPr="005D56D3">
        <w:rPr>
          <w:sz w:val="22"/>
          <w:szCs w:val="22"/>
        </w:rPr>
        <w:t>.</w:t>
      </w:r>
    </w:p>
  </w:footnote>
  <w:footnote w:id="63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Hengel</w:t>
      </w:r>
      <w:r w:rsidR="009A4E0D" w:rsidRPr="005D56D3">
        <w:rPr>
          <w:sz w:val="22"/>
          <w:szCs w:val="22"/>
        </w:rPr>
        <w:t xml:space="preserve">, </w:t>
      </w:r>
      <w:r w:rsidRPr="005D56D3">
        <w:rPr>
          <w:sz w:val="22"/>
          <w:szCs w:val="22"/>
        </w:rPr>
        <w:t xml:space="preserve"> </w:t>
      </w:r>
      <w:r w:rsidRPr="005D56D3">
        <w:rPr>
          <w:i/>
          <w:sz w:val="22"/>
          <w:szCs w:val="22"/>
        </w:rPr>
        <w:t>Judentum</w:t>
      </w:r>
      <w:r w:rsidRPr="005D56D3">
        <w:rPr>
          <w:sz w:val="22"/>
          <w:szCs w:val="22"/>
        </w:rPr>
        <w:t xml:space="preserve"> </w:t>
      </w:r>
      <w:r w:rsidRPr="005D56D3">
        <w:rPr>
          <w:i/>
          <w:sz w:val="22"/>
          <w:szCs w:val="22"/>
        </w:rPr>
        <w:t>und Hellenismus</w:t>
      </w:r>
      <w:r w:rsidRPr="005D56D3">
        <w:rPr>
          <w:sz w:val="22"/>
          <w:szCs w:val="22"/>
        </w:rPr>
        <w:t>, 8–107 (ET 1:6–55). Collins (</w:t>
      </w:r>
      <w:r w:rsidRPr="005D56D3">
        <w:rPr>
          <w:i/>
          <w:sz w:val="22"/>
          <w:szCs w:val="22"/>
        </w:rPr>
        <w:t>Jewish Cult and Hellenistic Culture</w:t>
      </w:r>
      <w:r w:rsidRPr="005D56D3">
        <w:rPr>
          <w:sz w:val="22"/>
          <w:szCs w:val="22"/>
        </w:rPr>
        <w:t xml:space="preserve">, 1-43) is more dispassionate. See also Collins/Sterling (eds.), </w:t>
      </w:r>
      <w:r w:rsidRPr="005D56D3">
        <w:rPr>
          <w:i/>
          <w:sz w:val="22"/>
          <w:szCs w:val="22"/>
        </w:rPr>
        <w:t>Hellenism in the Land of Israel.</w:t>
      </w:r>
      <w:r w:rsidR="009A4E0D" w:rsidRPr="005D56D3">
        <w:rPr>
          <w:sz w:val="22"/>
          <w:szCs w:val="22"/>
        </w:rPr>
        <w:t xml:space="preserve"> On the other hand, Portier-Young (</w:t>
      </w:r>
      <w:r w:rsidR="009A4E0D" w:rsidRPr="005D56D3">
        <w:rPr>
          <w:i/>
          <w:sz w:val="22"/>
          <w:szCs w:val="22"/>
        </w:rPr>
        <w:t>Apocalypse Against Empire</w:t>
      </w:r>
      <w:r w:rsidR="009A4E0D" w:rsidRPr="005D56D3">
        <w:rPr>
          <w:sz w:val="22"/>
          <w:szCs w:val="22"/>
        </w:rPr>
        <w:t>, 49-216) is more passionate.</w:t>
      </w:r>
    </w:p>
  </w:footnote>
  <w:footnote w:id="63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Lampe, “Die Apocalyptiker,” 64.</w:t>
      </w:r>
    </w:p>
  </w:footnote>
  <w:footnote w:id="63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Reid, </w:t>
      </w:r>
      <w:r w:rsidRPr="005D56D3">
        <w:rPr>
          <w:i/>
          <w:sz w:val="22"/>
          <w:szCs w:val="22"/>
        </w:rPr>
        <w:t xml:space="preserve">Sociological Setting of the Historical </w:t>
      </w:r>
      <w:r w:rsidRPr="005D56D3">
        <w:rPr>
          <w:sz w:val="22"/>
          <w:szCs w:val="22"/>
        </w:rPr>
        <w:t xml:space="preserve">Apocalypses, 214–15, contrasting </w:t>
      </w:r>
      <w:r w:rsidRPr="005D56D3">
        <w:rPr>
          <w:i/>
          <w:sz w:val="22"/>
          <w:szCs w:val="22"/>
        </w:rPr>
        <w:t>1 Enoch</w:t>
      </w:r>
      <w:r w:rsidRPr="005D56D3">
        <w:rPr>
          <w:sz w:val="22"/>
          <w:szCs w:val="22"/>
        </w:rPr>
        <w:t xml:space="preserve">; cf. </w:t>
      </w:r>
      <w:r w:rsidRPr="005D56D3">
        <w:rPr>
          <w:i/>
          <w:sz w:val="22"/>
          <w:szCs w:val="22"/>
        </w:rPr>
        <w:t>Enoch and Daniel</w:t>
      </w:r>
      <w:r w:rsidRPr="005D56D3">
        <w:rPr>
          <w:sz w:val="22"/>
          <w:szCs w:val="22"/>
        </w:rPr>
        <w:t>, 119.</w:t>
      </w:r>
    </w:p>
  </w:footnote>
  <w:footnote w:id="63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e.g., Hasslberger, </w:t>
      </w:r>
      <w:r w:rsidRPr="005D56D3">
        <w:rPr>
          <w:i/>
          <w:sz w:val="22"/>
          <w:szCs w:val="22"/>
        </w:rPr>
        <w:t>Hoffnung in der Bedrängnis</w:t>
      </w:r>
      <w:r w:rsidRPr="005D56D3">
        <w:rPr>
          <w:sz w:val="22"/>
          <w:szCs w:val="22"/>
        </w:rPr>
        <w:t>, 145–58.</w:t>
      </w:r>
    </w:p>
  </w:footnote>
  <w:footnote w:id="63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Collins, </w:t>
      </w:r>
      <w:r w:rsidRPr="005D56D3">
        <w:rPr>
          <w:i/>
          <w:sz w:val="22"/>
          <w:szCs w:val="22"/>
        </w:rPr>
        <w:t>Apocalyptic Vision of the Book of Daniel</w:t>
      </w:r>
      <w:r w:rsidRPr="005D56D3">
        <w:rPr>
          <w:sz w:val="22"/>
          <w:szCs w:val="22"/>
        </w:rPr>
        <w:t>, 103–4.</w:t>
      </w:r>
    </w:p>
  </w:footnote>
  <w:footnote w:id="63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Szold, "The Eleventh Chapter of the Book of Daniel,” 53.</w:t>
      </w:r>
    </w:p>
  </w:footnote>
  <w:footnote w:id="63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Makiello</w:t>
      </w:r>
      <w:r w:rsidRPr="005D56D3">
        <w:rPr>
          <w:b/>
          <w:sz w:val="22"/>
          <w:szCs w:val="22"/>
        </w:rPr>
        <w:t>, “</w:t>
      </w:r>
      <w:r w:rsidRPr="005D56D3">
        <w:rPr>
          <w:rStyle w:val="Title1"/>
          <w:sz w:val="22"/>
          <w:szCs w:val="22"/>
        </w:rPr>
        <w:t>Daniel as Mediator of Divine Knowledge in the Book of Daniel.”</w:t>
      </w:r>
    </w:p>
  </w:footnote>
  <w:footnote w:id="64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Collins, </w:t>
      </w:r>
      <w:r w:rsidRPr="005D56D3">
        <w:rPr>
          <w:i/>
          <w:sz w:val="22"/>
          <w:szCs w:val="22"/>
        </w:rPr>
        <w:t>Daniel</w:t>
      </w:r>
      <w:r w:rsidRPr="005D56D3">
        <w:rPr>
          <w:sz w:val="22"/>
          <w:szCs w:val="22"/>
        </w:rPr>
        <w:t xml:space="preserve"> </w:t>
      </w:r>
      <w:r w:rsidRPr="005D56D3">
        <w:rPr>
          <w:i/>
          <w:sz w:val="22"/>
          <w:szCs w:val="22"/>
        </w:rPr>
        <w:t>with an Introduction to Apocalyptic Literature</w:t>
      </w:r>
      <w:r w:rsidRPr="005D56D3">
        <w:rPr>
          <w:sz w:val="22"/>
          <w:szCs w:val="22"/>
        </w:rPr>
        <w:t>, 98.</w:t>
      </w:r>
    </w:p>
  </w:footnote>
  <w:footnote w:id="64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Collins, </w:t>
      </w:r>
      <w:r w:rsidRPr="005D56D3">
        <w:rPr>
          <w:i/>
          <w:sz w:val="22"/>
          <w:szCs w:val="22"/>
        </w:rPr>
        <w:t>Daniel</w:t>
      </w:r>
      <w:r w:rsidRPr="005D56D3">
        <w:rPr>
          <w:sz w:val="22"/>
          <w:szCs w:val="22"/>
        </w:rPr>
        <w:t>, 402-3.</w:t>
      </w:r>
    </w:p>
  </w:footnote>
  <w:footnote w:id="64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Anderson, </w:t>
      </w:r>
      <w:r w:rsidRPr="005D56D3">
        <w:rPr>
          <w:i/>
          <w:sz w:val="22"/>
          <w:szCs w:val="22"/>
        </w:rPr>
        <w:t>Signs and Wonders</w:t>
      </w:r>
      <w:r w:rsidRPr="005D56D3">
        <w:rPr>
          <w:sz w:val="22"/>
          <w:szCs w:val="22"/>
        </w:rPr>
        <w:t>, on the passage.</w:t>
      </w:r>
    </w:p>
  </w:footnote>
  <w:footnote w:id="64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Goswell</w:t>
      </w:r>
      <w:r w:rsidRPr="005D56D3">
        <w:rPr>
          <w:b/>
          <w:sz w:val="22"/>
          <w:szCs w:val="22"/>
        </w:rPr>
        <w:t xml:space="preserve">, </w:t>
      </w:r>
      <w:r w:rsidRPr="005D56D3">
        <w:rPr>
          <w:sz w:val="22"/>
          <w:szCs w:val="22"/>
        </w:rPr>
        <w:t>“Resurrection in the Book of Daniel.”</w:t>
      </w:r>
    </w:p>
  </w:footnote>
  <w:footnote w:id="64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Plöger, </w:t>
      </w:r>
      <w:r w:rsidRPr="005D56D3">
        <w:rPr>
          <w:i/>
          <w:sz w:val="22"/>
          <w:szCs w:val="22"/>
        </w:rPr>
        <w:t xml:space="preserve">Daniel, </w:t>
      </w:r>
      <w:r w:rsidRPr="005D56D3">
        <w:rPr>
          <w:sz w:val="22"/>
          <w:szCs w:val="22"/>
        </w:rPr>
        <w:t>on the passage.</w:t>
      </w:r>
    </w:p>
  </w:footnote>
  <w:footnote w:id="64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Lacocque, </w:t>
      </w:r>
      <w:r w:rsidRPr="005D56D3">
        <w:rPr>
          <w:i/>
          <w:sz w:val="22"/>
          <w:szCs w:val="22"/>
        </w:rPr>
        <w:t>Daniel</w:t>
      </w:r>
      <w:r w:rsidRPr="005D56D3">
        <w:rPr>
          <w:sz w:val="22"/>
          <w:szCs w:val="22"/>
        </w:rPr>
        <w:t>, on the passage.</w:t>
      </w:r>
    </w:p>
  </w:footnote>
  <w:footnote w:id="64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Burgmann, “Die interkalation in den sieben Jahrwochen des Sonnenkalendars,” 71.</w:t>
      </w:r>
    </w:p>
  </w:footnote>
  <w:footnote w:id="64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Gammie, </w:t>
      </w:r>
      <w:r w:rsidRPr="005D56D3">
        <w:rPr>
          <w:i/>
          <w:sz w:val="22"/>
          <w:szCs w:val="22"/>
        </w:rPr>
        <w:t>Daniel</w:t>
      </w:r>
      <w:r w:rsidRPr="005D56D3">
        <w:rPr>
          <w:sz w:val="22"/>
          <w:szCs w:val="22"/>
        </w:rPr>
        <w:t>, on the passage.</w:t>
      </w:r>
    </w:p>
  </w:footnote>
  <w:footnote w:id="64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Anderson, </w:t>
      </w:r>
      <w:r w:rsidRPr="005D56D3">
        <w:rPr>
          <w:i/>
          <w:sz w:val="22"/>
          <w:szCs w:val="22"/>
        </w:rPr>
        <w:t xml:space="preserve">Signs and Wonders, </w:t>
      </w:r>
      <w:r w:rsidRPr="005D56D3">
        <w:rPr>
          <w:sz w:val="22"/>
          <w:szCs w:val="22"/>
        </w:rPr>
        <w:t>on the passage.</w:t>
      </w:r>
    </w:p>
  </w:footnote>
  <w:footnote w:id="64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Lacocque, </w:t>
      </w:r>
      <w:r w:rsidRPr="005D56D3">
        <w:rPr>
          <w:i/>
          <w:sz w:val="22"/>
          <w:szCs w:val="22"/>
        </w:rPr>
        <w:t>Daniel</w:t>
      </w:r>
      <w:r w:rsidRPr="005D56D3">
        <w:rPr>
          <w:sz w:val="22"/>
          <w:szCs w:val="22"/>
        </w:rPr>
        <w:t>, on the passage.</w:t>
      </w:r>
    </w:p>
  </w:footnote>
  <w:footnote w:id="65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Pace, </w:t>
      </w:r>
      <w:r w:rsidRPr="005D56D3">
        <w:rPr>
          <w:i/>
          <w:sz w:val="22"/>
          <w:szCs w:val="22"/>
        </w:rPr>
        <w:t>Daniel</w:t>
      </w:r>
      <w:r w:rsidRPr="005D56D3">
        <w:rPr>
          <w:sz w:val="22"/>
          <w:szCs w:val="22"/>
        </w:rPr>
        <w:t>, 314.</w:t>
      </w:r>
    </w:p>
  </w:footnote>
  <w:footnote w:id="65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Heaton, </w:t>
      </w:r>
      <w:r w:rsidRPr="005D56D3">
        <w:rPr>
          <w:i/>
          <w:sz w:val="22"/>
          <w:szCs w:val="22"/>
        </w:rPr>
        <w:t>Daniel</w:t>
      </w:r>
      <w:r w:rsidRPr="005D56D3">
        <w:rPr>
          <w:sz w:val="22"/>
          <w:szCs w:val="22"/>
        </w:rPr>
        <w:t xml:space="preserve">, on the passage; contrast, e.g., H. Haag in </w:t>
      </w:r>
      <w:r w:rsidRPr="005D56D3">
        <w:rPr>
          <w:i/>
          <w:sz w:val="22"/>
          <w:szCs w:val="22"/>
        </w:rPr>
        <w:t xml:space="preserve">TWAT </w:t>
      </w:r>
      <w:r w:rsidRPr="005D56D3">
        <w:rPr>
          <w:sz w:val="22"/>
          <w:szCs w:val="22"/>
        </w:rPr>
        <w:t xml:space="preserve">on </w:t>
      </w:r>
      <w:r w:rsidRPr="005D56D3">
        <w:rPr>
          <w:rFonts w:ascii="Arial" w:hAnsi="Arial" w:cs="Arial"/>
          <w:sz w:val="22"/>
          <w:szCs w:val="22"/>
        </w:rPr>
        <w:t>ם ד ־א בן</w:t>
      </w:r>
      <w:r w:rsidRPr="005D56D3">
        <w:rPr>
          <w:sz w:val="22"/>
          <w:szCs w:val="22"/>
        </w:rPr>
        <w:t>; Rowe, “Is Daniel’s ‘Son of Man’ Messianic?” 90–91.</w:t>
      </w:r>
    </w:p>
  </w:footnote>
  <w:footnote w:id="65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Bampfylde, </w:t>
      </w:r>
      <w:r w:rsidRPr="005D56D3">
        <w:rPr>
          <w:b/>
          <w:sz w:val="22"/>
          <w:szCs w:val="22"/>
        </w:rPr>
        <w:t>“</w:t>
      </w:r>
      <w:r w:rsidRPr="005D56D3">
        <w:rPr>
          <w:iCs/>
          <w:sz w:val="22"/>
          <w:szCs w:val="22"/>
        </w:rPr>
        <w:t>The Prince of the Host,”</w:t>
      </w:r>
      <w:r w:rsidRPr="005D56D3">
        <w:rPr>
          <w:sz w:val="22"/>
          <w:szCs w:val="22"/>
        </w:rPr>
        <w:t xml:space="preserve"> 129–30.</w:t>
      </w:r>
    </w:p>
  </w:footnote>
  <w:footnote w:id="65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On which see Haag</w:t>
      </w:r>
      <w:r w:rsidRPr="005D56D3">
        <w:rPr>
          <w:b/>
          <w:sz w:val="22"/>
          <w:szCs w:val="22"/>
        </w:rPr>
        <w:t>,</w:t>
      </w:r>
      <w:r w:rsidRPr="005D56D3">
        <w:rPr>
          <w:sz w:val="22"/>
          <w:szCs w:val="22"/>
        </w:rPr>
        <w:t xml:space="preserve"> “Der Kampf der Engelmächte in Daniel 10—12.”</w:t>
      </w:r>
    </w:p>
  </w:footnote>
  <w:footnote w:id="65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Jerome, </w:t>
      </w:r>
      <w:r w:rsidRPr="005D56D3">
        <w:rPr>
          <w:i/>
          <w:sz w:val="22"/>
          <w:szCs w:val="22"/>
        </w:rPr>
        <w:t>Daniel</w:t>
      </w:r>
      <w:r w:rsidRPr="005D56D3">
        <w:rPr>
          <w:sz w:val="22"/>
          <w:szCs w:val="22"/>
        </w:rPr>
        <w:t>, 114.</w:t>
      </w:r>
    </w:p>
  </w:footnote>
  <w:footnote w:id="65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Plöger, </w:t>
      </w:r>
      <w:r w:rsidRPr="005D56D3">
        <w:rPr>
          <w:i/>
          <w:sz w:val="22"/>
          <w:szCs w:val="22"/>
        </w:rPr>
        <w:t>Daniel</w:t>
      </w:r>
      <w:r w:rsidRPr="005D56D3">
        <w:rPr>
          <w:sz w:val="22"/>
          <w:szCs w:val="22"/>
        </w:rPr>
        <w:t>, on the passage.</w:t>
      </w:r>
    </w:p>
  </w:footnote>
  <w:footnote w:id="65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Collins, </w:t>
      </w:r>
      <w:r w:rsidRPr="005D56D3">
        <w:rPr>
          <w:i/>
          <w:sz w:val="22"/>
          <w:szCs w:val="22"/>
        </w:rPr>
        <w:t>Apocalyptic Vision of the Book of Daniel</w:t>
      </w:r>
      <w:r w:rsidRPr="005D56D3">
        <w:rPr>
          <w:sz w:val="22"/>
          <w:szCs w:val="22"/>
        </w:rPr>
        <w:t>, 135.</w:t>
      </w:r>
    </w:p>
  </w:footnote>
  <w:footnote w:id="657">
    <w:p w:rsidR="008E57DC" w:rsidRPr="005D56D3" w:rsidRDefault="008E57DC" w:rsidP="00461A8E">
      <w:pPr>
        <w:pStyle w:val="FootnoteText"/>
        <w:rPr>
          <w:sz w:val="22"/>
          <w:szCs w:val="22"/>
        </w:rPr>
      </w:pPr>
      <w:r w:rsidRPr="005D56D3">
        <w:rPr>
          <w:rStyle w:val="FootnoteReference"/>
          <w:sz w:val="22"/>
          <w:szCs w:val="22"/>
        </w:rPr>
        <w:footnoteRef/>
      </w:r>
      <w:r w:rsidRPr="005D56D3">
        <w:rPr>
          <w:sz w:val="22"/>
          <w:szCs w:val="22"/>
        </w:rPr>
        <w:t xml:space="preserve"> Meadowcroft (“Who are the Princes of Persia and Greece?”) notes that the Persian leader could be a human figure, like the leaders in (e.g.) 9:6, 8; cf. Calvin, </w:t>
      </w:r>
      <w:r w:rsidRPr="005D56D3">
        <w:rPr>
          <w:i/>
          <w:sz w:val="22"/>
          <w:szCs w:val="22"/>
        </w:rPr>
        <w:t>Daniel</w:t>
      </w:r>
      <w:r w:rsidRPr="005D56D3">
        <w:rPr>
          <w:sz w:val="22"/>
          <w:szCs w:val="22"/>
        </w:rPr>
        <w:t xml:space="preserve"> 2:252.</w:t>
      </w:r>
    </w:p>
  </w:footnote>
  <w:footnote w:id="65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Keil, </w:t>
      </w:r>
      <w:r w:rsidRPr="005D56D3">
        <w:rPr>
          <w:i/>
          <w:sz w:val="22"/>
          <w:szCs w:val="22"/>
        </w:rPr>
        <w:t>Biblischer Kommentar</w:t>
      </w:r>
      <w:r w:rsidRPr="005D56D3">
        <w:rPr>
          <w:sz w:val="22"/>
          <w:szCs w:val="22"/>
        </w:rPr>
        <w:t>, on the passage.</w:t>
      </w:r>
    </w:p>
  </w:footnote>
  <w:footnote w:id="65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Plöger, </w:t>
      </w:r>
      <w:r w:rsidRPr="005D56D3">
        <w:rPr>
          <w:i/>
          <w:sz w:val="22"/>
          <w:szCs w:val="22"/>
        </w:rPr>
        <w:t>Daniel</w:t>
      </w:r>
      <w:r w:rsidRPr="005D56D3">
        <w:rPr>
          <w:sz w:val="22"/>
          <w:szCs w:val="22"/>
        </w:rPr>
        <w:t>, on the passage.</w:t>
      </w:r>
    </w:p>
  </w:footnote>
  <w:footnote w:id="66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Collins, “The Mythology of Holy War,” 601.</w:t>
      </w:r>
    </w:p>
  </w:footnote>
  <w:footnote w:id="66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Russell, </w:t>
      </w:r>
      <w:r w:rsidRPr="005D56D3">
        <w:rPr>
          <w:i/>
          <w:sz w:val="22"/>
          <w:szCs w:val="22"/>
        </w:rPr>
        <w:t>The Method and Message of Jewish Apocalyptic</w:t>
      </w:r>
      <w:r w:rsidRPr="005D56D3">
        <w:rPr>
          <w:sz w:val="22"/>
          <w:szCs w:val="22"/>
        </w:rPr>
        <w:t>, 107–8.</w:t>
      </w:r>
    </w:p>
  </w:footnote>
  <w:footnote w:id="66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Newsom, </w:t>
      </w:r>
      <w:r w:rsidRPr="005D56D3">
        <w:rPr>
          <w:i/>
          <w:sz w:val="22"/>
          <w:szCs w:val="22"/>
        </w:rPr>
        <w:t>Daniel</w:t>
      </w:r>
      <w:r w:rsidRPr="005D56D3">
        <w:rPr>
          <w:sz w:val="22"/>
          <w:szCs w:val="22"/>
        </w:rPr>
        <w:t>, 326.</w:t>
      </w:r>
    </w:p>
  </w:footnote>
  <w:footnote w:id="66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On which see Grainger</w:t>
      </w:r>
      <w:r w:rsidRPr="005D56D3">
        <w:rPr>
          <w:b/>
          <w:sz w:val="22"/>
          <w:szCs w:val="22"/>
        </w:rPr>
        <w:t xml:space="preserve">, </w:t>
      </w:r>
      <w:r w:rsidRPr="005D56D3">
        <w:rPr>
          <w:i/>
          <w:sz w:val="22"/>
          <w:szCs w:val="22"/>
        </w:rPr>
        <w:t>The Syrian Wars</w:t>
      </w:r>
      <w:r w:rsidRPr="005D56D3">
        <w:rPr>
          <w:sz w:val="22"/>
          <w:szCs w:val="22"/>
        </w:rPr>
        <w:t>.</w:t>
      </w:r>
    </w:p>
  </w:footnote>
  <w:footnote w:id="66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Fishbane, </w:t>
      </w:r>
      <w:r w:rsidRPr="005D56D3">
        <w:rPr>
          <w:i/>
          <w:sz w:val="22"/>
          <w:szCs w:val="22"/>
        </w:rPr>
        <w:t>Biblical Interpretation in Ancient Israel</w:t>
      </w:r>
      <w:r w:rsidRPr="005D56D3">
        <w:rPr>
          <w:sz w:val="22"/>
          <w:szCs w:val="22"/>
        </w:rPr>
        <w:t xml:space="preserve">; cf. </w:t>
      </w:r>
      <w:r w:rsidRPr="005D56D3">
        <w:rPr>
          <w:rFonts w:eastAsia="Times-Roman" w:cs="Times-Roman"/>
          <w:sz w:val="22"/>
          <w:szCs w:val="22"/>
        </w:rPr>
        <w:t>Teeter</w:t>
      </w:r>
      <w:r w:rsidRPr="005D56D3">
        <w:rPr>
          <w:rFonts w:eastAsia="Times-Roman" w:cs="Times-Roman"/>
          <w:b/>
          <w:sz w:val="22"/>
          <w:szCs w:val="22"/>
        </w:rPr>
        <w:t xml:space="preserve">, </w:t>
      </w:r>
      <w:r w:rsidRPr="005D56D3">
        <w:rPr>
          <w:rFonts w:eastAsia="Times-Roman" w:cs="Times-Roman"/>
          <w:sz w:val="22"/>
          <w:szCs w:val="22"/>
        </w:rPr>
        <w:t>“Isaiah and the King of As/Syria in Daniel’s Final Vision,” 193-99.</w:t>
      </w:r>
    </w:p>
  </w:footnote>
  <w:footnote w:id="66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Seeligmann, “Voraussetzungen der Midraschexegese,” 171.</w:t>
      </w:r>
    </w:p>
  </w:footnote>
  <w:footnote w:id="66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Walbank et al. (ed). </w:t>
      </w:r>
      <w:r w:rsidRPr="005D56D3">
        <w:rPr>
          <w:i/>
          <w:sz w:val="22"/>
          <w:szCs w:val="22"/>
        </w:rPr>
        <w:t>The Hellenistic World</w:t>
      </w:r>
      <w:r w:rsidRPr="005D56D3">
        <w:rPr>
          <w:sz w:val="22"/>
          <w:szCs w:val="22"/>
        </w:rPr>
        <w:t>, 1–22.</w:t>
      </w:r>
    </w:p>
  </w:footnote>
  <w:footnote w:id="66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w:t>
      </w:r>
      <w:r w:rsidRPr="005D56D3">
        <w:rPr>
          <w:iCs/>
          <w:sz w:val="22"/>
          <w:szCs w:val="22"/>
        </w:rPr>
        <w:t>Delcor</w:t>
      </w:r>
      <w:r w:rsidRPr="005D56D3">
        <w:rPr>
          <w:b/>
          <w:i/>
          <w:iCs/>
          <w:sz w:val="22"/>
          <w:szCs w:val="22"/>
        </w:rPr>
        <w:t>,</w:t>
      </w:r>
      <w:r w:rsidRPr="005D56D3">
        <w:rPr>
          <w:b/>
          <w:sz w:val="22"/>
          <w:szCs w:val="22"/>
        </w:rPr>
        <w:t xml:space="preserve"> </w:t>
      </w:r>
      <w:r w:rsidRPr="005D56D3">
        <w:rPr>
          <w:sz w:val="22"/>
          <w:szCs w:val="22"/>
        </w:rPr>
        <w:t>“L’histoire selon le livre de Daniel,” 386.</w:t>
      </w:r>
    </w:p>
  </w:footnote>
  <w:footnote w:id="66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Lüthi,</w:t>
      </w:r>
      <w:r w:rsidRPr="005D56D3">
        <w:rPr>
          <w:i/>
          <w:sz w:val="22"/>
          <w:szCs w:val="22"/>
        </w:rPr>
        <w:t>The Church to Come</w:t>
      </w:r>
      <w:r w:rsidRPr="005D56D3">
        <w:rPr>
          <w:sz w:val="22"/>
          <w:szCs w:val="22"/>
        </w:rPr>
        <w:t>, 151.</w:t>
      </w:r>
    </w:p>
  </w:footnote>
  <w:footnote w:id="66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Pace, </w:t>
      </w:r>
      <w:r w:rsidRPr="005D56D3">
        <w:rPr>
          <w:i/>
          <w:sz w:val="22"/>
          <w:szCs w:val="22"/>
        </w:rPr>
        <w:t>Daniel</w:t>
      </w:r>
      <w:r w:rsidRPr="005D56D3">
        <w:rPr>
          <w:sz w:val="22"/>
          <w:szCs w:val="22"/>
        </w:rPr>
        <w:t>, 333.</w:t>
      </w:r>
    </w:p>
  </w:footnote>
  <w:footnote w:id="67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Newsom, </w:t>
      </w:r>
      <w:r w:rsidRPr="005D56D3">
        <w:rPr>
          <w:i/>
          <w:sz w:val="22"/>
          <w:szCs w:val="22"/>
        </w:rPr>
        <w:t xml:space="preserve">Daniel, </w:t>
      </w:r>
      <w:r w:rsidRPr="005D56D3">
        <w:rPr>
          <w:sz w:val="22"/>
          <w:szCs w:val="22"/>
        </w:rPr>
        <w:t>327, quoting from Clifford, “History and Myth in Daniel 10–12,” 24.</w:t>
      </w:r>
    </w:p>
  </w:footnote>
  <w:footnote w:id="67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Cook, </w:t>
      </w:r>
      <w:r w:rsidRPr="005D56D3">
        <w:rPr>
          <w:i/>
          <w:sz w:val="22"/>
          <w:szCs w:val="22"/>
        </w:rPr>
        <w:t>The Persian Empire</w:t>
      </w:r>
      <w:r w:rsidRPr="005D56D3">
        <w:rPr>
          <w:sz w:val="22"/>
          <w:szCs w:val="22"/>
        </w:rPr>
        <w:t>, 266.</w:t>
      </w:r>
    </w:p>
  </w:footnote>
  <w:footnote w:id="67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Wolff, </w:t>
      </w:r>
      <w:r w:rsidRPr="005D56D3">
        <w:rPr>
          <w:i/>
          <w:sz w:val="22"/>
          <w:szCs w:val="22"/>
        </w:rPr>
        <w:t>Dodekapropheton</w:t>
      </w:r>
      <w:r w:rsidRPr="005D56D3">
        <w:rPr>
          <w:sz w:val="22"/>
          <w:szCs w:val="22"/>
        </w:rPr>
        <w:t xml:space="preserve"> 2 (ET </w:t>
      </w:r>
      <w:r w:rsidRPr="005D56D3">
        <w:rPr>
          <w:i/>
          <w:sz w:val="22"/>
          <w:szCs w:val="22"/>
        </w:rPr>
        <w:t>Joel and Amos</w:t>
      </w:r>
      <w:r w:rsidRPr="005D56D3">
        <w:rPr>
          <w:sz w:val="22"/>
          <w:szCs w:val="22"/>
        </w:rPr>
        <w:t>) on the passage, and his references.</w:t>
      </w:r>
    </w:p>
  </w:footnote>
  <w:footnote w:id="67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Hartman/Di Lella, </w:t>
      </w:r>
      <w:r w:rsidRPr="005D56D3">
        <w:rPr>
          <w:i/>
          <w:sz w:val="22"/>
          <w:szCs w:val="22"/>
        </w:rPr>
        <w:t>Daniel</w:t>
      </w:r>
      <w:r w:rsidRPr="005D56D3">
        <w:rPr>
          <w:sz w:val="22"/>
          <w:szCs w:val="22"/>
        </w:rPr>
        <w:t>, on the passage.</w:t>
      </w:r>
    </w:p>
  </w:footnote>
  <w:footnote w:id="67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Wacholder, “The Beginning of the Seleucid Era,” 183–211.</w:t>
      </w:r>
    </w:p>
  </w:footnote>
  <w:footnote w:id="67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Newsom, </w:t>
      </w:r>
      <w:r w:rsidRPr="005D56D3">
        <w:rPr>
          <w:i/>
          <w:sz w:val="22"/>
          <w:szCs w:val="22"/>
        </w:rPr>
        <w:t>Daniel</w:t>
      </w:r>
      <w:r w:rsidRPr="005D56D3">
        <w:rPr>
          <w:sz w:val="22"/>
          <w:szCs w:val="22"/>
        </w:rPr>
        <w:t>, 342.</w:t>
      </w:r>
    </w:p>
  </w:footnote>
  <w:footnote w:id="67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Wildgruber, </w:t>
      </w:r>
      <w:r w:rsidRPr="005D56D3">
        <w:rPr>
          <w:i/>
          <w:sz w:val="22"/>
          <w:szCs w:val="22"/>
        </w:rPr>
        <w:t>Daniel 10—12</w:t>
      </w:r>
      <w:r w:rsidRPr="005D56D3">
        <w:rPr>
          <w:sz w:val="22"/>
          <w:szCs w:val="22"/>
        </w:rPr>
        <w:t>, 228-29.</w:t>
      </w:r>
    </w:p>
  </w:footnote>
  <w:footnote w:id="67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Schäfer, “The Hellenistic and Maccabaean Periods,” 571–78.</w:t>
      </w:r>
    </w:p>
  </w:footnote>
  <w:footnote w:id="67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Toll, “Die Wurzel </w:t>
      </w:r>
      <w:r w:rsidRPr="005D56D3">
        <w:rPr>
          <w:i/>
          <w:sz w:val="22"/>
          <w:szCs w:val="22"/>
        </w:rPr>
        <w:t>prṣ</w:t>
      </w:r>
      <w:r w:rsidRPr="005D56D3">
        <w:rPr>
          <w:sz w:val="22"/>
          <w:szCs w:val="22"/>
        </w:rPr>
        <w:t xml:space="preserve"> im Hebräischen.” Schlatter ("Die B</w:t>
      </w:r>
      <w:r w:rsidRPr="005D56D3">
        <w:rPr>
          <w:sz w:val="22"/>
          <w:szCs w:val="22"/>
          <w:vertAlign w:val="superscript"/>
        </w:rPr>
        <w:t>e</w:t>
      </w:r>
      <w:r w:rsidRPr="005D56D3">
        <w:rPr>
          <w:sz w:val="22"/>
          <w:szCs w:val="22"/>
        </w:rPr>
        <w:t>ne parisim bei Daniel: 11, 14) suggested that Daniel was referring to their involvement in anti-Seleucid resistance.</w:t>
      </w:r>
    </w:p>
  </w:footnote>
  <w:footnote w:id="67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Against Plöger, </w:t>
      </w:r>
      <w:r w:rsidRPr="005D56D3">
        <w:rPr>
          <w:i/>
          <w:sz w:val="22"/>
          <w:szCs w:val="22"/>
        </w:rPr>
        <w:t>Daniel</w:t>
      </w:r>
      <w:r w:rsidRPr="005D56D3">
        <w:rPr>
          <w:sz w:val="22"/>
          <w:szCs w:val="22"/>
        </w:rPr>
        <w:t>, on the passage.</w:t>
      </w:r>
    </w:p>
  </w:footnote>
  <w:footnote w:id="68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van der Kooij, “A Case of Reinterpretation in the OG of Daniel 11,” 75.</w:t>
      </w:r>
    </w:p>
  </w:footnote>
  <w:footnote w:id="68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Jerome, </w:t>
      </w:r>
      <w:r w:rsidRPr="005D56D3">
        <w:rPr>
          <w:i/>
          <w:sz w:val="22"/>
          <w:szCs w:val="22"/>
        </w:rPr>
        <w:t>Daniel</w:t>
      </w:r>
      <w:r w:rsidRPr="005D56D3">
        <w:rPr>
          <w:sz w:val="22"/>
          <w:szCs w:val="22"/>
        </w:rPr>
        <w:t>, 125; cf. more recently</w:t>
      </w:r>
      <w:r w:rsidRPr="005D56D3">
        <w:rPr>
          <w:i/>
          <w:sz w:val="22"/>
          <w:szCs w:val="22"/>
        </w:rPr>
        <w:t xml:space="preserve"> </w:t>
      </w:r>
      <w:r w:rsidRPr="005D56D3">
        <w:rPr>
          <w:sz w:val="22"/>
          <w:szCs w:val="22"/>
        </w:rPr>
        <w:t>Keil, “Onias III,” 228.</w:t>
      </w:r>
    </w:p>
  </w:footnote>
  <w:footnote w:id="68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Täubler, "Jerusalem 201 to 199 b.c.e.,” 1–30; Lebram, “Apokalyptiek als keerpunt in hetjoodse denken,” 273–75.</w:t>
      </w:r>
    </w:p>
  </w:footnote>
  <w:footnote w:id="683">
    <w:p w:rsidR="008E57DC" w:rsidRPr="005D56D3" w:rsidRDefault="008E57DC" w:rsidP="000B237C">
      <w:pPr>
        <w:pStyle w:val="FootnoteText"/>
        <w:rPr>
          <w:sz w:val="22"/>
          <w:szCs w:val="22"/>
        </w:rPr>
      </w:pPr>
      <w:r w:rsidRPr="005D56D3">
        <w:rPr>
          <w:rStyle w:val="FootnoteReference"/>
          <w:sz w:val="22"/>
          <w:szCs w:val="22"/>
        </w:rPr>
        <w:footnoteRef/>
      </w:r>
      <w:r w:rsidRPr="005D56D3">
        <w:rPr>
          <w:sz w:val="22"/>
          <w:szCs w:val="22"/>
        </w:rPr>
        <w:t xml:space="preserve"> </w:t>
      </w:r>
      <w:r w:rsidRPr="005D56D3">
        <w:rPr>
          <w:i/>
          <w:sz w:val="22"/>
          <w:szCs w:val="22"/>
        </w:rPr>
        <w:t>Daniel</w:t>
      </w:r>
      <w:r w:rsidRPr="005D56D3">
        <w:rPr>
          <w:sz w:val="22"/>
          <w:szCs w:val="22"/>
        </w:rPr>
        <w:t xml:space="preserve">, 129-31. </w:t>
      </w:r>
      <w:r w:rsidRPr="005D56D3">
        <w:rPr>
          <w:bCs/>
          <w:sz w:val="22"/>
          <w:szCs w:val="22"/>
        </w:rPr>
        <w:t>Alomía</w:t>
      </w:r>
      <w:r w:rsidRPr="005D56D3">
        <w:rPr>
          <w:b/>
          <w:bCs/>
          <w:sz w:val="22"/>
          <w:szCs w:val="22"/>
        </w:rPr>
        <w:t xml:space="preserve"> (</w:t>
      </w:r>
      <w:r w:rsidRPr="005D56D3">
        <w:rPr>
          <w:bCs/>
          <w:i/>
          <w:sz w:val="22"/>
          <w:szCs w:val="22"/>
        </w:rPr>
        <w:t>Daniel</w:t>
      </w:r>
      <w:r w:rsidRPr="005D56D3">
        <w:rPr>
          <w:bCs/>
          <w:sz w:val="22"/>
          <w:szCs w:val="22"/>
        </w:rPr>
        <w:t xml:space="preserve"> 2:399-432) illustrates how chap. 11 as a whole can be related to European history from the Roman period to modern times. For the history of such understandings, see further the Introduction to this commentary. </w:t>
      </w:r>
    </w:p>
  </w:footnote>
  <w:footnote w:id="68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Bunge, “‘Theos Epiphanes,’” 61; Lebram, “König Antiochus im Buch Daniel,” 751–52; less likely it denotes Ptolemy (Calvin, </w:t>
      </w:r>
      <w:r w:rsidRPr="005D56D3">
        <w:rPr>
          <w:i/>
          <w:sz w:val="22"/>
          <w:szCs w:val="22"/>
        </w:rPr>
        <w:t xml:space="preserve">Daniel </w:t>
      </w:r>
      <w:r w:rsidRPr="005D56D3">
        <w:rPr>
          <w:sz w:val="22"/>
          <w:szCs w:val="22"/>
        </w:rPr>
        <w:t>2:307) or the young Antiochus (Rowley, "The 'Prince of the Covenant'”).</w:t>
      </w:r>
    </w:p>
  </w:footnote>
  <w:footnote w:id="685">
    <w:p w:rsidR="008E57DC" w:rsidRPr="005D56D3" w:rsidRDefault="008E57DC" w:rsidP="00622A75">
      <w:pPr>
        <w:pStyle w:val="FootnoteText"/>
        <w:rPr>
          <w:i/>
          <w:sz w:val="22"/>
          <w:szCs w:val="22"/>
        </w:rPr>
      </w:pPr>
      <w:r w:rsidRPr="005D56D3">
        <w:rPr>
          <w:rStyle w:val="FootnoteReference"/>
          <w:sz w:val="22"/>
          <w:szCs w:val="22"/>
        </w:rPr>
        <w:footnoteRef/>
      </w:r>
      <w:r w:rsidRPr="005D56D3">
        <w:rPr>
          <w:sz w:val="22"/>
          <w:szCs w:val="22"/>
        </w:rPr>
        <w:t xml:space="preserve"> See further Bickermann; Hengel; Tcherikover; Mørkholm; Goldstein (</w:t>
      </w:r>
      <w:r w:rsidRPr="005D56D3">
        <w:rPr>
          <w:i/>
          <w:sz w:val="22"/>
          <w:szCs w:val="22"/>
        </w:rPr>
        <w:t>see General Bibliography</w:t>
      </w:r>
      <w:r w:rsidRPr="005D56D3">
        <w:rPr>
          <w:sz w:val="22"/>
          <w:szCs w:val="22"/>
        </w:rPr>
        <w:t xml:space="preserve">); Fischer, </w:t>
      </w:r>
      <w:r w:rsidRPr="005D56D3">
        <w:rPr>
          <w:i/>
          <w:sz w:val="22"/>
          <w:szCs w:val="22"/>
        </w:rPr>
        <w:t>Seleukiden und Makkabäer.</w:t>
      </w:r>
    </w:p>
  </w:footnote>
  <w:footnote w:id="68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Newsom, </w:t>
      </w:r>
      <w:r w:rsidRPr="005D56D3">
        <w:rPr>
          <w:i/>
          <w:sz w:val="22"/>
          <w:szCs w:val="22"/>
        </w:rPr>
        <w:t>Daniel</w:t>
      </w:r>
      <w:r w:rsidRPr="005D56D3">
        <w:rPr>
          <w:sz w:val="22"/>
          <w:szCs w:val="22"/>
        </w:rPr>
        <w:t>, 26.</w:t>
      </w:r>
    </w:p>
  </w:footnote>
  <w:footnote w:id="68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Goldstein, </w:t>
      </w:r>
      <w:r w:rsidRPr="005D56D3">
        <w:rPr>
          <w:i/>
          <w:sz w:val="22"/>
          <w:szCs w:val="22"/>
        </w:rPr>
        <w:t>I Maccabees</w:t>
      </w:r>
      <w:r w:rsidRPr="005D56D3">
        <w:rPr>
          <w:sz w:val="22"/>
          <w:szCs w:val="22"/>
        </w:rPr>
        <w:t>, 111–21.</w:t>
      </w:r>
    </w:p>
  </w:footnote>
  <w:footnote w:id="68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e.g., Gruen</w:t>
      </w:r>
      <w:r w:rsidRPr="005D56D3">
        <w:rPr>
          <w:b/>
          <w:sz w:val="22"/>
          <w:szCs w:val="22"/>
        </w:rPr>
        <w:t xml:space="preserve">, </w:t>
      </w:r>
      <w:r w:rsidRPr="005D56D3">
        <w:rPr>
          <w:sz w:val="22"/>
          <w:szCs w:val="22"/>
        </w:rPr>
        <w:t>“Hellenism and Persecution,” with comments and discussion.</w:t>
      </w:r>
    </w:p>
  </w:footnote>
  <w:footnote w:id="68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Schäfer, “The Hellenistic and Maccabaean Periods,” 564–66.</w:t>
      </w:r>
    </w:p>
  </w:footnote>
  <w:footnote w:id="69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e.g., Horsley, </w:t>
      </w:r>
      <w:r w:rsidRPr="005D56D3">
        <w:rPr>
          <w:bCs/>
          <w:i/>
          <w:sz w:val="22"/>
          <w:szCs w:val="22"/>
        </w:rPr>
        <w:t>Scribes, Visionaries, and the Politics of Second Temple Judea</w:t>
      </w:r>
      <w:r w:rsidRPr="005D56D3">
        <w:rPr>
          <w:bCs/>
          <w:sz w:val="22"/>
          <w:szCs w:val="22"/>
        </w:rPr>
        <w:t>, 15-51; Grabbe</w:t>
      </w:r>
      <w:r w:rsidRPr="005D56D3">
        <w:rPr>
          <w:b/>
          <w:bCs/>
          <w:sz w:val="22"/>
          <w:szCs w:val="22"/>
        </w:rPr>
        <w:t xml:space="preserve">, </w:t>
      </w:r>
      <w:r w:rsidRPr="005D56D3">
        <w:rPr>
          <w:bCs/>
          <w:sz w:val="22"/>
          <w:szCs w:val="22"/>
        </w:rPr>
        <w:t>“The Hellenistic City of Jerusalem.”</w:t>
      </w:r>
    </w:p>
  </w:footnote>
  <w:footnote w:id="69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Mørkholm, </w:t>
      </w:r>
      <w:r w:rsidRPr="005D56D3">
        <w:rPr>
          <w:i/>
          <w:sz w:val="22"/>
          <w:szCs w:val="22"/>
        </w:rPr>
        <w:t>Antiochus IV of Syria</w:t>
      </w:r>
      <w:r w:rsidRPr="005D56D3">
        <w:rPr>
          <w:sz w:val="22"/>
          <w:szCs w:val="22"/>
        </w:rPr>
        <w:t>, 143.</w:t>
      </w:r>
    </w:p>
  </w:footnote>
  <w:footnote w:id="69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Jaubert, </w:t>
      </w:r>
      <w:r w:rsidRPr="005D56D3">
        <w:rPr>
          <w:i/>
          <w:sz w:val="22"/>
          <w:szCs w:val="22"/>
        </w:rPr>
        <w:t>La notion d’Alliance dans le Judaïsme</w:t>
      </w:r>
      <w:r w:rsidRPr="005D56D3">
        <w:rPr>
          <w:sz w:val="22"/>
          <w:szCs w:val="22"/>
        </w:rPr>
        <w:t>, 83; it hardly refers to the priesthood in this context (against Lebram, “Apokalyptik und Hellenismus im Buche Daniel,” 512–13; v</w:t>
      </w:r>
      <w:r w:rsidRPr="005D56D3">
        <w:rPr>
          <w:iCs/>
          <w:sz w:val="22"/>
          <w:szCs w:val="22"/>
        </w:rPr>
        <w:t>an der Kooij</w:t>
      </w:r>
      <w:r w:rsidRPr="005D56D3">
        <w:rPr>
          <w:sz w:val="22"/>
          <w:szCs w:val="22"/>
        </w:rPr>
        <w:t>, “The Concept of Covenant [</w:t>
      </w:r>
      <w:r w:rsidRPr="005D56D3">
        <w:rPr>
          <w:i/>
          <w:sz w:val="22"/>
          <w:szCs w:val="22"/>
        </w:rPr>
        <w:t>berît</w:t>
      </w:r>
      <w:r w:rsidRPr="005D56D3">
        <w:rPr>
          <w:sz w:val="22"/>
          <w:szCs w:val="22"/>
        </w:rPr>
        <w:t>] in the Book of Daniel).”</w:t>
      </w:r>
    </w:p>
  </w:footnote>
  <w:footnote w:id="69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Against Eichrodt, </w:t>
      </w:r>
      <w:r w:rsidRPr="005D56D3">
        <w:rPr>
          <w:i/>
          <w:sz w:val="22"/>
          <w:szCs w:val="22"/>
        </w:rPr>
        <w:t>Theologie</w:t>
      </w:r>
      <w:r w:rsidRPr="005D56D3">
        <w:rPr>
          <w:sz w:val="22"/>
          <w:szCs w:val="22"/>
        </w:rPr>
        <w:t xml:space="preserve"> </w:t>
      </w:r>
      <w:r w:rsidRPr="005D56D3">
        <w:rPr>
          <w:i/>
          <w:sz w:val="22"/>
          <w:szCs w:val="22"/>
        </w:rPr>
        <w:t>des AT</w:t>
      </w:r>
      <w:r w:rsidRPr="005D56D3">
        <w:rPr>
          <w:sz w:val="22"/>
          <w:szCs w:val="22"/>
        </w:rPr>
        <w:t xml:space="preserve"> 1:23 (ET 64).</w:t>
      </w:r>
    </w:p>
  </w:footnote>
  <w:footnote w:id="69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Mørkholm, </w:t>
      </w:r>
      <w:r w:rsidRPr="005D56D3">
        <w:rPr>
          <w:i/>
          <w:sz w:val="22"/>
          <w:szCs w:val="22"/>
        </w:rPr>
        <w:t>Antiochus IV of Syria</w:t>
      </w:r>
      <w:r w:rsidRPr="005D56D3">
        <w:rPr>
          <w:sz w:val="22"/>
          <w:szCs w:val="22"/>
        </w:rPr>
        <w:t xml:space="preserve">, 11. But </w:t>
      </w:r>
      <w:r w:rsidRPr="005D56D3">
        <w:rPr>
          <w:bCs/>
          <w:sz w:val="22"/>
          <w:szCs w:val="22"/>
        </w:rPr>
        <w:t>Scolnic</w:t>
      </w:r>
      <w:r w:rsidRPr="005D56D3">
        <w:rPr>
          <w:b/>
          <w:bCs/>
          <w:sz w:val="22"/>
          <w:szCs w:val="22"/>
        </w:rPr>
        <w:t xml:space="preserve"> </w:t>
      </w:r>
      <w:r w:rsidRPr="005D56D3">
        <w:rPr>
          <w:bCs/>
          <w:sz w:val="22"/>
          <w:szCs w:val="22"/>
        </w:rPr>
        <w:t>and Davis</w:t>
      </w:r>
      <w:r w:rsidRPr="005D56D3">
        <w:rPr>
          <w:b/>
          <w:bCs/>
          <w:sz w:val="22"/>
          <w:szCs w:val="22"/>
        </w:rPr>
        <w:t xml:space="preserve"> </w:t>
      </w:r>
      <w:r w:rsidRPr="005D56D3">
        <w:rPr>
          <w:bCs/>
          <w:sz w:val="22"/>
          <w:szCs w:val="22"/>
        </w:rPr>
        <w:t xml:space="preserve">(“How </w:t>
      </w:r>
      <w:r w:rsidRPr="005D56D3">
        <w:rPr>
          <w:bCs/>
          <w:i/>
          <w:iCs/>
          <w:sz w:val="22"/>
          <w:szCs w:val="22"/>
        </w:rPr>
        <w:t xml:space="preserve">Kittim </w:t>
      </w:r>
      <w:r w:rsidRPr="005D56D3">
        <w:rPr>
          <w:bCs/>
          <w:sz w:val="22"/>
          <w:szCs w:val="22"/>
        </w:rPr>
        <w:t>Became ‘Rome’”) take Kittim still to refer to Cyprus here.</w:t>
      </w:r>
    </w:p>
  </w:footnote>
  <w:footnote w:id="69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Goldstein, </w:t>
      </w:r>
      <w:r w:rsidRPr="005D56D3">
        <w:rPr>
          <w:i/>
          <w:sz w:val="22"/>
          <w:szCs w:val="22"/>
        </w:rPr>
        <w:t>I Maccabees</w:t>
      </w:r>
      <w:r w:rsidRPr="005D56D3">
        <w:rPr>
          <w:sz w:val="22"/>
          <w:szCs w:val="22"/>
        </w:rPr>
        <w:t>, 213–19; Schäfer, “The Hellenistic and Maccabaean Periods,” 555–56; Tsafrir, The Location of the Seleucid Akra in Jerusalem.”</w:t>
      </w:r>
    </w:p>
  </w:footnote>
  <w:footnote w:id="69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Tcherikover, </w:t>
      </w:r>
      <w:r w:rsidRPr="005D56D3">
        <w:rPr>
          <w:i/>
          <w:sz w:val="22"/>
          <w:szCs w:val="22"/>
        </w:rPr>
        <w:t>Hellenistic Civilization and the Jews</w:t>
      </w:r>
      <w:r w:rsidRPr="005D56D3">
        <w:rPr>
          <w:sz w:val="22"/>
          <w:szCs w:val="22"/>
        </w:rPr>
        <w:t>, 194–95; ———, “Apokalyptik und Hellenismus im Buche Daniel,” 508–9.</w:t>
      </w:r>
    </w:p>
  </w:footnote>
  <w:footnote w:id="69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Barton, “Theological Ethics in Daniel.”</w:t>
      </w:r>
    </w:p>
  </w:footnote>
  <w:footnote w:id="69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Kosmala, “Maśkîl.”</w:t>
      </w:r>
    </w:p>
  </w:footnote>
  <w:footnote w:id="69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Williams, </w:t>
      </w:r>
      <w:r w:rsidRPr="005D56D3">
        <w:rPr>
          <w:i/>
          <w:sz w:val="22"/>
          <w:szCs w:val="22"/>
        </w:rPr>
        <w:t>Jesus’ Death as Saving Event</w:t>
      </w:r>
      <w:r w:rsidRPr="005D56D3">
        <w:rPr>
          <w:sz w:val="22"/>
          <w:szCs w:val="22"/>
        </w:rPr>
        <w:t>, 60–61.</w:t>
      </w:r>
    </w:p>
  </w:footnote>
  <w:footnote w:id="70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Gardner, </w:t>
      </w:r>
      <w:r w:rsidRPr="005D56D3">
        <w:rPr>
          <w:b/>
          <w:sz w:val="22"/>
          <w:szCs w:val="22"/>
        </w:rPr>
        <w:t>“</w:t>
      </w:r>
      <w:r w:rsidRPr="005D56D3">
        <w:rPr>
          <w:rFonts w:ascii="Arial" w:hAnsi="Arial" w:cs="Arial"/>
          <w:sz w:val="22"/>
          <w:szCs w:val="22"/>
        </w:rPr>
        <w:t>ל</w:t>
      </w:r>
      <w:r w:rsidRPr="005D56D3">
        <w:rPr>
          <w:sz w:val="22"/>
          <w:szCs w:val="22"/>
        </w:rPr>
        <w:t xml:space="preserve"> </w:t>
      </w:r>
      <w:r w:rsidRPr="005D56D3">
        <w:rPr>
          <w:rFonts w:ascii="Arial" w:hAnsi="Arial" w:cs="Arial"/>
          <w:sz w:val="22"/>
          <w:szCs w:val="22"/>
        </w:rPr>
        <w:t>כ</w:t>
      </w:r>
      <w:r w:rsidRPr="005D56D3">
        <w:rPr>
          <w:sz w:val="22"/>
          <w:szCs w:val="22"/>
        </w:rPr>
        <w:t xml:space="preserve"> </w:t>
      </w:r>
      <w:r w:rsidRPr="005D56D3">
        <w:rPr>
          <w:rFonts w:ascii="Arial" w:hAnsi="Arial" w:cs="Arial"/>
          <w:sz w:val="22"/>
          <w:szCs w:val="22"/>
        </w:rPr>
        <w:t>שׂ</w:t>
      </w:r>
      <w:r w:rsidRPr="005D56D3">
        <w:rPr>
          <w:i/>
          <w:sz w:val="22"/>
          <w:szCs w:val="22"/>
        </w:rPr>
        <w:t xml:space="preserve"> </w:t>
      </w:r>
      <w:r w:rsidRPr="005D56D3">
        <w:rPr>
          <w:sz w:val="22"/>
          <w:szCs w:val="22"/>
        </w:rPr>
        <w:t>in the Hebrew Bible.”</w:t>
      </w:r>
    </w:p>
  </w:footnote>
  <w:footnote w:id="70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Hasslberger, </w:t>
      </w:r>
      <w:r w:rsidRPr="005D56D3">
        <w:rPr>
          <w:i/>
          <w:sz w:val="22"/>
          <w:szCs w:val="22"/>
        </w:rPr>
        <w:t>Hoffnung in der Bedrängnis</w:t>
      </w:r>
      <w:r w:rsidRPr="005D56D3">
        <w:rPr>
          <w:sz w:val="22"/>
          <w:szCs w:val="22"/>
        </w:rPr>
        <w:t>.</w:t>
      </w:r>
    </w:p>
  </w:footnote>
  <w:footnote w:id="70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Brownlee, “The Servant of the Lord in the Qumran Scrolls,” 12–13.</w:t>
      </w:r>
    </w:p>
  </w:footnote>
  <w:footnote w:id="70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Against Buchanan, </w:t>
      </w:r>
      <w:r w:rsidRPr="005D56D3">
        <w:rPr>
          <w:i/>
          <w:sz w:val="22"/>
          <w:szCs w:val="22"/>
        </w:rPr>
        <w:t>Hebrews</w:t>
      </w:r>
      <w:r w:rsidRPr="005D56D3">
        <w:rPr>
          <w:sz w:val="22"/>
          <w:szCs w:val="22"/>
        </w:rPr>
        <w:t>, 47–48.</w:t>
      </w:r>
    </w:p>
  </w:footnote>
  <w:footnote w:id="70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Hasslberger, </w:t>
      </w:r>
      <w:r w:rsidRPr="005D56D3">
        <w:rPr>
          <w:i/>
          <w:sz w:val="22"/>
          <w:szCs w:val="22"/>
        </w:rPr>
        <w:t>Hoffnung in der Bedrängnis</w:t>
      </w:r>
      <w:r w:rsidRPr="005D56D3">
        <w:rPr>
          <w:sz w:val="22"/>
          <w:szCs w:val="22"/>
        </w:rPr>
        <w:t>.</w:t>
      </w:r>
    </w:p>
  </w:footnote>
  <w:footnote w:id="70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Collins, </w:t>
      </w:r>
      <w:r w:rsidRPr="005D56D3">
        <w:rPr>
          <w:i/>
          <w:sz w:val="22"/>
          <w:szCs w:val="22"/>
        </w:rPr>
        <w:t>Daniel</w:t>
      </w:r>
      <w:r w:rsidRPr="005D56D3">
        <w:rPr>
          <w:sz w:val="22"/>
          <w:szCs w:val="22"/>
        </w:rPr>
        <w:t xml:space="preserve"> with </w:t>
      </w:r>
      <w:r w:rsidRPr="005D56D3">
        <w:rPr>
          <w:i/>
          <w:sz w:val="22"/>
          <w:szCs w:val="22"/>
        </w:rPr>
        <w:t>an Introduction to Apocalyptic Literature</w:t>
      </w:r>
      <w:r w:rsidRPr="005D56D3">
        <w:rPr>
          <w:sz w:val="22"/>
          <w:szCs w:val="22"/>
        </w:rPr>
        <w:t>, 101.</w:t>
      </w:r>
    </w:p>
  </w:footnote>
  <w:footnote w:id="70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Indeed, Sweeney (“The End of Eschatology in Daniel”) sees the Book of Daniel as designed to support the Maccabean revolt.</w:t>
      </w:r>
    </w:p>
  </w:footnote>
  <w:footnote w:id="70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Fischer, </w:t>
      </w:r>
      <w:r w:rsidRPr="005D56D3">
        <w:rPr>
          <w:i/>
          <w:sz w:val="22"/>
          <w:szCs w:val="22"/>
        </w:rPr>
        <w:t>Seleukiden und Makkabäer</w:t>
      </w:r>
      <w:r w:rsidRPr="005D56D3">
        <w:rPr>
          <w:sz w:val="22"/>
          <w:szCs w:val="22"/>
        </w:rPr>
        <w:t>, 193.</w:t>
      </w:r>
    </w:p>
  </w:footnote>
  <w:footnote w:id="70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Against Lebram, “The Piety of the Jewish Apocalyptists,” 182–83.</w:t>
      </w:r>
    </w:p>
  </w:footnote>
  <w:footnote w:id="70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Parry</w:t>
      </w:r>
      <w:r w:rsidRPr="005D56D3">
        <w:rPr>
          <w:b/>
          <w:sz w:val="22"/>
          <w:szCs w:val="22"/>
        </w:rPr>
        <w:t xml:space="preserve">, </w:t>
      </w:r>
      <w:r w:rsidRPr="005D56D3">
        <w:rPr>
          <w:sz w:val="22"/>
          <w:szCs w:val="22"/>
        </w:rPr>
        <w:t>“Desolation of the Temple and Messianic Enthronement in Daniel 11:36—12:3.”</w:t>
      </w:r>
    </w:p>
  </w:footnote>
  <w:footnote w:id="710">
    <w:p w:rsidR="008E57DC" w:rsidRPr="005D56D3" w:rsidRDefault="008E57DC" w:rsidP="00622A75">
      <w:pPr>
        <w:pStyle w:val="FootnoteText"/>
        <w:rPr>
          <w:i/>
          <w:sz w:val="22"/>
          <w:szCs w:val="22"/>
        </w:rPr>
      </w:pPr>
      <w:r w:rsidRPr="005D56D3">
        <w:rPr>
          <w:rStyle w:val="FootnoteReference"/>
          <w:sz w:val="22"/>
          <w:szCs w:val="22"/>
        </w:rPr>
        <w:footnoteRef/>
      </w:r>
      <w:r w:rsidRPr="005D56D3">
        <w:rPr>
          <w:sz w:val="22"/>
          <w:szCs w:val="22"/>
        </w:rPr>
        <w:t xml:space="preserve"> So Ibn Ezra in </w:t>
      </w:r>
      <w:r w:rsidRPr="005D56D3">
        <w:rPr>
          <w:rFonts w:ascii="Arial" w:hAnsi="Arial" w:cs="Arial"/>
          <w:sz w:val="22"/>
          <w:szCs w:val="22"/>
        </w:rPr>
        <w:t>גדולות</w:t>
      </w:r>
      <w:r w:rsidRPr="005D56D3">
        <w:rPr>
          <w:sz w:val="22"/>
          <w:szCs w:val="22"/>
        </w:rPr>
        <w:t xml:space="preserve"> </w:t>
      </w:r>
      <w:r w:rsidRPr="005D56D3">
        <w:rPr>
          <w:rFonts w:ascii="Arial" w:hAnsi="Arial" w:cs="Arial"/>
          <w:sz w:val="22"/>
          <w:szCs w:val="22"/>
        </w:rPr>
        <w:t>מקראות</w:t>
      </w:r>
      <w:r w:rsidRPr="005D56D3">
        <w:rPr>
          <w:sz w:val="22"/>
          <w:szCs w:val="22"/>
        </w:rPr>
        <w:t xml:space="preserve"> on the passage.</w:t>
      </w:r>
    </w:p>
  </w:footnote>
  <w:footnote w:id="71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w:t>
      </w:r>
      <w:r w:rsidRPr="005D56D3">
        <w:rPr>
          <w:rFonts w:eastAsiaTheme="minorHAnsi" w:cs="TimesNewRomanPS-BoldMT"/>
          <w:bCs/>
          <w:sz w:val="22"/>
          <w:szCs w:val="22"/>
          <w:lang w:bidi="he-IL"/>
        </w:rPr>
        <w:t>Mercer, “The Benefactions of Antiochus IV Ephiphanes and Dan 11:37-38.”</w:t>
      </w:r>
    </w:p>
  </w:footnote>
  <w:footnote w:id="712">
    <w:p w:rsidR="008E57DC" w:rsidRPr="005D56D3" w:rsidRDefault="008E57DC" w:rsidP="00622A75">
      <w:pPr>
        <w:pStyle w:val="ListParagraph"/>
        <w:ind w:left="0" w:firstLine="720"/>
        <w:rPr>
          <w:b/>
          <w:bCs/>
          <w:i/>
          <w:szCs w:val="22"/>
        </w:rPr>
      </w:pPr>
      <w:r w:rsidRPr="005D56D3">
        <w:rPr>
          <w:rStyle w:val="FootnoteReference"/>
          <w:szCs w:val="22"/>
        </w:rPr>
        <w:footnoteRef/>
      </w:r>
      <w:r w:rsidRPr="005D56D3">
        <w:rPr>
          <w:szCs w:val="22"/>
        </w:rPr>
        <w:t xml:space="preserve"> Theodoret, </w:t>
      </w:r>
      <w:r w:rsidRPr="005D56D3">
        <w:rPr>
          <w:i/>
          <w:szCs w:val="22"/>
        </w:rPr>
        <w:t>Daniel</w:t>
      </w:r>
      <w:r w:rsidRPr="005D56D3">
        <w:rPr>
          <w:szCs w:val="22"/>
        </w:rPr>
        <w:t xml:space="preserve">, 304-5; so e.g., E.g., Hippolytus, </w:t>
      </w:r>
      <w:r w:rsidRPr="005D56D3">
        <w:rPr>
          <w:i/>
          <w:szCs w:val="22"/>
        </w:rPr>
        <w:t>Daniel</w:t>
      </w:r>
      <w:r w:rsidRPr="005D56D3">
        <w:rPr>
          <w:szCs w:val="22"/>
        </w:rPr>
        <w:t xml:space="preserve">, 4.49; Jerome, </w:t>
      </w:r>
      <w:r w:rsidRPr="005D56D3">
        <w:rPr>
          <w:i/>
          <w:szCs w:val="22"/>
        </w:rPr>
        <w:t>Daniel</w:t>
      </w:r>
      <w:r w:rsidRPr="005D56D3">
        <w:rPr>
          <w:szCs w:val="22"/>
        </w:rPr>
        <w:t xml:space="preserve">, 136; Luther, “Vorrede uber den Propheten Daniel,” 49 (ET 313); </w:t>
      </w:r>
      <w:r w:rsidRPr="005D56D3">
        <w:rPr>
          <w:bCs/>
          <w:szCs w:val="22"/>
        </w:rPr>
        <w:t>Harton</w:t>
      </w:r>
      <w:r w:rsidRPr="005D56D3">
        <w:rPr>
          <w:b/>
          <w:bCs/>
          <w:szCs w:val="22"/>
        </w:rPr>
        <w:t xml:space="preserve">, </w:t>
      </w:r>
      <w:r w:rsidRPr="005D56D3">
        <w:rPr>
          <w:bCs/>
          <w:szCs w:val="22"/>
        </w:rPr>
        <w:t>“An Interpretation of Daniel 11:36-45”; Steinmann</w:t>
      </w:r>
      <w:r w:rsidRPr="005D56D3">
        <w:rPr>
          <w:b/>
          <w:bCs/>
          <w:szCs w:val="22"/>
        </w:rPr>
        <w:t xml:space="preserve">, </w:t>
      </w:r>
      <w:r w:rsidRPr="005D56D3">
        <w:rPr>
          <w:bCs/>
          <w:szCs w:val="22"/>
        </w:rPr>
        <w:t xml:space="preserve">“Is the Antichrist in Daniel 11?" Lederach, </w:t>
      </w:r>
      <w:r w:rsidRPr="005D56D3">
        <w:rPr>
          <w:bCs/>
          <w:i/>
          <w:szCs w:val="22"/>
        </w:rPr>
        <w:t>Daniel</w:t>
      </w:r>
      <w:r w:rsidRPr="005D56D3">
        <w:rPr>
          <w:bCs/>
          <w:szCs w:val="22"/>
        </w:rPr>
        <w:t>, 306; MacArthur</w:t>
      </w:r>
      <w:r w:rsidRPr="005D56D3">
        <w:rPr>
          <w:b/>
          <w:bCs/>
          <w:szCs w:val="22"/>
        </w:rPr>
        <w:t xml:space="preserve">, </w:t>
      </w:r>
      <w:r w:rsidRPr="005D56D3">
        <w:rPr>
          <w:bCs/>
          <w:i/>
          <w:szCs w:val="22"/>
        </w:rPr>
        <w:t>The Future of Israel</w:t>
      </w:r>
      <w:r w:rsidRPr="005D56D3">
        <w:rPr>
          <w:bCs/>
          <w:szCs w:val="22"/>
        </w:rPr>
        <w:t>, 71; Adeyemo</w:t>
      </w:r>
      <w:r w:rsidRPr="005D56D3">
        <w:rPr>
          <w:b/>
          <w:bCs/>
          <w:szCs w:val="22"/>
        </w:rPr>
        <w:t>, “</w:t>
      </w:r>
      <w:r w:rsidRPr="005D56D3">
        <w:rPr>
          <w:bCs/>
          <w:szCs w:val="22"/>
        </w:rPr>
        <w:t>Daniel</w:t>
      </w:r>
      <w:r w:rsidRPr="005D56D3">
        <w:rPr>
          <w:b/>
          <w:bCs/>
          <w:szCs w:val="22"/>
        </w:rPr>
        <w:t xml:space="preserve">,” </w:t>
      </w:r>
      <w:r w:rsidRPr="005D56D3">
        <w:rPr>
          <w:bCs/>
          <w:szCs w:val="22"/>
        </w:rPr>
        <w:t>1010</w:t>
      </w:r>
      <w:r w:rsidRPr="005D56D3">
        <w:rPr>
          <w:bCs/>
          <w:i/>
          <w:szCs w:val="22"/>
        </w:rPr>
        <w:t xml:space="preserve">. </w:t>
      </w:r>
      <w:r w:rsidRPr="005D56D3">
        <w:rPr>
          <w:bCs/>
          <w:szCs w:val="22"/>
        </w:rPr>
        <w:t>Again, see the survey in the Introduction to this commentary.</w:t>
      </w:r>
    </w:p>
  </w:footnote>
  <w:footnote w:id="71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Joubert, </w:t>
      </w:r>
      <w:r w:rsidRPr="005D56D3">
        <w:rPr>
          <w:i/>
          <w:sz w:val="22"/>
          <w:szCs w:val="22"/>
        </w:rPr>
        <w:t>Power and Responsibility in the Book of Daniel</w:t>
      </w:r>
      <w:r w:rsidRPr="005D56D3">
        <w:rPr>
          <w:sz w:val="22"/>
          <w:szCs w:val="22"/>
        </w:rPr>
        <w:t xml:space="preserve">, 198, in critique of Collins, </w:t>
      </w:r>
      <w:r w:rsidRPr="005D56D3">
        <w:rPr>
          <w:i/>
          <w:sz w:val="22"/>
          <w:szCs w:val="22"/>
        </w:rPr>
        <w:t>Apocalyptic Vision of the Book of Daniel</w:t>
      </w:r>
      <w:r w:rsidRPr="005D56D3">
        <w:rPr>
          <w:sz w:val="22"/>
          <w:szCs w:val="22"/>
        </w:rPr>
        <w:t>,, 135–36.</w:t>
      </w:r>
    </w:p>
  </w:footnote>
  <w:footnote w:id="71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Walbank (ed.), </w:t>
      </w:r>
      <w:r w:rsidRPr="005D56D3">
        <w:rPr>
          <w:i/>
          <w:sz w:val="22"/>
          <w:szCs w:val="22"/>
        </w:rPr>
        <w:t>The Hellenistic World</w:t>
      </w:r>
      <w:r w:rsidRPr="005D56D3">
        <w:rPr>
          <w:sz w:val="22"/>
          <w:szCs w:val="22"/>
        </w:rPr>
        <w:t>, 84–99.</w:t>
      </w:r>
    </w:p>
  </w:footnote>
  <w:footnote w:id="71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Bunge, “Der ‘Gott der Festungen,’" with Lebram’s comment, “König Antiochus im Buch Daniel,” 755.</w:t>
      </w:r>
    </w:p>
  </w:footnote>
  <w:footnote w:id="71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Clifford, “History and Myth in Daniel 10–12,” 25.</w:t>
      </w:r>
    </w:p>
  </w:footnote>
  <w:footnote w:id="71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Against, e.g., Charles, </w:t>
      </w:r>
      <w:r w:rsidRPr="005D56D3">
        <w:rPr>
          <w:i/>
          <w:sz w:val="22"/>
          <w:szCs w:val="22"/>
        </w:rPr>
        <w:t>Daniel</w:t>
      </w:r>
      <w:r w:rsidRPr="005D56D3">
        <w:rPr>
          <w:sz w:val="22"/>
          <w:szCs w:val="22"/>
        </w:rPr>
        <w:t xml:space="preserve">, on the passage; Morgenstern, “The King-God among the Western Semites,” 167; Goldstein, </w:t>
      </w:r>
      <w:r w:rsidRPr="005D56D3">
        <w:rPr>
          <w:i/>
          <w:sz w:val="22"/>
          <w:szCs w:val="22"/>
        </w:rPr>
        <w:t>I Maccabees</w:t>
      </w:r>
      <w:r w:rsidRPr="005D56D3">
        <w:rPr>
          <w:sz w:val="22"/>
          <w:szCs w:val="22"/>
        </w:rPr>
        <w:t>, 157.</w:t>
      </w:r>
    </w:p>
  </w:footnote>
  <w:footnote w:id="71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Calvin, </w:t>
      </w:r>
      <w:r w:rsidRPr="005D56D3">
        <w:rPr>
          <w:i/>
          <w:sz w:val="22"/>
          <w:szCs w:val="22"/>
        </w:rPr>
        <w:t>Daniel</w:t>
      </w:r>
      <w:r w:rsidRPr="005D56D3">
        <w:rPr>
          <w:sz w:val="22"/>
          <w:szCs w:val="22"/>
        </w:rPr>
        <w:t xml:space="preserve"> 2:338. The </w:t>
      </w:r>
      <w:r w:rsidRPr="005D56D3">
        <w:rPr>
          <w:bCs/>
          <w:sz w:val="22"/>
          <w:szCs w:val="22"/>
        </w:rPr>
        <w:t>Introduction to this commentary expands on these various approaches to the interpretation of the passage.</w:t>
      </w:r>
    </w:p>
  </w:footnote>
  <w:footnote w:id="71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Fischer, </w:t>
      </w:r>
      <w:r w:rsidRPr="005D56D3">
        <w:rPr>
          <w:i/>
          <w:sz w:val="22"/>
          <w:szCs w:val="22"/>
        </w:rPr>
        <w:t>Seleukiden und Makkabäer</w:t>
      </w:r>
      <w:r w:rsidRPr="005D56D3">
        <w:rPr>
          <w:sz w:val="22"/>
          <w:szCs w:val="22"/>
        </w:rPr>
        <w:t>, 155.</w:t>
      </w:r>
    </w:p>
  </w:footnote>
  <w:footnote w:id="72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Gurney, </w:t>
      </w:r>
      <w:r w:rsidRPr="005D56D3">
        <w:rPr>
          <w:i/>
          <w:sz w:val="22"/>
          <w:szCs w:val="22"/>
        </w:rPr>
        <w:t>God in Control</w:t>
      </w:r>
      <w:r w:rsidRPr="005D56D3">
        <w:rPr>
          <w:sz w:val="22"/>
          <w:szCs w:val="22"/>
        </w:rPr>
        <w:t>, on the passage.</w:t>
      </w:r>
    </w:p>
  </w:footnote>
  <w:footnote w:id="72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Tanner, </w:t>
      </w:r>
      <w:r w:rsidRPr="005D56D3">
        <w:rPr>
          <w:bCs/>
          <w:sz w:val="22"/>
          <w:szCs w:val="22"/>
        </w:rPr>
        <w:t>“Daniel’s ‘King of the North.’” Cf. Knox</w:t>
      </w:r>
      <w:r w:rsidRPr="005D56D3">
        <w:rPr>
          <w:b/>
          <w:bCs/>
          <w:sz w:val="22"/>
          <w:szCs w:val="22"/>
        </w:rPr>
        <w:t xml:space="preserve">, </w:t>
      </w:r>
      <w:r w:rsidRPr="005D56D3">
        <w:rPr>
          <w:bCs/>
          <w:sz w:val="22"/>
          <w:szCs w:val="22"/>
        </w:rPr>
        <w:t xml:space="preserve">“The Watch Tower Society and the End of the Cold War.” </w:t>
      </w:r>
    </w:p>
  </w:footnote>
  <w:footnote w:id="72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Jerome, </w:t>
      </w:r>
      <w:r w:rsidRPr="005D56D3">
        <w:rPr>
          <w:i/>
          <w:sz w:val="22"/>
          <w:szCs w:val="22"/>
        </w:rPr>
        <w:t>Daniel</w:t>
      </w:r>
      <w:r w:rsidRPr="005D56D3">
        <w:rPr>
          <w:sz w:val="22"/>
          <w:szCs w:val="22"/>
        </w:rPr>
        <w:t xml:space="preserve">, 139; so e.g., Mayer, </w:t>
      </w:r>
      <w:r w:rsidRPr="005D56D3">
        <w:rPr>
          <w:i/>
          <w:iCs/>
          <w:sz w:val="22"/>
          <w:szCs w:val="22"/>
        </w:rPr>
        <w:t>Commentary upon All the Prophets</w:t>
      </w:r>
      <w:r w:rsidRPr="005D56D3">
        <w:rPr>
          <w:iCs/>
          <w:sz w:val="22"/>
          <w:szCs w:val="22"/>
        </w:rPr>
        <w:t>, 579-82.</w:t>
      </w:r>
    </w:p>
  </w:footnote>
  <w:footnote w:id="72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Lucas, </w:t>
      </w:r>
      <w:r w:rsidRPr="005D56D3">
        <w:rPr>
          <w:i/>
          <w:sz w:val="22"/>
          <w:szCs w:val="22"/>
        </w:rPr>
        <w:t>Daniel</w:t>
      </w:r>
      <w:r w:rsidRPr="005D56D3">
        <w:rPr>
          <w:sz w:val="22"/>
          <w:szCs w:val="22"/>
        </w:rPr>
        <w:t>, 290, 291.</w:t>
      </w:r>
    </w:p>
  </w:footnote>
  <w:footnote w:id="72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Perhaps including the story of Cambyses (Lebram, “König Antiochus,” 769-70) as mediated by Herodotus (Niskanen, “Daniel’s Portrait of Antiochus IV”).</w:t>
      </w:r>
    </w:p>
  </w:footnote>
  <w:footnote w:id="72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Newsom, </w:t>
      </w:r>
      <w:r w:rsidRPr="005D56D3">
        <w:rPr>
          <w:i/>
          <w:sz w:val="22"/>
          <w:szCs w:val="22"/>
        </w:rPr>
        <w:t>Daniel</w:t>
      </w:r>
      <w:r w:rsidRPr="005D56D3">
        <w:rPr>
          <w:sz w:val="22"/>
          <w:szCs w:val="22"/>
        </w:rPr>
        <w:t>, 320.</w:t>
      </w:r>
    </w:p>
  </w:footnote>
  <w:footnote w:id="72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Newsom, “The Past as Revelation,” 43.</w:t>
      </w:r>
    </w:p>
  </w:footnote>
  <w:footnote w:id="72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Davies, Daniel</w:t>
      </w:r>
      <w:r w:rsidRPr="005D56D3">
        <w:rPr>
          <w:i/>
          <w:sz w:val="22"/>
          <w:szCs w:val="22"/>
        </w:rPr>
        <w:t>,</w:t>
      </w:r>
      <w:r w:rsidRPr="005D56D3">
        <w:rPr>
          <w:sz w:val="22"/>
          <w:szCs w:val="22"/>
        </w:rPr>
        <w:t xml:space="preserve"> 97.</w:t>
      </w:r>
    </w:p>
  </w:footnote>
  <w:footnote w:id="72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Collins, “The Son of Man and the Saints of the Most High,” 57.</w:t>
      </w:r>
    </w:p>
  </w:footnote>
  <w:footnote w:id="72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Nickelsburg, </w:t>
      </w:r>
      <w:r w:rsidRPr="005D56D3">
        <w:rPr>
          <w:i/>
          <w:sz w:val="22"/>
          <w:szCs w:val="22"/>
        </w:rPr>
        <w:t>Resurrection</w:t>
      </w:r>
      <w:r w:rsidRPr="005D56D3">
        <w:rPr>
          <w:sz w:val="22"/>
          <w:szCs w:val="22"/>
        </w:rPr>
        <w:t xml:space="preserve"> </w:t>
      </w:r>
      <w:r w:rsidRPr="005D56D3">
        <w:rPr>
          <w:i/>
          <w:sz w:val="22"/>
          <w:szCs w:val="22"/>
        </w:rPr>
        <w:t>, Immortality, and Eternal Life</w:t>
      </w:r>
      <w:r w:rsidRPr="005D56D3">
        <w:rPr>
          <w:sz w:val="22"/>
          <w:szCs w:val="22"/>
        </w:rPr>
        <w:t>, 11–27.</w:t>
      </w:r>
    </w:p>
  </w:footnote>
  <w:footnote w:id="73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Nickelsburg, Resurrection, </w:t>
      </w:r>
      <w:r w:rsidRPr="005D56D3">
        <w:rPr>
          <w:i/>
          <w:sz w:val="22"/>
          <w:szCs w:val="22"/>
        </w:rPr>
        <w:t>Immortality, and Eternal Life</w:t>
      </w:r>
      <w:r w:rsidRPr="005D56D3">
        <w:rPr>
          <w:sz w:val="22"/>
          <w:szCs w:val="22"/>
        </w:rPr>
        <w:t>, 161.</w:t>
      </w:r>
    </w:p>
  </w:footnote>
  <w:footnote w:id="73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Levenson, </w:t>
      </w:r>
      <w:r w:rsidRPr="005D56D3">
        <w:rPr>
          <w:i/>
          <w:sz w:val="22"/>
          <w:szCs w:val="22"/>
        </w:rPr>
        <w:t>Resurrection and the Restoration of Israel</w:t>
      </w:r>
      <w:r w:rsidRPr="005D56D3">
        <w:rPr>
          <w:sz w:val="22"/>
          <w:szCs w:val="22"/>
        </w:rPr>
        <w:t>, 181.</w:t>
      </w:r>
    </w:p>
  </w:footnote>
  <w:footnote w:id="73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the survey in Collins, </w:t>
      </w:r>
      <w:r w:rsidRPr="005D56D3">
        <w:rPr>
          <w:i/>
          <w:sz w:val="22"/>
          <w:szCs w:val="22"/>
        </w:rPr>
        <w:t>Daniel</w:t>
      </w:r>
      <w:r w:rsidRPr="005D56D3">
        <w:rPr>
          <w:sz w:val="22"/>
          <w:szCs w:val="22"/>
        </w:rPr>
        <w:t xml:space="preserve">, 394-98; Newsom, </w:t>
      </w:r>
      <w:r w:rsidRPr="005D56D3">
        <w:rPr>
          <w:i/>
          <w:sz w:val="22"/>
          <w:szCs w:val="22"/>
        </w:rPr>
        <w:t>Daniel</w:t>
      </w:r>
      <w:r w:rsidRPr="005D56D3">
        <w:rPr>
          <w:sz w:val="22"/>
          <w:szCs w:val="22"/>
        </w:rPr>
        <w:t xml:space="preserve">, 361-63; Beyerle, </w:t>
      </w:r>
      <w:r w:rsidRPr="005D56D3">
        <w:rPr>
          <w:bCs/>
          <w:i/>
          <w:sz w:val="22"/>
          <w:szCs w:val="22"/>
        </w:rPr>
        <w:t>Die Gottesvorstellungen in der antik-jüdischen Apokalyptik</w:t>
      </w:r>
      <w:r w:rsidRPr="005D56D3">
        <w:rPr>
          <w:bCs/>
          <w:sz w:val="22"/>
          <w:szCs w:val="22"/>
        </w:rPr>
        <w:t>, 189-268.</w:t>
      </w:r>
    </w:p>
  </w:footnote>
  <w:footnote w:id="73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Against Gese, </w:t>
      </w:r>
      <w:r w:rsidRPr="005D56D3">
        <w:rPr>
          <w:i/>
          <w:sz w:val="22"/>
          <w:szCs w:val="22"/>
        </w:rPr>
        <w:t>Zur biblischen Theologie</w:t>
      </w:r>
      <w:r w:rsidRPr="005D56D3">
        <w:rPr>
          <w:sz w:val="22"/>
          <w:szCs w:val="22"/>
        </w:rPr>
        <w:t>, 52 (ET 57).</w:t>
      </w:r>
    </w:p>
  </w:footnote>
  <w:footnote w:id="734">
    <w:p w:rsidR="008E57DC" w:rsidRPr="005D56D3" w:rsidRDefault="008E57DC" w:rsidP="00883E93">
      <w:pPr>
        <w:pStyle w:val="FootnoteText"/>
        <w:rPr>
          <w:sz w:val="22"/>
          <w:szCs w:val="22"/>
        </w:rPr>
      </w:pPr>
      <w:r w:rsidRPr="005D56D3">
        <w:rPr>
          <w:rStyle w:val="FootnoteReference"/>
          <w:sz w:val="22"/>
          <w:szCs w:val="22"/>
        </w:rPr>
        <w:footnoteRef/>
      </w:r>
      <w:r w:rsidRPr="005D56D3">
        <w:rPr>
          <w:sz w:val="22"/>
          <w:szCs w:val="22"/>
        </w:rPr>
        <w:t xml:space="preserve"> Van Deventer, </w:t>
      </w:r>
      <w:r w:rsidRPr="005D56D3">
        <w:rPr>
          <w:b/>
          <w:sz w:val="22"/>
          <w:szCs w:val="22"/>
        </w:rPr>
        <w:t>“</w:t>
      </w:r>
      <w:r w:rsidRPr="005D56D3">
        <w:rPr>
          <w:sz w:val="22"/>
          <w:szCs w:val="22"/>
        </w:rPr>
        <w:t>The Bold, the Beautiful and the Beasts in the Book of Daniel,” 728.</w:t>
      </w:r>
    </w:p>
  </w:footnote>
  <w:footnote w:id="73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Haag</w:t>
      </w:r>
      <w:r w:rsidRPr="005D56D3">
        <w:rPr>
          <w:b/>
          <w:sz w:val="22"/>
          <w:szCs w:val="22"/>
        </w:rPr>
        <w:t xml:space="preserve">, </w:t>
      </w:r>
      <w:r w:rsidRPr="005D56D3">
        <w:rPr>
          <w:sz w:val="22"/>
          <w:szCs w:val="22"/>
        </w:rPr>
        <w:t>“Daniel 12 und die Auferstehung der Toten,”</w:t>
      </w:r>
    </w:p>
  </w:footnote>
  <w:footnote w:id="73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Against Preuss, “‘Auferstehung’ in Texten alttestamentlicher Apokalyptik,’” 133, referring to J. Kammerer, </w:t>
      </w:r>
      <w:r w:rsidRPr="005D56D3">
        <w:rPr>
          <w:i/>
          <w:sz w:val="22"/>
          <w:szCs w:val="22"/>
        </w:rPr>
        <w:t>Die Auferstehung der Toten im Alten Testament als Element der eschatologischen Restauration des Bundesvolkes Israel</w:t>
      </w:r>
      <w:r w:rsidRPr="005D56D3">
        <w:rPr>
          <w:sz w:val="22"/>
          <w:szCs w:val="22"/>
        </w:rPr>
        <w:t xml:space="preserve"> (Diss., Vienna, 1968).</w:t>
      </w:r>
    </w:p>
  </w:footnote>
  <w:footnote w:id="73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Collins, “Apocalyptic Eschatology as the Transcendence of Death,” 30.</w:t>
      </w:r>
    </w:p>
  </w:footnote>
  <w:footnote w:id="73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Contrast Erling, “Ezekiel 38–39,” 113–14.</w:t>
      </w:r>
    </w:p>
  </w:footnote>
  <w:footnote w:id="73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Merrill Willis, </w:t>
      </w:r>
      <w:r w:rsidRPr="005D56D3">
        <w:rPr>
          <w:i/>
          <w:sz w:val="22"/>
          <w:szCs w:val="22"/>
        </w:rPr>
        <w:t>Dissonance and the Drama of Divine Sovereignty in the Book of Daniel</w:t>
      </w:r>
      <w:r w:rsidRPr="005D56D3">
        <w:rPr>
          <w:sz w:val="22"/>
          <w:szCs w:val="22"/>
        </w:rPr>
        <w:t>, 151.</w:t>
      </w:r>
    </w:p>
  </w:footnote>
  <w:footnote w:id="74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Martin-Achard, “Trois remarques sur la résurrection,” 315–17.</w:t>
      </w:r>
    </w:p>
  </w:footnote>
  <w:footnote w:id="74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Brueggemann, “From Dust to Kingship,” esp. 11–12.</w:t>
      </w:r>
    </w:p>
  </w:footnote>
  <w:footnote w:id="74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Day, “The Development of Belief in Life after Death in Ancient Israel,” 242; cf. Day, “Resurrection Imagery from Baal to the Book of Daniel.”</w:t>
      </w:r>
    </w:p>
  </w:footnote>
  <w:footnote w:id="74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Charles, </w:t>
      </w:r>
      <w:r w:rsidRPr="005D56D3">
        <w:rPr>
          <w:i/>
          <w:sz w:val="22"/>
          <w:szCs w:val="22"/>
        </w:rPr>
        <w:t>Eschatology</w:t>
      </w:r>
      <w:r w:rsidRPr="005D56D3">
        <w:rPr>
          <w:sz w:val="22"/>
          <w:szCs w:val="22"/>
        </w:rPr>
        <w:t xml:space="preserve">, 137–38; 211–13; Nickelsburg, </w:t>
      </w:r>
      <w:r w:rsidRPr="005D56D3">
        <w:rPr>
          <w:i/>
          <w:sz w:val="22"/>
          <w:szCs w:val="22"/>
        </w:rPr>
        <w:t>Resurrection, Immortality, and Eternal Life</w:t>
      </w:r>
      <w:r w:rsidRPr="005D56D3">
        <w:rPr>
          <w:sz w:val="22"/>
          <w:szCs w:val="22"/>
        </w:rPr>
        <w:t xml:space="preserve">; Kleinknecht, </w:t>
      </w:r>
      <w:r w:rsidRPr="005D56D3">
        <w:rPr>
          <w:i/>
          <w:sz w:val="22"/>
          <w:szCs w:val="22"/>
        </w:rPr>
        <w:t>Der leidende Gerechtfertigte</w:t>
      </w:r>
      <w:r w:rsidRPr="005D56D3">
        <w:rPr>
          <w:sz w:val="22"/>
          <w:szCs w:val="22"/>
        </w:rPr>
        <w:t>.</w:t>
      </w:r>
    </w:p>
  </w:footnote>
  <w:footnote w:id="74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Hobbins,</w:t>
      </w:r>
      <w:r w:rsidRPr="005D56D3">
        <w:rPr>
          <w:b/>
          <w:sz w:val="22"/>
          <w:szCs w:val="22"/>
        </w:rPr>
        <w:t xml:space="preserve"> </w:t>
      </w:r>
      <w:r w:rsidRPr="005D56D3">
        <w:rPr>
          <w:sz w:val="22"/>
          <w:szCs w:val="22"/>
        </w:rPr>
        <w:t>“Resurrection in the Daniel Tradition and Other Writings at Qumran,” 414.</w:t>
      </w:r>
    </w:p>
  </w:footnote>
  <w:footnote w:id="74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Kaiser, </w:t>
      </w:r>
      <w:r w:rsidRPr="005D56D3">
        <w:rPr>
          <w:i/>
          <w:sz w:val="22"/>
          <w:szCs w:val="22"/>
        </w:rPr>
        <w:t>Tod und Leben</w:t>
      </w:r>
      <w:r w:rsidRPr="005D56D3">
        <w:rPr>
          <w:sz w:val="22"/>
          <w:szCs w:val="22"/>
        </w:rPr>
        <w:t xml:space="preserve"> (ET </w:t>
      </w:r>
      <w:r w:rsidRPr="005D56D3">
        <w:rPr>
          <w:i/>
          <w:sz w:val="22"/>
          <w:szCs w:val="22"/>
        </w:rPr>
        <w:t>Death and Life</w:t>
      </w:r>
      <w:r w:rsidRPr="005D56D3">
        <w:rPr>
          <w:sz w:val="22"/>
          <w:szCs w:val="22"/>
        </w:rPr>
        <w:t>).</w:t>
      </w:r>
    </w:p>
  </w:footnote>
  <w:footnote w:id="74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On this question, see Nickelsburg, </w:t>
      </w:r>
      <w:r w:rsidRPr="005D56D3">
        <w:rPr>
          <w:i/>
          <w:sz w:val="22"/>
          <w:szCs w:val="22"/>
        </w:rPr>
        <w:t>Resurrection</w:t>
      </w:r>
      <w:r w:rsidRPr="005D56D3">
        <w:rPr>
          <w:sz w:val="22"/>
          <w:szCs w:val="22"/>
        </w:rPr>
        <w:t xml:space="preserve">, </w:t>
      </w:r>
      <w:r w:rsidRPr="005D56D3">
        <w:rPr>
          <w:i/>
          <w:sz w:val="22"/>
          <w:szCs w:val="22"/>
        </w:rPr>
        <w:t>Immortality, and Eternal Life</w:t>
      </w:r>
      <w:r w:rsidRPr="005D56D3">
        <w:rPr>
          <w:sz w:val="22"/>
          <w:szCs w:val="22"/>
        </w:rPr>
        <w:t>,</w:t>
      </w:r>
      <w:r w:rsidRPr="005D56D3">
        <w:rPr>
          <w:i/>
          <w:sz w:val="22"/>
          <w:szCs w:val="22"/>
        </w:rPr>
        <w:t xml:space="preserve"> </w:t>
      </w:r>
      <w:r w:rsidRPr="005D56D3">
        <w:rPr>
          <w:sz w:val="22"/>
          <w:szCs w:val="22"/>
        </w:rPr>
        <w:t xml:space="preserve">26; contrast Collins, </w:t>
      </w:r>
      <w:r w:rsidRPr="005D56D3">
        <w:rPr>
          <w:i/>
          <w:sz w:val="22"/>
          <w:szCs w:val="22"/>
        </w:rPr>
        <w:t>Apocalyptic Vision of the Book of Daniel</w:t>
      </w:r>
      <w:r w:rsidRPr="005D56D3">
        <w:rPr>
          <w:sz w:val="22"/>
          <w:szCs w:val="22"/>
        </w:rPr>
        <w:t>, 136–38.</w:t>
      </w:r>
    </w:p>
  </w:footnote>
  <w:footnote w:id="74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Wifall, “The Status of ‘Man’ as Resurrection.”</w:t>
      </w:r>
    </w:p>
  </w:footnote>
  <w:footnote w:id="74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Cavallin, </w:t>
      </w:r>
      <w:r w:rsidRPr="005D56D3">
        <w:rPr>
          <w:i/>
          <w:sz w:val="22"/>
          <w:szCs w:val="22"/>
        </w:rPr>
        <w:t>Life</w:t>
      </w:r>
      <w:r w:rsidRPr="005D56D3">
        <w:rPr>
          <w:sz w:val="22"/>
          <w:szCs w:val="22"/>
        </w:rPr>
        <w:t xml:space="preserve"> </w:t>
      </w:r>
      <w:r w:rsidRPr="005D56D3">
        <w:rPr>
          <w:i/>
          <w:sz w:val="22"/>
          <w:szCs w:val="22"/>
        </w:rPr>
        <w:t>after Death</w:t>
      </w:r>
      <w:r w:rsidRPr="005D56D3">
        <w:rPr>
          <w:sz w:val="22"/>
          <w:szCs w:val="22"/>
        </w:rPr>
        <w:t xml:space="preserve">, 27; Martin-Achard, “L’espérance des croyants d’Israël face à la mort,” 449; Nickelsburg, Resurrection, </w:t>
      </w:r>
      <w:r w:rsidRPr="005D56D3">
        <w:rPr>
          <w:i/>
          <w:sz w:val="22"/>
          <w:szCs w:val="22"/>
        </w:rPr>
        <w:t>Immortality, and Eternal Life</w:t>
      </w:r>
      <w:r w:rsidRPr="005D56D3">
        <w:rPr>
          <w:sz w:val="22"/>
          <w:szCs w:val="22"/>
        </w:rPr>
        <w:t>,</w:t>
      </w:r>
      <w:r w:rsidRPr="005D56D3">
        <w:rPr>
          <w:i/>
          <w:sz w:val="22"/>
          <w:szCs w:val="22"/>
        </w:rPr>
        <w:t xml:space="preserve"> </w:t>
      </w:r>
      <w:r w:rsidRPr="005D56D3">
        <w:rPr>
          <w:sz w:val="22"/>
          <w:szCs w:val="22"/>
        </w:rPr>
        <w:t>26.</w:t>
      </w:r>
    </w:p>
  </w:footnote>
  <w:footnote w:id="74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Pace, </w:t>
      </w:r>
      <w:r w:rsidRPr="005D56D3">
        <w:rPr>
          <w:i/>
          <w:sz w:val="22"/>
          <w:szCs w:val="22"/>
        </w:rPr>
        <w:t>Daniel</w:t>
      </w:r>
      <w:r w:rsidRPr="005D56D3">
        <w:rPr>
          <w:sz w:val="22"/>
          <w:szCs w:val="22"/>
        </w:rPr>
        <w:t>, 337.</w:t>
      </w:r>
    </w:p>
  </w:footnote>
  <w:footnote w:id="75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Lindenberger, “Daniel 12:1–4,” 184.</w:t>
      </w:r>
    </w:p>
  </w:footnote>
  <w:footnote w:id="75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Irenaeus, </w:t>
      </w:r>
      <w:r w:rsidRPr="005D56D3">
        <w:rPr>
          <w:i/>
          <w:sz w:val="22"/>
          <w:szCs w:val="22"/>
        </w:rPr>
        <w:t>Against Heresies</w:t>
      </w:r>
      <w:r w:rsidRPr="005D56D3">
        <w:rPr>
          <w:sz w:val="22"/>
          <w:szCs w:val="22"/>
        </w:rPr>
        <w:t xml:space="preserve"> IV, 26:1; cf. Stevenson/Glerup (eds.), </w:t>
      </w:r>
      <w:r w:rsidRPr="005D56D3">
        <w:rPr>
          <w:i/>
          <w:sz w:val="22"/>
          <w:szCs w:val="22"/>
        </w:rPr>
        <w:t>Ezekiel, Daniel</w:t>
      </w:r>
      <w:r w:rsidRPr="005D56D3">
        <w:rPr>
          <w:sz w:val="22"/>
          <w:szCs w:val="22"/>
        </w:rPr>
        <w:t>, 307.</w:t>
      </w:r>
    </w:p>
  </w:footnote>
  <w:footnote w:id="75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Hasslberger, </w:t>
      </w:r>
      <w:r w:rsidRPr="005D56D3">
        <w:rPr>
          <w:i/>
          <w:sz w:val="22"/>
          <w:szCs w:val="22"/>
        </w:rPr>
        <w:t>Hoffnung in der Bedrängnis</w:t>
      </w:r>
      <w:r w:rsidRPr="005D56D3">
        <w:rPr>
          <w:sz w:val="22"/>
          <w:szCs w:val="22"/>
        </w:rPr>
        <w:t>, on the passage.</w:t>
      </w:r>
    </w:p>
  </w:footnote>
  <w:footnote w:id="75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Berrigan, </w:t>
      </w:r>
      <w:r w:rsidRPr="005D56D3">
        <w:rPr>
          <w:i/>
          <w:sz w:val="22"/>
          <w:szCs w:val="22"/>
        </w:rPr>
        <w:t>Daniel</w:t>
      </w:r>
      <w:r w:rsidRPr="005D56D3">
        <w:rPr>
          <w:sz w:val="22"/>
          <w:szCs w:val="22"/>
        </w:rPr>
        <w:t>, 202.</w:t>
      </w:r>
    </w:p>
  </w:footnote>
  <w:footnote w:id="75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McGarry</w:t>
      </w:r>
      <w:r w:rsidRPr="005D56D3">
        <w:rPr>
          <w:b/>
          <w:sz w:val="22"/>
          <w:szCs w:val="22"/>
        </w:rPr>
        <w:t>,</w:t>
      </w:r>
      <w:r w:rsidRPr="005D56D3">
        <w:rPr>
          <w:sz w:val="22"/>
          <w:szCs w:val="22"/>
        </w:rPr>
        <w:t xml:space="preserve"> “The Ambidextrous Angel (Daniel 12:7 and Deuteronomy 32:40).”</w:t>
      </w:r>
    </w:p>
  </w:footnote>
  <w:footnote w:id="75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Against Goldstein, </w:t>
      </w:r>
      <w:r w:rsidRPr="005D56D3">
        <w:rPr>
          <w:i/>
          <w:sz w:val="22"/>
          <w:szCs w:val="22"/>
        </w:rPr>
        <w:t>I Maccabees</w:t>
      </w:r>
      <w:r w:rsidRPr="005D56D3">
        <w:rPr>
          <w:sz w:val="22"/>
          <w:szCs w:val="22"/>
        </w:rPr>
        <w:t>, 43.</w:t>
      </w:r>
    </w:p>
  </w:footnote>
  <w:footnote w:id="756">
    <w:p w:rsidR="008E57DC" w:rsidRPr="005D56D3" w:rsidRDefault="008E57DC" w:rsidP="006E5A16">
      <w:pPr>
        <w:pStyle w:val="FootnoteText"/>
        <w:rPr>
          <w:sz w:val="22"/>
          <w:szCs w:val="22"/>
        </w:rPr>
      </w:pPr>
      <w:r w:rsidRPr="005D56D3">
        <w:rPr>
          <w:rStyle w:val="FootnoteReference"/>
          <w:sz w:val="22"/>
          <w:szCs w:val="22"/>
        </w:rPr>
        <w:footnoteRef/>
      </w:r>
      <w:r w:rsidRPr="005D56D3">
        <w:rPr>
          <w:sz w:val="22"/>
          <w:szCs w:val="22"/>
        </w:rPr>
        <w:t xml:space="preserve"> Newsom, </w:t>
      </w:r>
      <w:r w:rsidRPr="005D56D3">
        <w:rPr>
          <w:i/>
          <w:sz w:val="22"/>
          <w:szCs w:val="22"/>
        </w:rPr>
        <w:t>Daniel</w:t>
      </w:r>
      <w:r w:rsidRPr="005D56D3">
        <w:rPr>
          <w:sz w:val="22"/>
          <w:szCs w:val="22"/>
        </w:rPr>
        <w:t>, 329.</w:t>
      </w:r>
    </w:p>
  </w:footnote>
  <w:footnote w:id="757">
    <w:p w:rsidR="008E57DC" w:rsidRPr="005D56D3" w:rsidRDefault="008E57DC" w:rsidP="0014298A">
      <w:pPr>
        <w:pStyle w:val="FootnoteText"/>
        <w:rPr>
          <w:sz w:val="22"/>
          <w:szCs w:val="22"/>
        </w:rPr>
      </w:pPr>
      <w:r w:rsidRPr="005D56D3">
        <w:rPr>
          <w:rStyle w:val="FootnoteReference"/>
          <w:sz w:val="22"/>
          <w:szCs w:val="22"/>
        </w:rPr>
        <w:footnoteRef/>
      </w:r>
      <w:r w:rsidRPr="005D56D3">
        <w:rPr>
          <w:sz w:val="22"/>
          <w:szCs w:val="22"/>
        </w:rPr>
        <w:t xml:space="preserve"> See further </w:t>
      </w:r>
      <w:r w:rsidRPr="005D56D3">
        <w:rPr>
          <w:bCs/>
          <w:sz w:val="22"/>
          <w:szCs w:val="22"/>
        </w:rPr>
        <w:t>Pyper</w:t>
      </w:r>
      <w:r w:rsidRPr="005D56D3">
        <w:rPr>
          <w:b/>
          <w:bCs/>
          <w:sz w:val="22"/>
          <w:szCs w:val="22"/>
        </w:rPr>
        <w:t xml:space="preserve">, </w:t>
      </w:r>
      <w:r w:rsidRPr="005D56D3">
        <w:rPr>
          <w:bCs/>
          <w:sz w:val="22"/>
          <w:szCs w:val="22"/>
        </w:rPr>
        <w:t>“Reading in the Dark.”</w:t>
      </w:r>
    </w:p>
  </w:footnote>
  <w:footnote w:id="758">
    <w:p w:rsidR="008E57DC" w:rsidRPr="005D56D3" w:rsidRDefault="008E57DC" w:rsidP="009B73AE">
      <w:pPr>
        <w:pStyle w:val="FootnoteText"/>
        <w:rPr>
          <w:sz w:val="22"/>
          <w:szCs w:val="22"/>
        </w:rPr>
      </w:pPr>
      <w:r w:rsidRPr="005D56D3">
        <w:rPr>
          <w:rStyle w:val="FootnoteReference"/>
          <w:sz w:val="22"/>
          <w:szCs w:val="22"/>
        </w:rPr>
        <w:footnoteRef/>
      </w:r>
      <w:r w:rsidRPr="005D56D3">
        <w:rPr>
          <w:sz w:val="22"/>
          <w:szCs w:val="22"/>
        </w:rPr>
        <w:t xml:space="preserve"> Wiesel, “Daniel,” 114.</w:t>
      </w:r>
    </w:p>
  </w:footnote>
  <w:footnote w:id="75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Hebbard, </w:t>
      </w:r>
      <w:r w:rsidRPr="005D56D3">
        <w:rPr>
          <w:i/>
          <w:sz w:val="22"/>
          <w:szCs w:val="22"/>
        </w:rPr>
        <w:t>Reading Daniel</w:t>
      </w:r>
      <w:r w:rsidRPr="005D56D3">
        <w:rPr>
          <w:sz w:val="22"/>
          <w:szCs w:val="22"/>
        </w:rPr>
        <w:t>, 211-12.</w:t>
      </w:r>
    </w:p>
  </w:footnote>
  <w:footnote w:id="760">
    <w:p w:rsidR="0088227C" w:rsidRPr="005D56D3" w:rsidRDefault="0088227C" w:rsidP="0088227C">
      <w:pPr>
        <w:pStyle w:val="FootnoteText"/>
        <w:rPr>
          <w:sz w:val="22"/>
          <w:szCs w:val="22"/>
        </w:rPr>
      </w:pPr>
      <w:r w:rsidRPr="005D56D3">
        <w:rPr>
          <w:rStyle w:val="FootnoteReference"/>
          <w:sz w:val="22"/>
          <w:szCs w:val="22"/>
        </w:rPr>
        <w:footnoteRef/>
      </w:r>
      <w:r w:rsidRPr="005D56D3">
        <w:rPr>
          <w:sz w:val="22"/>
          <w:szCs w:val="22"/>
        </w:rPr>
        <w:t xml:space="preserve"> Portier-Young, </w:t>
      </w:r>
      <w:r w:rsidRPr="005D56D3">
        <w:rPr>
          <w:i/>
          <w:sz w:val="22"/>
          <w:szCs w:val="22"/>
        </w:rPr>
        <w:t>Apocalypse Against Empire</w:t>
      </w:r>
      <w:r w:rsidRPr="005D56D3">
        <w:rPr>
          <w:sz w:val="22"/>
          <w:szCs w:val="22"/>
        </w:rPr>
        <w:t>, 265.</w:t>
      </w:r>
    </w:p>
  </w:footnote>
  <w:footnote w:id="76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w:t>
      </w:r>
      <w:r w:rsidRPr="005D56D3">
        <w:rPr>
          <w:rFonts w:eastAsia="Times-Roman" w:cs="Times-Roman"/>
          <w:iCs/>
          <w:sz w:val="22"/>
          <w:szCs w:val="22"/>
        </w:rPr>
        <w:t>Mathews</w:t>
      </w:r>
      <w:r w:rsidRPr="005D56D3">
        <w:rPr>
          <w:rFonts w:eastAsia="Times-Roman" w:cs="Times-Roman"/>
          <w:b/>
          <w:iCs/>
          <w:sz w:val="22"/>
          <w:szCs w:val="22"/>
        </w:rPr>
        <w:t xml:space="preserve">, </w:t>
      </w:r>
      <w:r w:rsidRPr="005D56D3">
        <w:rPr>
          <w:rFonts w:eastAsia="Times-Roman" w:cs="Times-Roman"/>
          <w:iCs/>
          <w:sz w:val="22"/>
          <w:szCs w:val="22"/>
        </w:rPr>
        <w:t xml:space="preserve">“The Numbers in Daniel 12:11-12.” </w:t>
      </w:r>
    </w:p>
  </w:footnote>
  <w:footnote w:id="76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Collins, </w:t>
      </w:r>
      <w:r w:rsidRPr="005D56D3">
        <w:rPr>
          <w:i/>
          <w:sz w:val="22"/>
          <w:szCs w:val="22"/>
        </w:rPr>
        <w:t>Daniel</w:t>
      </w:r>
      <w:r w:rsidRPr="005D56D3">
        <w:rPr>
          <w:sz w:val="22"/>
          <w:szCs w:val="22"/>
        </w:rPr>
        <w:t>, 400.</w:t>
      </w:r>
    </w:p>
  </w:footnote>
  <w:footnote w:id="76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w:t>
      </w:r>
      <w:r w:rsidRPr="005D56D3">
        <w:rPr>
          <w:iCs/>
          <w:sz w:val="22"/>
          <w:szCs w:val="22"/>
        </w:rPr>
        <w:t>Van Goudoever</w:t>
      </w:r>
      <w:r w:rsidRPr="005D56D3">
        <w:rPr>
          <w:sz w:val="22"/>
          <w:szCs w:val="22"/>
        </w:rPr>
        <w:t xml:space="preserve">, “Time Indications in Daniel that Reflect the Usage of the Ancient Theoretical So-called Zadokite Calendar,” in van der Woude </w:t>
      </w:r>
      <w:r w:rsidRPr="005D56D3">
        <w:rPr>
          <w:b/>
          <w:sz w:val="22"/>
          <w:szCs w:val="22"/>
        </w:rPr>
        <w:t>(</w:t>
      </w:r>
      <w:r w:rsidRPr="005D56D3">
        <w:rPr>
          <w:sz w:val="22"/>
          <w:szCs w:val="22"/>
        </w:rPr>
        <w:t>ed</w:t>
      </w:r>
      <w:r w:rsidRPr="005D56D3">
        <w:rPr>
          <w:b/>
          <w:sz w:val="22"/>
          <w:szCs w:val="22"/>
        </w:rPr>
        <w:t xml:space="preserve">.), </w:t>
      </w:r>
      <w:r w:rsidRPr="005D56D3">
        <w:rPr>
          <w:i/>
          <w:sz w:val="22"/>
          <w:szCs w:val="22"/>
        </w:rPr>
        <w:t>The Book of Daniel</w:t>
      </w:r>
      <w:r w:rsidRPr="005D56D3">
        <w:rPr>
          <w:sz w:val="22"/>
          <w:szCs w:val="22"/>
        </w:rPr>
        <w:t>, 533-538; Boccaccini</w:t>
      </w:r>
      <w:r w:rsidRPr="005D56D3">
        <w:rPr>
          <w:b/>
          <w:sz w:val="22"/>
          <w:szCs w:val="22"/>
        </w:rPr>
        <w:t xml:space="preserve">, </w:t>
      </w:r>
      <w:r w:rsidRPr="005D56D3">
        <w:rPr>
          <w:sz w:val="22"/>
          <w:szCs w:val="22"/>
        </w:rPr>
        <w:t>“The Solar Calendars of Daniel and Enoch.”</w:t>
      </w:r>
    </w:p>
  </w:footnote>
  <w:footnote w:id="76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E.g., Beckwith, “The Earliest Enoch Literature and Its Calendar,” 377–78.</w:t>
      </w:r>
    </w:p>
  </w:footnote>
  <w:footnote w:id="76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E.g., Cornill, “Die siebzig Jahrwochen Daniels,” 29–30.</w:t>
      </w:r>
    </w:p>
  </w:footnote>
  <w:footnote w:id="76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Burgmann, “Die vier Endzeittermine im Danielbuch,” 545–46.</w:t>
      </w:r>
    </w:p>
  </w:footnote>
  <w:footnote w:id="76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Eiss, “Der Kalender des nachexilischen Judentums.”</w:t>
      </w:r>
    </w:p>
  </w:footnote>
  <w:footnote w:id="76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Stele</w:t>
      </w:r>
      <w:r w:rsidRPr="005D56D3">
        <w:rPr>
          <w:b/>
          <w:sz w:val="22"/>
          <w:szCs w:val="22"/>
        </w:rPr>
        <w:t xml:space="preserve">, </w:t>
      </w:r>
      <w:r w:rsidRPr="005D56D3">
        <w:rPr>
          <w:i/>
          <w:sz w:val="22"/>
          <w:szCs w:val="22"/>
        </w:rPr>
        <w:t>Resurrection in Daniel 12</w:t>
      </w:r>
      <w:r w:rsidRPr="005D56D3">
        <w:rPr>
          <w:sz w:val="22"/>
          <w:szCs w:val="22"/>
        </w:rPr>
        <w:t>; he emphasizes the difference between the resurrection ideas in the two verses.</w:t>
      </w:r>
    </w:p>
  </w:footnote>
  <w:footnote w:id="76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w:t>
      </w:r>
      <w:r w:rsidRPr="005D56D3">
        <w:rPr>
          <w:iCs/>
          <w:sz w:val="22"/>
          <w:szCs w:val="22"/>
        </w:rPr>
        <w:t>Raurell</w:t>
      </w:r>
      <w:r w:rsidRPr="005D56D3">
        <w:rPr>
          <w:b/>
          <w:sz w:val="22"/>
          <w:szCs w:val="22"/>
        </w:rPr>
        <w:t>,</w:t>
      </w:r>
      <w:r w:rsidRPr="005D56D3">
        <w:rPr>
          <w:sz w:val="22"/>
          <w:szCs w:val="22"/>
        </w:rPr>
        <w:t xml:space="preserve"> “The </w:t>
      </w:r>
      <w:r w:rsidRPr="005D56D3">
        <w:rPr>
          <w:i/>
          <w:sz w:val="22"/>
          <w:szCs w:val="22"/>
        </w:rPr>
        <w:t>Doxa</w:t>
      </w:r>
      <w:r w:rsidRPr="005D56D3">
        <w:rPr>
          <w:sz w:val="22"/>
          <w:szCs w:val="22"/>
        </w:rPr>
        <w:t xml:space="preserve"> of the Seer in Dan-LXX 12,13.”</w:t>
      </w:r>
    </w:p>
  </w:footnote>
  <w:footnote w:id="77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Jones, </w:t>
      </w:r>
      <w:r w:rsidRPr="005D56D3">
        <w:rPr>
          <w:i/>
          <w:sz w:val="22"/>
          <w:szCs w:val="22"/>
        </w:rPr>
        <w:t>Ideas of History in the Book of Daniel</w:t>
      </w:r>
      <w:r w:rsidRPr="005D56D3">
        <w:rPr>
          <w:sz w:val="22"/>
          <w:szCs w:val="22"/>
        </w:rPr>
        <w:t>, 208–11.</w:t>
      </w:r>
    </w:p>
  </w:footnote>
  <w:footnote w:id="77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Wildgruber, </w:t>
      </w:r>
      <w:r w:rsidRPr="005D56D3">
        <w:rPr>
          <w:i/>
          <w:sz w:val="22"/>
          <w:szCs w:val="22"/>
        </w:rPr>
        <w:t>Daniel 10—12</w:t>
      </w:r>
      <w:r w:rsidRPr="005D56D3">
        <w:rPr>
          <w:sz w:val="22"/>
          <w:szCs w:val="22"/>
        </w:rPr>
        <w:t>, 280-93.</w:t>
      </w:r>
    </w:p>
  </w:footnote>
  <w:footnote w:id="77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Joubert, </w:t>
      </w:r>
      <w:r w:rsidRPr="005D56D3">
        <w:rPr>
          <w:i/>
          <w:sz w:val="22"/>
          <w:szCs w:val="22"/>
        </w:rPr>
        <w:t>Power and Responsibility in the Book of Daniel</w:t>
      </w:r>
      <w:r w:rsidRPr="005D56D3">
        <w:rPr>
          <w:sz w:val="22"/>
          <w:szCs w:val="22"/>
        </w:rPr>
        <w:t>, 184.</w:t>
      </w:r>
    </w:p>
  </w:footnote>
  <w:footnote w:id="773">
    <w:p w:rsidR="008E57DC" w:rsidRPr="005D56D3" w:rsidRDefault="008E57DC">
      <w:pPr>
        <w:pStyle w:val="FootnoteText"/>
        <w:rPr>
          <w:sz w:val="22"/>
          <w:szCs w:val="22"/>
        </w:rPr>
      </w:pPr>
      <w:r w:rsidRPr="005D56D3">
        <w:rPr>
          <w:rStyle w:val="FootnoteReference"/>
          <w:sz w:val="22"/>
          <w:szCs w:val="22"/>
        </w:rPr>
        <w:footnoteRef/>
      </w:r>
      <w:r w:rsidRPr="005D56D3">
        <w:rPr>
          <w:sz w:val="22"/>
          <w:szCs w:val="22"/>
        </w:rPr>
        <w:t xml:space="preserve"> On approaches to undertstanding the visionary experience, see DiTommaso, </w:t>
      </w:r>
      <w:r w:rsidRPr="005D56D3">
        <w:rPr>
          <w:bCs/>
          <w:sz w:val="22"/>
          <w:szCs w:val="22"/>
        </w:rPr>
        <w:t>“</w:t>
      </w:r>
      <w:r w:rsidRPr="005D56D3">
        <w:rPr>
          <w:iCs/>
          <w:sz w:val="22"/>
          <w:szCs w:val="22"/>
        </w:rPr>
        <w:t xml:space="preserve">Apocalypses and Apocalypticism in Antiquity,” </w:t>
      </w:r>
      <w:r w:rsidRPr="005D56D3">
        <w:rPr>
          <w:sz w:val="22"/>
          <w:szCs w:val="22"/>
        </w:rPr>
        <w:t>263-65.</w:t>
      </w:r>
    </w:p>
  </w:footnote>
  <w:footnote w:id="774">
    <w:p w:rsidR="008E57DC" w:rsidRPr="005D56D3" w:rsidRDefault="008E57DC" w:rsidP="00622A75">
      <w:pPr>
        <w:pStyle w:val="FootnoteText"/>
        <w:rPr>
          <w:i/>
          <w:sz w:val="22"/>
          <w:szCs w:val="22"/>
        </w:rPr>
      </w:pPr>
      <w:r w:rsidRPr="005D56D3">
        <w:rPr>
          <w:rStyle w:val="FootnoteReference"/>
          <w:sz w:val="22"/>
          <w:szCs w:val="22"/>
        </w:rPr>
        <w:footnoteRef/>
      </w:r>
      <w:r w:rsidRPr="005D56D3">
        <w:rPr>
          <w:sz w:val="22"/>
          <w:szCs w:val="22"/>
        </w:rPr>
        <w:t xml:space="preserve"> See Carroll, </w:t>
      </w:r>
      <w:r w:rsidRPr="005D56D3">
        <w:rPr>
          <w:i/>
          <w:sz w:val="22"/>
          <w:szCs w:val="22"/>
        </w:rPr>
        <w:t>When Propecy Failed</w:t>
      </w:r>
      <w:r w:rsidRPr="005D56D3">
        <w:rPr>
          <w:sz w:val="22"/>
          <w:szCs w:val="22"/>
        </w:rPr>
        <w:t xml:space="preserve">, utilizing the work of Festinger, </w:t>
      </w:r>
      <w:r w:rsidRPr="005D56D3">
        <w:rPr>
          <w:i/>
          <w:sz w:val="22"/>
          <w:szCs w:val="22"/>
        </w:rPr>
        <w:t>When Prophecy Fails.</w:t>
      </w:r>
    </w:p>
  </w:footnote>
  <w:footnote w:id="77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Fishbane, </w:t>
      </w:r>
      <w:r w:rsidRPr="005D56D3">
        <w:rPr>
          <w:i/>
          <w:sz w:val="22"/>
          <w:szCs w:val="22"/>
        </w:rPr>
        <w:t>Biblical Interpretation in Ancient Israel</w:t>
      </w:r>
      <w:r w:rsidRPr="005D56D3">
        <w:rPr>
          <w:sz w:val="22"/>
          <w:szCs w:val="22"/>
        </w:rPr>
        <w:t>, 510–11.</w:t>
      </w:r>
    </w:p>
  </w:footnote>
  <w:footnote w:id="77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Gese, “Das Geschichtsbild des Danielsbuches und Ägypten,” 152.</w:t>
      </w:r>
    </w:p>
  </w:footnote>
  <w:footnote w:id="77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Lebram, “The Piety of the Jewish Apocalyptists,” 183.</w:t>
      </w:r>
    </w:p>
  </w:footnote>
  <w:footnote w:id="77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Carroll, “Prophecy and Dissonance,” 113, quoting Eaton, </w:t>
      </w:r>
      <w:r w:rsidRPr="005D56D3">
        <w:rPr>
          <w:i/>
          <w:sz w:val="22"/>
          <w:szCs w:val="22"/>
        </w:rPr>
        <w:t>Kingship and the Psalms</w:t>
      </w:r>
      <w:r w:rsidRPr="005D56D3">
        <w:rPr>
          <w:sz w:val="22"/>
          <w:szCs w:val="22"/>
        </w:rPr>
        <w:t>, 134).</w:t>
      </w:r>
    </w:p>
  </w:footnote>
  <w:footnote w:id="77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Towner, </w:t>
      </w:r>
      <w:r w:rsidRPr="005D56D3">
        <w:rPr>
          <w:i/>
          <w:sz w:val="22"/>
          <w:szCs w:val="22"/>
        </w:rPr>
        <w:t>Daniel</w:t>
      </w:r>
      <w:r w:rsidRPr="005D56D3">
        <w:rPr>
          <w:sz w:val="22"/>
          <w:szCs w:val="22"/>
        </w:rPr>
        <w:t>, 173.</w:t>
      </w:r>
    </w:p>
  </w:footnote>
  <w:footnote w:id="78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Barth, </w:t>
      </w:r>
      <w:r w:rsidRPr="005D56D3">
        <w:rPr>
          <w:i/>
          <w:sz w:val="22"/>
          <w:szCs w:val="22"/>
        </w:rPr>
        <w:t>CD</w:t>
      </w:r>
      <w:r w:rsidRPr="005D56D3">
        <w:rPr>
          <w:sz w:val="22"/>
          <w:szCs w:val="22"/>
        </w:rPr>
        <w:t xml:space="preserve"> iii, 3:410–11.</w:t>
      </w:r>
    </w:p>
  </w:footnote>
  <w:footnote w:id="78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Barth, </w:t>
      </w:r>
      <w:r w:rsidRPr="005D56D3">
        <w:rPr>
          <w:i/>
          <w:sz w:val="22"/>
          <w:szCs w:val="22"/>
        </w:rPr>
        <w:t xml:space="preserve">CD </w:t>
      </w:r>
      <w:r w:rsidRPr="005D56D3">
        <w:rPr>
          <w:sz w:val="22"/>
          <w:szCs w:val="22"/>
        </w:rPr>
        <w:t>iii, 3:456.</w:t>
      </w:r>
    </w:p>
  </w:footnote>
  <w:footnote w:id="78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Thus these supernatural figures are not </w:t>
      </w:r>
      <w:r w:rsidRPr="005D56D3">
        <w:rPr>
          <w:i/>
          <w:sz w:val="22"/>
          <w:szCs w:val="22"/>
        </w:rPr>
        <w:t xml:space="preserve">territorial </w:t>
      </w:r>
      <w:r w:rsidRPr="005D56D3">
        <w:rPr>
          <w:sz w:val="22"/>
          <w:szCs w:val="22"/>
        </w:rPr>
        <w:t>spirits (see Stevens, “Daniel 10 and the Notion of Territorial Spirits”).</w:t>
      </w:r>
    </w:p>
  </w:footnote>
  <w:footnote w:id="78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Koch, “Vom profetischen zum apokalyptischen Visionsbericht,” in Hellholm</w:t>
      </w:r>
      <w:r w:rsidRPr="005D56D3">
        <w:rPr>
          <w:i/>
          <w:sz w:val="22"/>
          <w:szCs w:val="22"/>
        </w:rPr>
        <w:t xml:space="preserve"> </w:t>
      </w:r>
      <w:r w:rsidRPr="005D56D3">
        <w:rPr>
          <w:sz w:val="22"/>
          <w:szCs w:val="22"/>
        </w:rPr>
        <w:t xml:space="preserve">(ed.), </w:t>
      </w:r>
      <w:r w:rsidRPr="005D56D3">
        <w:rPr>
          <w:i/>
          <w:sz w:val="22"/>
          <w:szCs w:val="22"/>
        </w:rPr>
        <w:t>Apocalypticism</w:t>
      </w:r>
      <w:r w:rsidRPr="005D56D3">
        <w:rPr>
          <w:sz w:val="22"/>
          <w:szCs w:val="22"/>
        </w:rPr>
        <w:t>, 438.</w:t>
      </w:r>
    </w:p>
  </w:footnote>
  <w:footnote w:id="78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Wink, </w:t>
      </w:r>
      <w:r w:rsidRPr="005D56D3">
        <w:rPr>
          <w:i/>
          <w:sz w:val="22"/>
          <w:szCs w:val="22"/>
        </w:rPr>
        <w:t>Unmasking the Powers</w:t>
      </w:r>
      <w:r w:rsidRPr="005D56D3">
        <w:rPr>
          <w:sz w:val="22"/>
          <w:szCs w:val="22"/>
        </w:rPr>
        <w:t>, 89.</w:t>
      </w:r>
    </w:p>
  </w:footnote>
  <w:footnote w:id="78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Speaking as the author, I note that I leave these contextual remarks as I formulated them in the 1980s. They illustrate the contextual nature of our reading of the scriptures and our hopes and fears. I could formulate different hopes and fears now.</w:t>
      </w:r>
    </w:p>
  </w:footnote>
  <w:footnote w:id="78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Wink, </w:t>
      </w:r>
      <w:r w:rsidRPr="005D56D3">
        <w:rPr>
          <w:i/>
          <w:sz w:val="22"/>
          <w:szCs w:val="22"/>
        </w:rPr>
        <w:t>Naming the Powers</w:t>
      </w:r>
      <w:r w:rsidRPr="005D56D3">
        <w:rPr>
          <w:sz w:val="22"/>
          <w:szCs w:val="22"/>
        </w:rPr>
        <w:t xml:space="preserve">; </w:t>
      </w:r>
      <w:r w:rsidRPr="005D56D3">
        <w:rPr>
          <w:i/>
          <w:sz w:val="22"/>
          <w:szCs w:val="22"/>
        </w:rPr>
        <w:t>Unmasking the Powers.</w:t>
      </w:r>
    </w:p>
  </w:footnote>
  <w:footnote w:id="78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Wink, </w:t>
      </w:r>
      <w:r w:rsidRPr="005D56D3">
        <w:rPr>
          <w:i/>
          <w:sz w:val="22"/>
          <w:szCs w:val="22"/>
        </w:rPr>
        <w:t>Unmasking the Powers</w:t>
      </w:r>
      <w:r w:rsidRPr="005D56D3">
        <w:rPr>
          <w:sz w:val="22"/>
          <w:szCs w:val="22"/>
        </w:rPr>
        <w:t>, 93–94</w:t>
      </w:r>
    </w:p>
  </w:footnote>
  <w:footnote w:id="78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Wink, </w:t>
      </w:r>
      <w:r w:rsidRPr="005D56D3">
        <w:rPr>
          <w:i/>
          <w:sz w:val="22"/>
          <w:szCs w:val="22"/>
        </w:rPr>
        <w:t>Naming</w:t>
      </w:r>
      <w:r w:rsidRPr="005D56D3">
        <w:rPr>
          <w:sz w:val="22"/>
          <w:szCs w:val="22"/>
        </w:rPr>
        <w:t xml:space="preserve"> </w:t>
      </w:r>
      <w:r w:rsidRPr="005D56D3">
        <w:rPr>
          <w:i/>
          <w:sz w:val="22"/>
          <w:szCs w:val="22"/>
        </w:rPr>
        <w:t>the Powers</w:t>
      </w:r>
      <w:r w:rsidRPr="005D56D3">
        <w:rPr>
          <w:sz w:val="22"/>
          <w:szCs w:val="22"/>
        </w:rPr>
        <w:t>, 66.</w:t>
      </w:r>
    </w:p>
  </w:footnote>
  <w:footnote w:id="78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Wink, </w:t>
      </w:r>
      <w:r w:rsidRPr="005D56D3">
        <w:rPr>
          <w:i/>
          <w:sz w:val="22"/>
          <w:szCs w:val="22"/>
        </w:rPr>
        <w:t>Naming the Powers</w:t>
      </w:r>
      <w:r w:rsidRPr="005D56D3">
        <w:rPr>
          <w:sz w:val="22"/>
          <w:szCs w:val="22"/>
        </w:rPr>
        <w:t>, 64.</w:t>
      </w:r>
    </w:p>
  </w:footnote>
  <w:footnote w:id="79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Wright, </w:t>
      </w:r>
      <w:r w:rsidRPr="005D56D3">
        <w:rPr>
          <w:i/>
          <w:sz w:val="22"/>
          <w:szCs w:val="22"/>
        </w:rPr>
        <w:t>Hearing the Message of Daniel</w:t>
      </w:r>
      <w:r w:rsidRPr="005D56D3">
        <w:rPr>
          <w:sz w:val="22"/>
          <w:szCs w:val="22"/>
        </w:rPr>
        <w:t>, 216-17.</w:t>
      </w:r>
    </w:p>
  </w:footnote>
  <w:footnote w:id="79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Calvin, </w:t>
      </w:r>
      <w:r w:rsidRPr="005D56D3">
        <w:rPr>
          <w:i/>
          <w:sz w:val="22"/>
          <w:szCs w:val="22"/>
        </w:rPr>
        <w:t>Daniel</w:t>
      </w:r>
      <w:r w:rsidRPr="005D56D3">
        <w:rPr>
          <w:sz w:val="22"/>
          <w:szCs w:val="22"/>
        </w:rPr>
        <w:t xml:space="preserve"> 2:251.</w:t>
      </w:r>
    </w:p>
  </w:footnote>
  <w:footnote w:id="79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Wink, </w:t>
      </w:r>
      <w:r w:rsidRPr="005D56D3">
        <w:rPr>
          <w:i/>
          <w:sz w:val="22"/>
          <w:szCs w:val="22"/>
        </w:rPr>
        <w:t>Unmasking the Powers</w:t>
      </w:r>
      <w:r w:rsidRPr="005D56D3">
        <w:rPr>
          <w:sz w:val="22"/>
          <w:szCs w:val="22"/>
        </w:rPr>
        <w:t>, 91.</w:t>
      </w:r>
    </w:p>
  </w:footnote>
  <w:footnote w:id="79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Berrigan, </w:t>
      </w:r>
      <w:r w:rsidRPr="005D56D3">
        <w:rPr>
          <w:i/>
          <w:sz w:val="22"/>
          <w:szCs w:val="22"/>
        </w:rPr>
        <w:t>Daniel</w:t>
      </w:r>
      <w:r w:rsidRPr="005D56D3">
        <w:rPr>
          <w:sz w:val="22"/>
          <w:szCs w:val="22"/>
        </w:rPr>
        <w:t>, 203.</w:t>
      </w:r>
    </w:p>
  </w:footnote>
  <w:footnote w:id="79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Towner, </w:t>
      </w:r>
      <w:r w:rsidRPr="005D56D3">
        <w:rPr>
          <w:i/>
          <w:sz w:val="22"/>
          <w:szCs w:val="22"/>
        </w:rPr>
        <w:t>Daniel</w:t>
      </w:r>
      <w:r w:rsidRPr="005D56D3">
        <w:rPr>
          <w:sz w:val="22"/>
          <w:szCs w:val="22"/>
        </w:rPr>
        <w:t>, on the passage.</w:t>
      </w:r>
    </w:p>
  </w:footnote>
  <w:footnote w:id="79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Towner, </w:t>
      </w:r>
      <w:r w:rsidRPr="005D56D3">
        <w:rPr>
          <w:i/>
          <w:sz w:val="22"/>
          <w:szCs w:val="22"/>
        </w:rPr>
        <w:t>Daniel</w:t>
      </w:r>
      <w:r w:rsidRPr="005D56D3">
        <w:rPr>
          <w:sz w:val="22"/>
          <w:szCs w:val="22"/>
        </w:rPr>
        <w:t xml:space="preserve">, 174. Cf. von Rad, </w:t>
      </w:r>
      <w:r w:rsidRPr="005D56D3">
        <w:rPr>
          <w:i/>
          <w:sz w:val="22"/>
          <w:szCs w:val="22"/>
        </w:rPr>
        <w:t>OT Theology</w:t>
      </w:r>
      <w:r w:rsidRPr="005D56D3">
        <w:rPr>
          <w:sz w:val="22"/>
          <w:szCs w:val="22"/>
        </w:rPr>
        <w:t xml:space="preserve"> 2:303-4.</w:t>
      </w:r>
    </w:p>
  </w:footnote>
  <w:footnote w:id="79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Merrill Willis, </w:t>
      </w:r>
      <w:r w:rsidRPr="005D56D3">
        <w:rPr>
          <w:i/>
          <w:sz w:val="22"/>
          <w:szCs w:val="22"/>
        </w:rPr>
        <w:t>Dissonance and the Drama of Divine Sovereignty in the Book of Daniel</w:t>
      </w:r>
      <w:r w:rsidRPr="005D56D3">
        <w:rPr>
          <w:sz w:val="22"/>
          <w:szCs w:val="22"/>
        </w:rPr>
        <w:t>, 29.</w:t>
      </w:r>
    </w:p>
  </w:footnote>
  <w:footnote w:id="79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Quoted by Philip, </w:t>
      </w:r>
      <w:r w:rsidRPr="005D56D3">
        <w:rPr>
          <w:i/>
          <w:sz w:val="22"/>
          <w:szCs w:val="22"/>
        </w:rPr>
        <w:t>By the Rivers of Babylon</w:t>
      </w:r>
      <w:r w:rsidRPr="005D56D3">
        <w:rPr>
          <w:sz w:val="22"/>
          <w:szCs w:val="22"/>
        </w:rPr>
        <w:t>, on the passage.</w:t>
      </w:r>
    </w:p>
  </w:footnote>
  <w:footnote w:id="798">
    <w:p w:rsidR="008E57DC" w:rsidRPr="005D56D3" w:rsidRDefault="008E57DC" w:rsidP="00FA36CA">
      <w:pPr>
        <w:pStyle w:val="FootnoteText"/>
        <w:rPr>
          <w:sz w:val="22"/>
          <w:szCs w:val="22"/>
        </w:rPr>
      </w:pPr>
      <w:r w:rsidRPr="005D56D3">
        <w:rPr>
          <w:rStyle w:val="FootnoteReference"/>
          <w:sz w:val="22"/>
          <w:szCs w:val="22"/>
        </w:rPr>
        <w:footnoteRef/>
      </w:r>
      <w:r w:rsidRPr="005D56D3">
        <w:rPr>
          <w:sz w:val="22"/>
          <w:szCs w:val="22"/>
        </w:rPr>
        <w:t xml:space="preserve"> See e.g., the “interchange on myth and history” (Marrill Willis, “Myth and History in Daniel 8,” 151) between Jindo (“On Myth and History”) and DiTommaso (“History and Apocalyptic Eschatology”); and D. D. Baldwin, “Free Will and Conditionality in Daniel,” in Merling (ed.), </w:t>
      </w:r>
      <w:r w:rsidRPr="005D56D3">
        <w:rPr>
          <w:i/>
          <w:sz w:val="22"/>
          <w:szCs w:val="22"/>
        </w:rPr>
        <w:t>To Understand the Scriptures</w:t>
      </w:r>
      <w:r w:rsidRPr="005D56D3">
        <w:rPr>
          <w:sz w:val="22"/>
          <w:szCs w:val="22"/>
        </w:rPr>
        <w:t xml:space="preserve">, 163-72. </w:t>
      </w:r>
    </w:p>
  </w:footnote>
  <w:footnote w:id="79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Barth, </w:t>
      </w:r>
      <w:r w:rsidRPr="005D56D3">
        <w:rPr>
          <w:i/>
          <w:sz w:val="22"/>
          <w:szCs w:val="22"/>
        </w:rPr>
        <w:t xml:space="preserve">CD </w:t>
      </w:r>
      <w:r w:rsidRPr="005D56D3">
        <w:rPr>
          <w:sz w:val="22"/>
          <w:szCs w:val="22"/>
        </w:rPr>
        <w:t>IV, 3:</w:t>
      </w:r>
      <w:r w:rsidR="00E33B53" w:rsidRPr="005D56D3">
        <w:rPr>
          <w:sz w:val="22"/>
          <w:szCs w:val="22"/>
        </w:rPr>
        <w:t xml:space="preserve">694. </w:t>
      </w:r>
    </w:p>
  </w:footnote>
  <w:footnote w:id="80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Hanhart, “Kriterien Geschichtlicher Wahrheit in der Makkabäerzeit,” 82; Towner, </w:t>
      </w:r>
      <w:r w:rsidRPr="005D56D3">
        <w:rPr>
          <w:i/>
          <w:sz w:val="22"/>
          <w:szCs w:val="22"/>
        </w:rPr>
        <w:t>Daniel</w:t>
      </w:r>
      <w:r w:rsidRPr="005D56D3">
        <w:rPr>
          <w:sz w:val="22"/>
          <w:szCs w:val="22"/>
        </w:rPr>
        <w:t xml:space="preserve">, on the passage; </w:t>
      </w:r>
      <w:r w:rsidRPr="005D56D3">
        <w:rPr>
          <w:iCs/>
          <w:sz w:val="22"/>
          <w:szCs w:val="22"/>
        </w:rPr>
        <w:t>Rappaport</w:t>
      </w:r>
      <w:r w:rsidRPr="005D56D3">
        <w:rPr>
          <w:b/>
          <w:iCs/>
          <w:sz w:val="22"/>
          <w:szCs w:val="22"/>
        </w:rPr>
        <w:t xml:space="preserve">, </w:t>
      </w:r>
      <w:r w:rsidRPr="005D56D3">
        <w:rPr>
          <w:iCs/>
          <w:sz w:val="22"/>
          <w:szCs w:val="22"/>
        </w:rPr>
        <w:t>“Apocalyptic Vision and Preservation of Historical Memory.”</w:t>
      </w:r>
    </w:p>
  </w:footnote>
  <w:footnote w:id="80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Joubert, </w:t>
      </w:r>
      <w:r w:rsidRPr="005D56D3">
        <w:rPr>
          <w:i/>
          <w:sz w:val="22"/>
          <w:szCs w:val="22"/>
        </w:rPr>
        <w:t>Power and Responsibility in the Book of Daniel</w:t>
      </w:r>
      <w:r w:rsidRPr="005D56D3">
        <w:rPr>
          <w:sz w:val="22"/>
          <w:szCs w:val="22"/>
        </w:rPr>
        <w:t>, 191–92.</w:t>
      </w:r>
    </w:p>
  </w:footnote>
  <w:footnote w:id="80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Gowan, </w:t>
      </w:r>
      <w:r w:rsidRPr="005D56D3">
        <w:rPr>
          <w:i/>
          <w:sz w:val="22"/>
          <w:szCs w:val="22"/>
        </w:rPr>
        <w:t>Daniel</w:t>
      </w:r>
      <w:r w:rsidRPr="005D56D3">
        <w:rPr>
          <w:sz w:val="22"/>
          <w:szCs w:val="22"/>
        </w:rPr>
        <w:t>, on the passage.</w:t>
      </w:r>
    </w:p>
  </w:footnote>
  <w:footnote w:id="80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Newsom, “The Past as Revelation,” 48; Lebram, ““The Piety of the Jewish Apocalyptists,” 183.</w:t>
      </w:r>
    </w:p>
  </w:footnote>
  <w:footnote w:id="80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Goldstein, </w:t>
      </w:r>
      <w:r w:rsidRPr="005D56D3">
        <w:rPr>
          <w:i/>
          <w:sz w:val="22"/>
          <w:szCs w:val="22"/>
        </w:rPr>
        <w:t>I Maccabees</w:t>
      </w:r>
      <w:r w:rsidRPr="005D56D3">
        <w:rPr>
          <w:sz w:val="22"/>
          <w:szCs w:val="22"/>
        </w:rPr>
        <w:t>, 3–36.</w:t>
      </w:r>
    </w:p>
  </w:footnote>
  <w:footnote w:id="805">
    <w:p w:rsidR="008E57DC" w:rsidRPr="005D56D3" w:rsidRDefault="008E57DC" w:rsidP="00FA36CA">
      <w:pPr>
        <w:pStyle w:val="FootnoteText"/>
        <w:rPr>
          <w:sz w:val="22"/>
          <w:szCs w:val="22"/>
        </w:rPr>
      </w:pPr>
      <w:r w:rsidRPr="005D56D3">
        <w:rPr>
          <w:rStyle w:val="FootnoteReference"/>
          <w:sz w:val="22"/>
          <w:szCs w:val="22"/>
        </w:rPr>
        <w:footnoteRef/>
      </w:r>
      <w:r w:rsidRPr="005D56D3">
        <w:rPr>
          <w:sz w:val="22"/>
          <w:szCs w:val="22"/>
        </w:rPr>
        <w:t xml:space="preserve"> Redditt, </w:t>
      </w:r>
      <w:r w:rsidRPr="005D56D3">
        <w:rPr>
          <w:i/>
          <w:sz w:val="22"/>
          <w:szCs w:val="22"/>
        </w:rPr>
        <w:t>Daniel</w:t>
      </w:r>
      <w:r w:rsidRPr="005D56D3">
        <w:rPr>
          <w:sz w:val="22"/>
          <w:szCs w:val="22"/>
        </w:rPr>
        <w:t>, 132.</w:t>
      </w:r>
    </w:p>
  </w:footnote>
  <w:footnote w:id="80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Wildgruber, </w:t>
      </w:r>
      <w:r w:rsidRPr="005D56D3">
        <w:rPr>
          <w:i/>
          <w:sz w:val="22"/>
          <w:szCs w:val="22"/>
        </w:rPr>
        <w:t>Daniel 10—12</w:t>
      </w:r>
      <w:r w:rsidRPr="005D56D3">
        <w:rPr>
          <w:sz w:val="22"/>
          <w:szCs w:val="22"/>
        </w:rPr>
        <w:t>, 226-48.</w:t>
      </w:r>
    </w:p>
  </w:footnote>
  <w:footnote w:id="80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w:t>
      </w:r>
      <w:r w:rsidRPr="005D56D3">
        <w:rPr>
          <w:bCs/>
          <w:sz w:val="22"/>
          <w:szCs w:val="22"/>
        </w:rPr>
        <w:t>Garber</w:t>
      </w:r>
      <w:r w:rsidRPr="005D56D3">
        <w:rPr>
          <w:b/>
          <w:sz w:val="22"/>
          <w:szCs w:val="22"/>
        </w:rPr>
        <w:t xml:space="preserve">, </w:t>
      </w:r>
      <w:r w:rsidRPr="005D56D3">
        <w:rPr>
          <w:sz w:val="22"/>
          <w:szCs w:val="22"/>
        </w:rPr>
        <w:t>“Resisting Daniel.”</w:t>
      </w:r>
    </w:p>
  </w:footnote>
  <w:footnote w:id="80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Calvin, </w:t>
      </w:r>
      <w:r w:rsidRPr="005D56D3">
        <w:rPr>
          <w:i/>
          <w:sz w:val="22"/>
          <w:szCs w:val="22"/>
        </w:rPr>
        <w:t>Daniel</w:t>
      </w:r>
      <w:r w:rsidRPr="005D56D3">
        <w:rPr>
          <w:sz w:val="22"/>
          <w:szCs w:val="22"/>
        </w:rPr>
        <w:t xml:space="preserve"> 2:253.</w:t>
      </w:r>
    </w:p>
  </w:footnote>
  <w:footnote w:id="809">
    <w:p w:rsidR="008E57DC" w:rsidRPr="005D56D3" w:rsidRDefault="008E57DC" w:rsidP="005D7391">
      <w:pPr>
        <w:pStyle w:val="FootnoteText"/>
        <w:rPr>
          <w:sz w:val="22"/>
          <w:szCs w:val="22"/>
        </w:rPr>
      </w:pPr>
      <w:r w:rsidRPr="005D56D3">
        <w:rPr>
          <w:rStyle w:val="FootnoteReference"/>
          <w:sz w:val="22"/>
          <w:szCs w:val="22"/>
        </w:rPr>
        <w:footnoteRef/>
      </w:r>
      <w:r w:rsidRPr="005D56D3">
        <w:rPr>
          <w:sz w:val="22"/>
          <w:szCs w:val="22"/>
        </w:rPr>
        <w:t xml:space="preserve"> Against Childs, </w:t>
      </w:r>
      <w:r w:rsidRPr="005D56D3">
        <w:rPr>
          <w:i/>
          <w:sz w:val="22"/>
          <w:szCs w:val="22"/>
        </w:rPr>
        <w:t>Introduction to the OT as Scripture</w:t>
      </w:r>
      <w:r w:rsidRPr="005D56D3">
        <w:rPr>
          <w:sz w:val="22"/>
          <w:szCs w:val="22"/>
        </w:rPr>
        <w:t>, 619 (cf. Childs, “The Exegetical Significance of Canon for the Study of the OT,” 77).</w:t>
      </w:r>
    </w:p>
  </w:footnote>
  <w:footnote w:id="81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Wildgruber, </w:t>
      </w:r>
      <w:r w:rsidRPr="005D56D3">
        <w:rPr>
          <w:i/>
          <w:sz w:val="22"/>
          <w:szCs w:val="22"/>
        </w:rPr>
        <w:t>Daniel 10—12</w:t>
      </w:r>
      <w:r w:rsidRPr="005D56D3">
        <w:rPr>
          <w:sz w:val="22"/>
          <w:szCs w:val="22"/>
        </w:rPr>
        <w:t>, 253.</w:t>
      </w:r>
    </w:p>
  </w:footnote>
  <w:footnote w:id="81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Meadowcroft, “History and Eschatology in Tension,” 247.</w:t>
      </w:r>
    </w:p>
  </w:footnote>
  <w:footnote w:id="81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Wink, </w:t>
      </w:r>
      <w:r w:rsidRPr="005D56D3">
        <w:rPr>
          <w:i/>
          <w:sz w:val="22"/>
          <w:szCs w:val="22"/>
        </w:rPr>
        <w:t>Unmasking the Powers</w:t>
      </w:r>
      <w:r w:rsidRPr="005D56D3">
        <w:rPr>
          <w:sz w:val="22"/>
          <w:szCs w:val="22"/>
        </w:rPr>
        <w:t>, 87–88, 95–96</w:t>
      </w:r>
    </w:p>
  </w:footnote>
  <w:footnote w:id="81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Collins, </w:t>
      </w:r>
      <w:r w:rsidRPr="005D56D3">
        <w:rPr>
          <w:i/>
          <w:sz w:val="22"/>
          <w:szCs w:val="22"/>
        </w:rPr>
        <w:t>Daniel</w:t>
      </w:r>
      <w:r w:rsidRPr="005D56D3">
        <w:rPr>
          <w:sz w:val="22"/>
          <w:szCs w:val="22"/>
        </w:rPr>
        <w:t>, 403.</w:t>
      </w:r>
    </w:p>
  </w:footnote>
  <w:footnote w:id="81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Against Collins, “Apocalyptic Eschatology as the Transcendence of Death,” 34–37.</w:t>
      </w:r>
    </w:p>
  </w:footnote>
  <w:footnote w:id="815">
    <w:p w:rsidR="008E57DC" w:rsidRPr="005D56D3" w:rsidRDefault="008E57DC" w:rsidP="0049720B">
      <w:pPr>
        <w:pStyle w:val="FootnoteText"/>
        <w:rPr>
          <w:sz w:val="22"/>
          <w:szCs w:val="22"/>
        </w:rPr>
      </w:pPr>
      <w:r w:rsidRPr="005D56D3">
        <w:rPr>
          <w:rStyle w:val="FootnoteReference"/>
          <w:sz w:val="22"/>
          <w:szCs w:val="22"/>
        </w:rPr>
        <w:footnoteRef/>
      </w:r>
      <w:r w:rsidRPr="005D56D3">
        <w:rPr>
          <w:sz w:val="22"/>
          <w:szCs w:val="22"/>
        </w:rPr>
        <w:t xml:space="preserve"> Gowan, </w:t>
      </w:r>
      <w:r w:rsidRPr="005D56D3">
        <w:rPr>
          <w:i/>
          <w:sz w:val="22"/>
          <w:szCs w:val="22"/>
        </w:rPr>
        <w:t>Daniel</w:t>
      </w:r>
      <w:r w:rsidRPr="005D56D3">
        <w:rPr>
          <w:sz w:val="22"/>
          <w:szCs w:val="22"/>
        </w:rPr>
        <w:t>, on the passage.</w:t>
      </w:r>
    </w:p>
  </w:footnote>
  <w:footnote w:id="81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Collins, “The Mythology of Holy War in Daniel and the Qumran War Scroll,” 603.</w:t>
      </w:r>
    </w:p>
  </w:footnote>
  <w:footnote w:id="81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Kellermann, “Überwindung des Todesgeschicks in der alttestamentlichen Frömmigkeit,” 261–62.</w:t>
      </w:r>
    </w:p>
  </w:footnote>
  <w:footnote w:id="81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Pfeiffer, “Wisdom and Vision in the OT,” 101.</w:t>
      </w:r>
    </w:p>
  </w:footnote>
  <w:footnote w:id="81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Contrast Revelation: see Yarbro Collins, “The Political Perspective of the Revelation to John.”</w:t>
      </w:r>
    </w:p>
  </w:footnote>
  <w:footnote w:id="82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Calvin, </w:t>
      </w:r>
      <w:r w:rsidRPr="005D56D3">
        <w:rPr>
          <w:i/>
          <w:sz w:val="22"/>
          <w:szCs w:val="22"/>
        </w:rPr>
        <w:t>Daniel</w:t>
      </w:r>
      <w:r w:rsidRPr="005D56D3">
        <w:rPr>
          <w:sz w:val="22"/>
          <w:szCs w:val="22"/>
        </w:rPr>
        <w:t>, 391, 392.</w:t>
      </w:r>
    </w:p>
  </w:footnote>
  <w:footnote w:id="82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Sumner, “Daniel,” 220.</w:t>
      </w:r>
    </w:p>
  </w:footnote>
  <w:footnote w:id="82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“The Labouring Saints Dismission to Rest”; cf. Sumner, “Daniel,” 220.</w:t>
      </w:r>
    </w:p>
  </w:footnote>
  <w:footnote w:id="82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Calvin, </w:t>
      </w:r>
      <w:r w:rsidRPr="005D56D3">
        <w:rPr>
          <w:i/>
          <w:sz w:val="22"/>
          <w:szCs w:val="22"/>
        </w:rPr>
        <w:t>Daniel</w:t>
      </w:r>
      <w:r w:rsidRPr="005D56D3">
        <w:rPr>
          <w:sz w:val="22"/>
          <w:szCs w:val="22"/>
        </w:rPr>
        <w:t xml:space="preserve"> 2:245-46.</w:t>
      </w:r>
    </w:p>
  </w:footnote>
  <w:footnote w:id="824">
    <w:p w:rsidR="008E57DC" w:rsidRPr="005D56D3" w:rsidRDefault="008E57DC" w:rsidP="00622A75">
      <w:pPr>
        <w:autoSpaceDE w:val="0"/>
        <w:autoSpaceDN w:val="0"/>
        <w:adjustRightInd w:val="0"/>
        <w:rPr>
          <w:rFonts w:eastAsiaTheme="minorHAnsi" w:cs="CenturySchoolbook-Bold"/>
          <w:bCs/>
        </w:rPr>
      </w:pPr>
      <w:r w:rsidRPr="005D56D3">
        <w:rPr>
          <w:rStyle w:val="FootnoteReference"/>
        </w:rPr>
        <w:footnoteRef/>
      </w:r>
      <w:r w:rsidRPr="005D56D3">
        <w:t xml:space="preserve"> </w:t>
      </w:r>
      <w:r w:rsidRPr="005D56D3">
        <w:rPr>
          <w:rFonts w:eastAsiaTheme="minorHAnsi" w:cs="TimesNewRomanPSMT-Identity-H"/>
          <w:bCs/>
        </w:rPr>
        <w:t>Shea</w:t>
      </w:r>
      <w:r w:rsidRPr="005D56D3">
        <w:rPr>
          <w:rFonts w:eastAsiaTheme="minorHAnsi" w:cs="TimesNewRomanPSMT-Identity-H"/>
          <w:b/>
          <w:bCs/>
        </w:rPr>
        <w:t>, “</w:t>
      </w:r>
      <w:r w:rsidRPr="005D56D3">
        <w:rPr>
          <w:rFonts w:eastAsiaTheme="minorHAnsi" w:cs="CenturySchoolbook-Bold"/>
          <w:bCs/>
        </w:rPr>
        <w:t>History and Eschatology in the Book of Daniel,” 195.</w:t>
      </w:r>
    </w:p>
    <w:p w:rsidR="008E57DC" w:rsidRPr="005D56D3" w:rsidRDefault="008E57DC" w:rsidP="00622A75">
      <w:pPr>
        <w:pStyle w:val="FootnoteText"/>
        <w:rPr>
          <w:sz w:val="22"/>
          <w:szCs w:val="22"/>
        </w:rPr>
      </w:pPr>
    </w:p>
  </w:footnote>
  <w:footnote w:id="82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e.g., Hanson, </w:t>
      </w:r>
      <w:r w:rsidRPr="005D56D3">
        <w:rPr>
          <w:i/>
          <w:sz w:val="22"/>
          <w:szCs w:val="22"/>
        </w:rPr>
        <w:t>IDBSup</w:t>
      </w:r>
      <w:r w:rsidRPr="005D56D3">
        <w:rPr>
          <w:sz w:val="22"/>
          <w:szCs w:val="22"/>
        </w:rPr>
        <w:t xml:space="preserve"> 27; Barker (“Apocalyptic”) notes that Daniel lacks most of the features of apocalyptic thought.</w:t>
      </w:r>
    </w:p>
  </w:footnote>
  <w:footnote w:id="82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Collins (ed.), </w:t>
      </w:r>
      <w:r w:rsidRPr="005D56D3">
        <w:rPr>
          <w:i/>
          <w:sz w:val="22"/>
          <w:szCs w:val="22"/>
        </w:rPr>
        <w:t>Apocalypse</w:t>
      </w:r>
      <w:r w:rsidRPr="005D56D3">
        <w:rPr>
          <w:sz w:val="22"/>
          <w:szCs w:val="22"/>
        </w:rPr>
        <w:t xml:space="preserve">, 9. Collins considers the debate on this definition in </w:t>
      </w:r>
      <w:r w:rsidRPr="005D56D3">
        <w:rPr>
          <w:i/>
          <w:sz w:val="22"/>
          <w:szCs w:val="22"/>
        </w:rPr>
        <w:t>Apocalypse, Prophecy, and Pseudepigraphy</w:t>
      </w:r>
      <w:r w:rsidRPr="005D56D3">
        <w:rPr>
          <w:sz w:val="22"/>
          <w:szCs w:val="22"/>
        </w:rPr>
        <w:t>, 1-20.</w:t>
      </w:r>
    </w:p>
  </w:footnote>
  <w:footnote w:id="82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Rowland, </w:t>
      </w:r>
      <w:r w:rsidRPr="005D56D3">
        <w:rPr>
          <w:i/>
          <w:sz w:val="22"/>
          <w:szCs w:val="22"/>
        </w:rPr>
        <w:t>The Open Heaven</w:t>
      </w:r>
      <w:r w:rsidRPr="005D56D3">
        <w:rPr>
          <w:sz w:val="22"/>
          <w:szCs w:val="22"/>
        </w:rPr>
        <w:t xml:space="preserve">. </w:t>
      </w:r>
    </w:p>
  </w:footnote>
  <w:footnote w:id="82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Koch, </w:t>
      </w:r>
      <w:r w:rsidRPr="005D56D3">
        <w:rPr>
          <w:i/>
          <w:sz w:val="22"/>
          <w:szCs w:val="22"/>
        </w:rPr>
        <w:t>Das Buch Daniel</w:t>
      </w:r>
      <w:r w:rsidRPr="005D56D3">
        <w:rPr>
          <w:sz w:val="22"/>
          <w:szCs w:val="22"/>
        </w:rPr>
        <w:t>, 25.</w:t>
      </w:r>
    </w:p>
  </w:footnote>
  <w:footnote w:id="82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Collins, “Inspiration or Illusion,” 29. The statement is puzzling because Collins earlier noted that the stories do not belong to the genre history, partly on the basis of their having patterns typical of folktales (</w:t>
      </w:r>
      <w:r w:rsidRPr="005D56D3">
        <w:rPr>
          <w:i/>
          <w:sz w:val="22"/>
          <w:szCs w:val="22"/>
        </w:rPr>
        <w:t>Daniel with an Introduction to Apocalyptic Literature</w:t>
      </w:r>
      <w:r w:rsidRPr="005D56D3">
        <w:rPr>
          <w:sz w:val="22"/>
          <w:szCs w:val="22"/>
        </w:rPr>
        <w:t>, 41).</w:t>
      </w:r>
    </w:p>
  </w:footnote>
  <w:footnote w:id="83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Brant et al. (eds.),</w:t>
      </w:r>
      <w:r w:rsidRPr="005D56D3">
        <w:rPr>
          <w:i/>
          <w:iCs/>
          <w:sz w:val="22"/>
          <w:szCs w:val="22"/>
        </w:rPr>
        <w:t xml:space="preserve"> Ancient Fiction</w:t>
      </w:r>
      <w:r w:rsidRPr="005D56D3">
        <w:rPr>
          <w:iCs/>
          <w:sz w:val="22"/>
          <w:szCs w:val="22"/>
        </w:rPr>
        <w:t>, offers a discussion of how people think about stories that relate things that happened and things that didn’t.</w:t>
      </w:r>
    </w:p>
  </w:footnote>
  <w:footnote w:id="83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Niskanen, </w:t>
      </w:r>
      <w:r w:rsidRPr="005D56D3">
        <w:rPr>
          <w:i/>
          <w:sz w:val="22"/>
          <w:szCs w:val="22"/>
        </w:rPr>
        <w:t>The Human and the Divine in History</w:t>
      </w:r>
      <w:r w:rsidRPr="005D56D3">
        <w:rPr>
          <w:sz w:val="22"/>
          <w:szCs w:val="22"/>
        </w:rPr>
        <w:t>, on parallels with Herodotus; also Goldingay, “Daniel in the Context of OT Theology,” 641.</w:t>
      </w:r>
    </w:p>
  </w:footnote>
  <w:footnote w:id="83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Collins, </w:t>
      </w:r>
      <w:r w:rsidRPr="005D56D3">
        <w:rPr>
          <w:i/>
          <w:sz w:val="22"/>
          <w:szCs w:val="22"/>
        </w:rPr>
        <w:t>Daniel</w:t>
      </w:r>
      <w:r w:rsidRPr="005D56D3">
        <w:rPr>
          <w:sz w:val="22"/>
          <w:szCs w:val="22"/>
        </w:rPr>
        <w:t>, 58. On the rationale for attributing one’s visions to a figure from the past, see Najman, “How to Make Sense of Pseudonymous Attribution.”</w:t>
      </w:r>
    </w:p>
  </w:footnote>
  <w:footnote w:id="833">
    <w:p w:rsidR="008E57DC" w:rsidRPr="005D56D3" w:rsidRDefault="008E57DC" w:rsidP="009B13D8">
      <w:pPr>
        <w:pStyle w:val="FootnoteText"/>
        <w:rPr>
          <w:sz w:val="22"/>
          <w:szCs w:val="22"/>
        </w:rPr>
      </w:pPr>
      <w:r w:rsidRPr="005D56D3">
        <w:rPr>
          <w:rStyle w:val="FootnoteReference"/>
          <w:sz w:val="22"/>
          <w:szCs w:val="22"/>
        </w:rPr>
        <w:footnoteRef/>
      </w:r>
      <w:r w:rsidRPr="005D56D3">
        <w:rPr>
          <w:sz w:val="22"/>
          <w:szCs w:val="22"/>
        </w:rPr>
        <w:t xml:space="preserve"> So Niditch, “The Visionary,” 157–58.</w:t>
      </w:r>
    </w:p>
  </w:footnote>
  <w:footnote w:id="834">
    <w:p w:rsidR="008E57DC" w:rsidRPr="005D56D3" w:rsidRDefault="008E57DC">
      <w:pPr>
        <w:pStyle w:val="FootnoteText"/>
        <w:rPr>
          <w:sz w:val="22"/>
          <w:szCs w:val="22"/>
        </w:rPr>
      </w:pPr>
      <w:r w:rsidRPr="005D56D3">
        <w:rPr>
          <w:rStyle w:val="FootnoteReference"/>
          <w:sz w:val="22"/>
          <w:szCs w:val="22"/>
        </w:rPr>
        <w:footnoteRef/>
      </w:r>
      <w:r w:rsidRPr="005D56D3">
        <w:rPr>
          <w:sz w:val="22"/>
          <w:szCs w:val="22"/>
        </w:rPr>
        <w:t xml:space="preserve"> Portier-Young, </w:t>
      </w:r>
      <w:r w:rsidRPr="005D56D3">
        <w:rPr>
          <w:i/>
          <w:sz w:val="22"/>
          <w:szCs w:val="22"/>
        </w:rPr>
        <w:t>Apocalypse Against Empire</w:t>
      </w:r>
      <w:r w:rsidRPr="005D56D3">
        <w:rPr>
          <w:sz w:val="22"/>
          <w:szCs w:val="22"/>
        </w:rPr>
        <w:t>, 42.</w:t>
      </w:r>
    </w:p>
  </w:footnote>
  <w:footnote w:id="83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Words used by Hamilton in </w:t>
      </w:r>
      <w:r w:rsidRPr="005D56D3">
        <w:rPr>
          <w:i/>
          <w:sz w:val="22"/>
          <w:szCs w:val="22"/>
        </w:rPr>
        <w:t>With the Clouds of Heaven</w:t>
      </w:r>
      <w:r w:rsidRPr="005D56D3">
        <w:rPr>
          <w:sz w:val="22"/>
          <w:szCs w:val="22"/>
        </w:rPr>
        <w:t>, 37-39.</w:t>
      </w:r>
    </w:p>
  </w:footnote>
  <w:footnote w:id="83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Collins, </w:t>
      </w:r>
      <w:r w:rsidRPr="005D56D3">
        <w:rPr>
          <w:i/>
          <w:sz w:val="22"/>
          <w:szCs w:val="22"/>
        </w:rPr>
        <w:t>Daniel</w:t>
      </w:r>
      <w:r w:rsidRPr="005D56D3">
        <w:rPr>
          <w:sz w:val="22"/>
          <w:szCs w:val="22"/>
        </w:rPr>
        <w:t>, 56.</w:t>
      </w:r>
    </w:p>
  </w:footnote>
  <w:footnote w:id="83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Frei in </w:t>
      </w:r>
      <w:r w:rsidRPr="005D56D3">
        <w:rPr>
          <w:i/>
          <w:sz w:val="22"/>
          <w:szCs w:val="22"/>
        </w:rPr>
        <w:t>The Eclipse of Biblical Narrative</w:t>
      </w:r>
      <w:r w:rsidRPr="005D56D3">
        <w:rPr>
          <w:sz w:val="22"/>
          <w:szCs w:val="22"/>
        </w:rPr>
        <w:t>.</w:t>
      </w:r>
    </w:p>
  </w:footnote>
  <w:footnote w:id="83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Goldingay, “The Book of Daniel: Three Issues,” 49.</w:t>
      </w:r>
    </w:p>
  </w:footnote>
  <w:footnote w:id="83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e.g., Baldwin, </w:t>
      </w:r>
      <w:r w:rsidRPr="005D56D3">
        <w:rPr>
          <w:i/>
          <w:sz w:val="22"/>
          <w:szCs w:val="22"/>
        </w:rPr>
        <w:t>Daniel</w:t>
      </w:r>
      <w:r w:rsidRPr="005D56D3">
        <w:rPr>
          <w:sz w:val="22"/>
          <w:szCs w:val="22"/>
        </w:rPr>
        <w:t>.</w:t>
      </w:r>
    </w:p>
  </w:footnote>
  <w:footnote w:id="84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Beek, “Zeit, Zeiten und eine halbe Zeit,” 20–21.</w:t>
      </w:r>
    </w:p>
  </w:footnote>
  <w:footnote w:id="84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Mertens, </w:t>
      </w:r>
      <w:r w:rsidRPr="005D56D3">
        <w:rPr>
          <w:i/>
          <w:sz w:val="22"/>
          <w:szCs w:val="22"/>
        </w:rPr>
        <w:t xml:space="preserve">Das Buch Daniel </w:t>
      </w:r>
      <w:r w:rsidRPr="005D56D3">
        <w:rPr>
          <w:sz w:val="22"/>
          <w:szCs w:val="22"/>
        </w:rPr>
        <w:t>115–20.</w:t>
      </w:r>
    </w:p>
  </w:footnote>
  <w:footnote w:id="84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Anderson, “Double and Triple Stories,” 84; cf. Collins, </w:t>
      </w:r>
      <w:r w:rsidRPr="005D56D3">
        <w:rPr>
          <w:i/>
          <w:sz w:val="22"/>
          <w:szCs w:val="22"/>
        </w:rPr>
        <w:t>Apocalyptic Vision of the Book of Daniel</w:t>
      </w:r>
      <w:r w:rsidRPr="005D56D3">
        <w:rPr>
          <w:sz w:val="22"/>
          <w:szCs w:val="22"/>
        </w:rPr>
        <w:t>, 116–17.</w:t>
      </w:r>
    </w:p>
  </w:footnote>
  <w:footnote w:id="84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Davies, </w:t>
      </w:r>
      <w:r w:rsidRPr="005D56D3">
        <w:rPr>
          <w:i/>
          <w:sz w:val="22"/>
          <w:szCs w:val="22"/>
        </w:rPr>
        <w:t>Daniel</w:t>
      </w:r>
      <w:r w:rsidRPr="005D56D3">
        <w:rPr>
          <w:sz w:val="22"/>
          <w:szCs w:val="22"/>
        </w:rPr>
        <w:t>,</w:t>
      </w:r>
      <w:r w:rsidRPr="005D56D3">
        <w:rPr>
          <w:i/>
          <w:sz w:val="22"/>
          <w:szCs w:val="22"/>
        </w:rPr>
        <w:t xml:space="preserve"> </w:t>
      </w:r>
      <w:r w:rsidRPr="005D56D3">
        <w:rPr>
          <w:sz w:val="22"/>
          <w:szCs w:val="22"/>
        </w:rPr>
        <w:t>125–26.</w:t>
      </w:r>
    </w:p>
  </w:footnote>
  <w:footnote w:id="844">
    <w:p w:rsidR="008E57DC" w:rsidRPr="005D56D3" w:rsidRDefault="008E57DC" w:rsidP="009B13D8">
      <w:pPr>
        <w:pStyle w:val="FootnoteText"/>
        <w:rPr>
          <w:sz w:val="22"/>
          <w:szCs w:val="22"/>
        </w:rPr>
      </w:pPr>
      <w:r w:rsidRPr="005D56D3">
        <w:rPr>
          <w:rStyle w:val="FootnoteReference"/>
          <w:sz w:val="22"/>
          <w:szCs w:val="22"/>
        </w:rPr>
        <w:footnoteRef/>
      </w:r>
      <w:r w:rsidRPr="005D56D3">
        <w:rPr>
          <w:sz w:val="22"/>
          <w:szCs w:val="22"/>
        </w:rPr>
        <w:t xml:space="preserve"> Flesher, “Tricksters and Martyrs,” 155.</w:t>
      </w:r>
    </w:p>
  </w:footnote>
  <w:footnote w:id="84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Koch, “Is Daniel Also among the Prophets?” 128–30, against Childs, </w:t>
      </w:r>
      <w:r w:rsidRPr="005D56D3">
        <w:rPr>
          <w:i/>
          <w:sz w:val="22"/>
          <w:szCs w:val="22"/>
        </w:rPr>
        <w:t>Introduction to the OT as Scripture</w:t>
      </w:r>
      <w:r w:rsidRPr="005D56D3">
        <w:rPr>
          <w:sz w:val="22"/>
          <w:szCs w:val="22"/>
        </w:rPr>
        <w:t>, 613–22.</w:t>
      </w:r>
    </w:p>
  </w:footnote>
  <w:footnote w:id="84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Koch, “Stages in the Canonization of the Book of Daniel.”</w:t>
      </w:r>
    </w:p>
  </w:footnote>
  <w:footnote w:id="84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Bauckham, “</w:t>
      </w:r>
      <w:r w:rsidRPr="005D56D3">
        <w:rPr>
          <w:i/>
          <w:sz w:val="22"/>
          <w:szCs w:val="22"/>
        </w:rPr>
        <w:t>Daniel</w:t>
      </w:r>
      <w:r w:rsidRPr="005D56D3">
        <w:rPr>
          <w:sz w:val="22"/>
          <w:szCs w:val="22"/>
        </w:rPr>
        <w:t> </w:t>
      </w:r>
      <w:r w:rsidRPr="005D56D3">
        <w:rPr>
          <w:i/>
          <w:sz w:val="22"/>
          <w:szCs w:val="22"/>
        </w:rPr>
        <w:t>with an Introduction to Apocalyptic Literature</w:t>
      </w:r>
      <w:r w:rsidRPr="005D56D3">
        <w:rPr>
          <w:sz w:val="22"/>
          <w:szCs w:val="22"/>
        </w:rPr>
        <w:t>. . . by John J. Collins,” 165.</w:t>
      </w:r>
    </w:p>
  </w:footnote>
  <w:footnote w:id="848">
    <w:p w:rsidR="008E57DC" w:rsidRPr="005D56D3" w:rsidRDefault="008E57DC" w:rsidP="00D0288E">
      <w:pPr>
        <w:pStyle w:val="FootnoteText"/>
        <w:rPr>
          <w:sz w:val="22"/>
          <w:szCs w:val="22"/>
        </w:rPr>
      </w:pPr>
      <w:r w:rsidRPr="005D56D3">
        <w:rPr>
          <w:rStyle w:val="FootnoteReference"/>
          <w:sz w:val="22"/>
          <w:szCs w:val="22"/>
        </w:rPr>
        <w:footnoteRef/>
      </w:r>
      <w:r w:rsidRPr="005D56D3">
        <w:rPr>
          <w:sz w:val="22"/>
          <w:szCs w:val="22"/>
        </w:rPr>
        <w:t xml:space="preserve"> Cf. Hall, </w:t>
      </w:r>
      <w:r w:rsidRPr="005D56D3">
        <w:rPr>
          <w:i/>
          <w:sz w:val="22"/>
          <w:szCs w:val="22"/>
        </w:rPr>
        <w:t>Post-exilic Theological Streams and the Book of Daniel</w:t>
      </w:r>
      <w:r w:rsidRPr="005D56D3">
        <w:rPr>
          <w:sz w:val="22"/>
          <w:szCs w:val="22"/>
        </w:rPr>
        <w:t>, 221.</w:t>
      </w:r>
    </w:p>
  </w:footnote>
  <w:footnote w:id="84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Davies, “Apocalyptic and Historiography.”</w:t>
      </w:r>
    </w:p>
  </w:footnote>
  <w:footnote w:id="85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Chary, </w:t>
      </w:r>
      <w:r w:rsidRPr="005D56D3">
        <w:rPr>
          <w:i/>
          <w:sz w:val="22"/>
          <w:szCs w:val="22"/>
        </w:rPr>
        <w:t>Les prophètes et le culte à partir de l’exil</w:t>
      </w:r>
      <w:r w:rsidRPr="005D56D3">
        <w:rPr>
          <w:sz w:val="22"/>
          <w:szCs w:val="22"/>
        </w:rPr>
        <w:t>, 236–74.</w:t>
      </w:r>
    </w:p>
  </w:footnote>
  <w:footnote w:id="85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Delcor; Frost; F. M. Cross (see </w:t>
      </w:r>
      <w:r w:rsidRPr="005D56D3">
        <w:rPr>
          <w:i/>
          <w:sz w:val="22"/>
          <w:szCs w:val="22"/>
        </w:rPr>
        <w:t>General Bibliography</w:t>
      </w:r>
      <w:r w:rsidRPr="005D56D3">
        <w:rPr>
          <w:sz w:val="22"/>
          <w:szCs w:val="22"/>
        </w:rPr>
        <w:t>).</w:t>
      </w:r>
    </w:p>
  </w:footnote>
  <w:footnote w:id="852">
    <w:p w:rsidR="008E57DC" w:rsidRPr="005D56D3" w:rsidRDefault="008E57DC" w:rsidP="00174181">
      <w:pPr>
        <w:pStyle w:val="FootnoteText"/>
        <w:rPr>
          <w:sz w:val="22"/>
          <w:szCs w:val="22"/>
        </w:rPr>
      </w:pPr>
      <w:r w:rsidRPr="005D56D3">
        <w:rPr>
          <w:rStyle w:val="FootnoteReference"/>
          <w:sz w:val="22"/>
          <w:szCs w:val="22"/>
        </w:rPr>
        <w:footnoteRef/>
      </w:r>
      <w:r w:rsidRPr="005D56D3">
        <w:rPr>
          <w:sz w:val="22"/>
          <w:szCs w:val="22"/>
        </w:rPr>
        <w:t xml:space="preserve"> Koch, “Is Daniel Also among the Prophets?” 124.</w:t>
      </w:r>
    </w:p>
  </w:footnote>
  <w:footnote w:id="853">
    <w:p w:rsidR="008E57DC" w:rsidRPr="005D56D3" w:rsidRDefault="008E57DC" w:rsidP="00174181">
      <w:pPr>
        <w:pStyle w:val="FootnoteText"/>
        <w:rPr>
          <w:sz w:val="22"/>
          <w:szCs w:val="22"/>
        </w:rPr>
      </w:pPr>
      <w:r w:rsidRPr="005D56D3">
        <w:rPr>
          <w:rStyle w:val="FootnoteReference"/>
          <w:sz w:val="22"/>
          <w:szCs w:val="22"/>
        </w:rPr>
        <w:footnoteRef/>
      </w:r>
      <w:r w:rsidRPr="005D56D3">
        <w:rPr>
          <w:sz w:val="22"/>
          <w:szCs w:val="22"/>
        </w:rPr>
        <w:t xml:space="preserve"> Gruenwald, </w:t>
      </w:r>
      <w:r w:rsidRPr="005D56D3">
        <w:rPr>
          <w:i/>
          <w:sz w:val="22"/>
          <w:szCs w:val="22"/>
        </w:rPr>
        <w:t>Apocalyptic and Merkavah Mysticism</w:t>
      </w:r>
      <w:r w:rsidRPr="005D56D3">
        <w:rPr>
          <w:sz w:val="22"/>
          <w:szCs w:val="22"/>
        </w:rPr>
        <w:t>, 29–3.</w:t>
      </w:r>
    </w:p>
  </w:footnote>
  <w:footnote w:id="854">
    <w:p w:rsidR="008E57DC" w:rsidRPr="005D56D3" w:rsidRDefault="008E57DC" w:rsidP="00174181">
      <w:pPr>
        <w:pStyle w:val="FootnoteText"/>
        <w:rPr>
          <w:sz w:val="22"/>
          <w:szCs w:val="22"/>
        </w:rPr>
      </w:pPr>
      <w:r w:rsidRPr="005D56D3">
        <w:rPr>
          <w:rStyle w:val="FootnoteReference"/>
          <w:sz w:val="22"/>
          <w:szCs w:val="22"/>
        </w:rPr>
        <w:footnoteRef/>
      </w:r>
      <w:r w:rsidRPr="005D56D3">
        <w:rPr>
          <w:sz w:val="22"/>
          <w:szCs w:val="22"/>
        </w:rPr>
        <w:t xml:space="preserve"> E.g., Rowley; Frost; Osten-Sacken; Hanson (see </w:t>
      </w:r>
      <w:r w:rsidRPr="005D56D3">
        <w:rPr>
          <w:i/>
          <w:sz w:val="22"/>
          <w:szCs w:val="22"/>
        </w:rPr>
        <w:t>General Bibliography</w:t>
      </w:r>
      <w:r w:rsidRPr="005D56D3">
        <w:rPr>
          <w:sz w:val="22"/>
          <w:szCs w:val="22"/>
        </w:rPr>
        <w:t>).</w:t>
      </w:r>
    </w:p>
  </w:footnote>
  <w:footnote w:id="855">
    <w:p w:rsidR="008E57DC" w:rsidRPr="005D56D3" w:rsidRDefault="008E57DC" w:rsidP="00174181">
      <w:pPr>
        <w:pStyle w:val="FootnoteText"/>
        <w:rPr>
          <w:sz w:val="22"/>
          <w:szCs w:val="22"/>
        </w:rPr>
      </w:pPr>
      <w:r w:rsidRPr="005D56D3">
        <w:rPr>
          <w:rStyle w:val="FootnoteReference"/>
          <w:sz w:val="22"/>
          <w:szCs w:val="22"/>
        </w:rPr>
        <w:footnoteRef/>
      </w:r>
      <w:r w:rsidRPr="005D56D3">
        <w:rPr>
          <w:sz w:val="22"/>
          <w:szCs w:val="22"/>
        </w:rPr>
        <w:t xml:space="preserve"> Wanke, “Prophecy and Psalms in the Persian Period,” 180–83.</w:t>
      </w:r>
    </w:p>
  </w:footnote>
  <w:footnote w:id="856">
    <w:p w:rsidR="008E57DC" w:rsidRPr="005D56D3" w:rsidRDefault="008E57DC" w:rsidP="00174181">
      <w:pPr>
        <w:pStyle w:val="FootnoteText"/>
        <w:rPr>
          <w:sz w:val="22"/>
          <w:szCs w:val="22"/>
        </w:rPr>
      </w:pPr>
      <w:r w:rsidRPr="005D56D3">
        <w:rPr>
          <w:rStyle w:val="FootnoteReference"/>
          <w:sz w:val="22"/>
          <w:szCs w:val="22"/>
        </w:rPr>
        <w:footnoteRef/>
      </w:r>
      <w:r w:rsidRPr="005D56D3">
        <w:rPr>
          <w:sz w:val="22"/>
          <w:szCs w:val="22"/>
        </w:rPr>
        <w:t xml:space="preserve"> Buber, “Prophetie und Apokalyptik” (ET “Prophecy, Apocalyptic, and the Historical Hour”).</w:t>
      </w:r>
    </w:p>
  </w:footnote>
  <w:footnote w:id="85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Heaton, </w:t>
      </w:r>
      <w:r w:rsidRPr="005D56D3">
        <w:rPr>
          <w:i/>
          <w:sz w:val="22"/>
          <w:szCs w:val="22"/>
        </w:rPr>
        <w:t>Daniel</w:t>
      </w:r>
      <w:r w:rsidRPr="005D56D3">
        <w:rPr>
          <w:sz w:val="22"/>
          <w:szCs w:val="22"/>
        </w:rPr>
        <w:t xml:space="preserve">; von Rad, </w:t>
      </w:r>
      <w:r w:rsidRPr="005D56D3">
        <w:rPr>
          <w:i/>
          <w:sz w:val="22"/>
          <w:szCs w:val="22"/>
        </w:rPr>
        <w:t>Theologie des AT</w:t>
      </w:r>
      <w:r w:rsidRPr="005D56D3">
        <w:rPr>
          <w:sz w:val="22"/>
          <w:szCs w:val="22"/>
        </w:rPr>
        <w:t>; Gammie, “Spatial and Ethical Dualism in Jewish Wisdom and Apocalyptic Literature”; Smith, “Wisdom and Apocalyptic,” describing apocalyptic as a scribal phenomenon; but see the critiques of Michel (“Weisheit und Apokalyptik”), noting that it all depends on what you mean by wisdom and by apocalyptic, and of Wilson (“Wisdom in Daniel and the Origin of Apocalyptic”) who notes the relative limited use of wisdom vocabulary in Daniel.</w:t>
      </w:r>
    </w:p>
  </w:footnote>
  <w:footnote w:id="858">
    <w:p w:rsidR="008E57DC" w:rsidRPr="005D56D3" w:rsidRDefault="008E57DC" w:rsidP="009E64C7">
      <w:pPr>
        <w:pStyle w:val="FootnoteText"/>
        <w:rPr>
          <w:bCs/>
          <w:sz w:val="22"/>
          <w:szCs w:val="22"/>
        </w:rPr>
      </w:pPr>
      <w:r w:rsidRPr="005D56D3">
        <w:rPr>
          <w:rStyle w:val="FootnoteReference"/>
          <w:sz w:val="22"/>
          <w:szCs w:val="22"/>
        </w:rPr>
        <w:footnoteRef/>
      </w:r>
      <w:r w:rsidRPr="005D56D3">
        <w:rPr>
          <w:sz w:val="22"/>
          <w:szCs w:val="22"/>
        </w:rPr>
        <w:t xml:space="preserve"> H.-P. Müller in </w:t>
      </w:r>
      <w:r w:rsidRPr="005D56D3">
        <w:rPr>
          <w:i/>
          <w:sz w:val="22"/>
          <w:szCs w:val="22"/>
        </w:rPr>
        <w:t>TWAT</w:t>
      </w:r>
      <w:r w:rsidRPr="005D56D3">
        <w:rPr>
          <w:sz w:val="22"/>
          <w:szCs w:val="22"/>
        </w:rPr>
        <w:t xml:space="preserve"> on </w:t>
      </w:r>
      <w:r w:rsidRPr="005D56D3">
        <w:rPr>
          <w:rFonts w:ascii="Arial" w:hAnsi="Arial" w:cs="Arial"/>
          <w:sz w:val="22"/>
          <w:szCs w:val="22"/>
        </w:rPr>
        <w:t>חכם</w:t>
      </w:r>
      <w:r w:rsidRPr="005D56D3">
        <w:rPr>
          <w:sz w:val="22"/>
          <w:szCs w:val="22"/>
        </w:rPr>
        <w:t>; ———. “Mantische Weisheit und Apokalyptik”; VanderKam, “Prophetic-Sapiential Origins of Apocalyptic Thought.”; Mastin</w:t>
      </w:r>
      <w:r w:rsidRPr="005D56D3">
        <w:rPr>
          <w:b/>
          <w:sz w:val="22"/>
          <w:szCs w:val="22"/>
        </w:rPr>
        <w:t>,</w:t>
      </w:r>
      <w:r w:rsidRPr="005D56D3">
        <w:rPr>
          <w:sz w:val="22"/>
          <w:szCs w:val="22"/>
        </w:rPr>
        <w:t xml:space="preserve"> “Wisdom and Daniel.” Collins, </w:t>
      </w:r>
      <w:r w:rsidRPr="005D56D3">
        <w:rPr>
          <w:i/>
          <w:sz w:val="22"/>
          <w:szCs w:val="22"/>
        </w:rPr>
        <w:t>Apocalyptic Vision of the Book of Daniel</w:t>
      </w:r>
      <w:r w:rsidRPr="005D56D3">
        <w:rPr>
          <w:sz w:val="22"/>
          <w:szCs w:val="22"/>
        </w:rPr>
        <w:t xml:space="preserve">, 80–87; in critique, </w:t>
      </w:r>
      <w:r w:rsidRPr="005D56D3">
        <w:rPr>
          <w:bCs/>
          <w:sz w:val="22"/>
          <w:szCs w:val="22"/>
        </w:rPr>
        <w:t>Wooden</w:t>
      </w:r>
      <w:r w:rsidRPr="005D56D3">
        <w:rPr>
          <w:b/>
          <w:bCs/>
          <w:sz w:val="22"/>
          <w:szCs w:val="22"/>
        </w:rPr>
        <w:t xml:space="preserve">, </w:t>
      </w:r>
      <w:r w:rsidRPr="005D56D3">
        <w:rPr>
          <w:bCs/>
          <w:i/>
          <w:sz w:val="22"/>
          <w:szCs w:val="22"/>
        </w:rPr>
        <w:t>The Book of Daniel and</w:t>
      </w:r>
      <w:r w:rsidRPr="005D56D3">
        <w:rPr>
          <w:b/>
          <w:bCs/>
          <w:i/>
          <w:sz w:val="22"/>
          <w:szCs w:val="22"/>
        </w:rPr>
        <w:t xml:space="preserve"> </w:t>
      </w:r>
      <w:r w:rsidRPr="005D56D3">
        <w:rPr>
          <w:bCs/>
          <w:i/>
          <w:sz w:val="22"/>
          <w:szCs w:val="22"/>
        </w:rPr>
        <w:t>Manticism</w:t>
      </w:r>
      <w:r w:rsidRPr="005D56D3">
        <w:rPr>
          <w:bCs/>
          <w:sz w:val="22"/>
          <w:szCs w:val="22"/>
        </w:rPr>
        <w:t>; Bedenbender</w:t>
      </w:r>
      <w:r w:rsidRPr="005D56D3">
        <w:rPr>
          <w:b/>
          <w:bCs/>
          <w:sz w:val="22"/>
          <w:szCs w:val="22"/>
        </w:rPr>
        <w:t xml:space="preserve">, </w:t>
      </w:r>
      <w:r w:rsidRPr="005D56D3">
        <w:rPr>
          <w:bCs/>
          <w:sz w:val="22"/>
          <w:szCs w:val="22"/>
        </w:rPr>
        <w:t>“Seers as Mantic Sages in Jewish Apocalyptic (Daniel and Enoch).”</w:t>
      </w:r>
    </w:p>
  </w:footnote>
  <w:footnote w:id="85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Pinette, “The Lady Vanishes,” 172.</w:t>
      </w:r>
    </w:p>
  </w:footnote>
  <w:footnote w:id="86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Collins, “Cosmos and Salvation.”</w:t>
      </w:r>
    </w:p>
  </w:footnote>
  <w:footnote w:id="861">
    <w:p w:rsidR="008E57DC" w:rsidRPr="005D56D3" w:rsidRDefault="008E57DC" w:rsidP="00174181">
      <w:pPr>
        <w:pStyle w:val="FootnoteText"/>
        <w:rPr>
          <w:sz w:val="22"/>
          <w:szCs w:val="22"/>
        </w:rPr>
      </w:pPr>
      <w:r w:rsidRPr="005D56D3">
        <w:rPr>
          <w:rStyle w:val="FootnoteReference"/>
          <w:sz w:val="22"/>
          <w:szCs w:val="22"/>
        </w:rPr>
        <w:footnoteRef/>
      </w:r>
      <w:r w:rsidRPr="005D56D3">
        <w:rPr>
          <w:sz w:val="22"/>
          <w:szCs w:val="22"/>
        </w:rPr>
        <w:t xml:space="preserve"> Porter, </w:t>
      </w:r>
      <w:r w:rsidRPr="005D56D3">
        <w:rPr>
          <w:i/>
          <w:sz w:val="22"/>
          <w:szCs w:val="22"/>
        </w:rPr>
        <w:t>Metaphors and Monsters</w:t>
      </w:r>
      <w:r w:rsidRPr="005D56D3">
        <w:rPr>
          <w:sz w:val="22"/>
          <w:szCs w:val="22"/>
        </w:rPr>
        <w:t>.</w:t>
      </w:r>
    </w:p>
  </w:footnote>
  <w:footnote w:id="862">
    <w:p w:rsidR="008E57DC" w:rsidRPr="005D56D3" w:rsidRDefault="008E57DC" w:rsidP="00174181">
      <w:pPr>
        <w:pStyle w:val="FootnoteText"/>
        <w:rPr>
          <w:sz w:val="22"/>
          <w:szCs w:val="22"/>
        </w:rPr>
      </w:pPr>
      <w:r w:rsidRPr="005D56D3">
        <w:rPr>
          <w:rStyle w:val="FootnoteReference"/>
          <w:sz w:val="22"/>
          <w:szCs w:val="22"/>
        </w:rPr>
        <w:footnoteRef/>
      </w:r>
      <w:r w:rsidRPr="005D56D3">
        <w:rPr>
          <w:sz w:val="22"/>
          <w:szCs w:val="22"/>
        </w:rPr>
        <w:t xml:space="preserve"> VanderKam, </w:t>
      </w:r>
      <w:r w:rsidRPr="005D56D3">
        <w:rPr>
          <w:i/>
          <w:sz w:val="22"/>
          <w:szCs w:val="22"/>
        </w:rPr>
        <w:t>Enoch</w:t>
      </w:r>
      <w:r w:rsidRPr="005D56D3">
        <w:rPr>
          <w:sz w:val="22"/>
          <w:szCs w:val="22"/>
        </w:rPr>
        <w:t xml:space="preserve"> </w:t>
      </w:r>
      <w:r w:rsidRPr="005D56D3">
        <w:rPr>
          <w:i/>
          <w:sz w:val="22"/>
          <w:szCs w:val="22"/>
        </w:rPr>
        <w:t>and the Growth of an Apocalyptic Legend</w:t>
      </w:r>
      <w:r w:rsidRPr="005D56D3">
        <w:rPr>
          <w:sz w:val="22"/>
          <w:szCs w:val="22"/>
        </w:rPr>
        <w:t>, 62–69.</w:t>
      </w:r>
    </w:p>
  </w:footnote>
  <w:footnote w:id="86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Hengel; Eddy (see </w:t>
      </w:r>
      <w:r w:rsidRPr="005D56D3">
        <w:rPr>
          <w:i/>
          <w:sz w:val="22"/>
          <w:szCs w:val="22"/>
        </w:rPr>
        <w:t>General Bibliography</w:t>
      </w:r>
      <w:r w:rsidRPr="005D56D3">
        <w:rPr>
          <w:sz w:val="22"/>
          <w:szCs w:val="22"/>
        </w:rPr>
        <w:t>).</w:t>
      </w:r>
    </w:p>
  </w:footnote>
  <w:footnote w:id="86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Betz, “Zum Problem des religionsgeschichtlichen Verständnisses der Apokalyptik,” 409 (ET 155).</w:t>
      </w:r>
    </w:p>
  </w:footnote>
  <w:footnote w:id="86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Wacholder, </w:t>
      </w:r>
      <w:r w:rsidRPr="005D56D3">
        <w:rPr>
          <w:i/>
          <w:sz w:val="22"/>
          <w:szCs w:val="22"/>
        </w:rPr>
        <w:t>The Dawn of Qumran</w:t>
      </w:r>
      <w:r w:rsidRPr="005D56D3">
        <w:rPr>
          <w:sz w:val="22"/>
          <w:szCs w:val="22"/>
        </w:rPr>
        <w:t>.</w:t>
      </w:r>
    </w:p>
  </w:footnote>
  <w:footnote w:id="86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Lebram, “König Antiochus im Buch Daniel”; Collins, “Jewish Apocalyptic against Its Hellenistic Near Eastern Environment.”</w:t>
      </w:r>
    </w:p>
  </w:footnote>
  <w:footnote w:id="86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On the significance of the switch, see chap. 2 </w:t>
      </w:r>
      <w:r w:rsidRPr="005D56D3">
        <w:rPr>
          <w:i/>
          <w:sz w:val="22"/>
          <w:szCs w:val="22"/>
        </w:rPr>
        <w:t>Structure</w:t>
      </w:r>
      <w:r w:rsidRPr="005D56D3">
        <w:rPr>
          <w:sz w:val="22"/>
          <w:szCs w:val="22"/>
        </w:rPr>
        <w:t>.</w:t>
      </w:r>
    </w:p>
  </w:footnote>
  <w:footnote w:id="86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Welch, “Chiasmus in Ugaritic,” UF 6 (1974) 425–28; see further Welch (ed.), </w:t>
      </w:r>
      <w:r w:rsidRPr="005D56D3">
        <w:rPr>
          <w:bCs/>
          <w:i/>
          <w:sz w:val="22"/>
          <w:szCs w:val="22"/>
        </w:rPr>
        <w:t>Chiasmus in Antiquity</w:t>
      </w:r>
      <w:r w:rsidRPr="005D56D3">
        <w:rPr>
          <w:bCs/>
          <w:sz w:val="22"/>
          <w:szCs w:val="22"/>
        </w:rPr>
        <w:t>.</w:t>
      </w:r>
    </w:p>
  </w:footnote>
  <w:footnote w:id="86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Lenglet, “La structure littéraire de Daniel 2–7.”</w:t>
      </w:r>
    </w:p>
  </w:footnote>
  <w:footnote w:id="87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Gooding’s tracing of an arrangement balancing chaps. 1–5 and 6–12 (“The Literary Structure of the Book of Daniel and Its Implications”) is less convincing; likewise David’s double chiasm (</w:t>
      </w:r>
      <w:r w:rsidRPr="005D56D3">
        <w:rPr>
          <w:i/>
          <w:sz w:val="22"/>
          <w:szCs w:val="22"/>
        </w:rPr>
        <w:t xml:space="preserve">Composition and Structure, </w:t>
      </w:r>
      <w:r w:rsidRPr="005D56D3">
        <w:rPr>
          <w:sz w:val="22"/>
          <w:szCs w:val="22"/>
        </w:rPr>
        <w:t>395) and Waters’s several chiasms (““The Two Eschatological Perspectives of the Book of Daniel”).</w:t>
      </w:r>
    </w:p>
  </w:footnote>
  <w:footnote w:id="87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Though in another sense chap. 11 is full of </w:t>
      </w:r>
      <w:r w:rsidRPr="005D56D3">
        <w:rPr>
          <w:i/>
          <w:sz w:val="22"/>
          <w:szCs w:val="22"/>
        </w:rPr>
        <w:t>Sturm und Drang</w:t>
      </w:r>
      <w:r w:rsidRPr="005D56D3">
        <w:rPr>
          <w:sz w:val="22"/>
          <w:szCs w:val="22"/>
        </w:rPr>
        <w:t xml:space="preserve"> (cf. Towner, </w:t>
      </w:r>
      <w:r w:rsidRPr="005D56D3">
        <w:rPr>
          <w:i/>
          <w:sz w:val="22"/>
          <w:szCs w:val="22"/>
        </w:rPr>
        <w:t>Daniel</w:t>
      </w:r>
      <w:r w:rsidRPr="005D56D3">
        <w:rPr>
          <w:sz w:val="22"/>
          <w:szCs w:val="22"/>
        </w:rPr>
        <w:t>, 147).</w:t>
      </w:r>
    </w:p>
  </w:footnote>
  <w:footnote w:id="87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Goldingay, “Daniel in the Context of OT Theology,” 642.</w:t>
      </w:r>
    </w:p>
  </w:footnote>
  <w:footnote w:id="87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Humphreys, “A Life-style for Diaspora.”</w:t>
      </w:r>
    </w:p>
  </w:footnote>
  <w:footnote w:id="87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Lucas </w:t>
      </w:r>
      <w:r w:rsidRPr="005D56D3">
        <w:rPr>
          <w:bCs/>
          <w:sz w:val="22"/>
          <w:szCs w:val="22"/>
        </w:rPr>
        <w:t xml:space="preserve">argues for a dispersion origin for the visions (“Daniel: Resolving the Enigma”; </w:t>
      </w:r>
      <w:r w:rsidRPr="005D56D3">
        <w:rPr>
          <w:bCs/>
          <w:i/>
          <w:sz w:val="22"/>
          <w:szCs w:val="22"/>
        </w:rPr>
        <w:t>Akkadian Prophecies, Omens and Myths</w:t>
      </w:r>
      <w:r w:rsidRPr="005D56D3">
        <w:rPr>
          <w:bCs/>
          <w:sz w:val="22"/>
          <w:szCs w:val="22"/>
        </w:rPr>
        <w:t>).</w:t>
      </w:r>
    </w:p>
  </w:footnote>
  <w:footnote w:id="87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Van Deventer (“Another Look at the Redaction History of the Book of Daniel”) suggests that they were written after the visions and after the temple rededication.</w:t>
      </w:r>
    </w:p>
  </w:footnote>
  <w:footnote w:id="87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Ginsberg, against Rowley (see </w:t>
      </w:r>
      <w:r w:rsidRPr="005D56D3">
        <w:rPr>
          <w:i/>
          <w:sz w:val="22"/>
          <w:szCs w:val="22"/>
        </w:rPr>
        <w:t>General Bibliography</w:t>
      </w:r>
      <w:r w:rsidRPr="005D56D3">
        <w:rPr>
          <w:sz w:val="22"/>
          <w:szCs w:val="22"/>
        </w:rPr>
        <w:t>).</w:t>
      </w:r>
    </w:p>
  </w:footnote>
  <w:footnote w:id="87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Against (Hartman/Di Lella, </w:t>
      </w:r>
      <w:r w:rsidRPr="005D56D3">
        <w:rPr>
          <w:i/>
          <w:sz w:val="22"/>
          <w:szCs w:val="22"/>
        </w:rPr>
        <w:t>Daniel</w:t>
      </w:r>
      <w:r w:rsidRPr="005D56D3">
        <w:rPr>
          <w:sz w:val="22"/>
          <w:szCs w:val="22"/>
        </w:rPr>
        <w:t>.</w:t>
      </w:r>
    </w:p>
  </w:footnote>
  <w:footnote w:id="87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E.g., Szörényi, “Das Buch Daniel, ein kanonisierter Pescher?”</w:t>
      </w:r>
    </w:p>
  </w:footnote>
  <w:footnote w:id="87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e.g., von Soden, “Eine babylonische Volksüberlieferung von Nabonid in den Danielerzählungen”; Eissfeldt, “Daniels und seiner drei Gefärten Laufbahn im babylonischen, medischen und persischen Dienst”; Dommershausen, </w:t>
      </w:r>
      <w:r w:rsidRPr="005D56D3">
        <w:rPr>
          <w:i/>
          <w:sz w:val="22"/>
          <w:szCs w:val="22"/>
        </w:rPr>
        <w:t>Nabonid</w:t>
      </w:r>
      <w:r w:rsidRPr="005D56D3">
        <w:rPr>
          <w:sz w:val="22"/>
          <w:szCs w:val="22"/>
        </w:rPr>
        <w:t xml:space="preserve"> </w:t>
      </w:r>
      <w:r w:rsidRPr="005D56D3">
        <w:rPr>
          <w:i/>
          <w:sz w:val="22"/>
          <w:szCs w:val="22"/>
        </w:rPr>
        <w:t>im Buche Daniel</w:t>
      </w:r>
      <w:r w:rsidRPr="005D56D3">
        <w:rPr>
          <w:sz w:val="22"/>
          <w:szCs w:val="22"/>
        </w:rPr>
        <w:t xml:space="preserve">; Müller, “Magisch-mantische Weisheit und die Gestalt Daniels,”  85–88; Davies, </w:t>
      </w:r>
      <w:r w:rsidRPr="005D56D3">
        <w:rPr>
          <w:i/>
          <w:sz w:val="22"/>
          <w:szCs w:val="22"/>
        </w:rPr>
        <w:t>Daniel</w:t>
      </w:r>
      <w:r w:rsidRPr="005D56D3">
        <w:rPr>
          <w:sz w:val="22"/>
          <w:szCs w:val="22"/>
        </w:rPr>
        <w:t>,</w:t>
      </w:r>
      <w:r w:rsidRPr="005D56D3">
        <w:rPr>
          <w:i/>
          <w:sz w:val="22"/>
          <w:szCs w:val="22"/>
        </w:rPr>
        <w:t xml:space="preserve"> </w:t>
      </w:r>
      <w:r w:rsidRPr="005D56D3">
        <w:rPr>
          <w:sz w:val="22"/>
          <w:szCs w:val="22"/>
        </w:rPr>
        <w:t xml:space="preserve">40–45; more generally and in detail, </w:t>
      </w:r>
      <w:r w:rsidRPr="005D56D3">
        <w:rPr>
          <w:bCs/>
          <w:sz w:val="22"/>
          <w:szCs w:val="22"/>
        </w:rPr>
        <w:t>Stahl</w:t>
      </w:r>
      <w:r w:rsidRPr="005D56D3">
        <w:rPr>
          <w:b/>
          <w:bCs/>
          <w:sz w:val="22"/>
          <w:szCs w:val="22"/>
        </w:rPr>
        <w:t xml:space="preserve">, </w:t>
      </w:r>
      <w:r w:rsidRPr="005D56D3">
        <w:rPr>
          <w:bCs/>
          <w:i/>
          <w:sz w:val="22"/>
          <w:szCs w:val="22"/>
        </w:rPr>
        <w:t>Von Weltengagement zu Weltüberwindung</w:t>
      </w:r>
    </w:p>
  </w:footnote>
  <w:footnote w:id="88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Hasslberger, </w:t>
      </w:r>
      <w:r w:rsidRPr="005D56D3">
        <w:rPr>
          <w:i/>
          <w:sz w:val="22"/>
          <w:szCs w:val="22"/>
        </w:rPr>
        <w:t>Hoffnung in der Bedrängnis</w:t>
      </w:r>
      <w:r w:rsidRPr="005D56D3">
        <w:rPr>
          <w:sz w:val="22"/>
          <w:szCs w:val="22"/>
        </w:rPr>
        <w:t>.</w:t>
      </w:r>
    </w:p>
  </w:footnote>
  <w:footnote w:id="88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Collins, </w:t>
      </w:r>
      <w:r w:rsidRPr="005D56D3">
        <w:rPr>
          <w:i/>
          <w:sz w:val="22"/>
          <w:szCs w:val="22"/>
        </w:rPr>
        <w:t>Apocalyptic Vision of the Book of Daniel</w:t>
      </w:r>
      <w:r w:rsidRPr="005D56D3">
        <w:rPr>
          <w:sz w:val="22"/>
          <w:szCs w:val="22"/>
        </w:rPr>
        <w:t>, 15–19.</w:t>
      </w:r>
    </w:p>
  </w:footnote>
  <w:footnote w:id="88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Gammie, “The Classification, Stages of Growth, and Changing Intentions in the Book of Daniel,” 195.</w:t>
      </w:r>
    </w:p>
  </w:footnote>
  <w:footnote w:id="88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Bickerman, “The Babylonian Captivity,” 346–48.</w:t>
      </w:r>
    </w:p>
  </w:footnote>
  <w:footnote w:id="88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R. Albertz, “The Social Setting of the Aramaic and Hebrew Book of Daniel,” in </w:t>
      </w:r>
      <w:r w:rsidRPr="005D56D3">
        <w:rPr>
          <w:bCs/>
          <w:sz w:val="22"/>
          <w:szCs w:val="22"/>
        </w:rPr>
        <w:t xml:space="preserve">Collins/Flint (eds.), </w:t>
      </w:r>
      <w:r w:rsidRPr="005D56D3">
        <w:rPr>
          <w:bCs/>
          <w:i/>
          <w:sz w:val="22"/>
          <w:szCs w:val="22"/>
        </w:rPr>
        <w:t>The Book of Daniel</w:t>
      </w:r>
      <w:r w:rsidRPr="005D56D3">
        <w:rPr>
          <w:bCs/>
          <w:sz w:val="22"/>
          <w:szCs w:val="22"/>
        </w:rPr>
        <w:t xml:space="preserve"> 1:171-204 (</w:t>
      </w:r>
      <w:r w:rsidRPr="005D56D3">
        <w:rPr>
          <w:sz w:val="22"/>
          <w:szCs w:val="22"/>
        </w:rPr>
        <w:t>175-79).</w:t>
      </w:r>
    </w:p>
  </w:footnote>
  <w:footnote w:id="88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Redditt, “</w:t>
      </w:r>
      <w:r w:rsidRPr="005D56D3">
        <w:rPr>
          <w:rFonts w:eastAsiaTheme="minorHAnsi" w:cs="Arial"/>
          <w:sz w:val="22"/>
          <w:szCs w:val="22"/>
        </w:rPr>
        <w:t>Daniel 11 and the Sociohistorical Setting of the Book of Daniel.”</w:t>
      </w:r>
    </w:p>
  </w:footnote>
  <w:footnote w:id="88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Burridge, “Reflections on Prophecy and Prophetic Groups,” 100, commenting on Wilson, “From Prophecy to Apocalyptic,” 84–86—with which cf. Hanson, </w:t>
      </w:r>
      <w:r w:rsidRPr="005D56D3">
        <w:rPr>
          <w:i/>
          <w:sz w:val="22"/>
          <w:szCs w:val="22"/>
        </w:rPr>
        <w:t>IDBSup</w:t>
      </w:r>
      <w:r w:rsidRPr="005D56D3">
        <w:rPr>
          <w:sz w:val="22"/>
          <w:szCs w:val="22"/>
        </w:rPr>
        <w:t xml:space="preserve"> 27–31. See the survey on theories concerning the function and social setiing of the apocalypses in DiTommaso, </w:t>
      </w:r>
      <w:r w:rsidRPr="005D56D3">
        <w:rPr>
          <w:bCs/>
          <w:sz w:val="22"/>
          <w:szCs w:val="22"/>
        </w:rPr>
        <w:t>“</w:t>
      </w:r>
      <w:r w:rsidRPr="005D56D3">
        <w:rPr>
          <w:iCs/>
          <w:sz w:val="22"/>
          <w:szCs w:val="22"/>
        </w:rPr>
        <w:t>Apocalypses and Apocalypticism in Antiquity,” 250-63.</w:t>
      </w:r>
    </w:p>
  </w:footnote>
  <w:footnote w:id="88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Gardner (</w:t>
      </w:r>
      <w:r w:rsidRPr="005D56D3">
        <w:rPr>
          <w:b/>
          <w:sz w:val="22"/>
          <w:szCs w:val="22"/>
        </w:rPr>
        <w:t>“</w:t>
      </w:r>
      <w:r w:rsidRPr="005D56D3">
        <w:rPr>
          <w:rFonts w:ascii="Arial" w:hAnsi="Arial" w:cs="Arial"/>
          <w:sz w:val="22"/>
          <w:szCs w:val="22"/>
        </w:rPr>
        <w:t>ל</w:t>
      </w:r>
      <w:r w:rsidRPr="005D56D3">
        <w:rPr>
          <w:sz w:val="22"/>
          <w:szCs w:val="22"/>
        </w:rPr>
        <w:t xml:space="preserve"> </w:t>
      </w:r>
      <w:r w:rsidRPr="005D56D3">
        <w:rPr>
          <w:rFonts w:ascii="Arial" w:hAnsi="Arial" w:cs="Arial"/>
          <w:sz w:val="22"/>
          <w:szCs w:val="22"/>
        </w:rPr>
        <w:t>כ</w:t>
      </w:r>
      <w:r w:rsidRPr="005D56D3">
        <w:rPr>
          <w:sz w:val="22"/>
          <w:szCs w:val="22"/>
        </w:rPr>
        <w:t xml:space="preserve"> </w:t>
      </w:r>
      <w:r w:rsidRPr="005D56D3">
        <w:rPr>
          <w:rFonts w:ascii="Arial" w:hAnsi="Arial" w:cs="Arial"/>
          <w:sz w:val="22"/>
          <w:szCs w:val="22"/>
        </w:rPr>
        <w:t>שׂ</w:t>
      </w:r>
      <w:r w:rsidRPr="005D56D3">
        <w:rPr>
          <w:i/>
          <w:sz w:val="22"/>
          <w:szCs w:val="22"/>
        </w:rPr>
        <w:t xml:space="preserve"> </w:t>
      </w:r>
      <w:r w:rsidRPr="005D56D3">
        <w:rPr>
          <w:sz w:val="22"/>
          <w:szCs w:val="22"/>
        </w:rPr>
        <w:t>in the Hebrew Bible”)</w:t>
      </w:r>
      <w:r w:rsidRPr="005D56D3">
        <w:rPr>
          <w:b/>
          <w:sz w:val="22"/>
          <w:szCs w:val="22"/>
        </w:rPr>
        <w:t xml:space="preserve"> </w:t>
      </w:r>
      <w:r w:rsidRPr="005D56D3">
        <w:rPr>
          <w:sz w:val="22"/>
          <w:szCs w:val="22"/>
        </w:rPr>
        <w:t>suggests that the “disocerning” teachers would be priests.</w:t>
      </w:r>
    </w:p>
  </w:footnote>
  <w:footnote w:id="888">
    <w:p w:rsidR="008E57DC" w:rsidRPr="005D56D3" w:rsidRDefault="008E57DC" w:rsidP="005A1AB3">
      <w:pPr>
        <w:pStyle w:val="FootnoteText"/>
        <w:rPr>
          <w:sz w:val="22"/>
          <w:szCs w:val="22"/>
        </w:rPr>
      </w:pPr>
      <w:r w:rsidRPr="005D56D3">
        <w:rPr>
          <w:rStyle w:val="FootnoteReference"/>
          <w:sz w:val="22"/>
          <w:szCs w:val="22"/>
        </w:rPr>
        <w:footnoteRef/>
      </w:r>
      <w:r w:rsidRPr="005D56D3">
        <w:rPr>
          <w:sz w:val="22"/>
          <w:szCs w:val="22"/>
        </w:rPr>
        <w:t xml:space="preserve"> Cf. Venter</w:t>
      </w:r>
      <w:r w:rsidRPr="005D56D3">
        <w:rPr>
          <w:b/>
          <w:sz w:val="22"/>
          <w:szCs w:val="22"/>
        </w:rPr>
        <w:t>,</w:t>
      </w:r>
      <w:r w:rsidRPr="005D56D3">
        <w:rPr>
          <w:sz w:val="22"/>
          <w:szCs w:val="22"/>
        </w:rPr>
        <w:t xml:space="preserve"> “Daniel and Enoch: Two Different Reactions”--respectively simply resistant and militantly activist in their opposition to reformist Jews and to Antochus; cf Venter, “</w:t>
      </w:r>
      <w:r w:rsidRPr="005D56D3">
        <w:rPr>
          <w:bCs/>
          <w:sz w:val="22"/>
          <w:szCs w:val="22"/>
        </w:rPr>
        <w:t xml:space="preserve">Daniel 7-12 in sosiaal-wetenskaplike </w:t>
      </w:r>
      <w:r w:rsidRPr="005D56D3">
        <w:rPr>
          <w:sz w:val="22"/>
          <w:szCs w:val="22"/>
        </w:rPr>
        <w:t>Perspektief.”</w:t>
      </w:r>
    </w:p>
  </w:footnote>
  <w:footnote w:id="889">
    <w:p w:rsidR="008E57DC" w:rsidRPr="005D56D3" w:rsidRDefault="008E57DC" w:rsidP="005A1AB3">
      <w:pPr>
        <w:pStyle w:val="FootnoteText"/>
        <w:rPr>
          <w:sz w:val="22"/>
          <w:szCs w:val="22"/>
        </w:rPr>
      </w:pPr>
      <w:r w:rsidRPr="005D56D3">
        <w:rPr>
          <w:rStyle w:val="FootnoteReference"/>
          <w:sz w:val="22"/>
          <w:szCs w:val="22"/>
        </w:rPr>
        <w:footnoteRef/>
      </w:r>
      <w:r w:rsidRPr="005D56D3">
        <w:rPr>
          <w:sz w:val="22"/>
          <w:szCs w:val="22"/>
        </w:rPr>
        <w:t xml:space="preserve"> Horsley, </w:t>
      </w:r>
      <w:r w:rsidRPr="005D56D3">
        <w:rPr>
          <w:bCs/>
          <w:i/>
          <w:sz w:val="22"/>
          <w:szCs w:val="22"/>
        </w:rPr>
        <w:t>Scribes, Visionaries, and the Politics of Second Temple Judea</w:t>
      </w:r>
      <w:r w:rsidRPr="005D56D3">
        <w:rPr>
          <w:bCs/>
          <w:sz w:val="22"/>
          <w:szCs w:val="22"/>
        </w:rPr>
        <w:t>, 7.</w:t>
      </w:r>
    </w:p>
  </w:footnote>
  <w:footnote w:id="890">
    <w:p w:rsidR="008E57DC" w:rsidRPr="005D56D3" w:rsidRDefault="008E57DC" w:rsidP="005A1AB3">
      <w:pPr>
        <w:pStyle w:val="FootnoteText"/>
        <w:rPr>
          <w:sz w:val="22"/>
          <w:szCs w:val="22"/>
        </w:rPr>
      </w:pPr>
      <w:r w:rsidRPr="005D56D3">
        <w:rPr>
          <w:rStyle w:val="FootnoteReference"/>
          <w:sz w:val="22"/>
          <w:szCs w:val="22"/>
        </w:rPr>
        <w:footnoteRef/>
      </w:r>
      <w:r w:rsidRPr="005D56D3">
        <w:rPr>
          <w:sz w:val="22"/>
          <w:szCs w:val="22"/>
        </w:rPr>
        <w:t xml:space="preserve"> See Davies, “</w:t>
      </w:r>
      <w:r w:rsidRPr="005D56D3">
        <w:rPr>
          <w:i/>
          <w:sz w:val="22"/>
          <w:szCs w:val="22"/>
        </w:rPr>
        <w:t>Ḥasidim</w:t>
      </w:r>
      <w:r w:rsidRPr="005D56D3">
        <w:rPr>
          <w:sz w:val="22"/>
          <w:szCs w:val="22"/>
        </w:rPr>
        <w:t xml:space="preserve"> in the Maccabaean Period.” against Plöger, </w:t>
      </w:r>
      <w:r w:rsidRPr="005D56D3">
        <w:rPr>
          <w:i/>
          <w:sz w:val="22"/>
          <w:szCs w:val="22"/>
        </w:rPr>
        <w:t xml:space="preserve">Theokratie und Eschatologie </w:t>
      </w:r>
      <w:r w:rsidRPr="005D56D3">
        <w:rPr>
          <w:sz w:val="22"/>
          <w:szCs w:val="22"/>
        </w:rPr>
        <w:t xml:space="preserve">(ET </w:t>
      </w:r>
      <w:r w:rsidRPr="005D56D3">
        <w:rPr>
          <w:i/>
          <w:sz w:val="22"/>
          <w:szCs w:val="22"/>
        </w:rPr>
        <w:t>Theokracy and Eschatology</w:t>
      </w:r>
      <w:r w:rsidRPr="005D56D3">
        <w:rPr>
          <w:sz w:val="22"/>
          <w:szCs w:val="22"/>
        </w:rPr>
        <w:t xml:space="preserve">; Hengel, </w:t>
      </w:r>
      <w:r w:rsidRPr="005D56D3">
        <w:rPr>
          <w:i/>
          <w:sz w:val="22"/>
          <w:szCs w:val="22"/>
        </w:rPr>
        <w:t>Judentum und Hellenismus</w:t>
      </w:r>
      <w:r w:rsidRPr="005D56D3">
        <w:rPr>
          <w:sz w:val="22"/>
          <w:szCs w:val="22"/>
        </w:rPr>
        <w:t xml:space="preserve"> 319–94 (ET 1:175–218).</w:t>
      </w:r>
    </w:p>
  </w:footnote>
  <w:footnote w:id="89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Collins, </w:t>
      </w:r>
      <w:r w:rsidRPr="005D56D3">
        <w:rPr>
          <w:i/>
          <w:sz w:val="22"/>
          <w:szCs w:val="22"/>
        </w:rPr>
        <w:t>Apocalyptic Vision of the Book of Daniel</w:t>
      </w:r>
      <w:r w:rsidRPr="005D56D3">
        <w:rPr>
          <w:sz w:val="22"/>
          <w:szCs w:val="22"/>
        </w:rPr>
        <w:t xml:space="preserve">, 54–59; Davies, </w:t>
      </w:r>
      <w:r w:rsidRPr="005D56D3">
        <w:rPr>
          <w:i/>
          <w:sz w:val="22"/>
          <w:szCs w:val="22"/>
        </w:rPr>
        <w:t>Daniel</w:t>
      </w:r>
      <w:r w:rsidRPr="005D56D3">
        <w:rPr>
          <w:sz w:val="22"/>
          <w:szCs w:val="22"/>
        </w:rPr>
        <w:t>,</w:t>
      </w:r>
      <w:r w:rsidRPr="005D56D3">
        <w:rPr>
          <w:i/>
          <w:sz w:val="22"/>
          <w:szCs w:val="22"/>
        </w:rPr>
        <w:t xml:space="preserve"> </w:t>
      </w:r>
      <w:r w:rsidRPr="005D56D3">
        <w:rPr>
          <w:sz w:val="22"/>
          <w:szCs w:val="22"/>
        </w:rPr>
        <w:t xml:space="preserve">122–25; VanderKam, </w:t>
      </w:r>
      <w:r w:rsidRPr="005D56D3">
        <w:rPr>
          <w:i/>
          <w:sz w:val="22"/>
          <w:szCs w:val="22"/>
        </w:rPr>
        <w:t>Enoch</w:t>
      </w:r>
      <w:r w:rsidRPr="005D56D3">
        <w:rPr>
          <w:sz w:val="22"/>
          <w:szCs w:val="22"/>
        </w:rPr>
        <w:t xml:space="preserve"> </w:t>
      </w:r>
      <w:r w:rsidRPr="005D56D3">
        <w:rPr>
          <w:i/>
          <w:sz w:val="22"/>
          <w:szCs w:val="22"/>
        </w:rPr>
        <w:t>and the Growth of an Apocalyptic Legend</w:t>
      </w:r>
      <w:r w:rsidRPr="005D56D3">
        <w:rPr>
          <w:sz w:val="22"/>
          <w:szCs w:val="22"/>
        </w:rPr>
        <w:t>.</w:t>
      </w:r>
    </w:p>
  </w:footnote>
  <w:footnote w:id="89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notably the work of Albertz, Beyerle, Davies, Grabbe, Knibb, and Lacocque in </w:t>
      </w:r>
      <w:r w:rsidRPr="005D56D3">
        <w:rPr>
          <w:bCs/>
          <w:iCs/>
          <w:sz w:val="22"/>
          <w:szCs w:val="22"/>
        </w:rPr>
        <w:t xml:space="preserve">Collins/Flint (eds.), </w:t>
      </w:r>
      <w:r w:rsidRPr="005D56D3">
        <w:rPr>
          <w:bCs/>
          <w:i/>
          <w:iCs/>
          <w:sz w:val="22"/>
          <w:szCs w:val="22"/>
        </w:rPr>
        <w:t>The Book of Daniel</w:t>
      </w:r>
      <w:r w:rsidRPr="005D56D3">
        <w:rPr>
          <w:bCs/>
          <w:iCs/>
          <w:sz w:val="22"/>
          <w:szCs w:val="22"/>
        </w:rPr>
        <w:t xml:space="preserve">, 171-265, and in van der Woude (ed.), </w:t>
      </w:r>
      <w:r w:rsidRPr="005D56D3">
        <w:rPr>
          <w:bCs/>
          <w:i/>
          <w:iCs/>
          <w:sz w:val="22"/>
          <w:szCs w:val="22"/>
        </w:rPr>
        <w:t>The Book of Daniel</w:t>
      </w:r>
      <w:r w:rsidRPr="005D56D3">
        <w:rPr>
          <w:bCs/>
          <w:iCs/>
          <w:sz w:val="22"/>
          <w:szCs w:val="22"/>
        </w:rPr>
        <w:t>, 315-61, 399-411.</w:t>
      </w:r>
    </w:p>
  </w:footnote>
  <w:footnote w:id="89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Davies, </w:t>
      </w:r>
      <w:r w:rsidRPr="005D56D3">
        <w:rPr>
          <w:i/>
          <w:sz w:val="22"/>
          <w:szCs w:val="22"/>
        </w:rPr>
        <w:t>Daniel</w:t>
      </w:r>
      <w:r w:rsidRPr="005D56D3">
        <w:rPr>
          <w:sz w:val="22"/>
          <w:szCs w:val="22"/>
        </w:rPr>
        <w:t>,</w:t>
      </w:r>
      <w:r w:rsidRPr="005D56D3">
        <w:rPr>
          <w:i/>
          <w:sz w:val="22"/>
          <w:szCs w:val="22"/>
        </w:rPr>
        <w:t xml:space="preserve"> </w:t>
      </w:r>
      <w:r w:rsidRPr="005D56D3">
        <w:rPr>
          <w:sz w:val="22"/>
          <w:szCs w:val="22"/>
        </w:rPr>
        <w:t xml:space="preserve">81. </w:t>
      </w:r>
    </w:p>
  </w:footnote>
  <w:footnote w:id="894">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So Scheetz, “Daniel's Position in the Tanach, the LXX-Vulgate, and the Protestant Canon.”</w:t>
      </w:r>
    </w:p>
  </w:footnote>
  <w:footnote w:id="89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On “Who is God?” in Daniel, see further Goldingay, “Daniel in the Context of OT Theology,” 643-48.</w:t>
      </w:r>
    </w:p>
  </w:footnote>
  <w:footnote w:id="89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Against Collins, </w:t>
      </w:r>
      <w:r w:rsidRPr="005D56D3">
        <w:rPr>
          <w:i/>
          <w:sz w:val="22"/>
          <w:szCs w:val="22"/>
        </w:rPr>
        <w:t>Apocalyptic Vision of the Book of Daniel</w:t>
      </w:r>
      <w:r w:rsidRPr="005D56D3">
        <w:rPr>
          <w:sz w:val="22"/>
          <w:szCs w:val="22"/>
        </w:rPr>
        <w:t>, 75.</w:t>
      </w:r>
    </w:p>
  </w:footnote>
  <w:footnote w:id="89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Lacocque, </w:t>
      </w:r>
      <w:r w:rsidRPr="005D56D3">
        <w:rPr>
          <w:i/>
          <w:sz w:val="22"/>
          <w:szCs w:val="22"/>
        </w:rPr>
        <w:t>Daniel</w:t>
      </w:r>
      <w:r w:rsidRPr="005D56D3">
        <w:rPr>
          <w:sz w:val="22"/>
          <w:szCs w:val="22"/>
        </w:rPr>
        <w:t>,</w:t>
      </w:r>
      <w:r w:rsidRPr="005D56D3">
        <w:rPr>
          <w:i/>
          <w:sz w:val="22"/>
          <w:szCs w:val="22"/>
        </w:rPr>
        <w:t xml:space="preserve"> </w:t>
      </w:r>
      <w:r w:rsidRPr="005D56D3">
        <w:rPr>
          <w:sz w:val="22"/>
          <w:szCs w:val="22"/>
        </w:rPr>
        <w:t>108</w:t>
      </w:r>
    </w:p>
  </w:footnote>
  <w:footnote w:id="898">
    <w:p w:rsidR="008E57DC" w:rsidRPr="005D56D3" w:rsidRDefault="008E57DC" w:rsidP="009D1C4D">
      <w:pPr>
        <w:pStyle w:val="FootnoteText"/>
        <w:rPr>
          <w:sz w:val="22"/>
          <w:szCs w:val="22"/>
        </w:rPr>
      </w:pPr>
      <w:r w:rsidRPr="005D56D3">
        <w:rPr>
          <w:rStyle w:val="FootnoteReference"/>
          <w:sz w:val="22"/>
          <w:szCs w:val="22"/>
        </w:rPr>
        <w:footnoteRef/>
      </w:r>
      <w:r w:rsidRPr="005D56D3">
        <w:rPr>
          <w:sz w:val="22"/>
          <w:szCs w:val="22"/>
        </w:rPr>
        <w:t xml:space="preserve"> Cf. Abadie</w:t>
      </w:r>
      <w:r w:rsidRPr="005D56D3">
        <w:rPr>
          <w:b/>
          <w:sz w:val="22"/>
          <w:szCs w:val="22"/>
        </w:rPr>
        <w:t xml:space="preserve">, </w:t>
      </w:r>
      <w:r w:rsidRPr="005D56D3">
        <w:rPr>
          <w:sz w:val="22"/>
          <w:szCs w:val="22"/>
        </w:rPr>
        <w:t>“Du temps prophétique au temps apocalyptique dans le livre de Daniel.”</w:t>
      </w:r>
    </w:p>
  </w:footnote>
  <w:footnote w:id="89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Augustine, </w:t>
      </w:r>
      <w:r w:rsidRPr="005D56D3">
        <w:rPr>
          <w:i/>
          <w:sz w:val="22"/>
          <w:szCs w:val="22"/>
        </w:rPr>
        <w:t>Expositions on the Book of Psalms</w:t>
      </w:r>
      <w:r w:rsidRPr="005D56D3">
        <w:rPr>
          <w:sz w:val="22"/>
          <w:szCs w:val="22"/>
        </w:rPr>
        <w:t xml:space="preserve">, 77 (on Ps 34:17), but as quoted by Bickermann, </w:t>
      </w:r>
      <w:r w:rsidRPr="005D56D3">
        <w:rPr>
          <w:i/>
          <w:sz w:val="22"/>
          <w:szCs w:val="22"/>
        </w:rPr>
        <w:t>Der Gott der Makkabäer</w:t>
      </w:r>
      <w:r w:rsidRPr="005D56D3">
        <w:rPr>
          <w:sz w:val="22"/>
          <w:szCs w:val="22"/>
        </w:rPr>
        <w:t>, 7 (ET v).</w:t>
      </w:r>
    </w:p>
  </w:footnote>
  <w:footnote w:id="90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Boehmer</w:t>
      </w:r>
      <w:r w:rsidRPr="005D56D3">
        <w:rPr>
          <w:b/>
          <w:sz w:val="22"/>
          <w:szCs w:val="22"/>
        </w:rPr>
        <w:t xml:space="preserve">, </w:t>
      </w:r>
      <w:r w:rsidRPr="005D56D3">
        <w:rPr>
          <w:i/>
          <w:sz w:val="22"/>
          <w:szCs w:val="22"/>
        </w:rPr>
        <w:t>Reich Gottes und Menschensohn im Buch Daniel</w:t>
      </w:r>
      <w:r w:rsidRPr="005D56D3">
        <w:rPr>
          <w:sz w:val="22"/>
          <w:szCs w:val="22"/>
        </w:rPr>
        <w:t>, 16–17. Cf. Merrill</w:t>
      </w:r>
      <w:r w:rsidRPr="005D56D3">
        <w:rPr>
          <w:b/>
          <w:sz w:val="22"/>
          <w:szCs w:val="22"/>
        </w:rPr>
        <w:t>, “</w:t>
      </w:r>
      <w:r w:rsidRPr="005D56D3">
        <w:rPr>
          <w:sz w:val="22"/>
          <w:szCs w:val="22"/>
        </w:rPr>
        <w:t xml:space="preserve">Daniel as a Contribution to Kingdom Theology.” </w:t>
      </w:r>
    </w:p>
  </w:footnote>
  <w:footnote w:id="90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Joubert, </w:t>
      </w:r>
      <w:r w:rsidRPr="005D56D3">
        <w:rPr>
          <w:i/>
          <w:sz w:val="22"/>
          <w:szCs w:val="22"/>
        </w:rPr>
        <w:t>Power and Responsibility in the Book of Daniel</w:t>
      </w:r>
      <w:r w:rsidRPr="005D56D3">
        <w:rPr>
          <w:sz w:val="22"/>
          <w:szCs w:val="22"/>
        </w:rPr>
        <w:t>, 211–12.</w:t>
      </w:r>
    </w:p>
  </w:footnote>
  <w:footnote w:id="90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Hall, </w:t>
      </w:r>
      <w:r w:rsidRPr="005D56D3">
        <w:rPr>
          <w:i/>
          <w:sz w:val="22"/>
          <w:szCs w:val="22"/>
        </w:rPr>
        <w:t>Post-exilic Theological Streams and the Book of Daniel</w:t>
      </w:r>
      <w:r w:rsidRPr="005D56D3">
        <w:rPr>
          <w:sz w:val="22"/>
          <w:szCs w:val="22"/>
        </w:rPr>
        <w:t>, 224–25.</w:t>
      </w:r>
    </w:p>
  </w:footnote>
  <w:footnote w:id="90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Harrington, </w:t>
      </w:r>
      <w:r w:rsidRPr="005D56D3">
        <w:rPr>
          <w:b/>
          <w:sz w:val="22"/>
          <w:szCs w:val="22"/>
        </w:rPr>
        <w:t>“</w:t>
      </w:r>
      <w:r w:rsidRPr="005D56D3">
        <w:rPr>
          <w:sz w:val="22"/>
          <w:szCs w:val="22"/>
        </w:rPr>
        <w:t>The Ideology of Rule in Daniel 7—12,” 540.</w:t>
      </w:r>
    </w:p>
  </w:footnote>
  <w:footnote w:id="904">
    <w:p w:rsidR="008E57DC" w:rsidRPr="005D56D3" w:rsidRDefault="008E57DC">
      <w:pPr>
        <w:pStyle w:val="FootnoteText"/>
        <w:rPr>
          <w:sz w:val="22"/>
          <w:szCs w:val="22"/>
        </w:rPr>
      </w:pPr>
      <w:r w:rsidRPr="005D56D3">
        <w:rPr>
          <w:rStyle w:val="FootnoteReference"/>
          <w:sz w:val="22"/>
          <w:szCs w:val="22"/>
        </w:rPr>
        <w:footnoteRef/>
      </w:r>
      <w:r w:rsidRPr="005D56D3">
        <w:rPr>
          <w:sz w:val="22"/>
          <w:szCs w:val="22"/>
        </w:rPr>
        <w:t xml:space="preserve"> Cf. Goswell, “The Ethics of the Book of Daniel.”</w:t>
      </w:r>
    </w:p>
  </w:footnote>
  <w:footnote w:id="905">
    <w:p w:rsidR="008E57DC" w:rsidRPr="005D56D3" w:rsidRDefault="008E57DC">
      <w:pPr>
        <w:pStyle w:val="FootnoteText"/>
        <w:rPr>
          <w:sz w:val="22"/>
          <w:szCs w:val="22"/>
        </w:rPr>
      </w:pPr>
      <w:r w:rsidRPr="005D56D3">
        <w:rPr>
          <w:rStyle w:val="FootnoteReference"/>
          <w:sz w:val="22"/>
          <w:szCs w:val="22"/>
        </w:rPr>
        <w:footnoteRef/>
      </w:r>
      <w:r w:rsidRPr="005D56D3">
        <w:rPr>
          <w:sz w:val="22"/>
          <w:szCs w:val="22"/>
        </w:rPr>
        <w:t xml:space="preserve"> Collins, </w:t>
      </w:r>
      <w:r w:rsidRPr="005D56D3">
        <w:rPr>
          <w:i/>
          <w:sz w:val="22"/>
          <w:szCs w:val="22"/>
        </w:rPr>
        <w:t>Apocalypse, Prophecy, and Pseudepigraphy</w:t>
      </w:r>
      <w:r w:rsidRPr="005D56D3">
        <w:rPr>
          <w:sz w:val="22"/>
          <w:szCs w:val="22"/>
        </w:rPr>
        <w:t>, 297.</w:t>
      </w:r>
    </w:p>
  </w:footnote>
  <w:footnote w:id="906">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Cohn, </w:t>
      </w:r>
      <w:r w:rsidRPr="005D56D3">
        <w:rPr>
          <w:i/>
          <w:sz w:val="22"/>
          <w:szCs w:val="22"/>
        </w:rPr>
        <w:t>The Pursuit of the Millennium</w:t>
      </w:r>
      <w:r w:rsidRPr="005D56D3">
        <w:rPr>
          <w:sz w:val="22"/>
          <w:szCs w:val="22"/>
        </w:rPr>
        <w:t>, 13.</w:t>
      </w:r>
    </w:p>
  </w:footnote>
  <w:footnote w:id="90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Barth, </w:t>
      </w:r>
      <w:r w:rsidRPr="005D56D3">
        <w:rPr>
          <w:i/>
          <w:sz w:val="22"/>
          <w:szCs w:val="22"/>
        </w:rPr>
        <w:t>Diesseits und Jenseits im Glauben des späten Israel</w:t>
      </w:r>
      <w:r w:rsidRPr="005D56D3">
        <w:rPr>
          <w:sz w:val="22"/>
          <w:szCs w:val="22"/>
        </w:rPr>
        <w:t xml:space="preserve">; Newsom, </w:t>
      </w:r>
      <w:r w:rsidRPr="005D56D3">
        <w:rPr>
          <w:b/>
          <w:sz w:val="22"/>
          <w:szCs w:val="22"/>
        </w:rPr>
        <w:t>“</w:t>
      </w:r>
      <w:r w:rsidRPr="005D56D3">
        <w:rPr>
          <w:sz w:val="22"/>
          <w:szCs w:val="22"/>
        </w:rPr>
        <w:t>Political Theology in the Book of Daniel.”</w:t>
      </w:r>
    </w:p>
  </w:footnote>
  <w:footnote w:id="90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Philip, </w:t>
      </w:r>
      <w:r w:rsidRPr="005D56D3">
        <w:rPr>
          <w:i/>
          <w:sz w:val="22"/>
          <w:szCs w:val="22"/>
        </w:rPr>
        <w:t>By the Rivers of Babylon</w:t>
      </w:r>
      <w:r w:rsidRPr="005D56D3">
        <w:rPr>
          <w:sz w:val="22"/>
          <w:szCs w:val="22"/>
        </w:rPr>
        <w:t>, on chap. 10.</w:t>
      </w:r>
    </w:p>
  </w:footnote>
  <w:footnote w:id="90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R. Trevors Herford: see Kreuziger, </w:t>
      </w:r>
      <w:r w:rsidRPr="005D56D3">
        <w:rPr>
          <w:i/>
          <w:sz w:val="22"/>
          <w:szCs w:val="22"/>
        </w:rPr>
        <w:t>Apocalypse and Science Fiction</w:t>
      </w:r>
      <w:r w:rsidRPr="005D56D3">
        <w:rPr>
          <w:sz w:val="22"/>
          <w:szCs w:val="22"/>
        </w:rPr>
        <w:t>, 149 (quoting Koch), and further, e.g., 78–79, 158–62, 176</w:t>
      </w:r>
    </w:p>
  </w:footnote>
  <w:footnote w:id="91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Käsemann, “Die Anfänge christlicher Theologie,” 180 (ET 40).</w:t>
      </w:r>
    </w:p>
  </w:footnote>
  <w:footnote w:id="91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See Kim, </w:t>
      </w:r>
      <w:r w:rsidRPr="005D56D3">
        <w:rPr>
          <w:i/>
          <w:sz w:val="22"/>
          <w:szCs w:val="22"/>
        </w:rPr>
        <w:t>Proclamation in Cross-Cultural Context</w:t>
      </w:r>
      <w:r w:rsidRPr="005D56D3">
        <w:rPr>
          <w:sz w:val="22"/>
          <w:szCs w:val="22"/>
        </w:rPr>
        <w:t>.</w:t>
      </w:r>
    </w:p>
  </w:footnote>
  <w:footnote w:id="912">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Thomas</w:t>
      </w:r>
      <w:r w:rsidRPr="005D56D3">
        <w:rPr>
          <w:b/>
          <w:sz w:val="22"/>
          <w:szCs w:val="22"/>
        </w:rPr>
        <w:t>, “</w:t>
      </w:r>
      <w:r w:rsidRPr="005D56D3">
        <w:rPr>
          <w:sz w:val="22"/>
          <w:szCs w:val="22"/>
        </w:rPr>
        <w:t>The Book of Daniel: The Apocalypse with a Distinct Charter for Liberative Praxis and Theological Vision,” 303.</w:t>
      </w:r>
    </w:p>
  </w:footnote>
  <w:footnote w:id="913">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Niskanen, </w:t>
      </w:r>
      <w:r w:rsidRPr="005D56D3">
        <w:rPr>
          <w:i/>
          <w:sz w:val="22"/>
          <w:szCs w:val="22"/>
        </w:rPr>
        <w:t>The Human and the Divine in History</w:t>
      </w:r>
      <w:r w:rsidRPr="005D56D3">
        <w:rPr>
          <w:sz w:val="22"/>
          <w:szCs w:val="22"/>
        </w:rPr>
        <w:t>, 3 (Niskanen’s declaration emerges from a comparison of Daniel with Herodotus); cf. Hellberg, “</w:t>
      </w:r>
      <w:r w:rsidRPr="005D56D3">
        <w:rPr>
          <w:rFonts w:eastAsiaTheme="minorHAnsi" w:cs="TimesNewRomanPSMT"/>
          <w:sz w:val="22"/>
          <w:szCs w:val="22"/>
        </w:rPr>
        <w:t>The Determination of History cccording to the Book Daniel.”</w:t>
      </w:r>
    </w:p>
  </w:footnote>
  <w:footnote w:id="914">
    <w:p w:rsidR="008E57DC" w:rsidRPr="005D56D3" w:rsidRDefault="008E57DC" w:rsidP="00DA5229">
      <w:pPr>
        <w:pStyle w:val="FootnoteText"/>
        <w:rPr>
          <w:sz w:val="22"/>
          <w:szCs w:val="22"/>
        </w:rPr>
      </w:pPr>
      <w:r w:rsidRPr="005D56D3">
        <w:rPr>
          <w:rStyle w:val="FootnoteReference"/>
          <w:sz w:val="22"/>
          <w:szCs w:val="22"/>
        </w:rPr>
        <w:footnoteRef/>
      </w:r>
      <w:r w:rsidRPr="005D56D3">
        <w:rPr>
          <w:sz w:val="22"/>
          <w:szCs w:val="22"/>
        </w:rPr>
        <w:t xml:space="preserve"> On leadership in Daniel, see further Goldingay, “Daniel in the Context of OT Theology,” 648-58.</w:t>
      </w:r>
    </w:p>
  </w:footnote>
  <w:footnote w:id="915">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Joubert, </w:t>
      </w:r>
      <w:r w:rsidRPr="005D56D3">
        <w:rPr>
          <w:i/>
          <w:sz w:val="22"/>
          <w:szCs w:val="22"/>
        </w:rPr>
        <w:t>Power and Responsibility in the Book of Daniel</w:t>
      </w:r>
      <w:r w:rsidRPr="005D56D3">
        <w:rPr>
          <w:sz w:val="22"/>
          <w:szCs w:val="22"/>
        </w:rPr>
        <w:t>, 212.</w:t>
      </w:r>
    </w:p>
  </w:footnote>
  <w:footnote w:id="916">
    <w:p w:rsidR="008E57DC" w:rsidRPr="005D56D3" w:rsidRDefault="008E57DC" w:rsidP="00000F61">
      <w:pPr>
        <w:pStyle w:val="FootnoteText"/>
        <w:rPr>
          <w:sz w:val="22"/>
          <w:szCs w:val="22"/>
        </w:rPr>
      </w:pPr>
      <w:r w:rsidRPr="005D56D3">
        <w:rPr>
          <w:rStyle w:val="FootnoteReference"/>
          <w:sz w:val="22"/>
          <w:szCs w:val="22"/>
        </w:rPr>
        <w:footnoteRef/>
      </w:r>
      <w:r w:rsidRPr="005D56D3">
        <w:rPr>
          <w:sz w:val="22"/>
          <w:szCs w:val="22"/>
        </w:rPr>
        <w:t xml:space="preserve"> Walters, </w:t>
      </w:r>
      <w:r w:rsidRPr="005D56D3">
        <w:rPr>
          <w:bCs/>
          <w:sz w:val="22"/>
          <w:szCs w:val="22"/>
        </w:rPr>
        <w:t>“The End (of What?) Is at Hand,” 43.</w:t>
      </w:r>
    </w:p>
  </w:footnote>
  <w:footnote w:id="917">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Joubert, </w:t>
      </w:r>
      <w:r w:rsidRPr="005D56D3">
        <w:rPr>
          <w:i/>
          <w:sz w:val="22"/>
          <w:szCs w:val="22"/>
        </w:rPr>
        <w:t>Power and Responsibility in the Book of Daniel</w:t>
      </w:r>
      <w:r w:rsidRPr="005D56D3">
        <w:rPr>
          <w:sz w:val="22"/>
          <w:szCs w:val="22"/>
        </w:rPr>
        <w:t>, 210.</w:t>
      </w:r>
    </w:p>
  </w:footnote>
  <w:footnote w:id="918">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Davies, </w:t>
      </w:r>
      <w:r w:rsidRPr="005D56D3">
        <w:rPr>
          <w:i/>
          <w:sz w:val="22"/>
          <w:szCs w:val="22"/>
        </w:rPr>
        <w:t>Daniel</w:t>
      </w:r>
      <w:r w:rsidRPr="005D56D3">
        <w:rPr>
          <w:sz w:val="22"/>
          <w:szCs w:val="22"/>
        </w:rPr>
        <w:t>,</w:t>
      </w:r>
      <w:r w:rsidRPr="005D56D3">
        <w:rPr>
          <w:i/>
          <w:sz w:val="22"/>
          <w:szCs w:val="22"/>
        </w:rPr>
        <w:t xml:space="preserve"> </w:t>
      </w:r>
      <w:r w:rsidRPr="005D56D3">
        <w:rPr>
          <w:sz w:val="22"/>
          <w:szCs w:val="22"/>
        </w:rPr>
        <w:t>13.</w:t>
      </w:r>
    </w:p>
  </w:footnote>
  <w:footnote w:id="919">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Koch, “Is Daniel Also among the Prophets?”  127; cf. also the reflections in Haas, “The Book of Daniel.”</w:t>
      </w:r>
    </w:p>
  </w:footnote>
  <w:footnote w:id="920">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Cf. </w:t>
      </w:r>
      <w:r w:rsidRPr="005D56D3">
        <w:rPr>
          <w:bCs/>
          <w:sz w:val="22"/>
          <w:szCs w:val="22"/>
        </w:rPr>
        <w:t>Warhurst</w:t>
      </w:r>
      <w:r w:rsidRPr="005D56D3">
        <w:rPr>
          <w:b/>
          <w:bCs/>
          <w:sz w:val="22"/>
          <w:szCs w:val="22"/>
        </w:rPr>
        <w:t xml:space="preserve">, </w:t>
      </w:r>
      <w:r w:rsidRPr="005D56D3">
        <w:rPr>
          <w:bCs/>
          <w:sz w:val="22"/>
          <w:szCs w:val="22"/>
        </w:rPr>
        <w:t>“The Associative Effects of Daniel in the Writings.”</w:t>
      </w:r>
    </w:p>
  </w:footnote>
  <w:footnote w:id="921">
    <w:p w:rsidR="008E57DC" w:rsidRPr="005D56D3" w:rsidRDefault="008E57DC" w:rsidP="00622A75">
      <w:pPr>
        <w:pStyle w:val="FootnoteText"/>
        <w:rPr>
          <w:sz w:val="22"/>
          <w:szCs w:val="22"/>
        </w:rPr>
      </w:pPr>
      <w:r w:rsidRPr="005D56D3">
        <w:rPr>
          <w:rStyle w:val="FootnoteReference"/>
          <w:sz w:val="22"/>
          <w:szCs w:val="22"/>
        </w:rPr>
        <w:footnoteRef/>
      </w:r>
      <w:r w:rsidRPr="005D56D3">
        <w:rPr>
          <w:sz w:val="22"/>
          <w:szCs w:val="22"/>
        </w:rPr>
        <w:t xml:space="preserve"> Lacocque, “Apocalyptic Symbolism,” 8.</w:t>
      </w:r>
    </w:p>
  </w:footnote>
  <w:footnote w:id="922">
    <w:p w:rsidR="008E57DC" w:rsidRPr="005D56D3" w:rsidRDefault="008E57DC" w:rsidP="004B5A84">
      <w:pPr>
        <w:pStyle w:val="FootnoteText"/>
        <w:tabs>
          <w:tab w:val="left" w:pos="5310"/>
        </w:tabs>
        <w:rPr>
          <w:sz w:val="22"/>
          <w:szCs w:val="22"/>
        </w:rPr>
      </w:pPr>
      <w:r w:rsidRPr="005D56D3">
        <w:rPr>
          <w:rStyle w:val="FootnoteReference"/>
          <w:sz w:val="22"/>
          <w:szCs w:val="22"/>
        </w:rPr>
        <w:footnoteRef/>
      </w:r>
      <w:r w:rsidRPr="005D56D3">
        <w:rPr>
          <w:sz w:val="22"/>
          <w:szCs w:val="22"/>
        </w:rPr>
        <w:t xml:space="preserve"> Barr, “The Apocalypse as a Symbolic Transformation of the World,” 39–50; cf. Schlüssler Fiorenza, “The Phenomenon of Early Christian Apocalyptic.”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A02"/>
    <w:rsid w:val="000000A8"/>
    <w:rsid w:val="00000901"/>
    <w:rsid w:val="00000AB4"/>
    <w:rsid w:val="00000C12"/>
    <w:rsid w:val="00000F61"/>
    <w:rsid w:val="00002AF3"/>
    <w:rsid w:val="00002B66"/>
    <w:rsid w:val="00003936"/>
    <w:rsid w:val="00004878"/>
    <w:rsid w:val="0000517E"/>
    <w:rsid w:val="000052C1"/>
    <w:rsid w:val="00010158"/>
    <w:rsid w:val="00012094"/>
    <w:rsid w:val="000121B2"/>
    <w:rsid w:val="0001277A"/>
    <w:rsid w:val="00013189"/>
    <w:rsid w:val="000137EE"/>
    <w:rsid w:val="00013C96"/>
    <w:rsid w:val="000141D3"/>
    <w:rsid w:val="00015902"/>
    <w:rsid w:val="0001614B"/>
    <w:rsid w:val="00016ABC"/>
    <w:rsid w:val="000172D7"/>
    <w:rsid w:val="00017304"/>
    <w:rsid w:val="00017E69"/>
    <w:rsid w:val="00020247"/>
    <w:rsid w:val="0002094C"/>
    <w:rsid w:val="00020DE3"/>
    <w:rsid w:val="00021571"/>
    <w:rsid w:val="00022627"/>
    <w:rsid w:val="000232A9"/>
    <w:rsid w:val="00023CE3"/>
    <w:rsid w:val="00025368"/>
    <w:rsid w:val="000256C6"/>
    <w:rsid w:val="00025B11"/>
    <w:rsid w:val="00026F22"/>
    <w:rsid w:val="000276AF"/>
    <w:rsid w:val="000310CF"/>
    <w:rsid w:val="00031B76"/>
    <w:rsid w:val="0003248D"/>
    <w:rsid w:val="00034C7F"/>
    <w:rsid w:val="000356EE"/>
    <w:rsid w:val="00035983"/>
    <w:rsid w:val="00035CD9"/>
    <w:rsid w:val="00037B5C"/>
    <w:rsid w:val="0004136C"/>
    <w:rsid w:val="0004447C"/>
    <w:rsid w:val="00044F80"/>
    <w:rsid w:val="00045B09"/>
    <w:rsid w:val="00045D6C"/>
    <w:rsid w:val="00046000"/>
    <w:rsid w:val="000465F8"/>
    <w:rsid w:val="000468EF"/>
    <w:rsid w:val="00047817"/>
    <w:rsid w:val="00047F98"/>
    <w:rsid w:val="0005020E"/>
    <w:rsid w:val="00051515"/>
    <w:rsid w:val="00052219"/>
    <w:rsid w:val="00052B3D"/>
    <w:rsid w:val="00052E34"/>
    <w:rsid w:val="0005448E"/>
    <w:rsid w:val="00054A7B"/>
    <w:rsid w:val="000556A4"/>
    <w:rsid w:val="00055EA4"/>
    <w:rsid w:val="00056055"/>
    <w:rsid w:val="0005705D"/>
    <w:rsid w:val="0005745A"/>
    <w:rsid w:val="00057506"/>
    <w:rsid w:val="000577E1"/>
    <w:rsid w:val="00060C96"/>
    <w:rsid w:val="000610C8"/>
    <w:rsid w:val="00061922"/>
    <w:rsid w:val="00061DFB"/>
    <w:rsid w:val="00062F62"/>
    <w:rsid w:val="000636AF"/>
    <w:rsid w:val="0006378E"/>
    <w:rsid w:val="00065861"/>
    <w:rsid w:val="00070564"/>
    <w:rsid w:val="000708C7"/>
    <w:rsid w:val="0007158E"/>
    <w:rsid w:val="00071EFC"/>
    <w:rsid w:val="0007233A"/>
    <w:rsid w:val="00073B8E"/>
    <w:rsid w:val="00074EF4"/>
    <w:rsid w:val="0007676F"/>
    <w:rsid w:val="00077104"/>
    <w:rsid w:val="00077C62"/>
    <w:rsid w:val="0008090B"/>
    <w:rsid w:val="00080BFD"/>
    <w:rsid w:val="00081D91"/>
    <w:rsid w:val="000820D7"/>
    <w:rsid w:val="000823F7"/>
    <w:rsid w:val="00082BF5"/>
    <w:rsid w:val="00083B25"/>
    <w:rsid w:val="00084F3B"/>
    <w:rsid w:val="00085181"/>
    <w:rsid w:val="00085C18"/>
    <w:rsid w:val="00085CBF"/>
    <w:rsid w:val="00086A2F"/>
    <w:rsid w:val="0008784C"/>
    <w:rsid w:val="00087F94"/>
    <w:rsid w:val="0009082F"/>
    <w:rsid w:val="00091B8D"/>
    <w:rsid w:val="00092060"/>
    <w:rsid w:val="000928CC"/>
    <w:rsid w:val="000930FA"/>
    <w:rsid w:val="00093397"/>
    <w:rsid w:val="000933E1"/>
    <w:rsid w:val="000941B1"/>
    <w:rsid w:val="000952DE"/>
    <w:rsid w:val="00095517"/>
    <w:rsid w:val="00095DFC"/>
    <w:rsid w:val="000A03DA"/>
    <w:rsid w:val="000A2393"/>
    <w:rsid w:val="000A2CA9"/>
    <w:rsid w:val="000A3017"/>
    <w:rsid w:val="000A378F"/>
    <w:rsid w:val="000A385A"/>
    <w:rsid w:val="000A423F"/>
    <w:rsid w:val="000A58A7"/>
    <w:rsid w:val="000A5AA1"/>
    <w:rsid w:val="000A5AA9"/>
    <w:rsid w:val="000A7038"/>
    <w:rsid w:val="000B237C"/>
    <w:rsid w:val="000B26A2"/>
    <w:rsid w:val="000B3CD6"/>
    <w:rsid w:val="000B4359"/>
    <w:rsid w:val="000B4468"/>
    <w:rsid w:val="000B44CA"/>
    <w:rsid w:val="000B5392"/>
    <w:rsid w:val="000B55C0"/>
    <w:rsid w:val="000B5A1C"/>
    <w:rsid w:val="000B5FDC"/>
    <w:rsid w:val="000B6921"/>
    <w:rsid w:val="000C0C9F"/>
    <w:rsid w:val="000C1456"/>
    <w:rsid w:val="000C2226"/>
    <w:rsid w:val="000C2D0E"/>
    <w:rsid w:val="000C3A65"/>
    <w:rsid w:val="000C44AC"/>
    <w:rsid w:val="000C47C5"/>
    <w:rsid w:val="000C6CB7"/>
    <w:rsid w:val="000D1196"/>
    <w:rsid w:val="000D1837"/>
    <w:rsid w:val="000D37E1"/>
    <w:rsid w:val="000D4E19"/>
    <w:rsid w:val="000D5005"/>
    <w:rsid w:val="000D5124"/>
    <w:rsid w:val="000E0E78"/>
    <w:rsid w:val="000E0F4A"/>
    <w:rsid w:val="000E3A38"/>
    <w:rsid w:val="000E4585"/>
    <w:rsid w:val="000E5135"/>
    <w:rsid w:val="000E601D"/>
    <w:rsid w:val="000E6E11"/>
    <w:rsid w:val="000E74EF"/>
    <w:rsid w:val="000F070C"/>
    <w:rsid w:val="000F1689"/>
    <w:rsid w:val="000F3AAD"/>
    <w:rsid w:val="000F564D"/>
    <w:rsid w:val="000F589C"/>
    <w:rsid w:val="000F60C4"/>
    <w:rsid w:val="000F6D97"/>
    <w:rsid w:val="000F78B0"/>
    <w:rsid w:val="0010052B"/>
    <w:rsid w:val="00100FC6"/>
    <w:rsid w:val="00102718"/>
    <w:rsid w:val="001027F2"/>
    <w:rsid w:val="00103A98"/>
    <w:rsid w:val="00103E77"/>
    <w:rsid w:val="0010459A"/>
    <w:rsid w:val="00104E13"/>
    <w:rsid w:val="00106C35"/>
    <w:rsid w:val="001111E2"/>
    <w:rsid w:val="00112E47"/>
    <w:rsid w:val="001135B1"/>
    <w:rsid w:val="001147E8"/>
    <w:rsid w:val="0011589E"/>
    <w:rsid w:val="00115B16"/>
    <w:rsid w:val="00117190"/>
    <w:rsid w:val="0011772D"/>
    <w:rsid w:val="001178CD"/>
    <w:rsid w:val="001215C5"/>
    <w:rsid w:val="00121C54"/>
    <w:rsid w:val="0012276A"/>
    <w:rsid w:val="00122B51"/>
    <w:rsid w:val="00124135"/>
    <w:rsid w:val="00124184"/>
    <w:rsid w:val="00124DB1"/>
    <w:rsid w:val="00124DD1"/>
    <w:rsid w:val="00127F22"/>
    <w:rsid w:val="001317ED"/>
    <w:rsid w:val="00133011"/>
    <w:rsid w:val="0013315B"/>
    <w:rsid w:val="001340C3"/>
    <w:rsid w:val="00134A2E"/>
    <w:rsid w:val="00134C47"/>
    <w:rsid w:val="00135A33"/>
    <w:rsid w:val="00135D2C"/>
    <w:rsid w:val="001367F3"/>
    <w:rsid w:val="00136C59"/>
    <w:rsid w:val="00137859"/>
    <w:rsid w:val="00140540"/>
    <w:rsid w:val="0014156C"/>
    <w:rsid w:val="001419EA"/>
    <w:rsid w:val="0014298A"/>
    <w:rsid w:val="001446E1"/>
    <w:rsid w:val="00144864"/>
    <w:rsid w:val="00144FE2"/>
    <w:rsid w:val="001452D7"/>
    <w:rsid w:val="001455F4"/>
    <w:rsid w:val="0014770A"/>
    <w:rsid w:val="00147D44"/>
    <w:rsid w:val="001505CE"/>
    <w:rsid w:val="00151594"/>
    <w:rsid w:val="00152217"/>
    <w:rsid w:val="001528A3"/>
    <w:rsid w:val="001546FE"/>
    <w:rsid w:val="001563E1"/>
    <w:rsid w:val="0015684E"/>
    <w:rsid w:val="00157BFB"/>
    <w:rsid w:val="00157DEC"/>
    <w:rsid w:val="00161D46"/>
    <w:rsid w:val="00163DBF"/>
    <w:rsid w:val="0016509B"/>
    <w:rsid w:val="001659EA"/>
    <w:rsid w:val="00167D51"/>
    <w:rsid w:val="00170D97"/>
    <w:rsid w:val="001716C4"/>
    <w:rsid w:val="00171DAD"/>
    <w:rsid w:val="00174181"/>
    <w:rsid w:val="0017464A"/>
    <w:rsid w:val="001748B1"/>
    <w:rsid w:val="00175E9E"/>
    <w:rsid w:val="00176C84"/>
    <w:rsid w:val="00176DCD"/>
    <w:rsid w:val="00177AF8"/>
    <w:rsid w:val="00180B16"/>
    <w:rsid w:val="00181448"/>
    <w:rsid w:val="001817D8"/>
    <w:rsid w:val="00181853"/>
    <w:rsid w:val="0018196B"/>
    <w:rsid w:val="00182F04"/>
    <w:rsid w:val="00183425"/>
    <w:rsid w:val="00183A93"/>
    <w:rsid w:val="001842ED"/>
    <w:rsid w:val="00184554"/>
    <w:rsid w:val="001900C6"/>
    <w:rsid w:val="00190190"/>
    <w:rsid w:val="001920D9"/>
    <w:rsid w:val="00192923"/>
    <w:rsid w:val="00194A0C"/>
    <w:rsid w:val="00194D92"/>
    <w:rsid w:val="00195206"/>
    <w:rsid w:val="001963B3"/>
    <w:rsid w:val="00196D65"/>
    <w:rsid w:val="00196F8C"/>
    <w:rsid w:val="0019733A"/>
    <w:rsid w:val="00197A36"/>
    <w:rsid w:val="001A0982"/>
    <w:rsid w:val="001A0AEE"/>
    <w:rsid w:val="001A0E86"/>
    <w:rsid w:val="001A1CA1"/>
    <w:rsid w:val="001A346E"/>
    <w:rsid w:val="001A3991"/>
    <w:rsid w:val="001A3FAA"/>
    <w:rsid w:val="001A3FF2"/>
    <w:rsid w:val="001A46A2"/>
    <w:rsid w:val="001A4E0A"/>
    <w:rsid w:val="001A4FDC"/>
    <w:rsid w:val="001A58DF"/>
    <w:rsid w:val="001A609B"/>
    <w:rsid w:val="001A65B4"/>
    <w:rsid w:val="001A6963"/>
    <w:rsid w:val="001A6B9F"/>
    <w:rsid w:val="001A7F7E"/>
    <w:rsid w:val="001B079F"/>
    <w:rsid w:val="001B0F8F"/>
    <w:rsid w:val="001B2101"/>
    <w:rsid w:val="001B2958"/>
    <w:rsid w:val="001B2F78"/>
    <w:rsid w:val="001B32F0"/>
    <w:rsid w:val="001B3EC8"/>
    <w:rsid w:val="001B47C8"/>
    <w:rsid w:val="001B5F13"/>
    <w:rsid w:val="001B6150"/>
    <w:rsid w:val="001B68F6"/>
    <w:rsid w:val="001B7210"/>
    <w:rsid w:val="001B7B5A"/>
    <w:rsid w:val="001C0166"/>
    <w:rsid w:val="001C15A2"/>
    <w:rsid w:val="001C4499"/>
    <w:rsid w:val="001C67A7"/>
    <w:rsid w:val="001C7607"/>
    <w:rsid w:val="001C7909"/>
    <w:rsid w:val="001D014D"/>
    <w:rsid w:val="001D100E"/>
    <w:rsid w:val="001D1D6F"/>
    <w:rsid w:val="001D24DF"/>
    <w:rsid w:val="001D2AA1"/>
    <w:rsid w:val="001D35A2"/>
    <w:rsid w:val="001D39C2"/>
    <w:rsid w:val="001D3AC0"/>
    <w:rsid w:val="001D3B6C"/>
    <w:rsid w:val="001D3C21"/>
    <w:rsid w:val="001D431B"/>
    <w:rsid w:val="001D4BE2"/>
    <w:rsid w:val="001D6159"/>
    <w:rsid w:val="001D6EF9"/>
    <w:rsid w:val="001E07B1"/>
    <w:rsid w:val="001E20DA"/>
    <w:rsid w:val="001E346C"/>
    <w:rsid w:val="001E3F0F"/>
    <w:rsid w:val="001E50B5"/>
    <w:rsid w:val="001E5785"/>
    <w:rsid w:val="001F0113"/>
    <w:rsid w:val="001F1457"/>
    <w:rsid w:val="001F2EAF"/>
    <w:rsid w:val="001F4C7C"/>
    <w:rsid w:val="001F54E6"/>
    <w:rsid w:val="001F57DF"/>
    <w:rsid w:val="001F5915"/>
    <w:rsid w:val="001F618F"/>
    <w:rsid w:val="001F6B86"/>
    <w:rsid w:val="002001F5"/>
    <w:rsid w:val="00200AC9"/>
    <w:rsid w:val="00200C5A"/>
    <w:rsid w:val="00202C5F"/>
    <w:rsid w:val="00202EB7"/>
    <w:rsid w:val="00203BA4"/>
    <w:rsid w:val="00203E22"/>
    <w:rsid w:val="00204938"/>
    <w:rsid w:val="00205100"/>
    <w:rsid w:val="002073C0"/>
    <w:rsid w:val="00207680"/>
    <w:rsid w:val="00210636"/>
    <w:rsid w:val="0021093D"/>
    <w:rsid w:val="002112F4"/>
    <w:rsid w:val="002115D1"/>
    <w:rsid w:val="00211681"/>
    <w:rsid w:val="00211BB5"/>
    <w:rsid w:val="0021210D"/>
    <w:rsid w:val="0021244A"/>
    <w:rsid w:val="00212475"/>
    <w:rsid w:val="002129AA"/>
    <w:rsid w:val="002131EE"/>
    <w:rsid w:val="00213801"/>
    <w:rsid w:val="00213CE4"/>
    <w:rsid w:val="002145CC"/>
    <w:rsid w:val="0021531A"/>
    <w:rsid w:val="00215CE5"/>
    <w:rsid w:val="00215F86"/>
    <w:rsid w:val="0022051B"/>
    <w:rsid w:val="00222B74"/>
    <w:rsid w:val="0022349D"/>
    <w:rsid w:val="00223B05"/>
    <w:rsid w:val="002252AD"/>
    <w:rsid w:val="0022571F"/>
    <w:rsid w:val="002257B2"/>
    <w:rsid w:val="0022642B"/>
    <w:rsid w:val="0022792C"/>
    <w:rsid w:val="00227C31"/>
    <w:rsid w:val="00227EA2"/>
    <w:rsid w:val="002302F5"/>
    <w:rsid w:val="0023084D"/>
    <w:rsid w:val="00231985"/>
    <w:rsid w:val="00233F41"/>
    <w:rsid w:val="00236C27"/>
    <w:rsid w:val="00237A46"/>
    <w:rsid w:val="0024042F"/>
    <w:rsid w:val="002410D6"/>
    <w:rsid w:val="002413BE"/>
    <w:rsid w:val="00241D45"/>
    <w:rsid w:val="00241D7F"/>
    <w:rsid w:val="00242A17"/>
    <w:rsid w:val="00244C94"/>
    <w:rsid w:val="00246BBE"/>
    <w:rsid w:val="00251FF8"/>
    <w:rsid w:val="002538AE"/>
    <w:rsid w:val="00253919"/>
    <w:rsid w:val="00254892"/>
    <w:rsid w:val="00255553"/>
    <w:rsid w:val="00255E73"/>
    <w:rsid w:val="00255FDB"/>
    <w:rsid w:val="0025638D"/>
    <w:rsid w:val="002563A4"/>
    <w:rsid w:val="00256B38"/>
    <w:rsid w:val="002577E5"/>
    <w:rsid w:val="00261807"/>
    <w:rsid w:val="00261D72"/>
    <w:rsid w:val="00261D86"/>
    <w:rsid w:val="002627E3"/>
    <w:rsid w:val="00262BE8"/>
    <w:rsid w:val="002634D3"/>
    <w:rsid w:val="00264489"/>
    <w:rsid w:val="00264FA4"/>
    <w:rsid w:val="00265C9D"/>
    <w:rsid w:val="002664D3"/>
    <w:rsid w:val="002665D2"/>
    <w:rsid w:val="002670EC"/>
    <w:rsid w:val="00270768"/>
    <w:rsid w:val="00270C7C"/>
    <w:rsid w:val="0027254B"/>
    <w:rsid w:val="00272B24"/>
    <w:rsid w:val="00274278"/>
    <w:rsid w:val="00274A65"/>
    <w:rsid w:val="00275D60"/>
    <w:rsid w:val="002765B6"/>
    <w:rsid w:val="00276783"/>
    <w:rsid w:val="00276976"/>
    <w:rsid w:val="00276CD1"/>
    <w:rsid w:val="00276CFC"/>
    <w:rsid w:val="00276DF9"/>
    <w:rsid w:val="002816BB"/>
    <w:rsid w:val="00281C56"/>
    <w:rsid w:val="00281CC4"/>
    <w:rsid w:val="0028255B"/>
    <w:rsid w:val="00282B9F"/>
    <w:rsid w:val="002846AD"/>
    <w:rsid w:val="002847CD"/>
    <w:rsid w:val="00285021"/>
    <w:rsid w:val="002856E4"/>
    <w:rsid w:val="0028750F"/>
    <w:rsid w:val="002911D1"/>
    <w:rsid w:val="00291A17"/>
    <w:rsid w:val="002940D3"/>
    <w:rsid w:val="00294EB7"/>
    <w:rsid w:val="00295D4B"/>
    <w:rsid w:val="00297F43"/>
    <w:rsid w:val="002A152A"/>
    <w:rsid w:val="002A355C"/>
    <w:rsid w:val="002A35EE"/>
    <w:rsid w:val="002A3BED"/>
    <w:rsid w:val="002A4EF6"/>
    <w:rsid w:val="002A5AA0"/>
    <w:rsid w:val="002A644D"/>
    <w:rsid w:val="002A7308"/>
    <w:rsid w:val="002A7641"/>
    <w:rsid w:val="002B0508"/>
    <w:rsid w:val="002B0CA6"/>
    <w:rsid w:val="002B1128"/>
    <w:rsid w:val="002B2366"/>
    <w:rsid w:val="002B376E"/>
    <w:rsid w:val="002B4116"/>
    <w:rsid w:val="002B4ABC"/>
    <w:rsid w:val="002B4B12"/>
    <w:rsid w:val="002B61F2"/>
    <w:rsid w:val="002B7719"/>
    <w:rsid w:val="002C06DA"/>
    <w:rsid w:val="002C0CD6"/>
    <w:rsid w:val="002C24B8"/>
    <w:rsid w:val="002C2955"/>
    <w:rsid w:val="002C5218"/>
    <w:rsid w:val="002C5E9A"/>
    <w:rsid w:val="002C5FF1"/>
    <w:rsid w:val="002D05B9"/>
    <w:rsid w:val="002D0CC5"/>
    <w:rsid w:val="002D0CD8"/>
    <w:rsid w:val="002D12B6"/>
    <w:rsid w:val="002D209F"/>
    <w:rsid w:val="002D243D"/>
    <w:rsid w:val="002D3B6F"/>
    <w:rsid w:val="002D3C4E"/>
    <w:rsid w:val="002D3E63"/>
    <w:rsid w:val="002D41AB"/>
    <w:rsid w:val="002D4F18"/>
    <w:rsid w:val="002D6C6F"/>
    <w:rsid w:val="002D70D0"/>
    <w:rsid w:val="002D718C"/>
    <w:rsid w:val="002D7B47"/>
    <w:rsid w:val="002E0D33"/>
    <w:rsid w:val="002E3065"/>
    <w:rsid w:val="002E37D8"/>
    <w:rsid w:val="002E3878"/>
    <w:rsid w:val="002E3EB8"/>
    <w:rsid w:val="002E4C44"/>
    <w:rsid w:val="002E6874"/>
    <w:rsid w:val="002F0032"/>
    <w:rsid w:val="002F015A"/>
    <w:rsid w:val="002F0ABA"/>
    <w:rsid w:val="002F0D0E"/>
    <w:rsid w:val="002F181A"/>
    <w:rsid w:val="002F213E"/>
    <w:rsid w:val="002F3007"/>
    <w:rsid w:val="002F30E0"/>
    <w:rsid w:val="002F3D33"/>
    <w:rsid w:val="002F46A6"/>
    <w:rsid w:val="002F50E1"/>
    <w:rsid w:val="002F57F1"/>
    <w:rsid w:val="002F5B6A"/>
    <w:rsid w:val="002F785A"/>
    <w:rsid w:val="00301DE7"/>
    <w:rsid w:val="00302CEC"/>
    <w:rsid w:val="003031F2"/>
    <w:rsid w:val="00303F41"/>
    <w:rsid w:val="0030485E"/>
    <w:rsid w:val="003057D5"/>
    <w:rsid w:val="00305838"/>
    <w:rsid w:val="003075E9"/>
    <w:rsid w:val="00307708"/>
    <w:rsid w:val="0030776B"/>
    <w:rsid w:val="00310292"/>
    <w:rsid w:val="0031176A"/>
    <w:rsid w:val="00311E72"/>
    <w:rsid w:val="00311E97"/>
    <w:rsid w:val="00311FBF"/>
    <w:rsid w:val="003122DC"/>
    <w:rsid w:val="00314076"/>
    <w:rsid w:val="003140F1"/>
    <w:rsid w:val="003159F2"/>
    <w:rsid w:val="0031798B"/>
    <w:rsid w:val="00320D11"/>
    <w:rsid w:val="00321863"/>
    <w:rsid w:val="0032271B"/>
    <w:rsid w:val="00323548"/>
    <w:rsid w:val="00323F0E"/>
    <w:rsid w:val="0032400D"/>
    <w:rsid w:val="00324AAB"/>
    <w:rsid w:val="00325DD1"/>
    <w:rsid w:val="003273F8"/>
    <w:rsid w:val="003349E6"/>
    <w:rsid w:val="00334EE4"/>
    <w:rsid w:val="003408C8"/>
    <w:rsid w:val="00340E4D"/>
    <w:rsid w:val="00343CF4"/>
    <w:rsid w:val="0034508E"/>
    <w:rsid w:val="003478B9"/>
    <w:rsid w:val="00351797"/>
    <w:rsid w:val="00351D9C"/>
    <w:rsid w:val="00352561"/>
    <w:rsid w:val="0035361A"/>
    <w:rsid w:val="0035361D"/>
    <w:rsid w:val="0035393B"/>
    <w:rsid w:val="00353B10"/>
    <w:rsid w:val="00353D5A"/>
    <w:rsid w:val="003541A7"/>
    <w:rsid w:val="00354CE1"/>
    <w:rsid w:val="00354E28"/>
    <w:rsid w:val="00355BDA"/>
    <w:rsid w:val="003564AC"/>
    <w:rsid w:val="003607E4"/>
    <w:rsid w:val="00361262"/>
    <w:rsid w:val="00361B65"/>
    <w:rsid w:val="00362A0A"/>
    <w:rsid w:val="00363EA7"/>
    <w:rsid w:val="00364EEF"/>
    <w:rsid w:val="00365CCB"/>
    <w:rsid w:val="00365F8C"/>
    <w:rsid w:val="00366273"/>
    <w:rsid w:val="00366505"/>
    <w:rsid w:val="00366AC5"/>
    <w:rsid w:val="00367F0D"/>
    <w:rsid w:val="003700EC"/>
    <w:rsid w:val="00370229"/>
    <w:rsid w:val="00370544"/>
    <w:rsid w:val="003705AB"/>
    <w:rsid w:val="00371E85"/>
    <w:rsid w:val="003724D7"/>
    <w:rsid w:val="00373270"/>
    <w:rsid w:val="00374036"/>
    <w:rsid w:val="0037416D"/>
    <w:rsid w:val="00374588"/>
    <w:rsid w:val="003746F0"/>
    <w:rsid w:val="00377441"/>
    <w:rsid w:val="00380115"/>
    <w:rsid w:val="00380463"/>
    <w:rsid w:val="003808DD"/>
    <w:rsid w:val="00380E8B"/>
    <w:rsid w:val="00381F21"/>
    <w:rsid w:val="003826DA"/>
    <w:rsid w:val="00382700"/>
    <w:rsid w:val="0038329C"/>
    <w:rsid w:val="00385238"/>
    <w:rsid w:val="00385D73"/>
    <w:rsid w:val="00387DEB"/>
    <w:rsid w:val="003909F2"/>
    <w:rsid w:val="00390FD6"/>
    <w:rsid w:val="003929DD"/>
    <w:rsid w:val="0039350B"/>
    <w:rsid w:val="0039494A"/>
    <w:rsid w:val="00394ACE"/>
    <w:rsid w:val="003956EB"/>
    <w:rsid w:val="00396D1A"/>
    <w:rsid w:val="003976DE"/>
    <w:rsid w:val="003A0828"/>
    <w:rsid w:val="003A1AEB"/>
    <w:rsid w:val="003A1E5A"/>
    <w:rsid w:val="003A2E4B"/>
    <w:rsid w:val="003A36F1"/>
    <w:rsid w:val="003A4033"/>
    <w:rsid w:val="003A423E"/>
    <w:rsid w:val="003A4B1E"/>
    <w:rsid w:val="003A6041"/>
    <w:rsid w:val="003A75BD"/>
    <w:rsid w:val="003B0C0D"/>
    <w:rsid w:val="003B0C7A"/>
    <w:rsid w:val="003B0CB8"/>
    <w:rsid w:val="003B2D47"/>
    <w:rsid w:val="003B39BB"/>
    <w:rsid w:val="003B4680"/>
    <w:rsid w:val="003B53C4"/>
    <w:rsid w:val="003B612F"/>
    <w:rsid w:val="003B6204"/>
    <w:rsid w:val="003B684F"/>
    <w:rsid w:val="003B694B"/>
    <w:rsid w:val="003B7099"/>
    <w:rsid w:val="003B715E"/>
    <w:rsid w:val="003B7632"/>
    <w:rsid w:val="003B76DC"/>
    <w:rsid w:val="003B77E9"/>
    <w:rsid w:val="003B7E3E"/>
    <w:rsid w:val="003C02F9"/>
    <w:rsid w:val="003C1194"/>
    <w:rsid w:val="003C1C0B"/>
    <w:rsid w:val="003C2B2B"/>
    <w:rsid w:val="003C2B37"/>
    <w:rsid w:val="003C6C0B"/>
    <w:rsid w:val="003C6DC0"/>
    <w:rsid w:val="003C6E50"/>
    <w:rsid w:val="003C78ED"/>
    <w:rsid w:val="003D082A"/>
    <w:rsid w:val="003D0AC7"/>
    <w:rsid w:val="003D1AB1"/>
    <w:rsid w:val="003D23BC"/>
    <w:rsid w:val="003D29DC"/>
    <w:rsid w:val="003D3452"/>
    <w:rsid w:val="003D36CE"/>
    <w:rsid w:val="003D3762"/>
    <w:rsid w:val="003D3D26"/>
    <w:rsid w:val="003D3E05"/>
    <w:rsid w:val="003D4629"/>
    <w:rsid w:val="003D52D0"/>
    <w:rsid w:val="003D5F5F"/>
    <w:rsid w:val="003D616D"/>
    <w:rsid w:val="003D7C69"/>
    <w:rsid w:val="003E081C"/>
    <w:rsid w:val="003E0B5E"/>
    <w:rsid w:val="003E0ED1"/>
    <w:rsid w:val="003E28EE"/>
    <w:rsid w:val="003E304D"/>
    <w:rsid w:val="003E343D"/>
    <w:rsid w:val="003E350F"/>
    <w:rsid w:val="003E3E61"/>
    <w:rsid w:val="003E5119"/>
    <w:rsid w:val="003E587B"/>
    <w:rsid w:val="003E58E8"/>
    <w:rsid w:val="003E6897"/>
    <w:rsid w:val="003E7216"/>
    <w:rsid w:val="003E7854"/>
    <w:rsid w:val="003F23A8"/>
    <w:rsid w:val="003F28D2"/>
    <w:rsid w:val="003F2C0A"/>
    <w:rsid w:val="003F3043"/>
    <w:rsid w:val="003F4DB6"/>
    <w:rsid w:val="003F5998"/>
    <w:rsid w:val="003F6682"/>
    <w:rsid w:val="003F7FCE"/>
    <w:rsid w:val="00400A7B"/>
    <w:rsid w:val="00401303"/>
    <w:rsid w:val="00402313"/>
    <w:rsid w:val="00402A8B"/>
    <w:rsid w:val="00403023"/>
    <w:rsid w:val="00403126"/>
    <w:rsid w:val="00403499"/>
    <w:rsid w:val="00404126"/>
    <w:rsid w:val="00412892"/>
    <w:rsid w:val="00413246"/>
    <w:rsid w:val="00413BE0"/>
    <w:rsid w:val="00414034"/>
    <w:rsid w:val="0041585D"/>
    <w:rsid w:val="0041613B"/>
    <w:rsid w:val="00420EA5"/>
    <w:rsid w:val="00420FF1"/>
    <w:rsid w:val="00423201"/>
    <w:rsid w:val="004234C0"/>
    <w:rsid w:val="004254AC"/>
    <w:rsid w:val="004265CF"/>
    <w:rsid w:val="004272B1"/>
    <w:rsid w:val="0042752E"/>
    <w:rsid w:val="0042753A"/>
    <w:rsid w:val="00427F4C"/>
    <w:rsid w:val="00430520"/>
    <w:rsid w:val="00431D01"/>
    <w:rsid w:val="00431ED6"/>
    <w:rsid w:val="004325C8"/>
    <w:rsid w:val="004326F1"/>
    <w:rsid w:val="00434076"/>
    <w:rsid w:val="0043499A"/>
    <w:rsid w:val="00434B05"/>
    <w:rsid w:val="00434C87"/>
    <w:rsid w:val="00435D46"/>
    <w:rsid w:val="00436965"/>
    <w:rsid w:val="00436D1A"/>
    <w:rsid w:val="00437B0F"/>
    <w:rsid w:val="00437E24"/>
    <w:rsid w:val="004406E8"/>
    <w:rsid w:val="0044075D"/>
    <w:rsid w:val="00441097"/>
    <w:rsid w:val="00442EB9"/>
    <w:rsid w:val="004441C6"/>
    <w:rsid w:val="0044420F"/>
    <w:rsid w:val="004467E8"/>
    <w:rsid w:val="00446BE3"/>
    <w:rsid w:val="00446E31"/>
    <w:rsid w:val="004478AF"/>
    <w:rsid w:val="004479D6"/>
    <w:rsid w:val="00447D9C"/>
    <w:rsid w:val="004500F7"/>
    <w:rsid w:val="0045111B"/>
    <w:rsid w:val="00451843"/>
    <w:rsid w:val="004524C5"/>
    <w:rsid w:val="00452578"/>
    <w:rsid w:val="00452A87"/>
    <w:rsid w:val="0045367A"/>
    <w:rsid w:val="00453CCD"/>
    <w:rsid w:val="00453D24"/>
    <w:rsid w:val="00453D91"/>
    <w:rsid w:val="00453F1D"/>
    <w:rsid w:val="004545A3"/>
    <w:rsid w:val="00455A27"/>
    <w:rsid w:val="00456D1B"/>
    <w:rsid w:val="00457988"/>
    <w:rsid w:val="00461530"/>
    <w:rsid w:val="0046160A"/>
    <w:rsid w:val="00461A8E"/>
    <w:rsid w:val="004620AA"/>
    <w:rsid w:val="00463B9F"/>
    <w:rsid w:val="0046412E"/>
    <w:rsid w:val="00464F08"/>
    <w:rsid w:val="00464FCD"/>
    <w:rsid w:val="0047165E"/>
    <w:rsid w:val="0047288E"/>
    <w:rsid w:val="00472A43"/>
    <w:rsid w:val="00472F24"/>
    <w:rsid w:val="00473396"/>
    <w:rsid w:val="00474336"/>
    <w:rsid w:val="00475EF7"/>
    <w:rsid w:val="0047626E"/>
    <w:rsid w:val="00476B7C"/>
    <w:rsid w:val="00477659"/>
    <w:rsid w:val="00477A08"/>
    <w:rsid w:val="00480100"/>
    <w:rsid w:val="004802FD"/>
    <w:rsid w:val="004803BD"/>
    <w:rsid w:val="00481E0A"/>
    <w:rsid w:val="00481F16"/>
    <w:rsid w:val="00482596"/>
    <w:rsid w:val="00482CA5"/>
    <w:rsid w:val="00483119"/>
    <w:rsid w:val="00483E2F"/>
    <w:rsid w:val="004844C4"/>
    <w:rsid w:val="00484669"/>
    <w:rsid w:val="00484EB0"/>
    <w:rsid w:val="004854E0"/>
    <w:rsid w:val="00485743"/>
    <w:rsid w:val="00487278"/>
    <w:rsid w:val="004903E0"/>
    <w:rsid w:val="0049103E"/>
    <w:rsid w:val="004919F0"/>
    <w:rsid w:val="00492D96"/>
    <w:rsid w:val="004939AA"/>
    <w:rsid w:val="0049542D"/>
    <w:rsid w:val="00495522"/>
    <w:rsid w:val="004965A5"/>
    <w:rsid w:val="0049720B"/>
    <w:rsid w:val="00497F78"/>
    <w:rsid w:val="004A03E2"/>
    <w:rsid w:val="004A0BAC"/>
    <w:rsid w:val="004A12EE"/>
    <w:rsid w:val="004A214C"/>
    <w:rsid w:val="004A4997"/>
    <w:rsid w:val="004A5CD6"/>
    <w:rsid w:val="004A6056"/>
    <w:rsid w:val="004A6DFB"/>
    <w:rsid w:val="004B04FD"/>
    <w:rsid w:val="004B0E20"/>
    <w:rsid w:val="004B211C"/>
    <w:rsid w:val="004B2D4D"/>
    <w:rsid w:val="004B58B7"/>
    <w:rsid w:val="004B5A84"/>
    <w:rsid w:val="004B5ABD"/>
    <w:rsid w:val="004B641F"/>
    <w:rsid w:val="004B7BDD"/>
    <w:rsid w:val="004C0E5C"/>
    <w:rsid w:val="004C131D"/>
    <w:rsid w:val="004C1635"/>
    <w:rsid w:val="004C1F38"/>
    <w:rsid w:val="004C24EE"/>
    <w:rsid w:val="004C3305"/>
    <w:rsid w:val="004C4A31"/>
    <w:rsid w:val="004C6F68"/>
    <w:rsid w:val="004C75CD"/>
    <w:rsid w:val="004C79F2"/>
    <w:rsid w:val="004D0B75"/>
    <w:rsid w:val="004D178C"/>
    <w:rsid w:val="004D1B29"/>
    <w:rsid w:val="004D1E1C"/>
    <w:rsid w:val="004D2290"/>
    <w:rsid w:val="004D3749"/>
    <w:rsid w:val="004D443C"/>
    <w:rsid w:val="004D5564"/>
    <w:rsid w:val="004D5A94"/>
    <w:rsid w:val="004E09BF"/>
    <w:rsid w:val="004E1EC5"/>
    <w:rsid w:val="004E32B0"/>
    <w:rsid w:val="004E43F4"/>
    <w:rsid w:val="004E6FC6"/>
    <w:rsid w:val="004F04A3"/>
    <w:rsid w:val="004F0A02"/>
    <w:rsid w:val="004F0B9F"/>
    <w:rsid w:val="004F14CB"/>
    <w:rsid w:val="004F1515"/>
    <w:rsid w:val="004F1BE8"/>
    <w:rsid w:val="004F2986"/>
    <w:rsid w:val="004F5472"/>
    <w:rsid w:val="004F69E9"/>
    <w:rsid w:val="004F6CE8"/>
    <w:rsid w:val="004F74A8"/>
    <w:rsid w:val="005013CC"/>
    <w:rsid w:val="00501F2D"/>
    <w:rsid w:val="005029FB"/>
    <w:rsid w:val="005031FB"/>
    <w:rsid w:val="005038ED"/>
    <w:rsid w:val="00503FAF"/>
    <w:rsid w:val="0050429C"/>
    <w:rsid w:val="005061DC"/>
    <w:rsid w:val="00506334"/>
    <w:rsid w:val="00507451"/>
    <w:rsid w:val="00507574"/>
    <w:rsid w:val="005108CE"/>
    <w:rsid w:val="00510987"/>
    <w:rsid w:val="00510F34"/>
    <w:rsid w:val="00511B37"/>
    <w:rsid w:val="0051457D"/>
    <w:rsid w:val="00515C81"/>
    <w:rsid w:val="00516145"/>
    <w:rsid w:val="00521355"/>
    <w:rsid w:val="00521669"/>
    <w:rsid w:val="00522C6A"/>
    <w:rsid w:val="00522D0A"/>
    <w:rsid w:val="00522D97"/>
    <w:rsid w:val="00523F4E"/>
    <w:rsid w:val="00524C68"/>
    <w:rsid w:val="00525141"/>
    <w:rsid w:val="00526159"/>
    <w:rsid w:val="005267AE"/>
    <w:rsid w:val="00526C27"/>
    <w:rsid w:val="00526D1F"/>
    <w:rsid w:val="00527A2F"/>
    <w:rsid w:val="00527A4A"/>
    <w:rsid w:val="00530CBE"/>
    <w:rsid w:val="00531675"/>
    <w:rsid w:val="005326FD"/>
    <w:rsid w:val="00534250"/>
    <w:rsid w:val="00534304"/>
    <w:rsid w:val="005359E3"/>
    <w:rsid w:val="0054000F"/>
    <w:rsid w:val="0054043B"/>
    <w:rsid w:val="00541261"/>
    <w:rsid w:val="0054178D"/>
    <w:rsid w:val="005424A7"/>
    <w:rsid w:val="0054365E"/>
    <w:rsid w:val="00546FF7"/>
    <w:rsid w:val="00547E28"/>
    <w:rsid w:val="00550981"/>
    <w:rsid w:val="00550A30"/>
    <w:rsid w:val="005535FE"/>
    <w:rsid w:val="00554089"/>
    <w:rsid w:val="005549B2"/>
    <w:rsid w:val="00554D37"/>
    <w:rsid w:val="00554FDF"/>
    <w:rsid w:val="0055655F"/>
    <w:rsid w:val="00556D16"/>
    <w:rsid w:val="0055794C"/>
    <w:rsid w:val="00557BB9"/>
    <w:rsid w:val="00557FF7"/>
    <w:rsid w:val="00561DB7"/>
    <w:rsid w:val="00562071"/>
    <w:rsid w:val="00564F94"/>
    <w:rsid w:val="005667AC"/>
    <w:rsid w:val="00566D55"/>
    <w:rsid w:val="0056743D"/>
    <w:rsid w:val="00567CCA"/>
    <w:rsid w:val="00572FF9"/>
    <w:rsid w:val="0057387A"/>
    <w:rsid w:val="00575E83"/>
    <w:rsid w:val="00576223"/>
    <w:rsid w:val="0057686A"/>
    <w:rsid w:val="005804FB"/>
    <w:rsid w:val="00581DB5"/>
    <w:rsid w:val="00581E9A"/>
    <w:rsid w:val="00582FAD"/>
    <w:rsid w:val="0058392D"/>
    <w:rsid w:val="00583B1E"/>
    <w:rsid w:val="00583CBF"/>
    <w:rsid w:val="00584AE6"/>
    <w:rsid w:val="00584D66"/>
    <w:rsid w:val="0058515C"/>
    <w:rsid w:val="0058658A"/>
    <w:rsid w:val="00586625"/>
    <w:rsid w:val="00586F54"/>
    <w:rsid w:val="00587F8E"/>
    <w:rsid w:val="0059047B"/>
    <w:rsid w:val="00590609"/>
    <w:rsid w:val="00590BF5"/>
    <w:rsid w:val="005921D7"/>
    <w:rsid w:val="00592CE2"/>
    <w:rsid w:val="00595714"/>
    <w:rsid w:val="00595891"/>
    <w:rsid w:val="00596326"/>
    <w:rsid w:val="00596A7D"/>
    <w:rsid w:val="005970A1"/>
    <w:rsid w:val="00597320"/>
    <w:rsid w:val="005A0DDF"/>
    <w:rsid w:val="005A1928"/>
    <w:rsid w:val="005A1936"/>
    <w:rsid w:val="005A1AB3"/>
    <w:rsid w:val="005A285E"/>
    <w:rsid w:val="005A2FBD"/>
    <w:rsid w:val="005A461A"/>
    <w:rsid w:val="005A4FCD"/>
    <w:rsid w:val="005A7A16"/>
    <w:rsid w:val="005A7F4B"/>
    <w:rsid w:val="005B0675"/>
    <w:rsid w:val="005B22A6"/>
    <w:rsid w:val="005B253D"/>
    <w:rsid w:val="005B26E0"/>
    <w:rsid w:val="005B2C81"/>
    <w:rsid w:val="005B2F21"/>
    <w:rsid w:val="005B3509"/>
    <w:rsid w:val="005B4AD5"/>
    <w:rsid w:val="005B66BF"/>
    <w:rsid w:val="005B7A3F"/>
    <w:rsid w:val="005C1070"/>
    <w:rsid w:val="005C17EE"/>
    <w:rsid w:val="005C2C5D"/>
    <w:rsid w:val="005C337D"/>
    <w:rsid w:val="005C37E2"/>
    <w:rsid w:val="005C6C8C"/>
    <w:rsid w:val="005D0D1F"/>
    <w:rsid w:val="005D4576"/>
    <w:rsid w:val="005D56D3"/>
    <w:rsid w:val="005D6DBC"/>
    <w:rsid w:val="005D708C"/>
    <w:rsid w:val="005D7391"/>
    <w:rsid w:val="005E0341"/>
    <w:rsid w:val="005E06B2"/>
    <w:rsid w:val="005E3629"/>
    <w:rsid w:val="005E52EC"/>
    <w:rsid w:val="005E5A50"/>
    <w:rsid w:val="005E7AF6"/>
    <w:rsid w:val="005E7BBB"/>
    <w:rsid w:val="005F0C74"/>
    <w:rsid w:val="005F3617"/>
    <w:rsid w:val="005F3B2F"/>
    <w:rsid w:val="005F456C"/>
    <w:rsid w:val="005F4CCF"/>
    <w:rsid w:val="005F5ACB"/>
    <w:rsid w:val="005F5B76"/>
    <w:rsid w:val="005F6FD6"/>
    <w:rsid w:val="005F7B09"/>
    <w:rsid w:val="005F7C24"/>
    <w:rsid w:val="00600001"/>
    <w:rsid w:val="0060008F"/>
    <w:rsid w:val="00601A6A"/>
    <w:rsid w:val="00603440"/>
    <w:rsid w:val="0060382E"/>
    <w:rsid w:val="0060517A"/>
    <w:rsid w:val="00607DDE"/>
    <w:rsid w:val="00607EB2"/>
    <w:rsid w:val="00612055"/>
    <w:rsid w:val="006156F1"/>
    <w:rsid w:val="006160B8"/>
    <w:rsid w:val="00616570"/>
    <w:rsid w:val="006167A4"/>
    <w:rsid w:val="00617F8E"/>
    <w:rsid w:val="0062008F"/>
    <w:rsid w:val="006218FC"/>
    <w:rsid w:val="00622A75"/>
    <w:rsid w:val="00622ACB"/>
    <w:rsid w:val="006234C4"/>
    <w:rsid w:val="0062453E"/>
    <w:rsid w:val="00624551"/>
    <w:rsid w:val="00624616"/>
    <w:rsid w:val="00624FAA"/>
    <w:rsid w:val="00625E8E"/>
    <w:rsid w:val="00626991"/>
    <w:rsid w:val="00626C58"/>
    <w:rsid w:val="00626D10"/>
    <w:rsid w:val="006279CB"/>
    <w:rsid w:val="00627ADC"/>
    <w:rsid w:val="00630208"/>
    <w:rsid w:val="0063060E"/>
    <w:rsid w:val="006322F1"/>
    <w:rsid w:val="00634A66"/>
    <w:rsid w:val="00636A98"/>
    <w:rsid w:val="00637BE8"/>
    <w:rsid w:val="00640EDB"/>
    <w:rsid w:val="00641101"/>
    <w:rsid w:val="00642C63"/>
    <w:rsid w:val="0064348D"/>
    <w:rsid w:val="00644F48"/>
    <w:rsid w:val="00647F6B"/>
    <w:rsid w:val="00652781"/>
    <w:rsid w:val="00652BB5"/>
    <w:rsid w:val="00652C57"/>
    <w:rsid w:val="00652CDD"/>
    <w:rsid w:val="006543CB"/>
    <w:rsid w:val="00655CA4"/>
    <w:rsid w:val="006566A9"/>
    <w:rsid w:val="00656DC6"/>
    <w:rsid w:val="0066103C"/>
    <w:rsid w:val="006610BD"/>
    <w:rsid w:val="006613B9"/>
    <w:rsid w:val="00661663"/>
    <w:rsid w:val="00661C2C"/>
    <w:rsid w:val="00663AEF"/>
    <w:rsid w:val="00664763"/>
    <w:rsid w:val="00665C43"/>
    <w:rsid w:val="006670AF"/>
    <w:rsid w:val="00667380"/>
    <w:rsid w:val="0067129D"/>
    <w:rsid w:val="00671FE3"/>
    <w:rsid w:val="00672488"/>
    <w:rsid w:val="00672F87"/>
    <w:rsid w:val="00673D27"/>
    <w:rsid w:val="00673D9D"/>
    <w:rsid w:val="00673DCE"/>
    <w:rsid w:val="006743C3"/>
    <w:rsid w:val="00674718"/>
    <w:rsid w:val="00675435"/>
    <w:rsid w:val="006766E5"/>
    <w:rsid w:val="00677229"/>
    <w:rsid w:val="0067743A"/>
    <w:rsid w:val="00677CDC"/>
    <w:rsid w:val="00677D38"/>
    <w:rsid w:val="00681D41"/>
    <w:rsid w:val="00682793"/>
    <w:rsid w:val="00683943"/>
    <w:rsid w:val="0068409F"/>
    <w:rsid w:val="006847B1"/>
    <w:rsid w:val="00685BB0"/>
    <w:rsid w:val="00687D24"/>
    <w:rsid w:val="00690B4E"/>
    <w:rsid w:val="00690BE7"/>
    <w:rsid w:val="00690E99"/>
    <w:rsid w:val="00692061"/>
    <w:rsid w:val="006920E1"/>
    <w:rsid w:val="00692E2F"/>
    <w:rsid w:val="00694482"/>
    <w:rsid w:val="006955D3"/>
    <w:rsid w:val="00695F9B"/>
    <w:rsid w:val="006964F3"/>
    <w:rsid w:val="00696625"/>
    <w:rsid w:val="006976FC"/>
    <w:rsid w:val="00697F58"/>
    <w:rsid w:val="006A107C"/>
    <w:rsid w:val="006A1C91"/>
    <w:rsid w:val="006A2106"/>
    <w:rsid w:val="006A2D8F"/>
    <w:rsid w:val="006A2FA9"/>
    <w:rsid w:val="006A3371"/>
    <w:rsid w:val="006A4226"/>
    <w:rsid w:val="006A526B"/>
    <w:rsid w:val="006A567D"/>
    <w:rsid w:val="006A5995"/>
    <w:rsid w:val="006A7C47"/>
    <w:rsid w:val="006A7EBB"/>
    <w:rsid w:val="006B2D4C"/>
    <w:rsid w:val="006B2D89"/>
    <w:rsid w:val="006B3938"/>
    <w:rsid w:val="006B3B20"/>
    <w:rsid w:val="006B5293"/>
    <w:rsid w:val="006B5354"/>
    <w:rsid w:val="006B5855"/>
    <w:rsid w:val="006B730A"/>
    <w:rsid w:val="006C0850"/>
    <w:rsid w:val="006C1186"/>
    <w:rsid w:val="006C2032"/>
    <w:rsid w:val="006C355A"/>
    <w:rsid w:val="006C38A1"/>
    <w:rsid w:val="006C566A"/>
    <w:rsid w:val="006C5716"/>
    <w:rsid w:val="006C64D4"/>
    <w:rsid w:val="006C655D"/>
    <w:rsid w:val="006C65EF"/>
    <w:rsid w:val="006C7087"/>
    <w:rsid w:val="006C7C4D"/>
    <w:rsid w:val="006D0023"/>
    <w:rsid w:val="006D047D"/>
    <w:rsid w:val="006D09AF"/>
    <w:rsid w:val="006D1858"/>
    <w:rsid w:val="006D25A3"/>
    <w:rsid w:val="006D32DC"/>
    <w:rsid w:val="006D400D"/>
    <w:rsid w:val="006D4563"/>
    <w:rsid w:val="006D49F7"/>
    <w:rsid w:val="006D4AD9"/>
    <w:rsid w:val="006D54D2"/>
    <w:rsid w:val="006D7190"/>
    <w:rsid w:val="006D7C8F"/>
    <w:rsid w:val="006E380C"/>
    <w:rsid w:val="006E3E16"/>
    <w:rsid w:val="006E3F84"/>
    <w:rsid w:val="006E5A16"/>
    <w:rsid w:val="006E658C"/>
    <w:rsid w:val="006E6962"/>
    <w:rsid w:val="006E6CA7"/>
    <w:rsid w:val="006E7223"/>
    <w:rsid w:val="006E750A"/>
    <w:rsid w:val="006F1701"/>
    <w:rsid w:val="006F1B9D"/>
    <w:rsid w:val="006F237F"/>
    <w:rsid w:val="006F25E9"/>
    <w:rsid w:val="006F363A"/>
    <w:rsid w:val="006F3830"/>
    <w:rsid w:val="006F4903"/>
    <w:rsid w:val="006F506E"/>
    <w:rsid w:val="006F51C0"/>
    <w:rsid w:val="006F632D"/>
    <w:rsid w:val="006F6415"/>
    <w:rsid w:val="006F6F9E"/>
    <w:rsid w:val="006F7BC1"/>
    <w:rsid w:val="007000B4"/>
    <w:rsid w:val="00702132"/>
    <w:rsid w:val="00702DD3"/>
    <w:rsid w:val="00703A28"/>
    <w:rsid w:val="00704101"/>
    <w:rsid w:val="007044AA"/>
    <w:rsid w:val="007072A3"/>
    <w:rsid w:val="00707AD8"/>
    <w:rsid w:val="00710737"/>
    <w:rsid w:val="00711823"/>
    <w:rsid w:val="00712050"/>
    <w:rsid w:val="007120A1"/>
    <w:rsid w:val="00714924"/>
    <w:rsid w:val="007150B3"/>
    <w:rsid w:val="007158C9"/>
    <w:rsid w:val="00715A14"/>
    <w:rsid w:val="0071650A"/>
    <w:rsid w:val="00717712"/>
    <w:rsid w:val="00717BF5"/>
    <w:rsid w:val="00720043"/>
    <w:rsid w:val="00721D7C"/>
    <w:rsid w:val="00721E1F"/>
    <w:rsid w:val="00722C8A"/>
    <w:rsid w:val="00723051"/>
    <w:rsid w:val="007242A3"/>
    <w:rsid w:val="00725A89"/>
    <w:rsid w:val="00726B5B"/>
    <w:rsid w:val="00727AFE"/>
    <w:rsid w:val="00727C7B"/>
    <w:rsid w:val="007306FB"/>
    <w:rsid w:val="00732BA6"/>
    <w:rsid w:val="00733B7B"/>
    <w:rsid w:val="00737279"/>
    <w:rsid w:val="00737A8E"/>
    <w:rsid w:val="00737B44"/>
    <w:rsid w:val="00737C1C"/>
    <w:rsid w:val="00737D61"/>
    <w:rsid w:val="00741772"/>
    <w:rsid w:val="00742E65"/>
    <w:rsid w:val="00742FDD"/>
    <w:rsid w:val="00744568"/>
    <w:rsid w:val="00744E59"/>
    <w:rsid w:val="007452E5"/>
    <w:rsid w:val="0074553F"/>
    <w:rsid w:val="00745AE0"/>
    <w:rsid w:val="00746976"/>
    <w:rsid w:val="00746F4E"/>
    <w:rsid w:val="00747755"/>
    <w:rsid w:val="00750482"/>
    <w:rsid w:val="00750508"/>
    <w:rsid w:val="007506EA"/>
    <w:rsid w:val="007529CE"/>
    <w:rsid w:val="00752DC7"/>
    <w:rsid w:val="00754188"/>
    <w:rsid w:val="00754253"/>
    <w:rsid w:val="0075616C"/>
    <w:rsid w:val="00757283"/>
    <w:rsid w:val="00757AB8"/>
    <w:rsid w:val="00761786"/>
    <w:rsid w:val="00762A9E"/>
    <w:rsid w:val="0076474E"/>
    <w:rsid w:val="00764ABA"/>
    <w:rsid w:val="007660F1"/>
    <w:rsid w:val="007663A3"/>
    <w:rsid w:val="00766A89"/>
    <w:rsid w:val="00766E71"/>
    <w:rsid w:val="0076729D"/>
    <w:rsid w:val="007672A2"/>
    <w:rsid w:val="00770713"/>
    <w:rsid w:val="00770BDE"/>
    <w:rsid w:val="00770EF9"/>
    <w:rsid w:val="00771735"/>
    <w:rsid w:val="00771A74"/>
    <w:rsid w:val="00771C76"/>
    <w:rsid w:val="00771FB4"/>
    <w:rsid w:val="00772C15"/>
    <w:rsid w:val="00772CB0"/>
    <w:rsid w:val="00773D58"/>
    <w:rsid w:val="00773E86"/>
    <w:rsid w:val="00774065"/>
    <w:rsid w:val="00775263"/>
    <w:rsid w:val="00776023"/>
    <w:rsid w:val="007825A7"/>
    <w:rsid w:val="007834AB"/>
    <w:rsid w:val="00783974"/>
    <w:rsid w:val="007839CD"/>
    <w:rsid w:val="0079066B"/>
    <w:rsid w:val="00791296"/>
    <w:rsid w:val="00792FFB"/>
    <w:rsid w:val="007935FE"/>
    <w:rsid w:val="00794537"/>
    <w:rsid w:val="007956F5"/>
    <w:rsid w:val="00796A88"/>
    <w:rsid w:val="00796F35"/>
    <w:rsid w:val="007A0257"/>
    <w:rsid w:val="007A088C"/>
    <w:rsid w:val="007A2AE7"/>
    <w:rsid w:val="007A2E23"/>
    <w:rsid w:val="007A3063"/>
    <w:rsid w:val="007A50F5"/>
    <w:rsid w:val="007A5A50"/>
    <w:rsid w:val="007A6177"/>
    <w:rsid w:val="007A67CE"/>
    <w:rsid w:val="007A6F87"/>
    <w:rsid w:val="007B019A"/>
    <w:rsid w:val="007B1609"/>
    <w:rsid w:val="007B1958"/>
    <w:rsid w:val="007B23C6"/>
    <w:rsid w:val="007B2BF2"/>
    <w:rsid w:val="007B4459"/>
    <w:rsid w:val="007B52A4"/>
    <w:rsid w:val="007B6C94"/>
    <w:rsid w:val="007B7122"/>
    <w:rsid w:val="007B712F"/>
    <w:rsid w:val="007B7190"/>
    <w:rsid w:val="007C0588"/>
    <w:rsid w:val="007C067B"/>
    <w:rsid w:val="007C0D6E"/>
    <w:rsid w:val="007C104A"/>
    <w:rsid w:val="007C1305"/>
    <w:rsid w:val="007C1915"/>
    <w:rsid w:val="007C2000"/>
    <w:rsid w:val="007C36A5"/>
    <w:rsid w:val="007C605F"/>
    <w:rsid w:val="007C65CD"/>
    <w:rsid w:val="007C67BD"/>
    <w:rsid w:val="007C7224"/>
    <w:rsid w:val="007C76B6"/>
    <w:rsid w:val="007D018F"/>
    <w:rsid w:val="007D1FB5"/>
    <w:rsid w:val="007D36EB"/>
    <w:rsid w:val="007D463A"/>
    <w:rsid w:val="007D464C"/>
    <w:rsid w:val="007D68DD"/>
    <w:rsid w:val="007D7059"/>
    <w:rsid w:val="007D7DEC"/>
    <w:rsid w:val="007E4008"/>
    <w:rsid w:val="007E562D"/>
    <w:rsid w:val="007E7CEA"/>
    <w:rsid w:val="007F1400"/>
    <w:rsid w:val="007F141D"/>
    <w:rsid w:val="007F18C8"/>
    <w:rsid w:val="007F24DA"/>
    <w:rsid w:val="007F257D"/>
    <w:rsid w:val="007F3418"/>
    <w:rsid w:val="007F37BC"/>
    <w:rsid w:val="007F51D1"/>
    <w:rsid w:val="007F57B7"/>
    <w:rsid w:val="007F5D55"/>
    <w:rsid w:val="007F72B9"/>
    <w:rsid w:val="0080125B"/>
    <w:rsid w:val="00801A7D"/>
    <w:rsid w:val="00802B60"/>
    <w:rsid w:val="00802E4B"/>
    <w:rsid w:val="00802E61"/>
    <w:rsid w:val="008037B1"/>
    <w:rsid w:val="0080381E"/>
    <w:rsid w:val="008038EB"/>
    <w:rsid w:val="008041E5"/>
    <w:rsid w:val="0080512B"/>
    <w:rsid w:val="008060F8"/>
    <w:rsid w:val="008062CC"/>
    <w:rsid w:val="00806F2E"/>
    <w:rsid w:val="00806FA3"/>
    <w:rsid w:val="00807F7A"/>
    <w:rsid w:val="00813765"/>
    <w:rsid w:val="00814299"/>
    <w:rsid w:val="0081660E"/>
    <w:rsid w:val="008220B8"/>
    <w:rsid w:val="00822544"/>
    <w:rsid w:val="008230BB"/>
    <w:rsid w:val="00823E45"/>
    <w:rsid w:val="00823FDE"/>
    <w:rsid w:val="00824710"/>
    <w:rsid w:val="00824D2A"/>
    <w:rsid w:val="00826EFB"/>
    <w:rsid w:val="00833D20"/>
    <w:rsid w:val="008359A6"/>
    <w:rsid w:val="00835F62"/>
    <w:rsid w:val="008372B2"/>
    <w:rsid w:val="008373F3"/>
    <w:rsid w:val="0083755E"/>
    <w:rsid w:val="00840858"/>
    <w:rsid w:val="0084112F"/>
    <w:rsid w:val="00841D4D"/>
    <w:rsid w:val="0084326C"/>
    <w:rsid w:val="00843952"/>
    <w:rsid w:val="0084515C"/>
    <w:rsid w:val="008470A4"/>
    <w:rsid w:val="00847730"/>
    <w:rsid w:val="00847BF3"/>
    <w:rsid w:val="008502D0"/>
    <w:rsid w:val="0085035B"/>
    <w:rsid w:val="0085049D"/>
    <w:rsid w:val="00852798"/>
    <w:rsid w:val="0085420F"/>
    <w:rsid w:val="008546B1"/>
    <w:rsid w:val="00854ABC"/>
    <w:rsid w:val="00856187"/>
    <w:rsid w:val="00856838"/>
    <w:rsid w:val="00856FCE"/>
    <w:rsid w:val="00857D49"/>
    <w:rsid w:val="008603F4"/>
    <w:rsid w:val="00862163"/>
    <w:rsid w:val="008628CD"/>
    <w:rsid w:val="00863448"/>
    <w:rsid w:val="008637E9"/>
    <w:rsid w:val="00864074"/>
    <w:rsid w:val="00864152"/>
    <w:rsid w:val="00864B28"/>
    <w:rsid w:val="00864F46"/>
    <w:rsid w:val="00866485"/>
    <w:rsid w:val="00866AAB"/>
    <w:rsid w:val="008670AC"/>
    <w:rsid w:val="0086745B"/>
    <w:rsid w:val="00867674"/>
    <w:rsid w:val="00871E6F"/>
    <w:rsid w:val="00872416"/>
    <w:rsid w:val="0087489A"/>
    <w:rsid w:val="00875649"/>
    <w:rsid w:val="00877142"/>
    <w:rsid w:val="008777E3"/>
    <w:rsid w:val="00877E12"/>
    <w:rsid w:val="0088006D"/>
    <w:rsid w:val="008805B6"/>
    <w:rsid w:val="00880986"/>
    <w:rsid w:val="00880A6D"/>
    <w:rsid w:val="0088170F"/>
    <w:rsid w:val="00881994"/>
    <w:rsid w:val="008821AE"/>
    <w:rsid w:val="008821F6"/>
    <w:rsid w:val="0088227C"/>
    <w:rsid w:val="00883E93"/>
    <w:rsid w:val="00884655"/>
    <w:rsid w:val="00885C49"/>
    <w:rsid w:val="008865EF"/>
    <w:rsid w:val="00887E25"/>
    <w:rsid w:val="0089374C"/>
    <w:rsid w:val="0089414B"/>
    <w:rsid w:val="00894981"/>
    <w:rsid w:val="00894BAE"/>
    <w:rsid w:val="00894BF3"/>
    <w:rsid w:val="00895B1F"/>
    <w:rsid w:val="00896232"/>
    <w:rsid w:val="008971C4"/>
    <w:rsid w:val="00897E67"/>
    <w:rsid w:val="008A06E7"/>
    <w:rsid w:val="008A1127"/>
    <w:rsid w:val="008A12D8"/>
    <w:rsid w:val="008A26D9"/>
    <w:rsid w:val="008A2F83"/>
    <w:rsid w:val="008A3D85"/>
    <w:rsid w:val="008A55FE"/>
    <w:rsid w:val="008A68B5"/>
    <w:rsid w:val="008A6E3D"/>
    <w:rsid w:val="008A76BE"/>
    <w:rsid w:val="008A7715"/>
    <w:rsid w:val="008A7B51"/>
    <w:rsid w:val="008B01B3"/>
    <w:rsid w:val="008B0C9B"/>
    <w:rsid w:val="008B32D7"/>
    <w:rsid w:val="008B482F"/>
    <w:rsid w:val="008B56AF"/>
    <w:rsid w:val="008B5F22"/>
    <w:rsid w:val="008B63C7"/>
    <w:rsid w:val="008B6F11"/>
    <w:rsid w:val="008B6FB0"/>
    <w:rsid w:val="008B7F56"/>
    <w:rsid w:val="008C0CDA"/>
    <w:rsid w:val="008C13EA"/>
    <w:rsid w:val="008C1F81"/>
    <w:rsid w:val="008C23B9"/>
    <w:rsid w:val="008C427E"/>
    <w:rsid w:val="008C49CA"/>
    <w:rsid w:val="008C55F4"/>
    <w:rsid w:val="008C5D13"/>
    <w:rsid w:val="008C6185"/>
    <w:rsid w:val="008C6B07"/>
    <w:rsid w:val="008C6BBD"/>
    <w:rsid w:val="008C6C3C"/>
    <w:rsid w:val="008C6E66"/>
    <w:rsid w:val="008C7092"/>
    <w:rsid w:val="008C7432"/>
    <w:rsid w:val="008D05F3"/>
    <w:rsid w:val="008D3537"/>
    <w:rsid w:val="008D3F7E"/>
    <w:rsid w:val="008D41F7"/>
    <w:rsid w:val="008D59CD"/>
    <w:rsid w:val="008D6427"/>
    <w:rsid w:val="008E1225"/>
    <w:rsid w:val="008E1F58"/>
    <w:rsid w:val="008E250B"/>
    <w:rsid w:val="008E3463"/>
    <w:rsid w:val="008E354A"/>
    <w:rsid w:val="008E3C41"/>
    <w:rsid w:val="008E4F2F"/>
    <w:rsid w:val="008E5145"/>
    <w:rsid w:val="008E57DC"/>
    <w:rsid w:val="008E5D88"/>
    <w:rsid w:val="008E60CE"/>
    <w:rsid w:val="008E625F"/>
    <w:rsid w:val="008E7E55"/>
    <w:rsid w:val="008F27D2"/>
    <w:rsid w:val="008F2E98"/>
    <w:rsid w:val="008F48E0"/>
    <w:rsid w:val="008F4B17"/>
    <w:rsid w:val="008F59B2"/>
    <w:rsid w:val="008F670E"/>
    <w:rsid w:val="00901851"/>
    <w:rsid w:val="009031FD"/>
    <w:rsid w:val="00903691"/>
    <w:rsid w:val="00903D64"/>
    <w:rsid w:val="00903F9C"/>
    <w:rsid w:val="00904803"/>
    <w:rsid w:val="00904A21"/>
    <w:rsid w:val="00905A77"/>
    <w:rsid w:val="00905AC5"/>
    <w:rsid w:val="0090607A"/>
    <w:rsid w:val="00906E73"/>
    <w:rsid w:val="00906EE7"/>
    <w:rsid w:val="00907A63"/>
    <w:rsid w:val="0091234C"/>
    <w:rsid w:val="0091250B"/>
    <w:rsid w:val="009128CE"/>
    <w:rsid w:val="00913D9F"/>
    <w:rsid w:val="00916917"/>
    <w:rsid w:val="009203F5"/>
    <w:rsid w:val="00921D51"/>
    <w:rsid w:val="00921DAA"/>
    <w:rsid w:val="00922D96"/>
    <w:rsid w:val="009231C9"/>
    <w:rsid w:val="00923937"/>
    <w:rsid w:val="00923E14"/>
    <w:rsid w:val="00925B00"/>
    <w:rsid w:val="00925C35"/>
    <w:rsid w:val="00926C7D"/>
    <w:rsid w:val="00926E5B"/>
    <w:rsid w:val="00931431"/>
    <w:rsid w:val="00931E5A"/>
    <w:rsid w:val="009335CE"/>
    <w:rsid w:val="00933C5F"/>
    <w:rsid w:val="00933FC5"/>
    <w:rsid w:val="00934546"/>
    <w:rsid w:val="00935EBA"/>
    <w:rsid w:val="009378C6"/>
    <w:rsid w:val="009418D0"/>
    <w:rsid w:val="0094280A"/>
    <w:rsid w:val="00943418"/>
    <w:rsid w:val="009438FB"/>
    <w:rsid w:val="0094456F"/>
    <w:rsid w:val="00945C8C"/>
    <w:rsid w:val="00945E04"/>
    <w:rsid w:val="00950E6C"/>
    <w:rsid w:val="00952438"/>
    <w:rsid w:val="00953311"/>
    <w:rsid w:val="00953419"/>
    <w:rsid w:val="00953487"/>
    <w:rsid w:val="00954029"/>
    <w:rsid w:val="0095404C"/>
    <w:rsid w:val="0095417D"/>
    <w:rsid w:val="00957348"/>
    <w:rsid w:val="009600E1"/>
    <w:rsid w:val="0096012B"/>
    <w:rsid w:val="00960230"/>
    <w:rsid w:val="00960656"/>
    <w:rsid w:val="009609FA"/>
    <w:rsid w:val="00961A96"/>
    <w:rsid w:val="00961ACC"/>
    <w:rsid w:val="0096215E"/>
    <w:rsid w:val="00965E85"/>
    <w:rsid w:val="00966179"/>
    <w:rsid w:val="00966186"/>
    <w:rsid w:val="00967385"/>
    <w:rsid w:val="009675FF"/>
    <w:rsid w:val="00967E31"/>
    <w:rsid w:val="00970D80"/>
    <w:rsid w:val="00971465"/>
    <w:rsid w:val="0097171A"/>
    <w:rsid w:val="009718D6"/>
    <w:rsid w:val="00973D30"/>
    <w:rsid w:val="009743EE"/>
    <w:rsid w:val="00974DEC"/>
    <w:rsid w:val="00975B24"/>
    <w:rsid w:val="00976339"/>
    <w:rsid w:val="009765C8"/>
    <w:rsid w:val="0097710E"/>
    <w:rsid w:val="00977D36"/>
    <w:rsid w:val="009804A1"/>
    <w:rsid w:val="00980CB8"/>
    <w:rsid w:val="0098270D"/>
    <w:rsid w:val="0098368F"/>
    <w:rsid w:val="00983A51"/>
    <w:rsid w:val="0098460E"/>
    <w:rsid w:val="00984915"/>
    <w:rsid w:val="0098508A"/>
    <w:rsid w:val="009858D3"/>
    <w:rsid w:val="00985B92"/>
    <w:rsid w:val="00986120"/>
    <w:rsid w:val="0098682B"/>
    <w:rsid w:val="009871E4"/>
    <w:rsid w:val="00987525"/>
    <w:rsid w:val="00991C5B"/>
    <w:rsid w:val="00991DE2"/>
    <w:rsid w:val="009925A4"/>
    <w:rsid w:val="00993912"/>
    <w:rsid w:val="0099515B"/>
    <w:rsid w:val="009966A4"/>
    <w:rsid w:val="00996DF6"/>
    <w:rsid w:val="00997AC2"/>
    <w:rsid w:val="009A0616"/>
    <w:rsid w:val="009A0672"/>
    <w:rsid w:val="009A1103"/>
    <w:rsid w:val="009A22C1"/>
    <w:rsid w:val="009A2C29"/>
    <w:rsid w:val="009A3BD2"/>
    <w:rsid w:val="009A4E0D"/>
    <w:rsid w:val="009A5065"/>
    <w:rsid w:val="009A5102"/>
    <w:rsid w:val="009A5602"/>
    <w:rsid w:val="009A5B14"/>
    <w:rsid w:val="009A6A3B"/>
    <w:rsid w:val="009A77AC"/>
    <w:rsid w:val="009B024A"/>
    <w:rsid w:val="009B133C"/>
    <w:rsid w:val="009B13D8"/>
    <w:rsid w:val="009B290E"/>
    <w:rsid w:val="009B3934"/>
    <w:rsid w:val="009B445A"/>
    <w:rsid w:val="009B5569"/>
    <w:rsid w:val="009B6F1E"/>
    <w:rsid w:val="009B7129"/>
    <w:rsid w:val="009B73AE"/>
    <w:rsid w:val="009B798D"/>
    <w:rsid w:val="009C01AC"/>
    <w:rsid w:val="009C034E"/>
    <w:rsid w:val="009C0DAE"/>
    <w:rsid w:val="009C4EFE"/>
    <w:rsid w:val="009C5ECC"/>
    <w:rsid w:val="009C68D2"/>
    <w:rsid w:val="009C773E"/>
    <w:rsid w:val="009D148F"/>
    <w:rsid w:val="009D1C4D"/>
    <w:rsid w:val="009D1E4F"/>
    <w:rsid w:val="009D24E4"/>
    <w:rsid w:val="009D265B"/>
    <w:rsid w:val="009D2EE3"/>
    <w:rsid w:val="009D30F2"/>
    <w:rsid w:val="009D31B2"/>
    <w:rsid w:val="009D4C48"/>
    <w:rsid w:val="009D58FD"/>
    <w:rsid w:val="009E181B"/>
    <w:rsid w:val="009E484B"/>
    <w:rsid w:val="009E5801"/>
    <w:rsid w:val="009E5BA7"/>
    <w:rsid w:val="009E64C7"/>
    <w:rsid w:val="009E70F5"/>
    <w:rsid w:val="009E77F0"/>
    <w:rsid w:val="009F0D12"/>
    <w:rsid w:val="009F1834"/>
    <w:rsid w:val="009F1C4A"/>
    <w:rsid w:val="009F21A2"/>
    <w:rsid w:val="009F2FFA"/>
    <w:rsid w:val="009F4D96"/>
    <w:rsid w:val="009F50D2"/>
    <w:rsid w:val="009F5348"/>
    <w:rsid w:val="009F57C8"/>
    <w:rsid w:val="009F60B2"/>
    <w:rsid w:val="009F7333"/>
    <w:rsid w:val="009F7672"/>
    <w:rsid w:val="009F79F2"/>
    <w:rsid w:val="009F7C42"/>
    <w:rsid w:val="00A0040D"/>
    <w:rsid w:val="00A00880"/>
    <w:rsid w:val="00A015C9"/>
    <w:rsid w:val="00A02B13"/>
    <w:rsid w:val="00A0324C"/>
    <w:rsid w:val="00A04074"/>
    <w:rsid w:val="00A05497"/>
    <w:rsid w:val="00A05C21"/>
    <w:rsid w:val="00A063CE"/>
    <w:rsid w:val="00A07277"/>
    <w:rsid w:val="00A07A26"/>
    <w:rsid w:val="00A10136"/>
    <w:rsid w:val="00A11B47"/>
    <w:rsid w:val="00A1268F"/>
    <w:rsid w:val="00A138D8"/>
    <w:rsid w:val="00A13FD1"/>
    <w:rsid w:val="00A1423A"/>
    <w:rsid w:val="00A14A6D"/>
    <w:rsid w:val="00A14AC1"/>
    <w:rsid w:val="00A14C8D"/>
    <w:rsid w:val="00A15831"/>
    <w:rsid w:val="00A20568"/>
    <w:rsid w:val="00A21993"/>
    <w:rsid w:val="00A25760"/>
    <w:rsid w:val="00A25F9A"/>
    <w:rsid w:val="00A2619F"/>
    <w:rsid w:val="00A30211"/>
    <w:rsid w:val="00A31BBD"/>
    <w:rsid w:val="00A323F8"/>
    <w:rsid w:val="00A3319A"/>
    <w:rsid w:val="00A33BCC"/>
    <w:rsid w:val="00A35234"/>
    <w:rsid w:val="00A3535E"/>
    <w:rsid w:val="00A35A86"/>
    <w:rsid w:val="00A3646C"/>
    <w:rsid w:val="00A3693B"/>
    <w:rsid w:val="00A36D30"/>
    <w:rsid w:val="00A373DF"/>
    <w:rsid w:val="00A376CD"/>
    <w:rsid w:val="00A37CD5"/>
    <w:rsid w:val="00A37D97"/>
    <w:rsid w:val="00A40F9B"/>
    <w:rsid w:val="00A41A52"/>
    <w:rsid w:val="00A41AD2"/>
    <w:rsid w:val="00A4234F"/>
    <w:rsid w:val="00A4251E"/>
    <w:rsid w:val="00A43799"/>
    <w:rsid w:val="00A43DD1"/>
    <w:rsid w:val="00A44F78"/>
    <w:rsid w:val="00A45C89"/>
    <w:rsid w:val="00A45DC1"/>
    <w:rsid w:val="00A46CBF"/>
    <w:rsid w:val="00A47E72"/>
    <w:rsid w:val="00A5050C"/>
    <w:rsid w:val="00A521E7"/>
    <w:rsid w:val="00A525EE"/>
    <w:rsid w:val="00A53033"/>
    <w:rsid w:val="00A534F7"/>
    <w:rsid w:val="00A537DE"/>
    <w:rsid w:val="00A5406F"/>
    <w:rsid w:val="00A54952"/>
    <w:rsid w:val="00A563D3"/>
    <w:rsid w:val="00A5649C"/>
    <w:rsid w:val="00A56663"/>
    <w:rsid w:val="00A5732B"/>
    <w:rsid w:val="00A573A4"/>
    <w:rsid w:val="00A573B0"/>
    <w:rsid w:val="00A60B43"/>
    <w:rsid w:val="00A60C7A"/>
    <w:rsid w:val="00A60F56"/>
    <w:rsid w:val="00A60FC2"/>
    <w:rsid w:val="00A614E5"/>
    <w:rsid w:val="00A61982"/>
    <w:rsid w:val="00A6242A"/>
    <w:rsid w:val="00A67130"/>
    <w:rsid w:val="00A70217"/>
    <w:rsid w:val="00A70506"/>
    <w:rsid w:val="00A70607"/>
    <w:rsid w:val="00A70DB7"/>
    <w:rsid w:val="00A71254"/>
    <w:rsid w:val="00A74C4F"/>
    <w:rsid w:val="00A7596C"/>
    <w:rsid w:val="00A77102"/>
    <w:rsid w:val="00A7754D"/>
    <w:rsid w:val="00A8060A"/>
    <w:rsid w:val="00A81A43"/>
    <w:rsid w:val="00A834D9"/>
    <w:rsid w:val="00A83E93"/>
    <w:rsid w:val="00A84236"/>
    <w:rsid w:val="00A84751"/>
    <w:rsid w:val="00A851BA"/>
    <w:rsid w:val="00A8538F"/>
    <w:rsid w:val="00A8629B"/>
    <w:rsid w:val="00A87632"/>
    <w:rsid w:val="00A9098F"/>
    <w:rsid w:val="00A91442"/>
    <w:rsid w:val="00A91E19"/>
    <w:rsid w:val="00A939D2"/>
    <w:rsid w:val="00A93B10"/>
    <w:rsid w:val="00A93CD2"/>
    <w:rsid w:val="00A9459E"/>
    <w:rsid w:val="00A9465D"/>
    <w:rsid w:val="00A94A56"/>
    <w:rsid w:val="00A95A5B"/>
    <w:rsid w:val="00A966CA"/>
    <w:rsid w:val="00A96D4D"/>
    <w:rsid w:val="00A97DD3"/>
    <w:rsid w:val="00AA0821"/>
    <w:rsid w:val="00AA1128"/>
    <w:rsid w:val="00AA2BB4"/>
    <w:rsid w:val="00AA3289"/>
    <w:rsid w:val="00AA3D36"/>
    <w:rsid w:val="00AA3D9C"/>
    <w:rsid w:val="00AA4067"/>
    <w:rsid w:val="00AA49A9"/>
    <w:rsid w:val="00AA5699"/>
    <w:rsid w:val="00AA599F"/>
    <w:rsid w:val="00AA67CD"/>
    <w:rsid w:val="00AA6DC9"/>
    <w:rsid w:val="00AA7016"/>
    <w:rsid w:val="00AA7C24"/>
    <w:rsid w:val="00AB01EC"/>
    <w:rsid w:val="00AB0F00"/>
    <w:rsid w:val="00AB0F9F"/>
    <w:rsid w:val="00AB1281"/>
    <w:rsid w:val="00AB1428"/>
    <w:rsid w:val="00AB1D89"/>
    <w:rsid w:val="00AB20E2"/>
    <w:rsid w:val="00AB4164"/>
    <w:rsid w:val="00AB57A2"/>
    <w:rsid w:val="00AB7B26"/>
    <w:rsid w:val="00AB7BC6"/>
    <w:rsid w:val="00AC34A7"/>
    <w:rsid w:val="00AC4EA5"/>
    <w:rsid w:val="00AC6404"/>
    <w:rsid w:val="00AC6719"/>
    <w:rsid w:val="00AC714C"/>
    <w:rsid w:val="00AD07CC"/>
    <w:rsid w:val="00AD0DEA"/>
    <w:rsid w:val="00AD11D1"/>
    <w:rsid w:val="00AD17F7"/>
    <w:rsid w:val="00AD3961"/>
    <w:rsid w:val="00AD43B5"/>
    <w:rsid w:val="00AD48D1"/>
    <w:rsid w:val="00AD4BBA"/>
    <w:rsid w:val="00AD6516"/>
    <w:rsid w:val="00AD7003"/>
    <w:rsid w:val="00AD7889"/>
    <w:rsid w:val="00AE039E"/>
    <w:rsid w:val="00AE0BA0"/>
    <w:rsid w:val="00AE1A72"/>
    <w:rsid w:val="00AE2A5A"/>
    <w:rsid w:val="00AE2C2B"/>
    <w:rsid w:val="00AE468B"/>
    <w:rsid w:val="00AE4EBF"/>
    <w:rsid w:val="00AE5A94"/>
    <w:rsid w:val="00AE6587"/>
    <w:rsid w:val="00AE6C8A"/>
    <w:rsid w:val="00AF1E3A"/>
    <w:rsid w:val="00AF2F08"/>
    <w:rsid w:val="00AF4204"/>
    <w:rsid w:val="00AF4E1A"/>
    <w:rsid w:val="00AF5830"/>
    <w:rsid w:val="00AF5960"/>
    <w:rsid w:val="00AF603A"/>
    <w:rsid w:val="00AF6220"/>
    <w:rsid w:val="00AF687F"/>
    <w:rsid w:val="00AF6DFB"/>
    <w:rsid w:val="00AF7C6B"/>
    <w:rsid w:val="00B00849"/>
    <w:rsid w:val="00B009CE"/>
    <w:rsid w:val="00B014FF"/>
    <w:rsid w:val="00B01502"/>
    <w:rsid w:val="00B019FE"/>
    <w:rsid w:val="00B02213"/>
    <w:rsid w:val="00B02397"/>
    <w:rsid w:val="00B05C32"/>
    <w:rsid w:val="00B05C71"/>
    <w:rsid w:val="00B06251"/>
    <w:rsid w:val="00B106CE"/>
    <w:rsid w:val="00B11999"/>
    <w:rsid w:val="00B12400"/>
    <w:rsid w:val="00B13603"/>
    <w:rsid w:val="00B13647"/>
    <w:rsid w:val="00B136A8"/>
    <w:rsid w:val="00B145AA"/>
    <w:rsid w:val="00B16362"/>
    <w:rsid w:val="00B16FF9"/>
    <w:rsid w:val="00B174B7"/>
    <w:rsid w:val="00B2153C"/>
    <w:rsid w:val="00B21999"/>
    <w:rsid w:val="00B21D47"/>
    <w:rsid w:val="00B22763"/>
    <w:rsid w:val="00B24BC0"/>
    <w:rsid w:val="00B2534D"/>
    <w:rsid w:val="00B25526"/>
    <w:rsid w:val="00B25C92"/>
    <w:rsid w:val="00B265BC"/>
    <w:rsid w:val="00B276FB"/>
    <w:rsid w:val="00B3156F"/>
    <w:rsid w:val="00B31B3D"/>
    <w:rsid w:val="00B31F5D"/>
    <w:rsid w:val="00B331FF"/>
    <w:rsid w:val="00B35346"/>
    <w:rsid w:val="00B37090"/>
    <w:rsid w:val="00B40463"/>
    <w:rsid w:val="00B4098B"/>
    <w:rsid w:val="00B40D74"/>
    <w:rsid w:val="00B414EF"/>
    <w:rsid w:val="00B4163D"/>
    <w:rsid w:val="00B41F38"/>
    <w:rsid w:val="00B43515"/>
    <w:rsid w:val="00B4371D"/>
    <w:rsid w:val="00B4587C"/>
    <w:rsid w:val="00B45DBA"/>
    <w:rsid w:val="00B47250"/>
    <w:rsid w:val="00B5092D"/>
    <w:rsid w:val="00B51680"/>
    <w:rsid w:val="00B5462F"/>
    <w:rsid w:val="00B5478D"/>
    <w:rsid w:val="00B553B8"/>
    <w:rsid w:val="00B556AC"/>
    <w:rsid w:val="00B55DDF"/>
    <w:rsid w:val="00B56108"/>
    <w:rsid w:val="00B5738F"/>
    <w:rsid w:val="00B5790C"/>
    <w:rsid w:val="00B57997"/>
    <w:rsid w:val="00B61C5C"/>
    <w:rsid w:val="00B638AD"/>
    <w:rsid w:val="00B639A7"/>
    <w:rsid w:val="00B63AD2"/>
    <w:rsid w:val="00B63C19"/>
    <w:rsid w:val="00B64057"/>
    <w:rsid w:val="00B64269"/>
    <w:rsid w:val="00B64F96"/>
    <w:rsid w:val="00B654C5"/>
    <w:rsid w:val="00B661A9"/>
    <w:rsid w:val="00B66495"/>
    <w:rsid w:val="00B66806"/>
    <w:rsid w:val="00B66C8A"/>
    <w:rsid w:val="00B712C9"/>
    <w:rsid w:val="00B713FA"/>
    <w:rsid w:val="00B71A54"/>
    <w:rsid w:val="00B72545"/>
    <w:rsid w:val="00B729CC"/>
    <w:rsid w:val="00B735F7"/>
    <w:rsid w:val="00B73AD1"/>
    <w:rsid w:val="00B73D18"/>
    <w:rsid w:val="00B74C40"/>
    <w:rsid w:val="00B750A9"/>
    <w:rsid w:val="00B75572"/>
    <w:rsid w:val="00B756E6"/>
    <w:rsid w:val="00B764CD"/>
    <w:rsid w:val="00B76902"/>
    <w:rsid w:val="00B77FB8"/>
    <w:rsid w:val="00B825FF"/>
    <w:rsid w:val="00B826D5"/>
    <w:rsid w:val="00B82743"/>
    <w:rsid w:val="00B85AD4"/>
    <w:rsid w:val="00B8647A"/>
    <w:rsid w:val="00B86D10"/>
    <w:rsid w:val="00B91A0E"/>
    <w:rsid w:val="00B91CCA"/>
    <w:rsid w:val="00B92664"/>
    <w:rsid w:val="00B9289A"/>
    <w:rsid w:val="00B92E4B"/>
    <w:rsid w:val="00B93E33"/>
    <w:rsid w:val="00B94827"/>
    <w:rsid w:val="00B94CBC"/>
    <w:rsid w:val="00B969A7"/>
    <w:rsid w:val="00B97F22"/>
    <w:rsid w:val="00BA01FA"/>
    <w:rsid w:val="00BA0454"/>
    <w:rsid w:val="00BA067F"/>
    <w:rsid w:val="00BA09D2"/>
    <w:rsid w:val="00BA2217"/>
    <w:rsid w:val="00BA29DA"/>
    <w:rsid w:val="00BA2F02"/>
    <w:rsid w:val="00BA4822"/>
    <w:rsid w:val="00BA4948"/>
    <w:rsid w:val="00BA5231"/>
    <w:rsid w:val="00BA55CF"/>
    <w:rsid w:val="00BA598A"/>
    <w:rsid w:val="00BA7342"/>
    <w:rsid w:val="00BA73AE"/>
    <w:rsid w:val="00BA79C5"/>
    <w:rsid w:val="00BB036F"/>
    <w:rsid w:val="00BB044D"/>
    <w:rsid w:val="00BB095E"/>
    <w:rsid w:val="00BB1317"/>
    <w:rsid w:val="00BB196E"/>
    <w:rsid w:val="00BB22D2"/>
    <w:rsid w:val="00BB2397"/>
    <w:rsid w:val="00BB386E"/>
    <w:rsid w:val="00BB3DC1"/>
    <w:rsid w:val="00BB3FCC"/>
    <w:rsid w:val="00BB474A"/>
    <w:rsid w:val="00BB6D8D"/>
    <w:rsid w:val="00BC1CEA"/>
    <w:rsid w:val="00BC4BF7"/>
    <w:rsid w:val="00BC527B"/>
    <w:rsid w:val="00BC5B17"/>
    <w:rsid w:val="00BC66A3"/>
    <w:rsid w:val="00BC7D30"/>
    <w:rsid w:val="00BD00E1"/>
    <w:rsid w:val="00BD0B9D"/>
    <w:rsid w:val="00BD2748"/>
    <w:rsid w:val="00BD2873"/>
    <w:rsid w:val="00BD3922"/>
    <w:rsid w:val="00BD3985"/>
    <w:rsid w:val="00BD3D36"/>
    <w:rsid w:val="00BD58AD"/>
    <w:rsid w:val="00BD5DEE"/>
    <w:rsid w:val="00BD5E59"/>
    <w:rsid w:val="00BD64FB"/>
    <w:rsid w:val="00BD693B"/>
    <w:rsid w:val="00BD6B78"/>
    <w:rsid w:val="00BE12AD"/>
    <w:rsid w:val="00BE2E3E"/>
    <w:rsid w:val="00BE41C2"/>
    <w:rsid w:val="00BE4C5E"/>
    <w:rsid w:val="00BE516C"/>
    <w:rsid w:val="00BE55D4"/>
    <w:rsid w:val="00BE5DE0"/>
    <w:rsid w:val="00BE6A0D"/>
    <w:rsid w:val="00BF12B1"/>
    <w:rsid w:val="00BF13A7"/>
    <w:rsid w:val="00BF1CBB"/>
    <w:rsid w:val="00BF1CBC"/>
    <w:rsid w:val="00BF22C1"/>
    <w:rsid w:val="00BF241A"/>
    <w:rsid w:val="00BF2CA6"/>
    <w:rsid w:val="00BF2F97"/>
    <w:rsid w:val="00BF2FB0"/>
    <w:rsid w:val="00BF330F"/>
    <w:rsid w:val="00BF364D"/>
    <w:rsid w:val="00BF4913"/>
    <w:rsid w:val="00BF4EC9"/>
    <w:rsid w:val="00BF5AF8"/>
    <w:rsid w:val="00BF6D08"/>
    <w:rsid w:val="00C0126B"/>
    <w:rsid w:val="00C013FC"/>
    <w:rsid w:val="00C0470B"/>
    <w:rsid w:val="00C071B1"/>
    <w:rsid w:val="00C0782B"/>
    <w:rsid w:val="00C07CC0"/>
    <w:rsid w:val="00C103C0"/>
    <w:rsid w:val="00C11940"/>
    <w:rsid w:val="00C11DAA"/>
    <w:rsid w:val="00C11FB6"/>
    <w:rsid w:val="00C126BF"/>
    <w:rsid w:val="00C13951"/>
    <w:rsid w:val="00C141DC"/>
    <w:rsid w:val="00C14D85"/>
    <w:rsid w:val="00C15023"/>
    <w:rsid w:val="00C16FD8"/>
    <w:rsid w:val="00C1777F"/>
    <w:rsid w:val="00C17BBD"/>
    <w:rsid w:val="00C2223F"/>
    <w:rsid w:val="00C22D81"/>
    <w:rsid w:val="00C242F3"/>
    <w:rsid w:val="00C244AD"/>
    <w:rsid w:val="00C247AE"/>
    <w:rsid w:val="00C24B49"/>
    <w:rsid w:val="00C25C1F"/>
    <w:rsid w:val="00C27E3A"/>
    <w:rsid w:val="00C307D7"/>
    <w:rsid w:val="00C30FAB"/>
    <w:rsid w:val="00C31F9B"/>
    <w:rsid w:val="00C329FA"/>
    <w:rsid w:val="00C34436"/>
    <w:rsid w:val="00C44540"/>
    <w:rsid w:val="00C5064C"/>
    <w:rsid w:val="00C50FFC"/>
    <w:rsid w:val="00C51F91"/>
    <w:rsid w:val="00C52A87"/>
    <w:rsid w:val="00C52E39"/>
    <w:rsid w:val="00C54405"/>
    <w:rsid w:val="00C54502"/>
    <w:rsid w:val="00C55E12"/>
    <w:rsid w:val="00C57B77"/>
    <w:rsid w:val="00C57FD4"/>
    <w:rsid w:val="00C57FEA"/>
    <w:rsid w:val="00C60CAA"/>
    <w:rsid w:val="00C617D7"/>
    <w:rsid w:val="00C633DD"/>
    <w:rsid w:val="00C6412B"/>
    <w:rsid w:val="00C648C7"/>
    <w:rsid w:val="00C65433"/>
    <w:rsid w:val="00C65BA7"/>
    <w:rsid w:val="00C65BAC"/>
    <w:rsid w:val="00C701A8"/>
    <w:rsid w:val="00C7051E"/>
    <w:rsid w:val="00C7092C"/>
    <w:rsid w:val="00C7196D"/>
    <w:rsid w:val="00C7244F"/>
    <w:rsid w:val="00C73736"/>
    <w:rsid w:val="00C73F40"/>
    <w:rsid w:val="00C74954"/>
    <w:rsid w:val="00C75280"/>
    <w:rsid w:val="00C757AE"/>
    <w:rsid w:val="00C75E61"/>
    <w:rsid w:val="00C7638A"/>
    <w:rsid w:val="00C807E5"/>
    <w:rsid w:val="00C80CD9"/>
    <w:rsid w:val="00C80F17"/>
    <w:rsid w:val="00C8146E"/>
    <w:rsid w:val="00C82646"/>
    <w:rsid w:val="00C83653"/>
    <w:rsid w:val="00C84A4E"/>
    <w:rsid w:val="00C8542B"/>
    <w:rsid w:val="00C8576F"/>
    <w:rsid w:val="00C85A37"/>
    <w:rsid w:val="00C862A7"/>
    <w:rsid w:val="00C86A2D"/>
    <w:rsid w:val="00C86BD4"/>
    <w:rsid w:val="00C86EE7"/>
    <w:rsid w:val="00C90077"/>
    <w:rsid w:val="00C91A9D"/>
    <w:rsid w:val="00C922A7"/>
    <w:rsid w:val="00C93FC9"/>
    <w:rsid w:val="00C942C8"/>
    <w:rsid w:val="00C946B7"/>
    <w:rsid w:val="00C95A7E"/>
    <w:rsid w:val="00C95D04"/>
    <w:rsid w:val="00C95D1C"/>
    <w:rsid w:val="00C96368"/>
    <w:rsid w:val="00C96C19"/>
    <w:rsid w:val="00C97EE4"/>
    <w:rsid w:val="00CA00F4"/>
    <w:rsid w:val="00CA0150"/>
    <w:rsid w:val="00CA121F"/>
    <w:rsid w:val="00CA3A41"/>
    <w:rsid w:val="00CA3F89"/>
    <w:rsid w:val="00CA7502"/>
    <w:rsid w:val="00CA7CCB"/>
    <w:rsid w:val="00CB3221"/>
    <w:rsid w:val="00CB4556"/>
    <w:rsid w:val="00CB522C"/>
    <w:rsid w:val="00CB52DC"/>
    <w:rsid w:val="00CB59EE"/>
    <w:rsid w:val="00CB61A6"/>
    <w:rsid w:val="00CB727C"/>
    <w:rsid w:val="00CB7C53"/>
    <w:rsid w:val="00CB7EDB"/>
    <w:rsid w:val="00CC03AD"/>
    <w:rsid w:val="00CC12BB"/>
    <w:rsid w:val="00CC1756"/>
    <w:rsid w:val="00CC3F3E"/>
    <w:rsid w:val="00CC4464"/>
    <w:rsid w:val="00CC4898"/>
    <w:rsid w:val="00CC4952"/>
    <w:rsid w:val="00CC579E"/>
    <w:rsid w:val="00CC5D3F"/>
    <w:rsid w:val="00CC69FC"/>
    <w:rsid w:val="00CC6EFC"/>
    <w:rsid w:val="00CC7069"/>
    <w:rsid w:val="00CC74E2"/>
    <w:rsid w:val="00CD0678"/>
    <w:rsid w:val="00CD0A55"/>
    <w:rsid w:val="00CD0AAC"/>
    <w:rsid w:val="00CD11BB"/>
    <w:rsid w:val="00CD12BA"/>
    <w:rsid w:val="00CD1B13"/>
    <w:rsid w:val="00CD30DA"/>
    <w:rsid w:val="00CD39BE"/>
    <w:rsid w:val="00CD755B"/>
    <w:rsid w:val="00CD7868"/>
    <w:rsid w:val="00CD7943"/>
    <w:rsid w:val="00CE165F"/>
    <w:rsid w:val="00CE1C4B"/>
    <w:rsid w:val="00CE2EC9"/>
    <w:rsid w:val="00CE2F6E"/>
    <w:rsid w:val="00CE388D"/>
    <w:rsid w:val="00CE3DA3"/>
    <w:rsid w:val="00CE3F49"/>
    <w:rsid w:val="00CE50B7"/>
    <w:rsid w:val="00CE536A"/>
    <w:rsid w:val="00CE53DE"/>
    <w:rsid w:val="00CE56A2"/>
    <w:rsid w:val="00CE71EE"/>
    <w:rsid w:val="00CE7378"/>
    <w:rsid w:val="00CE7DDC"/>
    <w:rsid w:val="00CF18CA"/>
    <w:rsid w:val="00CF1FF8"/>
    <w:rsid w:val="00CF27D4"/>
    <w:rsid w:val="00CF2979"/>
    <w:rsid w:val="00CF2B1E"/>
    <w:rsid w:val="00CF2C01"/>
    <w:rsid w:val="00CF30F5"/>
    <w:rsid w:val="00CF376C"/>
    <w:rsid w:val="00CF43C4"/>
    <w:rsid w:val="00CF4C1D"/>
    <w:rsid w:val="00CF4D4F"/>
    <w:rsid w:val="00CF51B7"/>
    <w:rsid w:val="00CF560C"/>
    <w:rsid w:val="00CF7528"/>
    <w:rsid w:val="00CF7BA2"/>
    <w:rsid w:val="00D018DF"/>
    <w:rsid w:val="00D01C09"/>
    <w:rsid w:val="00D0235D"/>
    <w:rsid w:val="00D0288E"/>
    <w:rsid w:val="00D03C1E"/>
    <w:rsid w:val="00D041E7"/>
    <w:rsid w:val="00D04830"/>
    <w:rsid w:val="00D04FE1"/>
    <w:rsid w:val="00D052F4"/>
    <w:rsid w:val="00D07CC9"/>
    <w:rsid w:val="00D104F5"/>
    <w:rsid w:val="00D105AC"/>
    <w:rsid w:val="00D11C03"/>
    <w:rsid w:val="00D13DC4"/>
    <w:rsid w:val="00D143B6"/>
    <w:rsid w:val="00D144E2"/>
    <w:rsid w:val="00D16457"/>
    <w:rsid w:val="00D17913"/>
    <w:rsid w:val="00D17993"/>
    <w:rsid w:val="00D17A1F"/>
    <w:rsid w:val="00D17D0D"/>
    <w:rsid w:val="00D2026D"/>
    <w:rsid w:val="00D2148F"/>
    <w:rsid w:val="00D238B5"/>
    <w:rsid w:val="00D23C8A"/>
    <w:rsid w:val="00D24013"/>
    <w:rsid w:val="00D257EE"/>
    <w:rsid w:val="00D25B2D"/>
    <w:rsid w:val="00D26E1A"/>
    <w:rsid w:val="00D30879"/>
    <w:rsid w:val="00D30E0D"/>
    <w:rsid w:val="00D34814"/>
    <w:rsid w:val="00D34F57"/>
    <w:rsid w:val="00D34FC9"/>
    <w:rsid w:val="00D35D8A"/>
    <w:rsid w:val="00D37B1B"/>
    <w:rsid w:val="00D41C6E"/>
    <w:rsid w:val="00D428F6"/>
    <w:rsid w:val="00D42FE1"/>
    <w:rsid w:val="00D4411D"/>
    <w:rsid w:val="00D44B1C"/>
    <w:rsid w:val="00D45F63"/>
    <w:rsid w:val="00D501EA"/>
    <w:rsid w:val="00D51015"/>
    <w:rsid w:val="00D51E8B"/>
    <w:rsid w:val="00D5207F"/>
    <w:rsid w:val="00D5279C"/>
    <w:rsid w:val="00D52F1D"/>
    <w:rsid w:val="00D546E9"/>
    <w:rsid w:val="00D55168"/>
    <w:rsid w:val="00D5527A"/>
    <w:rsid w:val="00D56018"/>
    <w:rsid w:val="00D561D3"/>
    <w:rsid w:val="00D56442"/>
    <w:rsid w:val="00D56E50"/>
    <w:rsid w:val="00D60754"/>
    <w:rsid w:val="00D61D36"/>
    <w:rsid w:val="00D6280A"/>
    <w:rsid w:val="00D63E30"/>
    <w:rsid w:val="00D64A59"/>
    <w:rsid w:val="00D65481"/>
    <w:rsid w:val="00D669D1"/>
    <w:rsid w:val="00D67B0E"/>
    <w:rsid w:val="00D70015"/>
    <w:rsid w:val="00D7003F"/>
    <w:rsid w:val="00D713AF"/>
    <w:rsid w:val="00D7181A"/>
    <w:rsid w:val="00D71F8E"/>
    <w:rsid w:val="00D724E1"/>
    <w:rsid w:val="00D7285F"/>
    <w:rsid w:val="00D72CAF"/>
    <w:rsid w:val="00D7339D"/>
    <w:rsid w:val="00D735D6"/>
    <w:rsid w:val="00D74070"/>
    <w:rsid w:val="00D7519F"/>
    <w:rsid w:val="00D75A69"/>
    <w:rsid w:val="00D76621"/>
    <w:rsid w:val="00D767B8"/>
    <w:rsid w:val="00D812F7"/>
    <w:rsid w:val="00D818CC"/>
    <w:rsid w:val="00D81C55"/>
    <w:rsid w:val="00D82772"/>
    <w:rsid w:val="00D82828"/>
    <w:rsid w:val="00D83B89"/>
    <w:rsid w:val="00D86430"/>
    <w:rsid w:val="00D87643"/>
    <w:rsid w:val="00D90676"/>
    <w:rsid w:val="00D91B83"/>
    <w:rsid w:val="00D94DE6"/>
    <w:rsid w:val="00D95DAD"/>
    <w:rsid w:val="00D965BE"/>
    <w:rsid w:val="00D96952"/>
    <w:rsid w:val="00DA2360"/>
    <w:rsid w:val="00DA2D13"/>
    <w:rsid w:val="00DA3455"/>
    <w:rsid w:val="00DA3E35"/>
    <w:rsid w:val="00DA43F6"/>
    <w:rsid w:val="00DA4C48"/>
    <w:rsid w:val="00DA5229"/>
    <w:rsid w:val="00DA61CF"/>
    <w:rsid w:val="00DA7268"/>
    <w:rsid w:val="00DB0779"/>
    <w:rsid w:val="00DB0CE6"/>
    <w:rsid w:val="00DB37AA"/>
    <w:rsid w:val="00DB43FB"/>
    <w:rsid w:val="00DB7EA3"/>
    <w:rsid w:val="00DC017B"/>
    <w:rsid w:val="00DC021C"/>
    <w:rsid w:val="00DC09C0"/>
    <w:rsid w:val="00DC0CFF"/>
    <w:rsid w:val="00DC1077"/>
    <w:rsid w:val="00DC126C"/>
    <w:rsid w:val="00DC20D7"/>
    <w:rsid w:val="00DC2C52"/>
    <w:rsid w:val="00DC3A59"/>
    <w:rsid w:val="00DC4012"/>
    <w:rsid w:val="00DC421C"/>
    <w:rsid w:val="00DC47BB"/>
    <w:rsid w:val="00DC4E0C"/>
    <w:rsid w:val="00DC4EBD"/>
    <w:rsid w:val="00DC682E"/>
    <w:rsid w:val="00DD0ACD"/>
    <w:rsid w:val="00DD0C07"/>
    <w:rsid w:val="00DD1630"/>
    <w:rsid w:val="00DD19C8"/>
    <w:rsid w:val="00DD1D14"/>
    <w:rsid w:val="00DD2CA6"/>
    <w:rsid w:val="00DD3446"/>
    <w:rsid w:val="00DD3AEB"/>
    <w:rsid w:val="00DD5E95"/>
    <w:rsid w:val="00DD6374"/>
    <w:rsid w:val="00DD6415"/>
    <w:rsid w:val="00DD720A"/>
    <w:rsid w:val="00DD7972"/>
    <w:rsid w:val="00DE1379"/>
    <w:rsid w:val="00DE1728"/>
    <w:rsid w:val="00DE2BCD"/>
    <w:rsid w:val="00DE2FEE"/>
    <w:rsid w:val="00DE3E3D"/>
    <w:rsid w:val="00DE43C1"/>
    <w:rsid w:val="00DE541D"/>
    <w:rsid w:val="00DE5421"/>
    <w:rsid w:val="00DE54EE"/>
    <w:rsid w:val="00DE5B0D"/>
    <w:rsid w:val="00DE6C83"/>
    <w:rsid w:val="00DE75F5"/>
    <w:rsid w:val="00DE79FD"/>
    <w:rsid w:val="00DE7A82"/>
    <w:rsid w:val="00DE7B59"/>
    <w:rsid w:val="00DE7E11"/>
    <w:rsid w:val="00DF3038"/>
    <w:rsid w:val="00DF3FDE"/>
    <w:rsid w:val="00DF6C95"/>
    <w:rsid w:val="00DF7C5A"/>
    <w:rsid w:val="00E00389"/>
    <w:rsid w:val="00E008EC"/>
    <w:rsid w:val="00E025ED"/>
    <w:rsid w:val="00E03C5D"/>
    <w:rsid w:val="00E05AC8"/>
    <w:rsid w:val="00E06CFA"/>
    <w:rsid w:val="00E06F59"/>
    <w:rsid w:val="00E0736E"/>
    <w:rsid w:val="00E07E4C"/>
    <w:rsid w:val="00E10B9F"/>
    <w:rsid w:val="00E12234"/>
    <w:rsid w:val="00E124F7"/>
    <w:rsid w:val="00E12E24"/>
    <w:rsid w:val="00E136C6"/>
    <w:rsid w:val="00E13755"/>
    <w:rsid w:val="00E13CE4"/>
    <w:rsid w:val="00E142D6"/>
    <w:rsid w:val="00E151E2"/>
    <w:rsid w:val="00E15C61"/>
    <w:rsid w:val="00E1701F"/>
    <w:rsid w:val="00E200AC"/>
    <w:rsid w:val="00E208C2"/>
    <w:rsid w:val="00E214DE"/>
    <w:rsid w:val="00E21A5E"/>
    <w:rsid w:val="00E22BC7"/>
    <w:rsid w:val="00E22D70"/>
    <w:rsid w:val="00E22EBE"/>
    <w:rsid w:val="00E23FAC"/>
    <w:rsid w:val="00E2519E"/>
    <w:rsid w:val="00E25277"/>
    <w:rsid w:val="00E2644D"/>
    <w:rsid w:val="00E26DEF"/>
    <w:rsid w:val="00E3022B"/>
    <w:rsid w:val="00E30B98"/>
    <w:rsid w:val="00E3100E"/>
    <w:rsid w:val="00E32AAE"/>
    <w:rsid w:val="00E33B53"/>
    <w:rsid w:val="00E3420E"/>
    <w:rsid w:val="00E35936"/>
    <w:rsid w:val="00E35A91"/>
    <w:rsid w:val="00E3627E"/>
    <w:rsid w:val="00E369D6"/>
    <w:rsid w:val="00E36CF6"/>
    <w:rsid w:val="00E36E6C"/>
    <w:rsid w:val="00E37229"/>
    <w:rsid w:val="00E375FF"/>
    <w:rsid w:val="00E376DE"/>
    <w:rsid w:val="00E37E38"/>
    <w:rsid w:val="00E37FA7"/>
    <w:rsid w:val="00E400AD"/>
    <w:rsid w:val="00E41A00"/>
    <w:rsid w:val="00E41B04"/>
    <w:rsid w:val="00E422EB"/>
    <w:rsid w:val="00E42C64"/>
    <w:rsid w:val="00E42E0D"/>
    <w:rsid w:val="00E43F32"/>
    <w:rsid w:val="00E44804"/>
    <w:rsid w:val="00E460C7"/>
    <w:rsid w:val="00E46712"/>
    <w:rsid w:val="00E475BE"/>
    <w:rsid w:val="00E5030A"/>
    <w:rsid w:val="00E51B33"/>
    <w:rsid w:val="00E5253C"/>
    <w:rsid w:val="00E53094"/>
    <w:rsid w:val="00E53390"/>
    <w:rsid w:val="00E53758"/>
    <w:rsid w:val="00E54BB2"/>
    <w:rsid w:val="00E5563A"/>
    <w:rsid w:val="00E55F0F"/>
    <w:rsid w:val="00E5749B"/>
    <w:rsid w:val="00E60298"/>
    <w:rsid w:val="00E603C4"/>
    <w:rsid w:val="00E6099A"/>
    <w:rsid w:val="00E610E8"/>
    <w:rsid w:val="00E62BFF"/>
    <w:rsid w:val="00E62D77"/>
    <w:rsid w:val="00E634E0"/>
    <w:rsid w:val="00E63DC9"/>
    <w:rsid w:val="00E63E7C"/>
    <w:rsid w:val="00E64A1F"/>
    <w:rsid w:val="00E64F5C"/>
    <w:rsid w:val="00E658E2"/>
    <w:rsid w:val="00E66789"/>
    <w:rsid w:val="00E66A5A"/>
    <w:rsid w:val="00E67C16"/>
    <w:rsid w:val="00E67CBD"/>
    <w:rsid w:val="00E67DCF"/>
    <w:rsid w:val="00E70748"/>
    <w:rsid w:val="00E70E66"/>
    <w:rsid w:val="00E71980"/>
    <w:rsid w:val="00E72483"/>
    <w:rsid w:val="00E7384D"/>
    <w:rsid w:val="00E75705"/>
    <w:rsid w:val="00E75AC8"/>
    <w:rsid w:val="00E775A5"/>
    <w:rsid w:val="00E80CCC"/>
    <w:rsid w:val="00E81C6D"/>
    <w:rsid w:val="00E83B20"/>
    <w:rsid w:val="00E84339"/>
    <w:rsid w:val="00E86DEF"/>
    <w:rsid w:val="00E8773D"/>
    <w:rsid w:val="00E87835"/>
    <w:rsid w:val="00E87A8B"/>
    <w:rsid w:val="00E907BD"/>
    <w:rsid w:val="00E91769"/>
    <w:rsid w:val="00E918F7"/>
    <w:rsid w:val="00E923A4"/>
    <w:rsid w:val="00E925AD"/>
    <w:rsid w:val="00E93BBE"/>
    <w:rsid w:val="00E949DE"/>
    <w:rsid w:val="00E95752"/>
    <w:rsid w:val="00E959EA"/>
    <w:rsid w:val="00E97B14"/>
    <w:rsid w:val="00EA0B5E"/>
    <w:rsid w:val="00EA13D2"/>
    <w:rsid w:val="00EA148F"/>
    <w:rsid w:val="00EA1EC4"/>
    <w:rsid w:val="00EA2036"/>
    <w:rsid w:val="00EA2E4C"/>
    <w:rsid w:val="00EA4396"/>
    <w:rsid w:val="00EA4AAB"/>
    <w:rsid w:val="00EA4E7D"/>
    <w:rsid w:val="00EA6F6F"/>
    <w:rsid w:val="00EA73DC"/>
    <w:rsid w:val="00EB071E"/>
    <w:rsid w:val="00EB1377"/>
    <w:rsid w:val="00EB1462"/>
    <w:rsid w:val="00EB14A4"/>
    <w:rsid w:val="00EB266C"/>
    <w:rsid w:val="00EB26A0"/>
    <w:rsid w:val="00EB3394"/>
    <w:rsid w:val="00EB4507"/>
    <w:rsid w:val="00EB4A32"/>
    <w:rsid w:val="00EB4D29"/>
    <w:rsid w:val="00EB4EFC"/>
    <w:rsid w:val="00EB606E"/>
    <w:rsid w:val="00EB6D3A"/>
    <w:rsid w:val="00EB76F7"/>
    <w:rsid w:val="00EC09F4"/>
    <w:rsid w:val="00EC3825"/>
    <w:rsid w:val="00EC47A9"/>
    <w:rsid w:val="00EC5337"/>
    <w:rsid w:val="00EC5BEC"/>
    <w:rsid w:val="00EC5CCE"/>
    <w:rsid w:val="00EC76E9"/>
    <w:rsid w:val="00EC7996"/>
    <w:rsid w:val="00EC7B0E"/>
    <w:rsid w:val="00ED0C67"/>
    <w:rsid w:val="00ED0D78"/>
    <w:rsid w:val="00ED0E07"/>
    <w:rsid w:val="00ED1C62"/>
    <w:rsid w:val="00ED23EB"/>
    <w:rsid w:val="00ED441A"/>
    <w:rsid w:val="00ED575D"/>
    <w:rsid w:val="00ED7A74"/>
    <w:rsid w:val="00ED7BE5"/>
    <w:rsid w:val="00EE02FA"/>
    <w:rsid w:val="00EE03DE"/>
    <w:rsid w:val="00EE155F"/>
    <w:rsid w:val="00EE1C5F"/>
    <w:rsid w:val="00EE1EE7"/>
    <w:rsid w:val="00EE3CAD"/>
    <w:rsid w:val="00EE3D0F"/>
    <w:rsid w:val="00EE4629"/>
    <w:rsid w:val="00EE4AE4"/>
    <w:rsid w:val="00EE5F58"/>
    <w:rsid w:val="00EE60A5"/>
    <w:rsid w:val="00EE616D"/>
    <w:rsid w:val="00EE628C"/>
    <w:rsid w:val="00EE7259"/>
    <w:rsid w:val="00EF030B"/>
    <w:rsid w:val="00EF0B7D"/>
    <w:rsid w:val="00EF184E"/>
    <w:rsid w:val="00EF20BA"/>
    <w:rsid w:val="00EF2BBD"/>
    <w:rsid w:val="00EF3F64"/>
    <w:rsid w:val="00EF4AFF"/>
    <w:rsid w:val="00EF5411"/>
    <w:rsid w:val="00EF562D"/>
    <w:rsid w:val="00EF5F20"/>
    <w:rsid w:val="00EF69BC"/>
    <w:rsid w:val="00EF7541"/>
    <w:rsid w:val="00EF7A93"/>
    <w:rsid w:val="00F00DF4"/>
    <w:rsid w:val="00F01169"/>
    <w:rsid w:val="00F024E9"/>
    <w:rsid w:val="00F0279A"/>
    <w:rsid w:val="00F035C7"/>
    <w:rsid w:val="00F03D2F"/>
    <w:rsid w:val="00F0587C"/>
    <w:rsid w:val="00F07840"/>
    <w:rsid w:val="00F1110B"/>
    <w:rsid w:val="00F1307C"/>
    <w:rsid w:val="00F139C5"/>
    <w:rsid w:val="00F13B32"/>
    <w:rsid w:val="00F13C2C"/>
    <w:rsid w:val="00F16082"/>
    <w:rsid w:val="00F17878"/>
    <w:rsid w:val="00F1796A"/>
    <w:rsid w:val="00F20EEE"/>
    <w:rsid w:val="00F212FF"/>
    <w:rsid w:val="00F21675"/>
    <w:rsid w:val="00F21DA8"/>
    <w:rsid w:val="00F22DD2"/>
    <w:rsid w:val="00F236EC"/>
    <w:rsid w:val="00F23714"/>
    <w:rsid w:val="00F23C08"/>
    <w:rsid w:val="00F2461B"/>
    <w:rsid w:val="00F24FAB"/>
    <w:rsid w:val="00F25BC5"/>
    <w:rsid w:val="00F27FEC"/>
    <w:rsid w:val="00F30C2E"/>
    <w:rsid w:val="00F31120"/>
    <w:rsid w:val="00F3262F"/>
    <w:rsid w:val="00F32E07"/>
    <w:rsid w:val="00F3325C"/>
    <w:rsid w:val="00F337F4"/>
    <w:rsid w:val="00F33BB2"/>
    <w:rsid w:val="00F33E56"/>
    <w:rsid w:val="00F34001"/>
    <w:rsid w:val="00F34761"/>
    <w:rsid w:val="00F347E3"/>
    <w:rsid w:val="00F36700"/>
    <w:rsid w:val="00F36A90"/>
    <w:rsid w:val="00F37EAF"/>
    <w:rsid w:val="00F40E31"/>
    <w:rsid w:val="00F43367"/>
    <w:rsid w:val="00F44D89"/>
    <w:rsid w:val="00F45E12"/>
    <w:rsid w:val="00F460C9"/>
    <w:rsid w:val="00F50186"/>
    <w:rsid w:val="00F5047F"/>
    <w:rsid w:val="00F50EDA"/>
    <w:rsid w:val="00F53133"/>
    <w:rsid w:val="00F54629"/>
    <w:rsid w:val="00F54844"/>
    <w:rsid w:val="00F5535A"/>
    <w:rsid w:val="00F557A1"/>
    <w:rsid w:val="00F561A6"/>
    <w:rsid w:val="00F56255"/>
    <w:rsid w:val="00F57830"/>
    <w:rsid w:val="00F6130F"/>
    <w:rsid w:val="00F616AD"/>
    <w:rsid w:val="00F63B6E"/>
    <w:rsid w:val="00F64844"/>
    <w:rsid w:val="00F64DAA"/>
    <w:rsid w:val="00F6677E"/>
    <w:rsid w:val="00F670DF"/>
    <w:rsid w:val="00F67B4F"/>
    <w:rsid w:val="00F71344"/>
    <w:rsid w:val="00F71394"/>
    <w:rsid w:val="00F72BD4"/>
    <w:rsid w:val="00F738AF"/>
    <w:rsid w:val="00F74682"/>
    <w:rsid w:val="00F74F65"/>
    <w:rsid w:val="00F754BE"/>
    <w:rsid w:val="00F75C84"/>
    <w:rsid w:val="00F75D4A"/>
    <w:rsid w:val="00F76C0E"/>
    <w:rsid w:val="00F77641"/>
    <w:rsid w:val="00F77806"/>
    <w:rsid w:val="00F8061B"/>
    <w:rsid w:val="00F81F37"/>
    <w:rsid w:val="00F82551"/>
    <w:rsid w:val="00F83028"/>
    <w:rsid w:val="00F830E6"/>
    <w:rsid w:val="00F8386A"/>
    <w:rsid w:val="00F8505B"/>
    <w:rsid w:val="00F85570"/>
    <w:rsid w:val="00F85D96"/>
    <w:rsid w:val="00F86A02"/>
    <w:rsid w:val="00F907A5"/>
    <w:rsid w:val="00F91222"/>
    <w:rsid w:val="00F91A0D"/>
    <w:rsid w:val="00F9269E"/>
    <w:rsid w:val="00F94075"/>
    <w:rsid w:val="00F94C24"/>
    <w:rsid w:val="00F94F88"/>
    <w:rsid w:val="00F95949"/>
    <w:rsid w:val="00F95BA5"/>
    <w:rsid w:val="00F965B8"/>
    <w:rsid w:val="00F96C6C"/>
    <w:rsid w:val="00FA00E2"/>
    <w:rsid w:val="00FA0C38"/>
    <w:rsid w:val="00FA18FB"/>
    <w:rsid w:val="00FA1FEC"/>
    <w:rsid w:val="00FA36CA"/>
    <w:rsid w:val="00FA4097"/>
    <w:rsid w:val="00FA4841"/>
    <w:rsid w:val="00FA4891"/>
    <w:rsid w:val="00FA49D6"/>
    <w:rsid w:val="00FA4CAC"/>
    <w:rsid w:val="00FA5292"/>
    <w:rsid w:val="00FA668C"/>
    <w:rsid w:val="00FA730E"/>
    <w:rsid w:val="00FA7F53"/>
    <w:rsid w:val="00FB0488"/>
    <w:rsid w:val="00FB297A"/>
    <w:rsid w:val="00FB2D4D"/>
    <w:rsid w:val="00FB576E"/>
    <w:rsid w:val="00FB57E8"/>
    <w:rsid w:val="00FB62F1"/>
    <w:rsid w:val="00FB6DAB"/>
    <w:rsid w:val="00FB6F58"/>
    <w:rsid w:val="00FB7654"/>
    <w:rsid w:val="00FB7C60"/>
    <w:rsid w:val="00FB7F03"/>
    <w:rsid w:val="00FC0B6D"/>
    <w:rsid w:val="00FC2A3A"/>
    <w:rsid w:val="00FC3E8A"/>
    <w:rsid w:val="00FC4AAA"/>
    <w:rsid w:val="00FC5190"/>
    <w:rsid w:val="00FC5973"/>
    <w:rsid w:val="00FD14A4"/>
    <w:rsid w:val="00FD3485"/>
    <w:rsid w:val="00FD356B"/>
    <w:rsid w:val="00FD4E55"/>
    <w:rsid w:val="00FD523C"/>
    <w:rsid w:val="00FD6CCF"/>
    <w:rsid w:val="00FD70B0"/>
    <w:rsid w:val="00FD7266"/>
    <w:rsid w:val="00FD72A6"/>
    <w:rsid w:val="00FE0581"/>
    <w:rsid w:val="00FE0E49"/>
    <w:rsid w:val="00FE29BE"/>
    <w:rsid w:val="00FE30E1"/>
    <w:rsid w:val="00FE3852"/>
    <w:rsid w:val="00FE3D2B"/>
    <w:rsid w:val="00FE4514"/>
    <w:rsid w:val="00FE6275"/>
    <w:rsid w:val="00FE69A3"/>
    <w:rsid w:val="00FE748F"/>
    <w:rsid w:val="00FE7C0B"/>
    <w:rsid w:val="00FF2A99"/>
    <w:rsid w:val="00FF2D48"/>
    <w:rsid w:val="00FF3615"/>
    <w:rsid w:val="00FF4F3A"/>
    <w:rsid w:val="00FF5C21"/>
    <w:rsid w:val="00FF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1E"/>
    <w:pPr>
      <w:spacing w:after="0" w:line="240" w:lineRule="auto"/>
      <w:ind w:firstLine="720"/>
    </w:pPr>
    <w:rPr>
      <w:rFonts w:eastAsiaTheme="minorEastAsia"/>
    </w:rPr>
  </w:style>
  <w:style w:type="paragraph" w:styleId="Heading1">
    <w:name w:val="heading 1"/>
    <w:basedOn w:val="Normal"/>
    <w:next w:val="Normal"/>
    <w:link w:val="Heading1Char"/>
    <w:autoRedefine/>
    <w:uiPriority w:val="9"/>
    <w:qFormat/>
    <w:rsid w:val="00E75AC8"/>
    <w:pPr>
      <w:keepNext/>
      <w:keepLines/>
      <w:spacing w:before="480"/>
      <w:ind w:firstLine="0"/>
      <w:jc w:val="both"/>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unhideWhenUsed/>
    <w:qFormat/>
    <w:rsid w:val="00CC1756"/>
    <w:pPr>
      <w:keepNext/>
      <w:keepLines/>
      <w:spacing w:before="200" w:after="120"/>
      <w:ind w:firstLine="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AF6220"/>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F31120"/>
    <w:pPr>
      <w:ind w:left="720" w:firstLine="0"/>
    </w:pPr>
    <w:rPr>
      <w:rFonts w:ascii="Calibri" w:hAnsi="Calibri"/>
      <w:iCs/>
      <w:color w:val="000000" w:themeColor="text1"/>
      <w:lang w:bidi="he-IL"/>
    </w:rPr>
  </w:style>
  <w:style w:type="character" w:customStyle="1" w:styleId="QuoteChar">
    <w:name w:val="Quote Char"/>
    <w:basedOn w:val="DefaultParagraphFont"/>
    <w:link w:val="Quote"/>
    <w:uiPriority w:val="29"/>
    <w:rsid w:val="00F31120"/>
    <w:rPr>
      <w:rFonts w:ascii="Calibri" w:eastAsiaTheme="minorEastAsia" w:hAnsi="Calibri"/>
      <w:iCs/>
      <w:color w:val="000000" w:themeColor="text1"/>
      <w:lang w:bidi="he-IL"/>
    </w:rPr>
  </w:style>
  <w:style w:type="paragraph" w:styleId="ListParagraph">
    <w:name w:val="List Paragraph"/>
    <w:aliases w:val="AAList Paragraph,AAList"/>
    <w:basedOn w:val="Normal"/>
    <w:uiPriority w:val="34"/>
    <w:qFormat/>
    <w:rsid w:val="00801A7D"/>
    <w:pPr>
      <w:ind w:left="288" w:hanging="288"/>
    </w:pPr>
    <w:rPr>
      <w:rFonts w:ascii="Calibri" w:eastAsia="Times New Roman" w:hAnsi="Calibri" w:cs="Times New Roman"/>
      <w:szCs w:val="20"/>
    </w:rPr>
  </w:style>
  <w:style w:type="paragraph" w:styleId="NoSpacing">
    <w:name w:val="No Spacing"/>
    <w:uiPriority w:val="1"/>
    <w:qFormat/>
    <w:rsid w:val="006964F3"/>
    <w:pPr>
      <w:spacing w:after="0" w:line="240" w:lineRule="auto"/>
    </w:pPr>
    <w:rPr>
      <w:rFonts w:eastAsiaTheme="minorEastAsia"/>
    </w:rPr>
  </w:style>
  <w:style w:type="character" w:customStyle="1" w:styleId="Heading1Char">
    <w:name w:val="Heading 1 Char"/>
    <w:basedOn w:val="DefaultParagraphFont"/>
    <w:link w:val="Heading1"/>
    <w:uiPriority w:val="9"/>
    <w:rsid w:val="00E75AC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C175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42E0D"/>
    <w:pPr>
      <w:widowControl w:val="0"/>
      <w:pBdr>
        <w:bottom w:val="single" w:sz="8" w:space="4" w:color="4F81BD" w:themeColor="accent1"/>
      </w:pBdr>
      <w:autoSpaceDE w:val="0"/>
      <w:autoSpaceDN w:val="0"/>
      <w:adjustRightInd w:val="0"/>
      <w:spacing w:after="300"/>
      <w:ind w:firstLine="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42E0D"/>
    <w:rPr>
      <w:rFonts w:asciiTheme="majorHAnsi" w:eastAsiaTheme="majorEastAsia" w:hAnsiTheme="majorHAnsi" w:cstheme="majorBidi"/>
      <w:spacing w:val="5"/>
      <w:kern w:val="28"/>
      <w:sz w:val="52"/>
      <w:szCs w:val="52"/>
    </w:rPr>
  </w:style>
  <w:style w:type="character" w:customStyle="1" w:styleId="Heading3Char">
    <w:name w:val="Heading 3 Char"/>
    <w:basedOn w:val="DefaultParagraphFont"/>
    <w:link w:val="Heading3"/>
    <w:uiPriority w:val="9"/>
    <w:rsid w:val="00AF6220"/>
    <w:rPr>
      <w:rFonts w:asciiTheme="majorHAnsi" w:eastAsiaTheme="majorEastAsia" w:hAnsiTheme="majorHAnsi" w:cstheme="majorBidi"/>
      <w:b/>
      <w:bCs/>
    </w:rPr>
  </w:style>
  <w:style w:type="paragraph" w:styleId="PlainText">
    <w:name w:val="Plain Text"/>
    <w:basedOn w:val="Normal"/>
    <w:link w:val="PlainTextChar"/>
    <w:autoRedefine/>
    <w:unhideWhenUsed/>
    <w:qFormat/>
    <w:rsid w:val="001F57DF"/>
    <w:pPr>
      <w:ind w:firstLine="0"/>
    </w:pPr>
    <w:rPr>
      <w:rFonts w:cs="Times New Roman"/>
      <w:szCs w:val="20"/>
      <w:lang w:bidi="he-IL"/>
    </w:rPr>
  </w:style>
  <w:style w:type="character" w:customStyle="1" w:styleId="PlainTextChar">
    <w:name w:val="Plain Text Char"/>
    <w:basedOn w:val="DefaultParagraphFont"/>
    <w:link w:val="PlainText"/>
    <w:rsid w:val="001F57DF"/>
    <w:rPr>
      <w:rFonts w:eastAsiaTheme="minorEastAsia" w:cs="Times New Roman"/>
      <w:szCs w:val="20"/>
      <w:lang w:val="en-GB" w:bidi="he-IL"/>
    </w:rPr>
  </w:style>
  <w:style w:type="paragraph" w:styleId="FootnoteText">
    <w:name w:val="footnote text"/>
    <w:basedOn w:val="Normal"/>
    <w:link w:val="FootnoteTextChar"/>
    <w:uiPriority w:val="99"/>
    <w:unhideWhenUsed/>
    <w:rsid w:val="00482CA5"/>
    <w:rPr>
      <w:sz w:val="20"/>
      <w:szCs w:val="20"/>
    </w:rPr>
  </w:style>
  <w:style w:type="character" w:customStyle="1" w:styleId="FootnoteTextChar">
    <w:name w:val="Footnote Text Char"/>
    <w:basedOn w:val="DefaultParagraphFont"/>
    <w:link w:val="FootnoteText"/>
    <w:uiPriority w:val="99"/>
    <w:rsid w:val="00482CA5"/>
    <w:rPr>
      <w:rFonts w:eastAsiaTheme="minorEastAsia"/>
      <w:sz w:val="20"/>
      <w:szCs w:val="20"/>
    </w:rPr>
  </w:style>
  <w:style w:type="character" w:styleId="FootnoteReference">
    <w:name w:val="footnote reference"/>
    <w:basedOn w:val="DefaultParagraphFont"/>
    <w:uiPriority w:val="99"/>
    <w:semiHidden/>
    <w:unhideWhenUsed/>
    <w:rsid w:val="00482CA5"/>
    <w:rPr>
      <w:vertAlign w:val="superscript"/>
    </w:rPr>
  </w:style>
  <w:style w:type="character" w:customStyle="1" w:styleId="st">
    <w:name w:val="st"/>
    <w:basedOn w:val="DefaultParagraphFont"/>
    <w:rsid w:val="00F71344"/>
  </w:style>
  <w:style w:type="character" w:styleId="Emphasis">
    <w:name w:val="Emphasis"/>
    <w:basedOn w:val="DefaultParagraphFont"/>
    <w:uiPriority w:val="20"/>
    <w:qFormat/>
    <w:rsid w:val="00F71344"/>
    <w:rPr>
      <w:i/>
      <w:iCs/>
    </w:rPr>
  </w:style>
  <w:style w:type="character" w:styleId="CommentReference">
    <w:name w:val="annotation reference"/>
    <w:basedOn w:val="DefaultParagraphFont"/>
    <w:uiPriority w:val="99"/>
    <w:semiHidden/>
    <w:unhideWhenUsed/>
    <w:rsid w:val="00FB6DAB"/>
    <w:rPr>
      <w:sz w:val="16"/>
      <w:szCs w:val="16"/>
    </w:rPr>
  </w:style>
  <w:style w:type="paragraph" w:styleId="CommentText">
    <w:name w:val="annotation text"/>
    <w:basedOn w:val="Normal"/>
    <w:link w:val="CommentTextChar"/>
    <w:uiPriority w:val="99"/>
    <w:semiHidden/>
    <w:unhideWhenUsed/>
    <w:rsid w:val="00FB6DAB"/>
    <w:rPr>
      <w:sz w:val="20"/>
      <w:szCs w:val="20"/>
    </w:rPr>
  </w:style>
  <w:style w:type="character" w:customStyle="1" w:styleId="CommentTextChar">
    <w:name w:val="Comment Text Char"/>
    <w:basedOn w:val="DefaultParagraphFont"/>
    <w:link w:val="CommentText"/>
    <w:uiPriority w:val="99"/>
    <w:semiHidden/>
    <w:rsid w:val="00FB6DA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B6DAB"/>
    <w:rPr>
      <w:b/>
      <w:bCs/>
    </w:rPr>
  </w:style>
  <w:style w:type="character" w:customStyle="1" w:styleId="CommentSubjectChar">
    <w:name w:val="Comment Subject Char"/>
    <w:basedOn w:val="CommentTextChar"/>
    <w:link w:val="CommentSubject"/>
    <w:uiPriority w:val="99"/>
    <w:semiHidden/>
    <w:rsid w:val="00FB6DAB"/>
    <w:rPr>
      <w:rFonts w:eastAsiaTheme="minorEastAsia"/>
      <w:b/>
      <w:bCs/>
      <w:sz w:val="20"/>
      <w:szCs w:val="20"/>
    </w:rPr>
  </w:style>
  <w:style w:type="paragraph" w:styleId="BalloonText">
    <w:name w:val="Balloon Text"/>
    <w:basedOn w:val="Normal"/>
    <w:link w:val="BalloonTextChar"/>
    <w:uiPriority w:val="99"/>
    <w:semiHidden/>
    <w:unhideWhenUsed/>
    <w:rsid w:val="00FB6DAB"/>
    <w:rPr>
      <w:rFonts w:ascii="Tahoma" w:hAnsi="Tahoma" w:cs="Tahoma"/>
      <w:sz w:val="16"/>
      <w:szCs w:val="16"/>
    </w:rPr>
  </w:style>
  <w:style w:type="character" w:customStyle="1" w:styleId="BalloonTextChar">
    <w:name w:val="Balloon Text Char"/>
    <w:basedOn w:val="DefaultParagraphFont"/>
    <w:link w:val="BalloonText"/>
    <w:uiPriority w:val="99"/>
    <w:semiHidden/>
    <w:rsid w:val="00FB6DAB"/>
    <w:rPr>
      <w:rFonts w:ascii="Tahoma" w:eastAsiaTheme="minorEastAsia" w:hAnsi="Tahoma" w:cs="Tahoma"/>
      <w:sz w:val="16"/>
      <w:szCs w:val="16"/>
    </w:rPr>
  </w:style>
  <w:style w:type="paragraph" w:styleId="HTMLPreformatted">
    <w:name w:val="HTML Preformatted"/>
    <w:basedOn w:val="Normal"/>
    <w:link w:val="HTMLPreformattedChar"/>
    <w:uiPriority w:val="99"/>
    <w:semiHidden/>
    <w:unhideWhenUsed/>
    <w:rsid w:val="00764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6474E"/>
    <w:rPr>
      <w:rFonts w:ascii="Courier New" w:eastAsia="Times New Roman" w:hAnsi="Courier New" w:cs="Courier New"/>
      <w:sz w:val="20"/>
      <w:szCs w:val="20"/>
    </w:rPr>
  </w:style>
  <w:style w:type="character" w:customStyle="1" w:styleId="smallcaps">
    <w:name w:val="smallcaps"/>
    <w:basedOn w:val="DefaultParagraphFont"/>
    <w:rsid w:val="00002B66"/>
  </w:style>
  <w:style w:type="character" w:customStyle="1" w:styleId="b">
    <w:name w:val="b"/>
    <w:rsid w:val="00CC03AD"/>
    <w:rPr>
      <w:b/>
      <w:color w:val="FF00FF"/>
      <w:sz w:val="24"/>
      <w:szCs w:val="24"/>
      <w:bdr w:val="none" w:sz="0" w:space="0" w:color="auto"/>
    </w:rPr>
  </w:style>
  <w:style w:type="paragraph" w:customStyle="1" w:styleId="Default">
    <w:name w:val="Default"/>
    <w:rsid w:val="00A74C4F"/>
    <w:pPr>
      <w:autoSpaceDE w:val="0"/>
      <w:autoSpaceDN w:val="0"/>
      <w:adjustRightInd w:val="0"/>
      <w:spacing w:after="0" w:line="240" w:lineRule="auto"/>
    </w:pPr>
    <w:rPr>
      <w:rFonts w:ascii="QVXTS U+ Times" w:hAnsi="QVXTS U+ Times" w:cs="QVXTS U+ Times"/>
      <w:color w:val="000000"/>
      <w:sz w:val="24"/>
      <w:szCs w:val="24"/>
    </w:rPr>
  </w:style>
  <w:style w:type="character" w:customStyle="1" w:styleId="medium-font">
    <w:name w:val="medium-font"/>
    <w:basedOn w:val="DefaultParagraphFont"/>
    <w:rsid w:val="00550A30"/>
  </w:style>
  <w:style w:type="character" w:customStyle="1" w:styleId="s12">
    <w:name w:val="s12"/>
    <w:basedOn w:val="DefaultParagraphFont"/>
    <w:rsid w:val="00402313"/>
  </w:style>
  <w:style w:type="character" w:customStyle="1" w:styleId="i">
    <w:name w:val="i"/>
    <w:rsid w:val="00D82828"/>
    <w:rPr>
      <w:i/>
      <w:color w:val="008000"/>
      <w:szCs w:val="24"/>
      <w:bdr w:val="none" w:sz="0" w:space="0" w:color="auto"/>
    </w:rPr>
  </w:style>
  <w:style w:type="character" w:styleId="Hyperlink">
    <w:name w:val="Hyperlink"/>
    <w:basedOn w:val="DefaultParagraphFont"/>
    <w:uiPriority w:val="99"/>
    <w:unhideWhenUsed/>
    <w:rsid w:val="0083755E"/>
    <w:rPr>
      <w:color w:val="0000FF" w:themeColor="hyperlink"/>
      <w:u w:val="single"/>
    </w:rPr>
  </w:style>
  <w:style w:type="paragraph" w:styleId="NormalWeb">
    <w:name w:val="Normal (Web)"/>
    <w:basedOn w:val="Normal"/>
    <w:uiPriority w:val="99"/>
    <w:semiHidden/>
    <w:unhideWhenUsed/>
    <w:rsid w:val="00EA2036"/>
    <w:pPr>
      <w:spacing w:before="100" w:beforeAutospacing="1" w:after="100" w:afterAutospacing="1"/>
      <w:ind w:firstLine="0"/>
    </w:pPr>
    <w:rPr>
      <w:rFonts w:ascii="Times New Roman" w:eastAsia="Times New Roman" w:hAnsi="Times New Roman" w:cs="Times New Roman"/>
      <w:sz w:val="24"/>
      <w:szCs w:val="24"/>
    </w:rPr>
  </w:style>
  <w:style w:type="character" w:customStyle="1" w:styleId="italic">
    <w:name w:val="italic"/>
    <w:basedOn w:val="DefaultParagraphFont"/>
    <w:rsid w:val="00EA2036"/>
  </w:style>
  <w:style w:type="character" w:customStyle="1" w:styleId="Title1">
    <w:name w:val="Title1"/>
    <w:basedOn w:val="DefaultParagraphFont"/>
    <w:rsid w:val="009F7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1E"/>
    <w:pPr>
      <w:spacing w:after="0" w:line="240" w:lineRule="auto"/>
      <w:ind w:firstLine="720"/>
    </w:pPr>
    <w:rPr>
      <w:rFonts w:eastAsiaTheme="minorEastAsia"/>
    </w:rPr>
  </w:style>
  <w:style w:type="paragraph" w:styleId="Heading1">
    <w:name w:val="heading 1"/>
    <w:basedOn w:val="Normal"/>
    <w:next w:val="Normal"/>
    <w:link w:val="Heading1Char"/>
    <w:autoRedefine/>
    <w:uiPriority w:val="9"/>
    <w:qFormat/>
    <w:rsid w:val="00E75AC8"/>
    <w:pPr>
      <w:keepNext/>
      <w:keepLines/>
      <w:spacing w:before="480"/>
      <w:ind w:firstLine="0"/>
      <w:jc w:val="both"/>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unhideWhenUsed/>
    <w:qFormat/>
    <w:rsid w:val="00CC1756"/>
    <w:pPr>
      <w:keepNext/>
      <w:keepLines/>
      <w:spacing w:before="200" w:after="120"/>
      <w:ind w:firstLine="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AF6220"/>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F31120"/>
    <w:pPr>
      <w:ind w:left="720" w:firstLine="0"/>
    </w:pPr>
    <w:rPr>
      <w:rFonts w:ascii="Calibri" w:hAnsi="Calibri"/>
      <w:iCs/>
      <w:color w:val="000000" w:themeColor="text1"/>
      <w:lang w:bidi="he-IL"/>
    </w:rPr>
  </w:style>
  <w:style w:type="character" w:customStyle="1" w:styleId="QuoteChar">
    <w:name w:val="Quote Char"/>
    <w:basedOn w:val="DefaultParagraphFont"/>
    <w:link w:val="Quote"/>
    <w:uiPriority w:val="29"/>
    <w:rsid w:val="00F31120"/>
    <w:rPr>
      <w:rFonts w:ascii="Calibri" w:eastAsiaTheme="minorEastAsia" w:hAnsi="Calibri"/>
      <w:iCs/>
      <w:color w:val="000000" w:themeColor="text1"/>
      <w:lang w:bidi="he-IL"/>
    </w:rPr>
  </w:style>
  <w:style w:type="paragraph" w:styleId="ListParagraph">
    <w:name w:val="List Paragraph"/>
    <w:aliases w:val="AAList Paragraph,AAList"/>
    <w:basedOn w:val="Normal"/>
    <w:uiPriority w:val="34"/>
    <w:qFormat/>
    <w:rsid w:val="00801A7D"/>
    <w:pPr>
      <w:ind w:left="288" w:hanging="288"/>
    </w:pPr>
    <w:rPr>
      <w:rFonts w:ascii="Calibri" w:eastAsia="Times New Roman" w:hAnsi="Calibri" w:cs="Times New Roman"/>
      <w:szCs w:val="20"/>
    </w:rPr>
  </w:style>
  <w:style w:type="paragraph" w:styleId="NoSpacing">
    <w:name w:val="No Spacing"/>
    <w:uiPriority w:val="1"/>
    <w:qFormat/>
    <w:rsid w:val="006964F3"/>
    <w:pPr>
      <w:spacing w:after="0" w:line="240" w:lineRule="auto"/>
    </w:pPr>
    <w:rPr>
      <w:rFonts w:eastAsiaTheme="minorEastAsia"/>
    </w:rPr>
  </w:style>
  <w:style w:type="character" w:customStyle="1" w:styleId="Heading1Char">
    <w:name w:val="Heading 1 Char"/>
    <w:basedOn w:val="DefaultParagraphFont"/>
    <w:link w:val="Heading1"/>
    <w:uiPriority w:val="9"/>
    <w:rsid w:val="00E75AC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C175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42E0D"/>
    <w:pPr>
      <w:widowControl w:val="0"/>
      <w:pBdr>
        <w:bottom w:val="single" w:sz="8" w:space="4" w:color="4F81BD" w:themeColor="accent1"/>
      </w:pBdr>
      <w:autoSpaceDE w:val="0"/>
      <w:autoSpaceDN w:val="0"/>
      <w:adjustRightInd w:val="0"/>
      <w:spacing w:after="300"/>
      <w:ind w:firstLine="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42E0D"/>
    <w:rPr>
      <w:rFonts w:asciiTheme="majorHAnsi" w:eastAsiaTheme="majorEastAsia" w:hAnsiTheme="majorHAnsi" w:cstheme="majorBidi"/>
      <w:spacing w:val="5"/>
      <w:kern w:val="28"/>
      <w:sz w:val="52"/>
      <w:szCs w:val="52"/>
    </w:rPr>
  </w:style>
  <w:style w:type="character" w:customStyle="1" w:styleId="Heading3Char">
    <w:name w:val="Heading 3 Char"/>
    <w:basedOn w:val="DefaultParagraphFont"/>
    <w:link w:val="Heading3"/>
    <w:uiPriority w:val="9"/>
    <w:rsid w:val="00AF6220"/>
    <w:rPr>
      <w:rFonts w:asciiTheme="majorHAnsi" w:eastAsiaTheme="majorEastAsia" w:hAnsiTheme="majorHAnsi" w:cstheme="majorBidi"/>
      <w:b/>
      <w:bCs/>
    </w:rPr>
  </w:style>
  <w:style w:type="paragraph" w:styleId="PlainText">
    <w:name w:val="Plain Text"/>
    <w:basedOn w:val="Normal"/>
    <w:link w:val="PlainTextChar"/>
    <w:autoRedefine/>
    <w:unhideWhenUsed/>
    <w:qFormat/>
    <w:rsid w:val="001F57DF"/>
    <w:pPr>
      <w:ind w:firstLine="0"/>
    </w:pPr>
    <w:rPr>
      <w:rFonts w:cs="Times New Roman"/>
      <w:szCs w:val="20"/>
      <w:lang w:bidi="he-IL"/>
    </w:rPr>
  </w:style>
  <w:style w:type="character" w:customStyle="1" w:styleId="PlainTextChar">
    <w:name w:val="Plain Text Char"/>
    <w:basedOn w:val="DefaultParagraphFont"/>
    <w:link w:val="PlainText"/>
    <w:rsid w:val="001F57DF"/>
    <w:rPr>
      <w:rFonts w:eastAsiaTheme="minorEastAsia" w:cs="Times New Roman"/>
      <w:szCs w:val="20"/>
      <w:lang w:val="en-GB" w:bidi="he-IL"/>
    </w:rPr>
  </w:style>
  <w:style w:type="paragraph" w:styleId="FootnoteText">
    <w:name w:val="footnote text"/>
    <w:basedOn w:val="Normal"/>
    <w:link w:val="FootnoteTextChar"/>
    <w:uiPriority w:val="99"/>
    <w:unhideWhenUsed/>
    <w:rsid w:val="00482CA5"/>
    <w:rPr>
      <w:sz w:val="20"/>
      <w:szCs w:val="20"/>
    </w:rPr>
  </w:style>
  <w:style w:type="character" w:customStyle="1" w:styleId="FootnoteTextChar">
    <w:name w:val="Footnote Text Char"/>
    <w:basedOn w:val="DefaultParagraphFont"/>
    <w:link w:val="FootnoteText"/>
    <w:uiPriority w:val="99"/>
    <w:rsid w:val="00482CA5"/>
    <w:rPr>
      <w:rFonts w:eastAsiaTheme="minorEastAsia"/>
      <w:sz w:val="20"/>
      <w:szCs w:val="20"/>
    </w:rPr>
  </w:style>
  <w:style w:type="character" w:styleId="FootnoteReference">
    <w:name w:val="footnote reference"/>
    <w:basedOn w:val="DefaultParagraphFont"/>
    <w:uiPriority w:val="99"/>
    <w:semiHidden/>
    <w:unhideWhenUsed/>
    <w:rsid w:val="00482CA5"/>
    <w:rPr>
      <w:vertAlign w:val="superscript"/>
    </w:rPr>
  </w:style>
  <w:style w:type="character" w:customStyle="1" w:styleId="st">
    <w:name w:val="st"/>
    <w:basedOn w:val="DefaultParagraphFont"/>
    <w:rsid w:val="00F71344"/>
  </w:style>
  <w:style w:type="character" w:styleId="Emphasis">
    <w:name w:val="Emphasis"/>
    <w:basedOn w:val="DefaultParagraphFont"/>
    <w:uiPriority w:val="20"/>
    <w:qFormat/>
    <w:rsid w:val="00F71344"/>
    <w:rPr>
      <w:i/>
      <w:iCs/>
    </w:rPr>
  </w:style>
  <w:style w:type="character" w:styleId="CommentReference">
    <w:name w:val="annotation reference"/>
    <w:basedOn w:val="DefaultParagraphFont"/>
    <w:uiPriority w:val="99"/>
    <w:semiHidden/>
    <w:unhideWhenUsed/>
    <w:rsid w:val="00FB6DAB"/>
    <w:rPr>
      <w:sz w:val="16"/>
      <w:szCs w:val="16"/>
    </w:rPr>
  </w:style>
  <w:style w:type="paragraph" w:styleId="CommentText">
    <w:name w:val="annotation text"/>
    <w:basedOn w:val="Normal"/>
    <w:link w:val="CommentTextChar"/>
    <w:uiPriority w:val="99"/>
    <w:semiHidden/>
    <w:unhideWhenUsed/>
    <w:rsid w:val="00FB6DAB"/>
    <w:rPr>
      <w:sz w:val="20"/>
      <w:szCs w:val="20"/>
    </w:rPr>
  </w:style>
  <w:style w:type="character" w:customStyle="1" w:styleId="CommentTextChar">
    <w:name w:val="Comment Text Char"/>
    <w:basedOn w:val="DefaultParagraphFont"/>
    <w:link w:val="CommentText"/>
    <w:uiPriority w:val="99"/>
    <w:semiHidden/>
    <w:rsid w:val="00FB6DA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B6DAB"/>
    <w:rPr>
      <w:b/>
      <w:bCs/>
    </w:rPr>
  </w:style>
  <w:style w:type="character" w:customStyle="1" w:styleId="CommentSubjectChar">
    <w:name w:val="Comment Subject Char"/>
    <w:basedOn w:val="CommentTextChar"/>
    <w:link w:val="CommentSubject"/>
    <w:uiPriority w:val="99"/>
    <w:semiHidden/>
    <w:rsid w:val="00FB6DAB"/>
    <w:rPr>
      <w:rFonts w:eastAsiaTheme="minorEastAsia"/>
      <w:b/>
      <w:bCs/>
      <w:sz w:val="20"/>
      <w:szCs w:val="20"/>
    </w:rPr>
  </w:style>
  <w:style w:type="paragraph" w:styleId="BalloonText">
    <w:name w:val="Balloon Text"/>
    <w:basedOn w:val="Normal"/>
    <w:link w:val="BalloonTextChar"/>
    <w:uiPriority w:val="99"/>
    <w:semiHidden/>
    <w:unhideWhenUsed/>
    <w:rsid w:val="00FB6DAB"/>
    <w:rPr>
      <w:rFonts w:ascii="Tahoma" w:hAnsi="Tahoma" w:cs="Tahoma"/>
      <w:sz w:val="16"/>
      <w:szCs w:val="16"/>
    </w:rPr>
  </w:style>
  <w:style w:type="character" w:customStyle="1" w:styleId="BalloonTextChar">
    <w:name w:val="Balloon Text Char"/>
    <w:basedOn w:val="DefaultParagraphFont"/>
    <w:link w:val="BalloonText"/>
    <w:uiPriority w:val="99"/>
    <w:semiHidden/>
    <w:rsid w:val="00FB6DAB"/>
    <w:rPr>
      <w:rFonts w:ascii="Tahoma" w:eastAsiaTheme="minorEastAsia" w:hAnsi="Tahoma" w:cs="Tahoma"/>
      <w:sz w:val="16"/>
      <w:szCs w:val="16"/>
    </w:rPr>
  </w:style>
  <w:style w:type="paragraph" w:styleId="HTMLPreformatted">
    <w:name w:val="HTML Preformatted"/>
    <w:basedOn w:val="Normal"/>
    <w:link w:val="HTMLPreformattedChar"/>
    <w:uiPriority w:val="99"/>
    <w:semiHidden/>
    <w:unhideWhenUsed/>
    <w:rsid w:val="00764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6474E"/>
    <w:rPr>
      <w:rFonts w:ascii="Courier New" w:eastAsia="Times New Roman" w:hAnsi="Courier New" w:cs="Courier New"/>
      <w:sz w:val="20"/>
      <w:szCs w:val="20"/>
    </w:rPr>
  </w:style>
  <w:style w:type="character" w:customStyle="1" w:styleId="smallcaps">
    <w:name w:val="smallcaps"/>
    <w:basedOn w:val="DefaultParagraphFont"/>
    <w:rsid w:val="00002B66"/>
  </w:style>
  <w:style w:type="character" w:customStyle="1" w:styleId="b">
    <w:name w:val="b"/>
    <w:rsid w:val="00CC03AD"/>
    <w:rPr>
      <w:b/>
      <w:color w:val="FF00FF"/>
      <w:sz w:val="24"/>
      <w:szCs w:val="24"/>
      <w:bdr w:val="none" w:sz="0" w:space="0" w:color="auto"/>
    </w:rPr>
  </w:style>
  <w:style w:type="paragraph" w:customStyle="1" w:styleId="Default">
    <w:name w:val="Default"/>
    <w:rsid w:val="00A74C4F"/>
    <w:pPr>
      <w:autoSpaceDE w:val="0"/>
      <w:autoSpaceDN w:val="0"/>
      <w:adjustRightInd w:val="0"/>
      <w:spacing w:after="0" w:line="240" w:lineRule="auto"/>
    </w:pPr>
    <w:rPr>
      <w:rFonts w:ascii="QVXTS U+ Times" w:hAnsi="QVXTS U+ Times" w:cs="QVXTS U+ Times"/>
      <w:color w:val="000000"/>
      <w:sz w:val="24"/>
      <w:szCs w:val="24"/>
    </w:rPr>
  </w:style>
  <w:style w:type="character" w:customStyle="1" w:styleId="medium-font">
    <w:name w:val="medium-font"/>
    <w:basedOn w:val="DefaultParagraphFont"/>
    <w:rsid w:val="00550A30"/>
  </w:style>
  <w:style w:type="character" w:customStyle="1" w:styleId="s12">
    <w:name w:val="s12"/>
    <w:basedOn w:val="DefaultParagraphFont"/>
    <w:rsid w:val="00402313"/>
  </w:style>
  <w:style w:type="character" w:customStyle="1" w:styleId="i">
    <w:name w:val="i"/>
    <w:rsid w:val="00D82828"/>
    <w:rPr>
      <w:i/>
      <w:color w:val="008000"/>
      <w:szCs w:val="24"/>
      <w:bdr w:val="none" w:sz="0" w:space="0" w:color="auto"/>
    </w:rPr>
  </w:style>
  <w:style w:type="character" w:styleId="Hyperlink">
    <w:name w:val="Hyperlink"/>
    <w:basedOn w:val="DefaultParagraphFont"/>
    <w:uiPriority w:val="99"/>
    <w:unhideWhenUsed/>
    <w:rsid w:val="0083755E"/>
    <w:rPr>
      <w:color w:val="0000FF" w:themeColor="hyperlink"/>
      <w:u w:val="single"/>
    </w:rPr>
  </w:style>
  <w:style w:type="paragraph" w:styleId="NormalWeb">
    <w:name w:val="Normal (Web)"/>
    <w:basedOn w:val="Normal"/>
    <w:uiPriority w:val="99"/>
    <w:semiHidden/>
    <w:unhideWhenUsed/>
    <w:rsid w:val="00EA2036"/>
    <w:pPr>
      <w:spacing w:before="100" w:beforeAutospacing="1" w:after="100" w:afterAutospacing="1"/>
      <w:ind w:firstLine="0"/>
    </w:pPr>
    <w:rPr>
      <w:rFonts w:ascii="Times New Roman" w:eastAsia="Times New Roman" w:hAnsi="Times New Roman" w:cs="Times New Roman"/>
      <w:sz w:val="24"/>
      <w:szCs w:val="24"/>
    </w:rPr>
  </w:style>
  <w:style w:type="character" w:customStyle="1" w:styleId="italic">
    <w:name w:val="italic"/>
    <w:basedOn w:val="DefaultParagraphFont"/>
    <w:rsid w:val="00EA2036"/>
  </w:style>
  <w:style w:type="character" w:customStyle="1" w:styleId="Title1">
    <w:name w:val="Title1"/>
    <w:basedOn w:val="DefaultParagraphFont"/>
    <w:rsid w:val="009F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0388">
      <w:bodyDiv w:val="1"/>
      <w:marLeft w:val="0"/>
      <w:marRight w:val="0"/>
      <w:marTop w:val="0"/>
      <w:marBottom w:val="0"/>
      <w:divBdr>
        <w:top w:val="none" w:sz="0" w:space="0" w:color="auto"/>
        <w:left w:val="none" w:sz="0" w:space="0" w:color="auto"/>
        <w:bottom w:val="none" w:sz="0" w:space="0" w:color="auto"/>
        <w:right w:val="none" w:sz="0" w:space="0" w:color="auto"/>
      </w:divBdr>
      <w:divsChild>
        <w:div w:id="2103987576">
          <w:marLeft w:val="0"/>
          <w:marRight w:val="0"/>
          <w:marTop w:val="0"/>
          <w:marBottom w:val="0"/>
          <w:divBdr>
            <w:top w:val="none" w:sz="0" w:space="0" w:color="auto"/>
            <w:left w:val="none" w:sz="0" w:space="0" w:color="auto"/>
            <w:bottom w:val="none" w:sz="0" w:space="0" w:color="auto"/>
            <w:right w:val="none" w:sz="0" w:space="0" w:color="auto"/>
          </w:divBdr>
        </w:div>
      </w:divsChild>
    </w:div>
    <w:div w:id="105807170">
      <w:bodyDiv w:val="1"/>
      <w:marLeft w:val="0"/>
      <w:marRight w:val="0"/>
      <w:marTop w:val="0"/>
      <w:marBottom w:val="0"/>
      <w:divBdr>
        <w:top w:val="none" w:sz="0" w:space="0" w:color="auto"/>
        <w:left w:val="none" w:sz="0" w:space="0" w:color="auto"/>
        <w:bottom w:val="none" w:sz="0" w:space="0" w:color="auto"/>
        <w:right w:val="none" w:sz="0" w:space="0" w:color="auto"/>
      </w:divBdr>
      <w:divsChild>
        <w:div w:id="367725092">
          <w:marLeft w:val="0"/>
          <w:marRight w:val="0"/>
          <w:marTop w:val="0"/>
          <w:marBottom w:val="0"/>
          <w:divBdr>
            <w:top w:val="none" w:sz="0" w:space="0" w:color="auto"/>
            <w:left w:val="none" w:sz="0" w:space="0" w:color="auto"/>
            <w:bottom w:val="none" w:sz="0" w:space="0" w:color="auto"/>
            <w:right w:val="none" w:sz="0" w:space="0" w:color="auto"/>
          </w:divBdr>
        </w:div>
      </w:divsChild>
    </w:div>
    <w:div w:id="148519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6178">
          <w:marLeft w:val="0"/>
          <w:marRight w:val="0"/>
          <w:marTop w:val="0"/>
          <w:marBottom w:val="0"/>
          <w:divBdr>
            <w:top w:val="none" w:sz="0" w:space="0" w:color="auto"/>
            <w:left w:val="none" w:sz="0" w:space="0" w:color="auto"/>
            <w:bottom w:val="none" w:sz="0" w:space="0" w:color="auto"/>
            <w:right w:val="none" w:sz="0" w:space="0" w:color="auto"/>
          </w:divBdr>
        </w:div>
      </w:divsChild>
    </w:div>
    <w:div w:id="391122334">
      <w:bodyDiv w:val="1"/>
      <w:marLeft w:val="0"/>
      <w:marRight w:val="0"/>
      <w:marTop w:val="0"/>
      <w:marBottom w:val="0"/>
      <w:divBdr>
        <w:top w:val="none" w:sz="0" w:space="0" w:color="auto"/>
        <w:left w:val="none" w:sz="0" w:space="0" w:color="auto"/>
        <w:bottom w:val="none" w:sz="0" w:space="0" w:color="auto"/>
        <w:right w:val="none" w:sz="0" w:space="0" w:color="auto"/>
      </w:divBdr>
      <w:divsChild>
        <w:div w:id="1684934698">
          <w:marLeft w:val="0"/>
          <w:marRight w:val="0"/>
          <w:marTop w:val="0"/>
          <w:marBottom w:val="0"/>
          <w:divBdr>
            <w:top w:val="none" w:sz="0" w:space="0" w:color="auto"/>
            <w:left w:val="none" w:sz="0" w:space="0" w:color="auto"/>
            <w:bottom w:val="none" w:sz="0" w:space="0" w:color="auto"/>
            <w:right w:val="none" w:sz="0" w:space="0" w:color="auto"/>
          </w:divBdr>
        </w:div>
      </w:divsChild>
    </w:div>
    <w:div w:id="526868469">
      <w:bodyDiv w:val="1"/>
      <w:marLeft w:val="0"/>
      <w:marRight w:val="0"/>
      <w:marTop w:val="0"/>
      <w:marBottom w:val="0"/>
      <w:divBdr>
        <w:top w:val="none" w:sz="0" w:space="0" w:color="auto"/>
        <w:left w:val="none" w:sz="0" w:space="0" w:color="auto"/>
        <w:bottom w:val="none" w:sz="0" w:space="0" w:color="auto"/>
        <w:right w:val="none" w:sz="0" w:space="0" w:color="auto"/>
      </w:divBdr>
      <w:divsChild>
        <w:div w:id="297494496">
          <w:marLeft w:val="0"/>
          <w:marRight w:val="0"/>
          <w:marTop w:val="0"/>
          <w:marBottom w:val="0"/>
          <w:divBdr>
            <w:top w:val="none" w:sz="0" w:space="0" w:color="auto"/>
            <w:left w:val="none" w:sz="0" w:space="0" w:color="auto"/>
            <w:bottom w:val="none" w:sz="0" w:space="0" w:color="auto"/>
            <w:right w:val="none" w:sz="0" w:space="0" w:color="auto"/>
          </w:divBdr>
        </w:div>
      </w:divsChild>
    </w:div>
    <w:div w:id="619609809">
      <w:bodyDiv w:val="1"/>
      <w:marLeft w:val="0"/>
      <w:marRight w:val="0"/>
      <w:marTop w:val="0"/>
      <w:marBottom w:val="0"/>
      <w:divBdr>
        <w:top w:val="none" w:sz="0" w:space="0" w:color="auto"/>
        <w:left w:val="none" w:sz="0" w:space="0" w:color="auto"/>
        <w:bottom w:val="none" w:sz="0" w:space="0" w:color="auto"/>
        <w:right w:val="none" w:sz="0" w:space="0" w:color="auto"/>
      </w:divBdr>
      <w:divsChild>
        <w:div w:id="206726252">
          <w:marLeft w:val="0"/>
          <w:marRight w:val="0"/>
          <w:marTop w:val="0"/>
          <w:marBottom w:val="0"/>
          <w:divBdr>
            <w:top w:val="none" w:sz="0" w:space="0" w:color="auto"/>
            <w:left w:val="none" w:sz="0" w:space="0" w:color="auto"/>
            <w:bottom w:val="none" w:sz="0" w:space="0" w:color="auto"/>
            <w:right w:val="none" w:sz="0" w:space="0" w:color="auto"/>
          </w:divBdr>
        </w:div>
      </w:divsChild>
    </w:div>
    <w:div w:id="943148871">
      <w:bodyDiv w:val="1"/>
      <w:marLeft w:val="0"/>
      <w:marRight w:val="0"/>
      <w:marTop w:val="0"/>
      <w:marBottom w:val="0"/>
      <w:divBdr>
        <w:top w:val="none" w:sz="0" w:space="0" w:color="auto"/>
        <w:left w:val="none" w:sz="0" w:space="0" w:color="auto"/>
        <w:bottom w:val="none" w:sz="0" w:space="0" w:color="auto"/>
        <w:right w:val="none" w:sz="0" w:space="0" w:color="auto"/>
      </w:divBdr>
    </w:div>
    <w:div w:id="1120758267">
      <w:bodyDiv w:val="1"/>
      <w:marLeft w:val="0"/>
      <w:marRight w:val="0"/>
      <w:marTop w:val="0"/>
      <w:marBottom w:val="0"/>
      <w:divBdr>
        <w:top w:val="none" w:sz="0" w:space="0" w:color="auto"/>
        <w:left w:val="none" w:sz="0" w:space="0" w:color="auto"/>
        <w:bottom w:val="none" w:sz="0" w:space="0" w:color="auto"/>
        <w:right w:val="none" w:sz="0" w:space="0" w:color="auto"/>
      </w:divBdr>
      <w:divsChild>
        <w:div w:id="903175960">
          <w:marLeft w:val="0"/>
          <w:marRight w:val="0"/>
          <w:marTop w:val="0"/>
          <w:marBottom w:val="0"/>
          <w:divBdr>
            <w:top w:val="none" w:sz="0" w:space="0" w:color="auto"/>
            <w:left w:val="none" w:sz="0" w:space="0" w:color="auto"/>
            <w:bottom w:val="none" w:sz="0" w:space="0" w:color="auto"/>
            <w:right w:val="none" w:sz="0" w:space="0" w:color="auto"/>
          </w:divBdr>
        </w:div>
      </w:divsChild>
    </w:div>
    <w:div w:id="1153715613">
      <w:bodyDiv w:val="1"/>
      <w:marLeft w:val="0"/>
      <w:marRight w:val="0"/>
      <w:marTop w:val="0"/>
      <w:marBottom w:val="0"/>
      <w:divBdr>
        <w:top w:val="none" w:sz="0" w:space="0" w:color="auto"/>
        <w:left w:val="none" w:sz="0" w:space="0" w:color="auto"/>
        <w:bottom w:val="none" w:sz="0" w:space="0" w:color="auto"/>
        <w:right w:val="none" w:sz="0" w:space="0" w:color="auto"/>
      </w:divBdr>
      <w:divsChild>
        <w:div w:id="359747211">
          <w:marLeft w:val="0"/>
          <w:marRight w:val="0"/>
          <w:marTop w:val="0"/>
          <w:marBottom w:val="0"/>
          <w:divBdr>
            <w:top w:val="none" w:sz="0" w:space="0" w:color="auto"/>
            <w:left w:val="none" w:sz="0" w:space="0" w:color="auto"/>
            <w:bottom w:val="none" w:sz="0" w:space="0" w:color="auto"/>
            <w:right w:val="none" w:sz="0" w:space="0" w:color="auto"/>
          </w:divBdr>
        </w:div>
      </w:divsChild>
    </w:div>
    <w:div w:id="1172644674">
      <w:bodyDiv w:val="1"/>
      <w:marLeft w:val="0"/>
      <w:marRight w:val="0"/>
      <w:marTop w:val="0"/>
      <w:marBottom w:val="0"/>
      <w:divBdr>
        <w:top w:val="none" w:sz="0" w:space="0" w:color="auto"/>
        <w:left w:val="none" w:sz="0" w:space="0" w:color="auto"/>
        <w:bottom w:val="none" w:sz="0" w:space="0" w:color="auto"/>
        <w:right w:val="none" w:sz="0" w:space="0" w:color="auto"/>
      </w:divBdr>
      <w:divsChild>
        <w:div w:id="230892018">
          <w:marLeft w:val="0"/>
          <w:marRight w:val="0"/>
          <w:marTop w:val="0"/>
          <w:marBottom w:val="0"/>
          <w:divBdr>
            <w:top w:val="none" w:sz="0" w:space="0" w:color="auto"/>
            <w:left w:val="none" w:sz="0" w:space="0" w:color="auto"/>
            <w:bottom w:val="none" w:sz="0" w:space="0" w:color="auto"/>
            <w:right w:val="none" w:sz="0" w:space="0" w:color="auto"/>
          </w:divBdr>
        </w:div>
      </w:divsChild>
    </w:div>
    <w:div w:id="1444618751">
      <w:bodyDiv w:val="1"/>
      <w:marLeft w:val="0"/>
      <w:marRight w:val="0"/>
      <w:marTop w:val="0"/>
      <w:marBottom w:val="0"/>
      <w:divBdr>
        <w:top w:val="none" w:sz="0" w:space="0" w:color="auto"/>
        <w:left w:val="none" w:sz="0" w:space="0" w:color="auto"/>
        <w:bottom w:val="none" w:sz="0" w:space="0" w:color="auto"/>
        <w:right w:val="none" w:sz="0" w:space="0" w:color="auto"/>
      </w:divBdr>
    </w:div>
    <w:div w:id="1456367818">
      <w:bodyDiv w:val="1"/>
      <w:marLeft w:val="0"/>
      <w:marRight w:val="0"/>
      <w:marTop w:val="0"/>
      <w:marBottom w:val="0"/>
      <w:divBdr>
        <w:top w:val="none" w:sz="0" w:space="0" w:color="auto"/>
        <w:left w:val="none" w:sz="0" w:space="0" w:color="auto"/>
        <w:bottom w:val="none" w:sz="0" w:space="0" w:color="auto"/>
        <w:right w:val="none" w:sz="0" w:space="0" w:color="auto"/>
      </w:divBdr>
      <w:divsChild>
        <w:div w:id="1215779534">
          <w:marLeft w:val="0"/>
          <w:marRight w:val="0"/>
          <w:marTop w:val="0"/>
          <w:marBottom w:val="0"/>
          <w:divBdr>
            <w:top w:val="none" w:sz="0" w:space="0" w:color="auto"/>
            <w:left w:val="none" w:sz="0" w:space="0" w:color="auto"/>
            <w:bottom w:val="none" w:sz="0" w:space="0" w:color="auto"/>
            <w:right w:val="none" w:sz="0" w:space="0" w:color="auto"/>
          </w:divBdr>
        </w:div>
      </w:divsChild>
    </w:div>
    <w:div w:id="1516767728">
      <w:bodyDiv w:val="1"/>
      <w:marLeft w:val="0"/>
      <w:marRight w:val="0"/>
      <w:marTop w:val="0"/>
      <w:marBottom w:val="0"/>
      <w:divBdr>
        <w:top w:val="none" w:sz="0" w:space="0" w:color="auto"/>
        <w:left w:val="none" w:sz="0" w:space="0" w:color="auto"/>
        <w:bottom w:val="none" w:sz="0" w:space="0" w:color="auto"/>
        <w:right w:val="none" w:sz="0" w:space="0" w:color="auto"/>
      </w:divBdr>
    </w:div>
    <w:div w:id="1526090126">
      <w:bodyDiv w:val="1"/>
      <w:marLeft w:val="0"/>
      <w:marRight w:val="0"/>
      <w:marTop w:val="0"/>
      <w:marBottom w:val="0"/>
      <w:divBdr>
        <w:top w:val="none" w:sz="0" w:space="0" w:color="auto"/>
        <w:left w:val="none" w:sz="0" w:space="0" w:color="auto"/>
        <w:bottom w:val="none" w:sz="0" w:space="0" w:color="auto"/>
        <w:right w:val="none" w:sz="0" w:space="0" w:color="auto"/>
      </w:divBdr>
    </w:div>
    <w:div w:id="1832746681">
      <w:bodyDiv w:val="1"/>
      <w:marLeft w:val="0"/>
      <w:marRight w:val="0"/>
      <w:marTop w:val="0"/>
      <w:marBottom w:val="0"/>
      <w:divBdr>
        <w:top w:val="none" w:sz="0" w:space="0" w:color="auto"/>
        <w:left w:val="none" w:sz="0" w:space="0" w:color="auto"/>
        <w:bottom w:val="none" w:sz="0" w:space="0" w:color="auto"/>
        <w:right w:val="none" w:sz="0" w:space="0" w:color="auto"/>
      </w:divBdr>
      <w:divsChild>
        <w:div w:id="1691833786">
          <w:marLeft w:val="0"/>
          <w:marRight w:val="0"/>
          <w:marTop w:val="0"/>
          <w:marBottom w:val="0"/>
          <w:divBdr>
            <w:top w:val="none" w:sz="0" w:space="0" w:color="auto"/>
            <w:left w:val="none" w:sz="0" w:space="0" w:color="auto"/>
            <w:bottom w:val="none" w:sz="0" w:space="0" w:color="auto"/>
            <w:right w:val="none" w:sz="0" w:space="0" w:color="auto"/>
          </w:divBdr>
        </w:div>
      </w:divsChild>
    </w:div>
    <w:div w:id="212835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15173</TotalTime>
  <Pages>1</Pages>
  <Words>106571</Words>
  <Characters>607455</Characters>
  <Application>Microsoft Office Word</Application>
  <DocSecurity>0</DocSecurity>
  <Lines>5062</Lines>
  <Paragraphs>1425</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712601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96</cp:revision>
  <dcterms:created xsi:type="dcterms:W3CDTF">2017-03-18T04:45:00Z</dcterms:created>
  <dcterms:modified xsi:type="dcterms:W3CDTF">2017-07-01T01:27:00Z</dcterms:modified>
</cp:coreProperties>
</file>