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D5" w:rsidRDefault="00AC3DD5" w:rsidP="008417E6">
      <w:pPr>
        <w:pStyle w:val="Title"/>
        <w:ind w:firstLine="0"/>
      </w:pPr>
      <w:r>
        <w:t>Hosea</w:t>
      </w:r>
    </w:p>
    <w:p w:rsidR="003053AE" w:rsidRDefault="003053AE" w:rsidP="00EF7B98">
      <w:pPr>
        <w:pStyle w:val="Heading1"/>
      </w:pPr>
      <w:r>
        <w:t>Introduction</w:t>
      </w:r>
    </w:p>
    <w:p w:rsidR="00860446" w:rsidRDefault="00392FDA" w:rsidP="00392FDA">
      <w:r>
        <w:t>The Hosea scroll is a message from God to his people, to which wise people will pay heed</w:t>
      </w:r>
      <w:r w:rsidR="007C47FC">
        <w:t xml:space="preserve"> (Hos. 14:9 [10])</w:t>
      </w:r>
      <w:r>
        <w:t>. Calling it a m</w:t>
      </w:r>
      <w:r w:rsidR="00FE31ED">
        <w:t>essage (litera</w:t>
      </w:r>
      <w:r w:rsidR="007C47FC">
        <w:t>listica</w:t>
      </w:r>
      <w:r w:rsidR="00FE31ED">
        <w:t>lly, a “word”—</w:t>
      </w:r>
      <w:r>
        <w:t>1:1) implies that it has some coherence</w:t>
      </w:r>
      <w:r w:rsidR="00FE31ED">
        <w:t xml:space="preserve"> or unity. It comprises</w:t>
      </w:r>
      <w:r>
        <w:t xml:space="preserve"> a challenge to pay heed to </w:t>
      </w:r>
    </w:p>
    <w:p w:rsidR="00860446" w:rsidRDefault="00860446" w:rsidP="00392FDA"/>
    <w:p w:rsidR="00860446" w:rsidRDefault="00392FDA" w:rsidP="00B72554">
      <w:pPr>
        <w:pStyle w:val="ListParagraph"/>
        <w:numPr>
          <w:ilvl w:val="0"/>
          <w:numId w:val="21"/>
        </w:numPr>
        <w:ind w:left="720"/>
      </w:pPr>
      <w:r>
        <w:t>God’s confronting his</w:t>
      </w:r>
      <w:r w:rsidR="00860446">
        <w:t xml:space="preserve"> people for its unfaithfulness</w:t>
      </w:r>
    </w:p>
    <w:p w:rsidR="00860446" w:rsidRDefault="00860446" w:rsidP="00B72554">
      <w:pPr>
        <w:pStyle w:val="ListParagraph"/>
        <w:numPr>
          <w:ilvl w:val="0"/>
          <w:numId w:val="21"/>
        </w:numPr>
        <w:ind w:left="720"/>
      </w:pPr>
      <w:r>
        <w:t xml:space="preserve">his </w:t>
      </w:r>
      <w:r w:rsidR="00392FDA">
        <w:t>pointing out how its life is out of keeping with the beginnin</w:t>
      </w:r>
      <w:r>
        <w:t>gs of his relationship with it</w:t>
      </w:r>
    </w:p>
    <w:p w:rsidR="00860446" w:rsidRDefault="00860446" w:rsidP="00B72554">
      <w:pPr>
        <w:pStyle w:val="ListParagraph"/>
        <w:numPr>
          <w:ilvl w:val="0"/>
          <w:numId w:val="21"/>
        </w:numPr>
        <w:ind w:left="720"/>
      </w:pPr>
      <w:r>
        <w:t xml:space="preserve">his </w:t>
      </w:r>
      <w:r w:rsidR="00FE31ED">
        <w:t xml:space="preserve">warning </w:t>
      </w:r>
      <w:r w:rsidR="00392FDA">
        <w:t>of severe chastise</w:t>
      </w:r>
      <w:r>
        <w:t>ment that is therefore to come</w:t>
      </w:r>
    </w:p>
    <w:p w:rsidR="00860446" w:rsidRDefault="00860446" w:rsidP="00B72554">
      <w:pPr>
        <w:pStyle w:val="ListParagraph"/>
        <w:numPr>
          <w:ilvl w:val="0"/>
          <w:numId w:val="21"/>
        </w:numPr>
        <w:ind w:left="720"/>
      </w:pPr>
      <w:r>
        <w:t xml:space="preserve">his </w:t>
      </w:r>
      <w:r w:rsidR="00392FDA">
        <w:t>promising that chastisement wi</w:t>
      </w:r>
      <w:r>
        <w:t>ll not be the end of the story</w:t>
      </w:r>
    </w:p>
    <w:p w:rsidR="00392FDA" w:rsidRDefault="00860446" w:rsidP="00B72554">
      <w:pPr>
        <w:pStyle w:val="ListParagraph"/>
        <w:numPr>
          <w:ilvl w:val="0"/>
          <w:numId w:val="21"/>
        </w:numPr>
        <w:ind w:left="720"/>
      </w:pPr>
      <w:r>
        <w:t xml:space="preserve">his </w:t>
      </w:r>
      <w:r w:rsidR="007C47FC">
        <w:t>urging it to come back to him.</w:t>
      </w:r>
      <w:r w:rsidR="00392FDA">
        <w:t xml:space="preserve"> </w:t>
      </w:r>
    </w:p>
    <w:p w:rsidR="00860446" w:rsidRDefault="00860446" w:rsidP="00392FDA"/>
    <w:p w:rsidR="001B67AF" w:rsidRPr="001B67AF" w:rsidRDefault="001B67AF" w:rsidP="001B67AF">
      <w:r w:rsidRPr="001B67AF">
        <w:t xml:space="preserve">It would be interesting to relate different prophecies within the scroll to aspects of the history </w:t>
      </w:r>
      <w:r w:rsidR="007C47FC">
        <w:t xml:space="preserve">of Ephraim’s </w:t>
      </w:r>
      <w:r w:rsidR="00CF01E4">
        <w:t xml:space="preserve">final </w:t>
      </w:r>
      <w:r w:rsidR="007C47FC">
        <w:t xml:space="preserve">decades (see “Messages of God in a </w:t>
      </w:r>
      <w:r w:rsidR="00CF01E4">
        <w:t xml:space="preserve">Political </w:t>
      </w:r>
      <w:r w:rsidR="007C47FC">
        <w:t>Context” above)</w:t>
      </w:r>
      <w:r w:rsidRPr="001B67AF">
        <w:t>, but the scroll does not give us concrete information that enables us to make such connections. “The intended and primary readerships” of Hosea “are not asked to historicize the text, to look at historical but ‘well-hidden’ clues, but to set it in the frame of that which is presented as essentially trans-temporal discourse” of “trans-temporal relevance.”</w:t>
      </w:r>
      <w:r w:rsidRPr="001B67AF">
        <w:rPr>
          <w:vertAlign w:val="superscript"/>
        </w:rPr>
        <w:footnoteReference w:id="1"/>
      </w:r>
      <w:r w:rsidRPr="001B67AF">
        <w:t xml:space="preserve"> </w:t>
      </w:r>
    </w:p>
    <w:p w:rsidR="00DF73DE" w:rsidRDefault="008C66B0" w:rsidP="001D3546">
      <w:pPr>
        <w:pStyle w:val="Heading2"/>
      </w:pPr>
      <w:r>
        <w:t>The Issues</w:t>
      </w:r>
      <w:r w:rsidR="001055FD">
        <w:t xml:space="preserve"> in Hosea</w:t>
      </w:r>
    </w:p>
    <w:p w:rsidR="00B363FB" w:rsidRDefault="00B363FB" w:rsidP="00DF73DE">
      <w:r>
        <w:t xml:space="preserve">The </w:t>
      </w:r>
      <w:r w:rsidR="00DF73DE">
        <w:t xml:space="preserve">Hosea </w:t>
      </w:r>
      <w:r>
        <w:t xml:space="preserve">scroll </w:t>
      </w:r>
      <w:r w:rsidR="00057C4C">
        <w:t>is dominated by</w:t>
      </w:r>
      <w:r w:rsidR="00DF73DE">
        <w:t xml:space="preserve"> a critique of </w:t>
      </w:r>
      <w:r w:rsidR="00B666D9">
        <w:t xml:space="preserve">the </w:t>
      </w:r>
      <w:r w:rsidR="00057C4C">
        <w:t>life</w:t>
      </w:r>
      <w:r w:rsidR="00B666D9">
        <w:t xml:space="preserve"> and worship of Ephraim as a people</w:t>
      </w:r>
      <w:r w:rsidR="00CF01E4">
        <w:t>, whose</w:t>
      </w:r>
      <w:r w:rsidR="003F74CD">
        <w:t xml:space="preserve"> </w:t>
      </w:r>
      <w:r w:rsidR="00057C4C" w:rsidRPr="00057C4C">
        <w:t xml:space="preserve">dominant image </w:t>
      </w:r>
      <w:r w:rsidR="00057C4C">
        <w:t>is</w:t>
      </w:r>
      <w:r w:rsidR="007C47FC">
        <w:t xml:space="preserve"> </w:t>
      </w:r>
      <w:r w:rsidR="00057C4C" w:rsidRPr="00057C4C">
        <w:t>marital infidelity.</w:t>
      </w:r>
      <w:r w:rsidR="00057C4C">
        <w:t xml:space="preserve"> </w:t>
      </w:r>
      <w:r w:rsidR="007C47FC">
        <w:t xml:space="preserve">Hosea </w:t>
      </w:r>
      <w:r w:rsidR="00B666D9">
        <w:t>speaks poetically</w:t>
      </w:r>
      <w:r w:rsidR="00CF01E4">
        <w:t>, which</w:t>
      </w:r>
      <w:r w:rsidR="00B666D9">
        <w:t xml:space="preserve"> makes it complicated to infer what he is liter</w:t>
      </w:r>
      <w:r w:rsidR="007C47FC">
        <w:t xml:space="preserve">ally referring to; there </w:t>
      </w:r>
      <w:r w:rsidR="00B666D9">
        <w:t>may be a numb</w:t>
      </w:r>
      <w:r w:rsidR="007C47FC">
        <w:t>er of aspects to this unfaithfulness</w:t>
      </w:r>
      <w:r w:rsidR="00B666D9">
        <w:t>.</w:t>
      </w:r>
    </w:p>
    <w:p w:rsidR="00057C4C" w:rsidRDefault="00057C4C" w:rsidP="00DF73DE"/>
    <w:p w:rsidR="00B666D9" w:rsidRDefault="00DF73DE" w:rsidP="009652A7">
      <w:pPr>
        <w:pStyle w:val="ListParagraph"/>
        <w:numPr>
          <w:ilvl w:val="0"/>
          <w:numId w:val="9"/>
        </w:numPr>
        <w:ind w:left="360"/>
      </w:pPr>
      <w:r>
        <w:t>Ephraim</w:t>
      </w:r>
      <w:r w:rsidR="00B666D9">
        <w:t>ites</w:t>
      </w:r>
      <w:r>
        <w:t xml:space="preserve"> worshipped Yahweh i</w:t>
      </w:r>
      <w:r w:rsidR="00B363FB">
        <w:t xml:space="preserve">n ways that Yahweh had </w:t>
      </w:r>
      <w:r>
        <w:t>forbidden—specifically, with the use of imag</w:t>
      </w:r>
      <w:r w:rsidR="00B363FB">
        <w:t xml:space="preserve">es of Yahweh. </w:t>
      </w:r>
      <w:r w:rsidR="00CF01E4">
        <w:t xml:space="preserve">Second Kings </w:t>
      </w:r>
      <w:r w:rsidR="00B666D9" w:rsidRPr="00B666D9">
        <w:t>accuse</w:t>
      </w:r>
      <w:r w:rsidR="00B666D9">
        <w:t xml:space="preserve">s Ephraim of </w:t>
      </w:r>
      <w:r w:rsidR="00B666D9" w:rsidRPr="00B666D9">
        <w:t>worsh</w:t>
      </w:r>
      <w:r w:rsidR="00B666D9">
        <w:t>ip</w:t>
      </w:r>
      <w:r w:rsidR="007C47FC">
        <w:t xml:space="preserve"> following</w:t>
      </w:r>
      <w:r w:rsidR="00B666D9" w:rsidRPr="00B666D9">
        <w:t xml:space="preserve"> the innovations of Jeroboam I, which means worshiping Yahweh in forbidden ways.</w:t>
      </w:r>
    </w:p>
    <w:p w:rsidR="007C47FC" w:rsidRDefault="00AD447E" w:rsidP="009652A7">
      <w:pPr>
        <w:pStyle w:val="ListParagraph"/>
        <w:numPr>
          <w:ilvl w:val="0"/>
          <w:numId w:val="9"/>
        </w:numPr>
        <w:ind w:left="360"/>
      </w:pPr>
      <w:r>
        <w:t xml:space="preserve">While </w:t>
      </w:r>
      <w:r w:rsidR="00203407">
        <w:t>2 Kings 10 tells of Jehu purging</w:t>
      </w:r>
      <w:r>
        <w:t xml:space="preserve"> Samaria</w:t>
      </w:r>
      <w:r w:rsidR="00686DA7" w:rsidRPr="00686DA7">
        <w:t xml:space="preserve"> of the worship of the Master</w:t>
      </w:r>
      <w:r w:rsidR="00686DA7">
        <w:t xml:space="preserve"> </w:t>
      </w:r>
      <w:r w:rsidR="00686DA7" w:rsidRPr="00686DA7">
        <w:t>(“Ba</w:t>
      </w:r>
      <w:r>
        <w:t xml:space="preserve">al”), worship of El as opposed to Yahweh </w:t>
      </w:r>
      <w:r w:rsidR="00686DA7">
        <w:t xml:space="preserve">may have </w:t>
      </w:r>
      <w:r>
        <w:t>continued</w:t>
      </w:r>
      <w:r w:rsidR="004D5C01">
        <w:t xml:space="preserve"> in sanctuaries such as Beth</w:t>
      </w:r>
      <w:r w:rsidR="00DD219C">
        <w:t>-</w:t>
      </w:r>
      <w:r w:rsidR="004D5C01">
        <w:t>el.</w:t>
      </w:r>
      <w:r w:rsidR="004D5C01">
        <w:rPr>
          <w:rStyle w:val="FootnoteReference"/>
        </w:rPr>
        <w:footnoteReference w:id="2"/>
      </w:r>
      <w:r w:rsidR="00686DA7">
        <w:t xml:space="preserve"> </w:t>
      </w:r>
    </w:p>
    <w:p w:rsidR="00B666D9" w:rsidRDefault="00CF01E4" w:rsidP="009652A7">
      <w:pPr>
        <w:pStyle w:val="ListParagraph"/>
        <w:numPr>
          <w:ilvl w:val="0"/>
          <w:numId w:val="9"/>
        </w:numPr>
        <w:ind w:left="360"/>
      </w:pPr>
      <w:r>
        <w:t>W</w:t>
      </w:r>
      <w:r w:rsidR="00B666D9">
        <w:t>orshiping Yahweh</w:t>
      </w:r>
      <w:r>
        <w:t xml:space="preserve"> in ways comparable to </w:t>
      </w:r>
      <w:r w:rsidR="00B666D9">
        <w:t>other peoples</w:t>
      </w:r>
      <w:r>
        <w:t>’ ways of worshiping</w:t>
      </w:r>
      <w:r w:rsidR="00B666D9">
        <w:t xml:space="preserve"> the Master might be hard to disting</w:t>
      </w:r>
      <w:r w:rsidR="00686DA7">
        <w:t>uish from worshiping the Master and/or might be viewed by Hosea as little different</w:t>
      </w:r>
      <w:r w:rsidR="002D0499">
        <w:t>.</w:t>
      </w:r>
      <w:r w:rsidR="002D0499">
        <w:rPr>
          <w:rStyle w:val="FootnoteReference"/>
        </w:rPr>
        <w:footnoteReference w:id="3"/>
      </w:r>
    </w:p>
    <w:p w:rsidR="00203407" w:rsidRDefault="00686DA7" w:rsidP="00124BA3">
      <w:pPr>
        <w:pStyle w:val="ListParagraph"/>
        <w:numPr>
          <w:ilvl w:val="0"/>
          <w:numId w:val="9"/>
        </w:numPr>
        <w:ind w:left="360"/>
      </w:pPr>
      <w:r>
        <w:t>Worship offered by people in their homes and villages and at local shrines (the “high places”</w:t>
      </w:r>
      <w:r w:rsidR="009B30C7">
        <w:t>)</w:t>
      </w:r>
      <w:r>
        <w:t xml:space="preserve"> might be more affected by overt worship of the Master than the worship offered at a national sanctuary. </w:t>
      </w:r>
      <w:r w:rsidR="009B30C7" w:rsidRPr="009B30C7">
        <w:t>Archeological ev</w:t>
      </w:r>
      <w:r w:rsidR="00CE290F">
        <w:t xml:space="preserve">idence suggests that </w:t>
      </w:r>
      <w:r w:rsidR="009B30C7" w:rsidRPr="009B30C7">
        <w:t xml:space="preserve">Israelites did not follow the Masters </w:t>
      </w:r>
      <w:r w:rsidR="009B30C7" w:rsidRPr="009B30C7">
        <w:rPr>
          <w:i/>
        </w:rPr>
        <w:t>rather than</w:t>
      </w:r>
      <w:r w:rsidR="009B30C7" w:rsidRPr="009B30C7">
        <w:t xml:space="preserve"> Yahweh. They followed other gods as well as Yahweh, assuming it was possible to combine the two commitments. </w:t>
      </w:r>
      <w:r w:rsidR="00CE290F">
        <w:t xml:space="preserve"> </w:t>
      </w:r>
      <w:r w:rsidR="00CF01E4">
        <w:t>They di</w:t>
      </w:r>
      <w:r w:rsidR="009B30C7" w:rsidRPr="009B30C7">
        <w:t>d not see themselves as going back on their Israelite faith in Yahweh as the God who br</w:t>
      </w:r>
      <w:r w:rsidR="00E94DFB">
        <w:t xml:space="preserve">ought them out of Egypt (see </w:t>
      </w:r>
      <w:r w:rsidR="009B30C7" w:rsidRPr="009B30C7">
        <w:t>11</w:t>
      </w:r>
      <w:r w:rsidR="00CE290F">
        <w:t xml:space="preserve">:1-2) and </w:t>
      </w:r>
      <w:r w:rsidR="009B30C7" w:rsidRPr="009B30C7">
        <w:t xml:space="preserve">enabled them to live in their land. </w:t>
      </w:r>
      <w:r w:rsidR="00CE290F">
        <w:t xml:space="preserve">They </w:t>
      </w:r>
      <w:r w:rsidR="00CF01E4">
        <w:t>simply recognized</w:t>
      </w:r>
      <w:r w:rsidR="00CE290F">
        <w:t xml:space="preserve"> other deit</w:t>
      </w:r>
      <w:r w:rsidR="00CF01E4">
        <w:t>ies as well as Yahweh and sought</w:t>
      </w:r>
      <w:r>
        <w:t xml:space="preserve"> their blessing in connection wi</w:t>
      </w:r>
      <w:r w:rsidR="00CE290F">
        <w:t xml:space="preserve">th the harvest and with </w:t>
      </w:r>
      <w:r>
        <w:t xml:space="preserve">human </w:t>
      </w:r>
      <w:r>
        <w:lastRenderedPageBreak/>
        <w:t xml:space="preserve">fertility. </w:t>
      </w:r>
      <w:r w:rsidRPr="00642837">
        <w:t xml:space="preserve">They saw the Master as the deity who could </w:t>
      </w:r>
      <w:r w:rsidR="00CE290F">
        <w:t xml:space="preserve">help to </w:t>
      </w:r>
      <w:r w:rsidRPr="00642837">
        <w:t>ensure that the crops grew and that animals and huma</w:t>
      </w:r>
      <w:r w:rsidR="00CF01E4">
        <w:t xml:space="preserve">n beings were fertile, and </w:t>
      </w:r>
      <w:r w:rsidR="00124BA3">
        <w:t>they engaged in prayer</w:t>
      </w:r>
      <w:r w:rsidRPr="00642837">
        <w:t xml:space="preserve"> an</w:t>
      </w:r>
      <w:r w:rsidR="00124BA3">
        <w:t>d sacrifice</w:t>
      </w:r>
      <w:r>
        <w:t xml:space="preserve"> to this end </w:t>
      </w:r>
      <w:r w:rsidRPr="00642837">
        <w:t>in the same way</w:t>
      </w:r>
      <w:r w:rsidR="00CE290F">
        <w:t xml:space="preserve"> as they </w:t>
      </w:r>
      <w:r w:rsidRPr="00642837">
        <w:t>pray</w:t>
      </w:r>
      <w:r w:rsidR="00CE290F">
        <w:t>ed</w:t>
      </w:r>
      <w:r w:rsidRPr="00642837">
        <w:t xml:space="preserve"> and offer</w:t>
      </w:r>
      <w:r w:rsidR="00CE290F">
        <w:t>ed</w:t>
      </w:r>
      <w:r w:rsidRPr="00642837">
        <w:t xml:space="preserve"> sacrifice to Yahweh.</w:t>
      </w:r>
      <w:r>
        <w:rPr>
          <w:rStyle w:val="FootnoteReference"/>
        </w:rPr>
        <w:footnoteReference w:id="4"/>
      </w:r>
      <w:r w:rsidRPr="00642837">
        <w:t xml:space="preserve"> </w:t>
      </w:r>
      <w:r w:rsidR="00203407">
        <w:t xml:space="preserve">The requirement to pay taxes and the related necessity for the administration to pay tribute to Assyria will have put extra pressure on people to generate the equivalent of cash crops </w:t>
      </w:r>
      <w:r w:rsidR="00E177AA">
        <w:t>(grain</w:t>
      </w:r>
      <w:r w:rsidR="00CE290F">
        <w:t>, wine, oil), adding to the pressure to turn to other deities</w:t>
      </w:r>
      <w:r w:rsidR="00E177AA">
        <w:t xml:space="preserve"> to make the harvest “work.”</w:t>
      </w:r>
      <w:r w:rsidR="002933F8">
        <w:rPr>
          <w:rStyle w:val="FootnoteReference"/>
        </w:rPr>
        <w:footnoteReference w:id="5"/>
      </w:r>
    </w:p>
    <w:p w:rsidR="00723893" w:rsidRDefault="00686DA7" w:rsidP="009652A7">
      <w:pPr>
        <w:pStyle w:val="ListParagraph"/>
        <w:numPr>
          <w:ilvl w:val="0"/>
          <w:numId w:val="9"/>
        </w:numPr>
        <w:ind w:left="360"/>
      </w:pPr>
      <w:r>
        <w:t>Ephraim’s sealing of political</w:t>
      </w:r>
      <w:r w:rsidR="00CE290F">
        <w:t xml:space="preserve"> alliances with Aram and Assyria would </w:t>
      </w:r>
      <w:r>
        <w:t>involve shared religious rites implying recognition of these peoples’ gods. R</w:t>
      </w:r>
      <w:r w:rsidRPr="004E1C89">
        <w:t>eligion and politics are commonly interwoven</w:t>
      </w:r>
      <w:r>
        <w:t>, even though formal</w:t>
      </w:r>
      <w:r w:rsidR="008B2B3E">
        <w:t>ly separate in some countries</w:t>
      </w:r>
      <w:r w:rsidR="00CE290F">
        <w:t xml:space="preserve"> (a</w:t>
      </w:r>
      <w:r w:rsidRPr="007366A5">
        <w:t>t the first church service I attended in the Unit</w:t>
      </w:r>
      <w:r w:rsidR="009E4675">
        <w:t>ed States,</w:t>
      </w:r>
      <w:r w:rsidRPr="007366A5">
        <w:t xml:space="preserve"> </w:t>
      </w:r>
      <w:r>
        <w:t>I noticed</w:t>
      </w:r>
      <w:r w:rsidRPr="007366A5">
        <w:t xml:space="preserve"> the prominence of the flag</w:t>
      </w:r>
      <w:r>
        <w:t xml:space="preserve"> in the church, and </w:t>
      </w:r>
      <w:r w:rsidR="00CF01E4">
        <w:t>the</w:t>
      </w:r>
      <w:r w:rsidRPr="007366A5">
        <w:t xml:space="preserve"> first thing we </w:t>
      </w:r>
      <w:r>
        <w:t>did was pray for the president</w:t>
      </w:r>
      <w:r w:rsidR="00CE290F">
        <w:t xml:space="preserve"> as commander-in-chief)</w:t>
      </w:r>
      <w:r>
        <w:t xml:space="preserve">. </w:t>
      </w:r>
      <w:r w:rsidR="00CE290F">
        <w:t xml:space="preserve">In effect, </w:t>
      </w:r>
      <w:r w:rsidR="008B2B3E">
        <w:t>Hosea raises the question whether the separation of church and state is possible.</w:t>
      </w:r>
      <w:r w:rsidR="008B2B3E">
        <w:rPr>
          <w:rStyle w:val="FootnoteReference"/>
        </w:rPr>
        <w:footnoteReference w:id="6"/>
      </w:r>
      <w:r w:rsidR="008B2B3E">
        <w:t xml:space="preserve"> </w:t>
      </w:r>
      <w:r w:rsidR="00723893" w:rsidRPr="00723893">
        <w:t>Perhaps there was seepage between recognition of other gods at the international political level and such recognition in Ephraim’s own festivals and in</w:t>
      </w:r>
      <w:r w:rsidR="00723893">
        <w:t xml:space="preserve"> ordinary people’s spirituality (see 4 above).</w:t>
      </w:r>
    </w:p>
    <w:p w:rsidR="00B363FB" w:rsidRDefault="00723893" w:rsidP="00124BA3">
      <w:pPr>
        <w:pStyle w:val="ListParagraph"/>
        <w:numPr>
          <w:ilvl w:val="0"/>
          <w:numId w:val="9"/>
        </w:numPr>
        <w:ind w:left="360"/>
      </w:pPr>
      <w:r>
        <w:t>Hosea</w:t>
      </w:r>
      <w:r w:rsidR="00CF01E4">
        <w:t>’s</w:t>
      </w:r>
      <w:r>
        <w:t xml:space="preserve"> mixing </w:t>
      </w:r>
      <w:r w:rsidR="00686DA7" w:rsidRPr="004E1C89">
        <w:t>c</w:t>
      </w:r>
      <w:r w:rsidR="009E4675">
        <w:t>ritique of Ephraim’s praying</w:t>
      </w:r>
      <w:r w:rsidR="00686DA7" w:rsidRPr="004E1C89">
        <w:t xml:space="preserve"> to t</w:t>
      </w:r>
      <w:r>
        <w:t xml:space="preserve">he Master with critique of Ephraim’s </w:t>
      </w:r>
      <w:r w:rsidR="00686DA7" w:rsidRPr="004E1C89">
        <w:t>alliance</w:t>
      </w:r>
      <w:r>
        <w:t>s</w:t>
      </w:r>
      <w:r w:rsidR="00686DA7" w:rsidRPr="004E1C89">
        <w:t xml:space="preserve"> with </w:t>
      </w:r>
      <w:r>
        <w:t>other nations points to another sense in which such</w:t>
      </w:r>
      <w:r w:rsidR="00686DA7" w:rsidRPr="004E1C89">
        <w:t xml:space="preserve"> allian</w:t>
      </w:r>
      <w:r w:rsidR="00CE290F">
        <w:t xml:space="preserve">ces </w:t>
      </w:r>
      <w:r w:rsidR="00686DA7" w:rsidRPr="004E1C89">
        <w:t>involved unfaithful</w:t>
      </w:r>
      <w:r>
        <w:t>ness. S</w:t>
      </w:r>
      <w:r w:rsidR="00686DA7" w:rsidRPr="004E1C89">
        <w:t>eeking such alliances was itself an act of unfaithfulness.</w:t>
      </w:r>
      <w:r w:rsidR="00686DA7">
        <w:t xml:space="preserve"> </w:t>
      </w:r>
      <w:r>
        <w:t xml:space="preserve">It implied a failure of trust in Yahweh. </w:t>
      </w:r>
      <w:r w:rsidR="00124BA3">
        <w:t>T</w:t>
      </w:r>
      <w:r w:rsidR="009B30C7" w:rsidRPr="009B30C7">
        <w:t xml:space="preserve">he politicians of Ephraim </w:t>
      </w:r>
      <w:r>
        <w:t>(</w:t>
      </w:r>
      <w:r w:rsidR="009B30C7" w:rsidRPr="009B30C7">
        <w:t>and of Judah</w:t>
      </w:r>
      <w:r>
        <w:t>)</w:t>
      </w:r>
      <w:r w:rsidR="009B30C7" w:rsidRPr="009B30C7">
        <w:t xml:space="preserve"> who engaged in allian</w:t>
      </w:r>
      <w:r w:rsidR="00124BA3">
        <w:t xml:space="preserve">ces with other nations </w:t>
      </w:r>
      <w:r w:rsidR="009B30C7" w:rsidRPr="009B30C7">
        <w:t>did not see themselves as going back on faith in Yahweh.</w:t>
      </w:r>
      <w:r>
        <w:t xml:space="preserve"> </w:t>
      </w:r>
      <w:r w:rsidR="00124BA3">
        <w:t xml:space="preserve">But </w:t>
      </w:r>
      <w:r w:rsidR="00BC6EA1" w:rsidRPr="00BC6EA1">
        <w:t>Hosea’s talk of seeking th</w:t>
      </w:r>
      <w:r w:rsidR="00B666D9">
        <w:t>e help of the Master may refer to implications of Ep</w:t>
      </w:r>
      <w:r w:rsidR="00686DA7">
        <w:t>hraim’s</w:t>
      </w:r>
      <w:r w:rsidR="00BC6EA1" w:rsidRPr="00BC6EA1">
        <w:t xml:space="preserve"> political involvements</w:t>
      </w:r>
      <w:r w:rsidR="00686DA7">
        <w:t>.</w:t>
      </w:r>
      <w:r w:rsidR="00BC6EA1" w:rsidRPr="00BC6EA1">
        <w:t xml:space="preserve"> </w:t>
      </w:r>
      <w:r w:rsidR="00686DA7">
        <w:t xml:space="preserve">Ephraim pursued alliances with other nations as a means of protection and defense rather than regarding Yahweh as its protection and defense. </w:t>
      </w:r>
      <w:r w:rsidR="00124BA3" w:rsidRPr="00124BA3">
        <w:t xml:space="preserve">Accepting </w:t>
      </w:r>
      <w:r w:rsidR="00F05F8C">
        <w:t xml:space="preserve">such </w:t>
      </w:r>
      <w:r w:rsidR="00124BA3" w:rsidRPr="00124BA3">
        <w:t>non-Israelite ideas about politics would mean a change in their understanding of Yahweh. He has become like the Master, in Ephraim’s thinking. They might as well have been asking the Master for help.</w:t>
      </w:r>
    </w:p>
    <w:p w:rsidR="0005735D" w:rsidRDefault="004E1C89" w:rsidP="009652A7">
      <w:pPr>
        <w:pStyle w:val="ListParagraph"/>
        <w:numPr>
          <w:ilvl w:val="0"/>
          <w:numId w:val="9"/>
        </w:numPr>
        <w:ind w:left="360"/>
      </w:pPr>
      <w:r>
        <w:t>Ephraim ran its internal politics in a way that ignored Yahweh’s attitudes, specifically in the series of violent coups in which it engaged.</w:t>
      </w:r>
      <w:r w:rsidR="00686DA7">
        <w:t xml:space="preserve"> </w:t>
      </w:r>
      <w:r w:rsidR="00D16A3F">
        <w:t>Yahweh’s critique of Ephraim’s self-directed internal politics may extend back to Israel’s original institution of monarchy.</w:t>
      </w:r>
    </w:p>
    <w:p w:rsidR="00642837" w:rsidRDefault="00686DA7" w:rsidP="009652A7">
      <w:pPr>
        <w:pStyle w:val="ListParagraph"/>
        <w:numPr>
          <w:ilvl w:val="0"/>
          <w:numId w:val="9"/>
        </w:numPr>
        <w:ind w:left="360"/>
      </w:pPr>
      <w:r>
        <w:t>Ephraimites may have been involved in sexual activi</w:t>
      </w:r>
      <w:r w:rsidR="003735E1">
        <w:t>ties in the context of worship. F</w:t>
      </w:r>
      <w:r w:rsidR="003735E1" w:rsidRPr="003735E1">
        <w:t>ollowing the tradi</w:t>
      </w:r>
      <w:r w:rsidR="003735E1">
        <w:t xml:space="preserve">tional religion of the land might involve </w:t>
      </w:r>
      <w:r w:rsidR="003735E1" w:rsidRPr="003735E1">
        <w:t xml:space="preserve">sexual initiation at the sanctuary, or further sexual intercourse with a priest as a kind of acted prayer for fertility, or </w:t>
      </w:r>
      <w:r w:rsidR="003735E1">
        <w:t>a ritual enactment of the</w:t>
      </w:r>
      <w:r w:rsidR="003735E1" w:rsidRPr="003735E1">
        <w:t xml:space="preserve"> union of god and goddess. </w:t>
      </w:r>
      <w:r w:rsidR="0005735D">
        <w:t xml:space="preserve">Herodotus speaks </w:t>
      </w:r>
      <w:r w:rsidR="00DF73DE">
        <w:t>o</w:t>
      </w:r>
      <w:r w:rsidR="0005735D">
        <w:t xml:space="preserve">f such practices </w:t>
      </w:r>
      <w:r w:rsidR="00DF73DE">
        <w:t>but it is not clear that his account is based on a</w:t>
      </w:r>
      <w:r w:rsidR="00E94DFB">
        <w:t>nything more than hearsay. I</w:t>
      </w:r>
      <w:r w:rsidR="00DF73DE">
        <w:t>n any case we have no account of such practices from the First Testament or from other</w:t>
      </w:r>
      <w:r w:rsidR="00057C4C">
        <w:t xml:space="preserve"> Middle Eastern writings. </w:t>
      </w:r>
      <w:r w:rsidR="002D0499">
        <w:t>While it used to be assumed that Hosea’s references to such activities were literal accounts,</w:t>
      </w:r>
      <w:r w:rsidR="003735E1" w:rsidRPr="0005735D">
        <w:rPr>
          <w:rFonts w:asciiTheme="minorHAnsi" w:eastAsiaTheme="minorEastAsia" w:hAnsiTheme="minorHAnsi" w:cstheme="minorBidi"/>
          <w:szCs w:val="22"/>
          <w:vertAlign w:val="superscript"/>
        </w:rPr>
        <w:t xml:space="preserve"> </w:t>
      </w:r>
      <w:r w:rsidR="003735E1" w:rsidRPr="003735E1">
        <w:rPr>
          <w:vertAlign w:val="superscript"/>
        </w:rPr>
        <w:footnoteReference w:id="7"/>
      </w:r>
      <w:r w:rsidR="002D0499">
        <w:t xml:space="preserve"> it is now usual to take them as a</w:t>
      </w:r>
      <w:r w:rsidR="00642837">
        <w:t xml:space="preserve"> </w:t>
      </w:r>
      <w:r w:rsidR="00111AD3">
        <w:t>metaphor</w:t>
      </w:r>
      <w:r w:rsidR="00642837">
        <w:t>ical way of portraying unfaithfulness to Yahweh through</w:t>
      </w:r>
      <w:r w:rsidR="00111AD3">
        <w:t xml:space="preserve"> seeking the help of the Master</w:t>
      </w:r>
      <w:r w:rsidR="003735E1">
        <w:t>.</w:t>
      </w:r>
      <w:r w:rsidR="003735E1">
        <w:rPr>
          <w:rStyle w:val="FootnoteReference"/>
        </w:rPr>
        <w:footnoteReference w:id="8"/>
      </w:r>
      <w:r w:rsidR="003735E1">
        <w:t xml:space="preserve"> </w:t>
      </w:r>
      <w:r w:rsidR="003735E1" w:rsidRPr="0005735D">
        <w:rPr>
          <w:rFonts w:asciiTheme="minorHAnsi" w:eastAsiaTheme="minorEastAsia" w:hAnsiTheme="minorHAnsi" w:cstheme="minorBidi"/>
          <w:szCs w:val="22"/>
          <w:vertAlign w:val="superscript"/>
        </w:rPr>
        <w:t xml:space="preserve"> </w:t>
      </w:r>
    </w:p>
    <w:p w:rsidR="008D15BC" w:rsidRDefault="00882C4C" w:rsidP="001D3546">
      <w:pPr>
        <w:pStyle w:val="Heading2"/>
      </w:pPr>
      <w:r>
        <w:lastRenderedPageBreak/>
        <w:t xml:space="preserve">Poetry </w:t>
      </w:r>
      <w:r w:rsidR="009D7AB1">
        <w:t xml:space="preserve">and Rhetoric </w:t>
      </w:r>
      <w:r>
        <w:t>in Hosea</w:t>
      </w:r>
    </w:p>
    <w:p w:rsidR="009D7AB1" w:rsidRDefault="00F7163E" w:rsidP="009D7AB1">
      <w:r>
        <w:t>Hosea is the prem</w:t>
      </w:r>
      <w:r w:rsidR="00AA58A0">
        <w:t>ier poet among the Prophets;</w:t>
      </w:r>
      <w:r>
        <w:t xml:space="preserve"> with the authors of Job and Song of Songs, </w:t>
      </w:r>
      <w:r w:rsidR="00AA58A0">
        <w:t xml:space="preserve">he is </w:t>
      </w:r>
      <w:r>
        <w:t>one of the three premie</w:t>
      </w:r>
      <w:r w:rsidR="009D7AB1">
        <w:t>r poets of the First Testament.</w:t>
      </w:r>
    </w:p>
    <w:p w:rsidR="009D7AB1" w:rsidRDefault="00882C4C" w:rsidP="009D7AB1">
      <w:r>
        <w:t>Like all poetry, h</w:t>
      </w:r>
      <w:r w:rsidR="00AA58A0">
        <w:t xml:space="preserve">is work </w:t>
      </w:r>
      <w:r w:rsidR="00F7163E">
        <w:t>is dense</w:t>
      </w:r>
      <w:r>
        <w:t>, intense, closely-packed, involve</w:t>
      </w:r>
      <w:r w:rsidR="00846E2E">
        <w:t xml:space="preserve">d, and complex. One way </w:t>
      </w:r>
      <w:r>
        <w:t>the poetry achieves this denseness is the general omission of some of the little words that facilitate communicati</w:t>
      </w:r>
      <w:r w:rsidR="009E4675">
        <w:t>on in prose (see “How Prophets Spoke</w:t>
      </w:r>
      <w:r w:rsidR="00255A8F">
        <w:t>”</w:t>
      </w:r>
      <w:r w:rsidR="009E4675">
        <w:t xml:space="preserve"> above</w:t>
      </w:r>
      <w:r w:rsidR="00255A8F">
        <w:t>)</w:t>
      </w:r>
      <w:r>
        <w:t xml:space="preserve">. Hosea’s poetry is </w:t>
      </w:r>
      <w:r w:rsidR="00255A8F">
        <w:t xml:space="preserve">more distinctively </w:t>
      </w:r>
      <w:r w:rsidR="009E4675">
        <w:t>characterized by asyndeton, juxtaposing</w:t>
      </w:r>
      <w:r>
        <w:t xml:space="preserve"> clauses without indicating their interrelationship. </w:t>
      </w:r>
      <w:r w:rsidR="009E4675">
        <w:t>Both</w:t>
      </w:r>
      <w:r w:rsidR="00255A8F">
        <w:t xml:space="preserve"> characteristics require</w:t>
      </w:r>
      <w:r w:rsidR="00E94DFB">
        <w:t xml:space="preserve"> people</w:t>
      </w:r>
      <w:r>
        <w:t xml:space="preserve"> to listen </w:t>
      </w:r>
      <w:r w:rsidR="00E94DFB">
        <w:t xml:space="preserve">or read </w:t>
      </w:r>
      <w:r>
        <w:t>carefully and to keep rethinking</w:t>
      </w:r>
      <w:r w:rsidR="00E94DFB">
        <w:t xml:space="preserve"> the significance o</w:t>
      </w:r>
      <w:r w:rsidR="00F42D9C">
        <w:t>f what they have heard</w:t>
      </w:r>
      <w:r w:rsidR="00E94DFB">
        <w:t xml:space="preserve"> or read</w:t>
      </w:r>
      <w:r w:rsidR="009E4675">
        <w:t>; Hosea</w:t>
      </w:r>
      <w:r w:rsidR="009E4675" w:rsidRPr="009E4675">
        <w:t xml:space="preserve"> cannot be read quickly.</w:t>
      </w:r>
      <w:r w:rsidR="009E4675">
        <w:t xml:space="preserve"> The message of </w:t>
      </w:r>
      <w:r w:rsidR="00255A8F">
        <w:t>the Hosea scroll</w:t>
      </w:r>
      <w:r w:rsidR="00F42D9C">
        <w:t xml:space="preserve"> has parallels with Deuteronomy, but this link</w:t>
      </w:r>
      <w:r w:rsidR="00255A8F">
        <w:t xml:space="preserve"> highlights the contrast with</w:t>
      </w:r>
      <w:r w:rsidR="00F42D9C">
        <w:t xml:space="preserve"> Deuteronomy’s rhetoric. Deuteronomy works</w:t>
      </w:r>
      <w:r>
        <w:t xml:space="preserve"> </w:t>
      </w:r>
      <w:r w:rsidR="00F42D9C">
        <w:t>by making things as clear as possible and by</w:t>
      </w:r>
      <w:r w:rsidR="009E4675">
        <w:t xml:space="preserve"> repetition. Hosea’s </w:t>
      </w:r>
      <w:r w:rsidR="00F42D9C">
        <w:t>strategy is the opposite. Translations ancient and modern are inclined to make Hosea’s poetry easier to understand, and this is also an inclination of scholarly suggestions concerning the emending of the text, but they risk thereby moving away from what Hosea said and from what was transcribed.</w:t>
      </w:r>
    </w:p>
    <w:p w:rsidR="00F7163E" w:rsidRDefault="00255A8F" w:rsidP="009D7AB1">
      <w:r>
        <w:t xml:space="preserve">A key aspect </w:t>
      </w:r>
      <w:r w:rsidR="00F42D9C">
        <w:t>of poetry</w:t>
      </w:r>
      <w:r>
        <w:t>’s denseness is the use of imagery. T</w:t>
      </w:r>
      <w:r w:rsidR="00F42D9C">
        <w:t>he freight of Hosea’s</w:t>
      </w:r>
      <w:r w:rsidR="00F7163E">
        <w:t xml:space="preserve"> message is conveyed by </w:t>
      </w:r>
      <w:r w:rsidR="00F42D9C">
        <w:t xml:space="preserve">a profusion of </w:t>
      </w:r>
      <w:r w:rsidR="00F7163E">
        <w:t>imagery</w:t>
      </w:r>
      <w:r w:rsidR="003D6CAF">
        <w:t>, w</w:t>
      </w:r>
      <w:r>
        <w:t>hich can be “audacious and bizar</w:t>
      </w:r>
      <w:r w:rsidR="003D6CAF">
        <w:t>re”:</w:t>
      </w:r>
      <w:r w:rsidR="00DC2DF6">
        <w:rPr>
          <w:rStyle w:val="FootnoteReference"/>
        </w:rPr>
        <w:footnoteReference w:id="9"/>
      </w:r>
      <w:r w:rsidR="003D6CAF">
        <w:t xml:space="preserve"> </w:t>
      </w:r>
    </w:p>
    <w:p w:rsidR="00A71046" w:rsidRDefault="00A71046" w:rsidP="00A71046">
      <w:pPr>
        <w:pStyle w:val="ListParagraph"/>
      </w:pPr>
    </w:p>
    <w:p w:rsidR="00A51E44" w:rsidRDefault="00A51E44" w:rsidP="00A71046">
      <w:pPr>
        <w:pStyle w:val="ListParagraph"/>
        <w:ind w:left="720" w:firstLine="0"/>
      </w:pPr>
      <w:r>
        <w:t>God is a husband (1:2—3:5)</w:t>
      </w:r>
    </w:p>
    <w:p w:rsidR="0001337B" w:rsidRDefault="0001337B" w:rsidP="00A71046">
      <w:pPr>
        <w:pStyle w:val="ListParagraph"/>
        <w:ind w:left="720" w:firstLine="0"/>
      </w:pPr>
      <w:r>
        <w:t>God is like a moth and like decay (5:12)</w:t>
      </w:r>
    </w:p>
    <w:p w:rsidR="0001337B" w:rsidRDefault="0001337B" w:rsidP="00A71046">
      <w:pPr>
        <w:pStyle w:val="ListParagraph"/>
        <w:ind w:left="720" w:firstLine="0"/>
      </w:pPr>
      <w:r>
        <w:t>God is like a lion and like a cougar (5:14)</w:t>
      </w:r>
    </w:p>
    <w:p w:rsidR="00A51E44" w:rsidRDefault="00A51E44" w:rsidP="00A71046">
      <w:pPr>
        <w:pStyle w:val="ListParagraph"/>
        <w:ind w:left="720" w:firstLine="0"/>
      </w:pPr>
      <w:r>
        <w:t>God is a father (11:1)</w:t>
      </w:r>
    </w:p>
    <w:p w:rsidR="00AA58A0" w:rsidRDefault="00371250" w:rsidP="00A71046">
      <w:pPr>
        <w:pStyle w:val="ListParagraph"/>
        <w:ind w:left="720" w:firstLine="0"/>
      </w:pPr>
      <w:r>
        <w:t>Ephraim is a half-baked pita (7</w:t>
      </w:r>
      <w:r w:rsidR="00AA58A0">
        <w:t>:8)</w:t>
      </w:r>
    </w:p>
    <w:p w:rsidR="00AA58A0" w:rsidRDefault="00AA58A0" w:rsidP="00A71046">
      <w:pPr>
        <w:pStyle w:val="ListParagraph"/>
        <w:ind w:left="720" w:firstLine="0"/>
      </w:pPr>
      <w:r>
        <w:t xml:space="preserve">Ephraim is </w:t>
      </w:r>
      <w:r w:rsidR="00371250">
        <w:t xml:space="preserve">like </w:t>
      </w:r>
      <w:r>
        <w:t>a simple-minded pigeon (7:11)</w:t>
      </w:r>
    </w:p>
    <w:p w:rsidR="00AA58A0" w:rsidRPr="008D15BC" w:rsidRDefault="00AA58A0" w:rsidP="00A71046">
      <w:pPr>
        <w:pStyle w:val="ListParagraph"/>
        <w:ind w:left="720" w:firstLine="0"/>
      </w:pPr>
      <w:r>
        <w:t xml:space="preserve">Ephraim is </w:t>
      </w:r>
      <w:r w:rsidR="00371250">
        <w:t xml:space="preserve">like </w:t>
      </w:r>
      <w:r>
        <w:t>a slack bow (7:16)</w:t>
      </w:r>
    </w:p>
    <w:p w:rsidR="00AA58A0" w:rsidRDefault="00AA58A0" w:rsidP="00AA58A0">
      <w:pPr>
        <w:pStyle w:val="ListParagraph"/>
        <w:ind w:left="360" w:firstLine="0"/>
      </w:pPr>
    </w:p>
    <w:p w:rsidR="009D7AB1" w:rsidRDefault="0017714A" w:rsidP="009D7AB1">
      <w:pPr>
        <w:pStyle w:val="ListParagraph"/>
        <w:ind w:left="0" w:firstLine="0"/>
      </w:pPr>
      <w:r>
        <w:t xml:space="preserve">Metaphors </w:t>
      </w:r>
      <w:r w:rsidR="00DD3A10">
        <w:t xml:space="preserve">and similes </w:t>
      </w:r>
      <w:r w:rsidR="003F1ACB">
        <w:t xml:space="preserve">do more than illustrate things that we knew already. They </w:t>
      </w:r>
      <w:r>
        <w:t xml:space="preserve">enable us to see new things </w:t>
      </w:r>
      <w:r w:rsidR="00E94DFB">
        <w:t>through juxtaposing</w:t>
      </w:r>
      <w:r w:rsidR="0001337B">
        <w:t xml:space="preserve"> realities that do not usually co</w:t>
      </w:r>
      <w:r w:rsidR="00F42D9C">
        <w:t xml:space="preserve">me together. </w:t>
      </w:r>
      <w:r w:rsidR="005E652E">
        <w:t>“</w:t>
      </w:r>
      <w:r w:rsidR="005E652E" w:rsidRPr="005E652E">
        <w:rPr>
          <w:rFonts w:asciiTheme="minorHAnsi" w:eastAsiaTheme="minorHAnsi" w:hAnsiTheme="minorHAnsi" w:cs="TimesNewRomanPSMT"/>
          <w:szCs w:val="22"/>
        </w:rPr>
        <w:t>What the poetry of Hosea</w:t>
      </w:r>
      <w:r w:rsidR="005E652E">
        <w:rPr>
          <w:rFonts w:asciiTheme="minorHAnsi" w:eastAsiaTheme="minorHAnsi" w:hAnsiTheme="minorHAnsi" w:cs="TimesNewRomanPSMT"/>
          <w:szCs w:val="22"/>
        </w:rPr>
        <w:t>—</w:t>
      </w:r>
      <w:r w:rsidR="005E652E" w:rsidRPr="005E652E">
        <w:rPr>
          <w:rFonts w:asciiTheme="minorHAnsi" w:eastAsiaTheme="minorHAnsi" w:hAnsiTheme="minorHAnsi" w:cs="TimesNewRomanPSMT"/>
          <w:szCs w:val="22"/>
        </w:rPr>
        <w:t>poetry that characterizes God—does is to load us with a world that is not available to us</w:t>
      </w:r>
      <w:r w:rsidR="00255A8F">
        <w:rPr>
          <w:rFonts w:asciiTheme="minorHAnsi" w:eastAsiaTheme="minorHAnsi" w:hAnsiTheme="minorHAnsi" w:cs="TimesNewRomanPSMT"/>
          <w:szCs w:val="22"/>
        </w:rPr>
        <w:t xml:space="preserve">… </w:t>
      </w:r>
      <w:r w:rsidR="005E652E" w:rsidRPr="005E652E">
        <w:rPr>
          <w:rFonts w:asciiTheme="minorHAnsi" w:eastAsiaTheme="minorHAnsi" w:hAnsiTheme="minorHAnsi" w:cs="TimesNewRomanPSMT"/>
          <w:szCs w:val="22"/>
        </w:rPr>
        <w:t>u</w:t>
      </w:r>
      <w:r w:rsidR="005E652E">
        <w:rPr>
          <w:rFonts w:asciiTheme="minorHAnsi" w:eastAsiaTheme="minorHAnsi" w:hAnsiTheme="minorHAnsi" w:cs="TimesNewRomanPSMT"/>
          <w:szCs w:val="22"/>
        </w:rPr>
        <w:t>ntil this utterance.”</w:t>
      </w:r>
      <w:r w:rsidR="005E652E">
        <w:rPr>
          <w:rStyle w:val="FootnoteReference"/>
          <w:rFonts w:asciiTheme="minorHAnsi" w:eastAsiaTheme="minorHAnsi" w:hAnsiTheme="minorHAnsi" w:cs="TimesNewRomanPSMT"/>
          <w:szCs w:val="22"/>
        </w:rPr>
        <w:footnoteReference w:id="10"/>
      </w:r>
      <w:r w:rsidR="005E652E">
        <w:rPr>
          <w:rFonts w:asciiTheme="minorHAnsi" w:eastAsiaTheme="minorHAnsi" w:hAnsiTheme="minorHAnsi" w:cs="TimesNewRomanPSMT"/>
          <w:szCs w:val="22"/>
        </w:rPr>
        <w:t xml:space="preserve"> </w:t>
      </w:r>
      <w:r w:rsidR="00255A8F">
        <w:rPr>
          <w:rFonts w:asciiTheme="minorHAnsi" w:hAnsiTheme="minorHAnsi"/>
          <w:szCs w:val="22"/>
        </w:rPr>
        <w:t>Further, i</w:t>
      </w:r>
      <w:r w:rsidR="005E652E">
        <w:rPr>
          <w:rFonts w:asciiTheme="minorHAnsi" w:hAnsiTheme="minorHAnsi"/>
          <w:szCs w:val="22"/>
        </w:rPr>
        <w:t>mages</w:t>
      </w:r>
      <w:r w:rsidR="00F42D9C" w:rsidRPr="005E652E">
        <w:rPr>
          <w:rFonts w:asciiTheme="minorHAnsi" w:hAnsiTheme="minorHAnsi"/>
          <w:szCs w:val="22"/>
        </w:rPr>
        <w:t xml:space="preserve"> presuppose,</w:t>
      </w:r>
      <w:r w:rsidR="0001337B" w:rsidRPr="005E652E">
        <w:rPr>
          <w:rFonts w:asciiTheme="minorHAnsi" w:hAnsiTheme="minorHAnsi"/>
          <w:szCs w:val="22"/>
        </w:rPr>
        <w:t xml:space="preserve"> testify to</w:t>
      </w:r>
      <w:r w:rsidR="00F42D9C" w:rsidRPr="005E652E">
        <w:rPr>
          <w:rFonts w:asciiTheme="minorHAnsi" w:hAnsiTheme="minorHAnsi"/>
          <w:szCs w:val="22"/>
        </w:rPr>
        <w:t>,</w:t>
      </w:r>
      <w:r w:rsidR="0001337B" w:rsidRPr="005E652E">
        <w:rPr>
          <w:rFonts w:asciiTheme="minorHAnsi" w:hAnsiTheme="minorHAnsi"/>
          <w:szCs w:val="22"/>
        </w:rPr>
        <w:t xml:space="preserve"> and evidence the one</w:t>
      </w:r>
      <w:r w:rsidR="00F42D9C" w:rsidRPr="005E652E">
        <w:rPr>
          <w:rFonts w:asciiTheme="minorHAnsi" w:hAnsiTheme="minorHAnsi"/>
          <w:szCs w:val="22"/>
        </w:rPr>
        <w:t>nes</w:t>
      </w:r>
      <w:r w:rsidR="0001337B" w:rsidRPr="005E652E">
        <w:rPr>
          <w:rFonts w:asciiTheme="minorHAnsi" w:hAnsiTheme="minorHAnsi"/>
          <w:szCs w:val="22"/>
        </w:rPr>
        <w:t>s of the reality</w:t>
      </w:r>
      <w:r w:rsidR="00F42D9C" w:rsidRPr="005E652E">
        <w:rPr>
          <w:rFonts w:asciiTheme="minorHAnsi" w:hAnsiTheme="minorHAnsi"/>
          <w:szCs w:val="22"/>
        </w:rPr>
        <w:t xml:space="preserve"> that they</w:t>
      </w:r>
      <w:r w:rsidR="00E94DFB">
        <w:rPr>
          <w:rFonts w:asciiTheme="minorHAnsi" w:hAnsiTheme="minorHAnsi"/>
          <w:szCs w:val="22"/>
        </w:rPr>
        <w:t xml:space="preserve"> describe</w:t>
      </w:r>
      <w:r w:rsidR="009E4675">
        <w:rPr>
          <w:rFonts w:asciiTheme="minorHAnsi" w:hAnsiTheme="minorHAnsi"/>
          <w:szCs w:val="22"/>
        </w:rPr>
        <w:t>. I</w:t>
      </w:r>
      <w:r w:rsidR="00F42D9C" w:rsidRPr="00F42D9C">
        <w:t>n a strange way,</w:t>
      </w:r>
      <w:r w:rsidR="00F42D9C">
        <w:t xml:space="preserve"> </w:t>
      </w:r>
      <w:r w:rsidR="0001337B">
        <w:t xml:space="preserve">for the same reason </w:t>
      </w:r>
      <w:r w:rsidR="003F1ACB">
        <w:t>the difference between the two realities</w:t>
      </w:r>
      <w:r w:rsidR="0001337B">
        <w:t xml:space="preserve"> </w:t>
      </w:r>
      <w:r w:rsidR="00F42D9C">
        <w:t xml:space="preserve">means </w:t>
      </w:r>
      <w:r w:rsidR="009E4675">
        <w:t>that images</w:t>
      </w:r>
      <w:r w:rsidR="00255A8F">
        <w:t xml:space="preserve"> also obscure things in the sense of</w:t>
      </w:r>
      <w:r w:rsidR="00E94DFB">
        <w:t xml:space="preserve"> making</w:t>
      </w:r>
      <w:r w:rsidR="0001337B">
        <w:t xml:space="preserve"> them more mysterious. </w:t>
      </w:r>
      <w:r w:rsidR="00E94DFB">
        <w:t>Images</w:t>
      </w:r>
      <w:r w:rsidR="00A51E44">
        <w:t xml:space="preserve"> are confusing. God uses human images but points out that he is not human (11:9).</w:t>
      </w:r>
    </w:p>
    <w:p w:rsidR="009D7AB1" w:rsidRDefault="005E49DC" w:rsidP="009D7AB1">
      <w:r>
        <w:t>Hosea’s poetry</w:t>
      </w:r>
      <w:r w:rsidR="00F7163E">
        <w:t xml:space="preserve"> mines the poten</w:t>
      </w:r>
      <w:r>
        <w:t>tial of words, especially in the</w:t>
      </w:r>
      <w:r w:rsidR="00F7163E">
        <w:t xml:space="preserve"> use of paronomasia</w:t>
      </w:r>
      <w:r>
        <w:t xml:space="preserve"> (see e.g., 3:3-5; 4:</w:t>
      </w:r>
      <w:r w:rsidR="00736E33">
        <w:t>16-</w:t>
      </w:r>
      <w:r>
        <w:t xml:space="preserve">18; </w:t>
      </w:r>
      <w:r w:rsidR="005D72EC">
        <w:t>7:16</w:t>
      </w:r>
      <w:r>
        <w:t xml:space="preserve">; 8:7; </w:t>
      </w:r>
      <w:r w:rsidR="00736E33">
        <w:t>9:3; 10:9; 12:4; 14:8 [9], with the notes and the comments). Paronomasia characteristically involves the juxtap</w:t>
      </w:r>
      <w:r w:rsidR="00255A8F">
        <w:t xml:space="preserve">osition of words that are </w:t>
      </w:r>
      <w:r w:rsidR="00E94DFB">
        <w:t>similar,</w:t>
      </w:r>
      <w:r w:rsidR="00736E33">
        <w:t xml:space="preserve"> though unrelated in etymology and meaning. It thereby suggests links between the realities to which they refer, or (paradoxically) </w:t>
      </w:r>
      <w:r w:rsidR="00255A8F">
        <w:t xml:space="preserve">suggests </w:t>
      </w:r>
      <w:r w:rsidR="00736E33">
        <w:t xml:space="preserve">contrasts between </w:t>
      </w:r>
      <w:r w:rsidR="00E94DFB">
        <w:t>things that perhaps should be</w:t>
      </w:r>
      <w:r w:rsidR="00736E33">
        <w:t xml:space="preserve"> related. </w:t>
      </w:r>
      <w:r w:rsidR="005D72EC">
        <w:t>In a number of examples Hosea’s paronomasia in</w:t>
      </w:r>
      <w:r w:rsidR="00E94DFB">
        <w:t>volves his using</w:t>
      </w:r>
      <w:r w:rsidR="005D72EC">
        <w:t xml:space="preserve"> w</w:t>
      </w:r>
      <w:r w:rsidR="00E94DFB">
        <w:t xml:space="preserve">ords in distinctive ways or using unusual forms of words, another practice that </w:t>
      </w:r>
      <w:r w:rsidR="005D72EC">
        <w:t>make</w:t>
      </w:r>
      <w:r w:rsidR="00E94DFB">
        <w:t xml:space="preserve">s it necessary </w:t>
      </w:r>
      <w:r w:rsidR="005D72EC">
        <w:t xml:space="preserve">to resist the temptation to suspect the text or conform it to more usual usage (e.g., </w:t>
      </w:r>
      <w:r w:rsidR="005D72EC">
        <w:lastRenderedPageBreak/>
        <w:t xml:space="preserve">2:12 [14]; 5:2; 8:4).  </w:t>
      </w:r>
      <w:r w:rsidR="00736E33">
        <w:t xml:space="preserve">Related to paronomasia is the use of metonymy </w:t>
      </w:r>
      <w:r w:rsidR="003E0E7E">
        <w:t xml:space="preserve">(e.g., 9:2; 14:5, 6 [6, 7]) </w:t>
      </w:r>
      <w:r w:rsidR="00736E33">
        <w:t>and of irony</w:t>
      </w:r>
      <w:r w:rsidR="003E0E7E">
        <w:t xml:space="preserve"> (e.g., 2:7 [9]; 4:13; 5:3; 8:3; 9:16; 13:2-3; 14:9 [10]).</w:t>
      </w:r>
      <w:r w:rsidR="00C022C9">
        <w:rPr>
          <w:rStyle w:val="FootnoteReference"/>
        </w:rPr>
        <w:footnoteReference w:id="11"/>
      </w:r>
    </w:p>
    <w:p w:rsidR="0034395B" w:rsidRPr="009D7AB1" w:rsidRDefault="00846E2E" w:rsidP="009D7AB1">
      <w:r>
        <w:rPr>
          <w:rFonts w:eastAsia="Times New Roman"/>
        </w:rPr>
        <w:t>The nature of poetry is to explore, to draw attention to things, to defamiliarize in order that people may see things in a new way or for th</w:t>
      </w:r>
      <w:r w:rsidR="001055FD">
        <w:rPr>
          <w:rFonts w:eastAsia="Times New Roman"/>
        </w:rPr>
        <w:t>e first time. In this sense, it</w:t>
      </w:r>
      <w:r>
        <w:rPr>
          <w:rFonts w:eastAsia="Times New Roman"/>
        </w:rPr>
        <w:t xml:space="preserve">s </w:t>
      </w:r>
      <w:r w:rsidR="001055FD">
        <w:rPr>
          <w:rFonts w:eastAsia="Times New Roman"/>
        </w:rPr>
        <w:t xml:space="preserve">aim is </w:t>
      </w:r>
      <w:r>
        <w:rPr>
          <w:rFonts w:eastAsia="Times New Roman"/>
        </w:rPr>
        <w:t>not to persuade people to do something.</w:t>
      </w:r>
      <w:r>
        <w:rPr>
          <w:rStyle w:val="FootnoteReference"/>
          <w:rFonts w:eastAsia="Times New Roman"/>
        </w:rPr>
        <w:footnoteReference w:id="12"/>
      </w:r>
      <w:r>
        <w:rPr>
          <w:rFonts w:eastAsia="Times New Roman"/>
        </w:rPr>
        <w:t xml:space="preserve"> </w:t>
      </w:r>
      <w:r w:rsidR="000B672A">
        <w:rPr>
          <w:rFonts w:eastAsia="Times New Roman"/>
        </w:rPr>
        <w:t xml:space="preserve">Yet Hosea’s </w:t>
      </w:r>
      <w:r w:rsidR="001055FD">
        <w:rPr>
          <w:rFonts w:eastAsia="Times New Roman"/>
        </w:rPr>
        <w:t xml:space="preserve">own </w:t>
      </w:r>
      <w:r w:rsidR="000B672A">
        <w:rPr>
          <w:rFonts w:eastAsia="Times New Roman"/>
        </w:rPr>
        <w:t>aim is not simply to get his people to see. It</w:t>
      </w:r>
      <w:r w:rsidR="001055FD">
        <w:rPr>
          <w:rFonts w:eastAsia="Times New Roman"/>
        </w:rPr>
        <w:t xml:space="preserve"> is to drive them</w:t>
      </w:r>
      <w:r w:rsidR="0034395B">
        <w:rPr>
          <w:rFonts w:eastAsia="Times New Roman"/>
        </w:rPr>
        <w:t xml:space="preserve"> to turn back to Yahw</w:t>
      </w:r>
      <w:r w:rsidR="00876FC1">
        <w:rPr>
          <w:rFonts w:eastAsia="Times New Roman"/>
        </w:rPr>
        <w:t>eh and thus</w:t>
      </w:r>
      <w:r w:rsidR="0034395B">
        <w:rPr>
          <w:rFonts w:eastAsia="Times New Roman"/>
        </w:rPr>
        <w:t xml:space="preserve"> </w:t>
      </w:r>
      <w:r w:rsidR="00876FC1">
        <w:rPr>
          <w:rFonts w:eastAsia="Times New Roman"/>
        </w:rPr>
        <w:t>deal with the issues he identifies in its life</w:t>
      </w:r>
      <w:r w:rsidR="0034395B">
        <w:rPr>
          <w:rFonts w:eastAsia="Times New Roman"/>
        </w:rPr>
        <w:t>. He again shares this aim with Deuteronomy but has a different strategy for achieving it. While imperatives play a role in 4:1</w:t>
      </w:r>
      <w:r w:rsidR="00876FC1">
        <w:rPr>
          <w:rFonts w:eastAsia="Times New Roman"/>
        </w:rPr>
        <w:t>—9:9 and especially in his final</w:t>
      </w:r>
      <w:r w:rsidR="001055FD">
        <w:rPr>
          <w:rFonts w:eastAsia="Times New Roman"/>
        </w:rPr>
        <w:t xml:space="preserve"> exhortation in 14:1-8 [2-9], Hosea more often seeks to achieve his aim</w:t>
      </w:r>
      <w:r w:rsidR="00876FC1">
        <w:rPr>
          <w:rFonts w:eastAsia="Times New Roman"/>
        </w:rPr>
        <w:t xml:space="preserve"> by running confrontation or critique, by retellings of Isr</w:t>
      </w:r>
      <w:r w:rsidR="00D712C1">
        <w:rPr>
          <w:rFonts w:eastAsia="Times New Roman"/>
        </w:rPr>
        <w:t>ael’s story</w:t>
      </w:r>
      <w:r w:rsidR="00876FC1">
        <w:rPr>
          <w:rFonts w:eastAsia="Times New Roman"/>
        </w:rPr>
        <w:t>, and by threats of punishment.</w:t>
      </w:r>
    </w:p>
    <w:p w:rsidR="0034395B" w:rsidRDefault="0034395B" w:rsidP="00A564B7">
      <w:pPr>
        <w:pStyle w:val="NoSpacing"/>
        <w:rPr>
          <w:rFonts w:eastAsia="Times New Roman"/>
        </w:rPr>
      </w:pPr>
    </w:p>
    <w:p w:rsidR="003E718F" w:rsidRDefault="00C60F4B" w:rsidP="00876FC1">
      <w:pPr>
        <w:pStyle w:val="Quote"/>
        <w:rPr>
          <w:rFonts w:eastAsia="Times New Roman"/>
        </w:rPr>
      </w:pPr>
      <w:r>
        <w:rPr>
          <w:rFonts w:eastAsia="Times New Roman"/>
        </w:rPr>
        <w:t xml:space="preserve">The reason why the God of all threatens punishment… is not to inflict it on those he threatens but to strike them </w:t>
      </w:r>
      <w:r w:rsidRPr="00C60F4B">
        <w:rPr>
          <w:rFonts w:eastAsia="Times New Roman"/>
        </w:rPr>
        <w:t>with fear and lead them to repentance</w:t>
      </w:r>
      <w:r>
        <w:rPr>
          <w:rFonts w:eastAsia="Times New Roman"/>
        </w:rPr>
        <w:t>, and by ridding them of their wicked behavior extend to them salvation. After all, if he wanted to punish, he would not threaten punishment; instead, by threatening he makes clear that he lo</w:t>
      </w:r>
      <w:r w:rsidR="00876FC1">
        <w:rPr>
          <w:rFonts w:eastAsia="Times New Roman"/>
        </w:rPr>
        <w:t>n</w:t>
      </w:r>
      <w:r w:rsidR="00B75873">
        <w:rPr>
          <w:rFonts w:eastAsia="Times New Roman"/>
        </w:rPr>
        <w:t>gs to save and not to punish.</w:t>
      </w:r>
      <w:r>
        <w:rPr>
          <w:rStyle w:val="FootnoteReference"/>
          <w:rFonts w:eastAsia="Times New Roman"/>
        </w:rPr>
        <w:footnoteReference w:id="13"/>
      </w:r>
    </w:p>
    <w:p w:rsidR="00C60F4B" w:rsidRDefault="00C60F4B" w:rsidP="00A564B7">
      <w:pPr>
        <w:pStyle w:val="NoSpacing"/>
        <w:rPr>
          <w:rFonts w:eastAsia="Times New Roman"/>
        </w:rPr>
      </w:pPr>
    </w:p>
    <w:p w:rsidR="001055FD" w:rsidRDefault="00876FC1" w:rsidP="001055FD">
      <w:pPr>
        <w:rPr>
          <w:rFonts w:eastAsia="Times New Roman"/>
        </w:rPr>
      </w:pPr>
      <w:r>
        <w:rPr>
          <w:rFonts w:eastAsia="Times New Roman"/>
        </w:rPr>
        <w:t xml:space="preserve">A converse role is played by promises. Prophets always have to deal thoughtfully or subtly with the relationship of threat and promise. Unmitigated threat may get them nowhere and </w:t>
      </w:r>
      <w:r w:rsidR="001055FD">
        <w:rPr>
          <w:rFonts w:eastAsia="Times New Roman"/>
        </w:rPr>
        <w:t xml:space="preserve">it </w:t>
      </w:r>
      <w:r>
        <w:rPr>
          <w:rFonts w:eastAsia="Times New Roman"/>
        </w:rPr>
        <w:t>risks compromising the truth, given that Yahweh does not finally</w:t>
      </w:r>
      <w:r w:rsidR="00F9573C">
        <w:rPr>
          <w:rFonts w:eastAsia="Times New Roman"/>
        </w:rPr>
        <w:t xml:space="preserve"> intend to destroy his people. But t</w:t>
      </w:r>
      <w:r>
        <w:rPr>
          <w:rFonts w:eastAsia="Times New Roman"/>
        </w:rPr>
        <w:t xml:space="preserve">oo much promising takes the edge off the threat. In Hosea promise is prominent in 1:2b—3:5 and in 14:1-8 [2-9]. </w:t>
      </w:r>
      <w:r w:rsidR="00D712C1">
        <w:rPr>
          <w:rFonts w:eastAsia="Times New Roman"/>
        </w:rPr>
        <w:t>I take this closing emphasis on promise</w:t>
      </w:r>
      <w:r w:rsidR="00F9573C">
        <w:rPr>
          <w:rFonts w:eastAsia="Times New Roman"/>
        </w:rPr>
        <w:t xml:space="preserve"> to fit the role of this closing</w:t>
      </w:r>
      <w:r w:rsidR="00B76D04">
        <w:rPr>
          <w:rFonts w:eastAsia="Times New Roman"/>
        </w:rPr>
        <w:t xml:space="preserve"> exhortation in the scroll in making one final attempt to pull Ephraim to turn back. I take 1:2b—3:5 as reflecting his message as formulated by him for his disciples and/or by them when the threats have been fulfilled.</w:t>
      </w:r>
    </w:p>
    <w:p w:rsidR="00E16AC3" w:rsidRPr="00E16AC3" w:rsidRDefault="00E16AC3" w:rsidP="001D3546">
      <w:pPr>
        <w:pStyle w:val="Heading2"/>
      </w:pPr>
      <w:r w:rsidRPr="00E16AC3">
        <w:t>Structure and Outline</w:t>
      </w:r>
    </w:p>
    <w:p w:rsidR="00217919" w:rsidRPr="009501A1" w:rsidRDefault="0038706C" w:rsidP="00F50077">
      <w:r>
        <w:t>W</w:t>
      </w:r>
      <w:r w:rsidR="00B2782E">
        <w:t>hereas</w:t>
      </w:r>
      <w:r w:rsidR="001B7F0F">
        <w:t xml:space="preserve"> there is</w:t>
      </w:r>
      <w:r>
        <w:t xml:space="preserve"> broad agree</w:t>
      </w:r>
      <w:r w:rsidR="00E74BCF">
        <w:t>m</w:t>
      </w:r>
      <w:r w:rsidR="00F9573C">
        <w:t>ent about the structure of some</w:t>
      </w:r>
      <w:r w:rsidR="00E24C1F">
        <w:t xml:space="preserve"> prophetic books, for Hosea</w:t>
      </w:r>
      <w:r w:rsidR="00D25281">
        <w:t xml:space="preserve"> </w:t>
      </w:r>
      <w:r w:rsidRPr="0038706C">
        <w:t>there are as many understandi</w:t>
      </w:r>
      <w:r>
        <w:t xml:space="preserve">ngs </w:t>
      </w:r>
      <w:r w:rsidR="00D25281">
        <w:t>as there are scholars writing</w:t>
      </w:r>
      <w:r>
        <w:t xml:space="preserve"> on the subject</w:t>
      </w:r>
      <w:r w:rsidR="00D25281">
        <w:t xml:space="preserve">. </w:t>
      </w:r>
      <w:r w:rsidR="00E74BCF">
        <w:t xml:space="preserve">As a scholar, my natural instinct is therefore to declare, “At last! I can tell you the answer to the question that has defeated everyone </w:t>
      </w:r>
      <w:r w:rsidR="00A92136">
        <w:t xml:space="preserve">else.” And/or I might infer that </w:t>
      </w:r>
      <w:r w:rsidR="00D25281">
        <w:t>Hosea was not thinking in terms of a structu</w:t>
      </w:r>
      <w:r w:rsidR="006C4E33">
        <w:t>re when he dictated the scroll, so that a</w:t>
      </w:r>
      <w:r w:rsidR="00A92136">
        <w:t>nalyzing it</w:t>
      </w:r>
      <w:r>
        <w:t xml:space="preserve">s structure </w:t>
      </w:r>
      <w:r w:rsidR="006C4E33">
        <w:t>might be compared to</w:t>
      </w:r>
      <w:r>
        <w:t xml:space="preserve"> describing</w:t>
      </w:r>
      <w:r w:rsidR="00D25281">
        <w:t xml:space="preserve"> </w:t>
      </w:r>
      <w:r w:rsidR="006C4E33">
        <w:t xml:space="preserve">the form of </w:t>
      </w:r>
      <w:r w:rsidR="00D25281">
        <w:t xml:space="preserve">a painting. There is no one right answer; many </w:t>
      </w:r>
      <w:r>
        <w:t xml:space="preserve">descriptions or </w:t>
      </w:r>
      <w:r w:rsidR="00D25281">
        <w:t>analyse</w:t>
      </w:r>
      <w:r>
        <w:t xml:space="preserve">s will be illuminating; </w:t>
      </w:r>
      <w:r w:rsidR="006C4E33">
        <w:t xml:space="preserve">and </w:t>
      </w:r>
      <w:r>
        <w:t>they</w:t>
      </w:r>
      <w:r w:rsidR="00D25281">
        <w:t xml:space="preserve"> interweave with interpretations of the text.</w:t>
      </w:r>
      <w:r w:rsidR="00D25281">
        <w:rPr>
          <w:rStyle w:val="FootnoteReference"/>
        </w:rPr>
        <w:footnoteReference w:id="14"/>
      </w:r>
      <w:r w:rsidR="00301E26">
        <w:t xml:space="preserve"> </w:t>
      </w:r>
      <w:r w:rsidR="00672210">
        <w:t>M</w:t>
      </w:r>
      <w:r w:rsidR="00E74BCF">
        <w:t>y</w:t>
      </w:r>
      <w:r>
        <w:t xml:space="preserve"> account of the </w:t>
      </w:r>
      <w:r w:rsidR="006C4E33">
        <w:t xml:space="preserve">Hosea </w:t>
      </w:r>
      <w:r w:rsidR="00301E26">
        <w:t xml:space="preserve">scroll’s </w:t>
      </w:r>
      <w:r w:rsidR="00672210">
        <w:t>structure</w:t>
      </w:r>
      <w:r w:rsidR="00993CE4">
        <w:rPr>
          <w:rStyle w:val="FootnoteReference"/>
        </w:rPr>
        <w:footnoteReference w:id="15"/>
      </w:r>
      <w:r w:rsidR="00672210">
        <w:t xml:space="preserve"> </w:t>
      </w:r>
      <w:r w:rsidR="00301E26">
        <w:t>take</w:t>
      </w:r>
      <w:r w:rsidR="00E74BCF">
        <w:t xml:space="preserve">s up </w:t>
      </w:r>
      <w:r w:rsidR="00B2782E">
        <w:t>what I think ar</w:t>
      </w:r>
      <w:r w:rsidR="00672210">
        <w:t xml:space="preserve">e key </w:t>
      </w:r>
      <w:r w:rsidR="00E74BCF">
        <w:t xml:space="preserve">aspects of its nature, and </w:t>
      </w:r>
      <w:r w:rsidR="006C4E33">
        <w:t xml:space="preserve">it </w:t>
      </w:r>
      <w:r w:rsidR="00E74BCF">
        <w:t xml:space="preserve">is either </w:t>
      </w:r>
      <w:r w:rsidR="00E74BCF">
        <w:rPr>
          <w:i/>
        </w:rPr>
        <w:t>the</w:t>
      </w:r>
      <w:r w:rsidR="00E74BCF">
        <w:t xml:space="preserve"> answer, or </w:t>
      </w:r>
      <w:r w:rsidR="00E74BCF">
        <w:rPr>
          <w:i/>
        </w:rPr>
        <w:t>one</w:t>
      </w:r>
      <w:r w:rsidR="00E74BCF">
        <w:t xml:space="preserve"> illuminating answer.</w:t>
      </w:r>
    </w:p>
    <w:p w:rsidR="00D25281" w:rsidRDefault="00D25281" w:rsidP="00E16AC3">
      <w:pPr>
        <w:pStyle w:val="Default"/>
        <w:rPr>
          <w:rFonts w:asciiTheme="minorHAnsi" w:hAnsiTheme="minorHAnsi"/>
          <w:sz w:val="22"/>
          <w:szCs w:val="22"/>
        </w:rPr>
      </w:pPr>
    </w:p>
    <w:p w:rsidR="006B6063" w:rsidRDefault="00E16AC3" w:rsidP="006B6063">
      <w:pPr>
        <w:pStyle w:val="NoSpacing"/>
      </w:pPr>
      <w:r w:rsidRPr="007E525C">
        <w:t>1:1</w:t>
      </w:r>
      <w:r w:rsidRPr="007E525C">
        <w:tab/>
      </w:r>
      <w:r w:rsidR="001F3349">
        <w:tab/>
      </w:r>
      <w:r w:rsidR="00F9573C">
        <w:t>Prefatory</w:t>
      </w:r>
      <w:r w:rsidR="00965D5C">
        <w:t xml:space="preserve"> notes</w:t>
      </w:r>
      <w:r w:rsidR="006B6063">
        <w:t>:  the opening of</w:t>
      </w:r>
      <w:r w:rsidR="001F3349">
        <w:t xml:space="preserve"> a frame around the scroll suggesting</w:t>
      </w:r>
      <w:r w:rsidR="006B6063">
        <w:t xml:space="preserve"> how to </w:t>
      </w:r>
      <w:r w:rsidR="002427EF">
        <w:t xml:space="preserve">read </w:t>
      </w:r>
      <w:r w:rsidR="006B6063">
        <w:t>it</w:t>
      </w:r>
      <w:r w:rsidR="001F3349">
        <w:t>.</w:t>
      </w:r>
    </w:p>
    <w:p w:rsidR="00CA4AAF" w:rsidRPr="007E525C" w:rsidRDefault="00CA4AAF" w:rsidP="00E16AC3">
      <w:pPr>
        <w:pStyle w:val="Default"/>
        <w:rPr>
          <w:rFonts w:asciiTheme="minorHAnsi" w:hAnsiTheme="minorHAnsi"/>
          <w:sz w:val="22"/>
          <w:szCs w:val="22"/>
        </w:rPr>
      </w:pPr>
    </w:p>
    <w:p w:rsidR="00A84C06" w:rsidRPr="00A84C06" w:rsidRDefault="00E16AC3" w:rsidP="00A84C06">
      <w:pPr>
        <w:pStyle w:val="NoSpacing"/>
        <w:ind w:left="1440" w:hanging="1440"/>
      </w:pPr>
      <w:r w:rsidRPr="007E525C">
        <w:t>1:2—3:5</w:t>
      </w:r>
      <w:r w:rsidRPr="007E525C">
        <w:tab/>
      </w:r>
      <w:r w:rsidR="00F17667">
        <w:t>The fir</w:t>
      </w:r>
      <w:r w:rsidR="00672210">
        <w:t>st thre</w:t>
      </w:r>
      <w:r w:rsidR="00F9573C">
        <w:t xml:space="preserve">e chapters of the scroll, </w:t>
      </w:r>
      <w:r w:rsidR="00F17667">
        <w:t>diverse in form</w:t>
      </w:r>
      <w:r w:rsidR="00F9573C">
        <w:t>, but having</w:t>
      </w:r>
      <w:r w:rsidR="00672210">
        <w:t xml:space="preserve"> in common</w:t>
      </w:r>
      <w:r w:rsidR="00F17667">
        <w:t xml:space="preserve"> that each comprises a critique of Ephraim (with a side look at Judah), a declaration about discipline to come, and a promise about restoration. It is the prominence of this last feature in all three sections that distinguishes chapters 1—3 and points to their significance in the scroll as a whole. They </w:t>
      </w:r>
      <w:r w:rsidR="009501A1">
        <w:t xml:space="preserve">provide a </w:t>
      </w:r>
      <w:r w:rsidR="00A84C06">
        <w:t xml:space="preserve">shocking yet </w:t>
      </w:r>
      <w:r w:rsidR="009501A1">
        <w:t>hopef</w:t>
      </w:r>
      <w:r w:rsidR="00F17667">
        <w:t>ul introduction</w:t>
      </w:r>
      <w:r w:rsidR="00A84C06">
        <w:t xml:space="preserve"> to </w:t>
      </w:r>
      <w:r w:rsidR="00A84C06">
        <w:lastRenderedPageBreak/>
        <w:t>the main body of the scroll and invite</w:t>
      </w:r>
      <w:r w:rsidR="00A84C06" w:rsidRPr="00A84C06">
        <w:t xml:space="preserve"> its hearers to listen to the rest of the scroll in </w:t>
      </w:r>
      <w:r w:rsidR="00A84C06">
        <w:t>light of it</w:t>
      </w:r>
      <w:r w:rsidR="00A84C06" w:rsidRPr="00A84C06">
        <w:t>.</w:t>
      </w:r>
    </w:p>
    <w:p w:rsidR="00672210" w:rsidRDefault="00672210" w:rsidP="00672210">
      <w:pPr>
        <w:pStyle w:val="Default"/>
        <w:ind w:left="1440"/>
        <w:rPr>
          <w:rFonts w:asciiTheme="minorHAnsi" w:hAnsiTheme="minorHAnsi"/>
          <w:sz w:val="22"/>
          <w:szCs w:val="22"/>
        </w:rPr>
      </w:pPr>
    </w:p>
    <w:p w:rsidR="00965D5C" w:rsidRDefault="00965D5C" w:rsidP="00672210">
      <w:pPr>
        <w:pStyle w:val="Default"/>
        <w:ind w:left="2880" w:hanging="1440"/>
        <w:rPr>
          <w:rFonts w:asciiTheme="minorHAnsi" w:hAnsiTheme="minorHAnsi"/>
          <w:sz w:val="22"/>
          <w:szCs w:val="22"/>
        </w:rPr>
      </w:pPr>
      <w:r>
        <w:rPr>
          <w:rFonts w:asciiTheme="minorHAnsi" w:hAnsiTheme="minorHAnsi"/>
          <w:sz w:val="22"/>
          <w:szCs w:val="22"/>
        </w:rPr>
        <w:t>1:2a</w:t>
      </w:r>
      <w:r>
        <w:rPr>
          <w:rFonts w:asciiTheme="minorHAnsi" w:hAnsiTheme="minorHAnsi"/>
          <w:sz w:val="22"/>
          <w:szCs w:val="22"/>
        </w:rPr>
        <w:tab/>
        <w:t>An introduction to these opening chapters</w:t>
      </w:r>
    </w:p>
    <w:p w:rsidR="002853AD" w:rsidRDefault="00965D5C" w:rsidP="00672210">
      <w:pPr>
        <w:pStyle w:val="Default"/>
        <w:ind w:left="2880" w:hanging="1440"/>
        <w:rPr>
          <w:rFonts w:asciiTheme="minorHAnsi" w:hAnsiTheme="minorHAnsi"/>
          <w:sz w:val="22"/>
          <w:szCs w:val="22"/>
        </w:rPr>
      </w:pPr>
      <w:r>
        <w:rPr>
          <w:rFonts w:asciiTheme="minorHAnsi" w:hAnsiTheme="minorHAnsi"/>
          <w:sz w:val="22"/>
          <w:szCs w:val="22"/>
        </w:rPr>
        <w:t>1:2b</w:t>
      </w:r>
      <w:r w:rsidR="002853AD">
        <w:rPr>
          <w:rFonts w:asciiTheme="minorHAnsi" w:hAnsiTheme="minorHAnsi"/>
          <w:sz w:val="22"/>
          <w:szCs w:val="22"/>
        </w:rPr>
        <w:t>—2:1 [3]</w:t>
      </w:r>
      <w:r w:rsidR="002853AD">
        <w:rPr>
          <w:rFonts w:asciiTheme="minorHAnsi" w:hAnsiTheme="minorHAnsi"/>
          <w:sz w:val="22"/>
          <w:szCs w:val="22"/>
        </w:rPr>
        <w:tab/>
      </w:r>
      <w:r w:rsidR="006C4E33">
        <w:rPr>
          <w:rFonts w:asciiTheme="minorHAnsi" w:hAnsiTheme="minorHAnsi"/>
          <w:sz w:val="22"/>
          <w:szCs w:val="22"/>
        </w:rPr>
        <w:t>A story about Hosea and his family</w:t>
      </w:r>
      <w:r w:rsidR="00672210">
        <w:rPr>
          <w:rFonts w:asciiTheme="minorHAnsi" w:hAnsiTheme="minorHAnsi"/>
          <w:sz w:val="22"/>
          <w:szCs w:val="22"/>
        </w:rPr>
        <w:t xml:space="preserve"> incorporating some semi-independent prophecies</w:t>
      </w:r>
    </w:p>
    <w:p w:rsidR="002853AD" w:rsidRDefault="002853AD" w:rsidP="00E16AC3">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672210">
        <w:rPr>
          <w:rFonts w:asciiTheme="minorHAnsi" w:hAnsiTheme="minorHAnsi"/>
          <w:sz w:val="22"/>
          <w:szCs w:val="22"/>
        </w:rPr>
        <w:t>2:2-23 [4-25]</w:t>
      </w:r>
      <w:r w:rsidR="00672210">
        <w:rPr>
          <w:rFonts w:asciiTheme="minorHAnsi" w:hAnsiTheme="minorHAnsi"/>
          <w:sz w:val="22"/>
          <w:szCs w:val="22"/>
        </w:rPr>
        <w:tab/>
        <w:t>A longer sustained address</w:t>
      </w:r>
    </w:p>
    <w:p w:rsidR="002853AD" w:rsidRPr="002853AD" w:rsidRDefault="002853AD" w:rsidP="002853AD">
      <w:pPr>
        <w:pStyle w:val="NoSpacing"/>
      </w:pPr>
      <w:r>
        <w:tab/>
      </w:r>
      <w:r>
        <w:tab/>
        <w:t>3:1-5</w:t>
      </w:r>
      <w:r>
        <w:tab/>
      </w:r>
      <w:r>
        <w:tab/>
      </w:r>
      <w:r w:rsidR="00672210">
        <w:t>A story about Hosea and his wife as told by Hosea</w:t>
      </w:r>
    </w:p>
    <w:p w:rsidR="002853AD" w:rsidRPr="007E525C" w:rsidRDefault="002853AD" w:rsidP="00E16AC3">
      <w:pPr>
        <w:pStyle w:val="Default"/>
        <w:rPr>
          <w:rFonts w:asciiTheme="minorHAnsi" w:hAnsiTheme="minorHAnsi"/>
          <w:sz w:val="22"/>
          <w:szCs w:val="22"/>
        </w:rPr>
      </w:pPr>
    </w:p>
    <w:p w:rsidR="00672210" w:rsidRPr="00672210" w:rsidRDefault="00E16AC3" w:rsidP="00672210">
      <w:pPr>
        <w:pStyle w:val="NoSpacing"/>
      </w:pPr>
      <w:r w:rsidRPr="007E525C">
        <w:t>4:1—</w:t>
      </w:r>
      <w:r w:rsidR="00610097">
        <w:t>9:9</w:t>
      </w:r>
      <w:r w:rsidR="00610097">
        <w:tab/>
      </w:r>
      <w:r w:rsidR="009501A1">
        <w:t xml:space="preserve">A sequence of </w:t>
      </w:r>
      <w:r w:rsidR="00672210">
        <w:t>c</w:t>
      </w:r>
      <w:r w:rsidR="006C4E33">
        <w:t>hallenges to pay attention that</w:t>
      </w:r>
      <w:r w:rsidR="00672210">
        <w:t xml:space="preserve"> introduce the sections that follow, </w:t>
      </w:r>
      <w:r w:rsidR="00217FCF">
        <w:t>with</w:t>
      </w:r>
      <w:r w:rsidR="00610097">
        <w:t xml:space="preserve"> </w:t>
      </w:r>
      <w:r w:rsidR="00672210">
        <w:tab/>
      </w:r>
      <w:r w:rsidR="00672210">
        <w:tab/>
      </w:r>
      <w:r w:rsidR="006C4E33">
        <w:tab/>
      </w:r>
      <w:r w:rsidR="00610097">
        <w:t>a puzzled question</w:t>
      </w:r>
      <w:r w:rsidR="00217FCF">
        <w:t xml:space="preserve"> at the center</w:t>
      </w:r>
      <w:r w:rsidR="00672210">
        <w:t xml:space="preserve">. </w:t>
      </w:r>
      <w:r w:rsidR="006C4E33">
        <w:t xml:space="preserve">Each </w:t>
      </w:r>
      <w:r w:rsidR="00672210" w:rsidRPr="00672210">
        <w:t>bidding leads into an indictment and a warning</w:t>
      </w:r>
      <w:r w:rsidR="00672210">
        <w:t>.</w:t>
      </w:r>
    </w:p>
    <w:p w:rsidR="00DC2DF6" w:rsidRDefault="00672210" w:rsidP="009501A1">
      <w:pPr>
        <w:pStyle w:val="NoSpacing"/>
      </w:pPr>
      <w:r w:rsidRPr="00672210">
        <w:tab/>
      </w:r>
      <w:r w:rsidRPr="00672210">
        <w:tab/>
      </w:r>
    </w:p>
    <w:p w:rsidR="00993B69" w:rsidRDefault="00672210" w:rsidP="00E16AC3">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853AD">
        <w:rPr>
          <w:rFonts w:asciiTheme="minorHAnsi" w:hAnsiTheme="minorHAnsi"/>
          <w:sz w:val="22"/>
          <w:szCs w:val="22"/>
        </w:rPr>
        <w:t>4:1</w:t>
      </w:r>
      <w:r w:rsidR="003D6827">
        <w:rPr>
          <w:rFonts w:asciiTheme="minorHAnsi" w:hAnsiTheme="minorHAnsi"/>
          <w:sz w:val="22"/>
          <w:szCs w:val="22"/>
        </w:rPr>
        <w:t>-1</w:t>
      </w:r>
      <w:r w:rsidR="006C4E33">
        <w:rPr>
          <w:rFonts w:asciiTheme="minorHAnsi" w:hAnsiTheme="minorHAnsi"/>
          <w:sz w:val="22"/>
          <w:szCs w:val="22"/>
        </w:rPr>
        <w:t>9</w:t>
      </w:r>
      <w:r w:rsidR="00993B69">
        <w:rPr>
          <w:rFonts w:asciiTheme="minorHAnsi" w:hAnsiTheme="minorHAnsi"/>
          <w:sz w:val="22"/>
          <w:szCs w:val="22"/>
        </w:rPr>
        <w:tab/>
      </w:r>
      <w:r w:rsidR="006C4E33">
        <w:rPr>
          <w:rFonts w:asciiTheme="minorHAnsi" w:hAnsiTheme="minorHAnsi"/>
          <w:sz w:val="22"/>
          <w:szCs w:val="22"/>
        </w:rPr>
        <w:tab/>
      </w:r>
      <w:r w:rsidR="00301E26">
        <w:rPr>
          <w:rFonts w:asciiTheme="minorHAnsi" w:hAnsiTheme="minorHAnsi"/>
          <w:sz w:val="22"/>
          <w:szCs w:val="22"/>
        </w:rPr>
        <w:t>Listen!—a</w:t>
      </w:r>
      <w:r w:rsidR="00993B69">
        <w:rPr>
          <w:rFonts w:asciiTheme="minorHAnsi" w:hAnsiTheme="minorHAnsi"/>
          <w:sz w:val="22"/>
          <w:szCs w:val="22"/>
        </w:rPr>
        <w:t xml:space="preserve"> confrontation about whoring</w:t>
      </w:r>
    </w:p>
    <w:p w:rsidR="006C4E33" w:rsidRDefault="00672210" w:rsidP="00E16AC3">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6C4E33">
        <w:rPr>
          <w:rFonts w:asciiTheme="minorHAnsi" w:hAnsiTheme="minorHAnsi"/>
          <w:sz w:val="22"/>
          <w:szCs w:val="22"/>
        </w:rPr>
        <w:t>5:1-7</w:t>
      </w:r>
      <w:r w:rsidR="006C4E33">
        <w:rPr>
          <w:rFonts w:asciiTheme="minorHAnsi" w:hAnsiTheme="minorHAnsi"/>
          <w:sz w:val="22"/>
          <w:szCs w:val="22"/>
        </w:rPr>
        <w:tab/>
      </w:r>
      <w:r w:rsidR="006C4E33">
        <w:rPr>
          <w:rFonts w:asciiTheme="minorHAnsi" w:hAnsiTheme="minorHAnsi"/>
          <w:sz w:val="22"/>
          <w:szCs w:val="22"/>
        </w:rPr>
        <w:tab/>
        <w:t>Listen!—a confrontation about leadership</w:t>
      </w:r>
    </w:p>
    <w:p w:rsidR="00993B69" w:rsidRDefault="006C4E33" w:rsidP="00E16AC3">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7FCF">
        <w:rPr>
          <w:rFonts w:asciiTheme="minorHAnsi" w:hAnsiTheme="minorHAnsi"/>
          <w:sz w:val="22"/>
          <w:szCs w:val="22"/>
        </w:rPr>
        <w:t>5:8—6:3</w:t>
      </w:r>
      <w:r w:rsidR="00993B69">
        <w:rPr>
          <w:rFonts w:asciiTheme="minorHAnsi" w:hAnsiTheme="minorHAnsi"/>
          <w:sz w:val="22"/>
          <w:szCs w:val="22"/>
        </w:rPr>
        <w:tab/>
      </w:r>
      <w:r w:rsidR="00301E26">
        <w:rPr>
          <w:rFonts w:asciiTheme="minorHAnsi" w:hAnsiTheme="minorHAnsi"/>
          <w:sz w:val="22"/>
          <w:szCs w:val="22"/>
        </w:rPr>
        <w:t>Sound</w:t>
      </w:r>
      <w:r w:rsidR="002F7216">
        <w:rPr>
          <w:rFonts w:asciiTheme="minorHAnsi" w:hAnsiTheme="minorHAnsi"/>
          <w:sz w:val="22"/>
          <w:szCs w:val="22"/>
        </w:rPr>
        <w:t xml:space="preserve"> out</w:t>
      </w:r>
      <w:r w:rsidR="00301E26">
        <w:rPr>
          <w:rFonts w:asciiTheme="minorHAnsi" w:hAnsiTheme="minorHAnsi"/>
          <w:sz w:val="22"/>
          <w:szCs w:val="22"/>
        </w:rPr>
        <w:t>!—a</w:t>
      </w:r>
      <w:r w:rsidR="00993B69">
        <w:rPr>
          <w:rFonts w:asciiTheme="minorHAnsi" w:hAnsiTheme="minorHAnsi"/>
          <w:sz w:val="22"/>
          <w:szCs w:val="22"/>
        </w:rPr>
        <w:t xml:space="preserve"> warning about invasion</w:t>
      </w:r>
    </w:p>
    <w:p w:rsidR="00610097" w:rsidRDefault="00672210" w:rsidP="00E16AC3">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610097">
        <w:rPr>
          <w:rFonts w:asciiTheme="minorHAnsi" w:hAnsiTheme="minorHAnsi"/>
          <w:sz w:val="22"/>
          <w:szCs w:val="22"/>
        </w:rPr>
        <w:t>6:4</w:t>
      </w:r>
      <w:r w:rsidR="00217FCF">
        <w:rPr>
          <w:rFonts w:asciiTheme="minorHAnsi" w:hAnsiTheme="minorHAnsi"/>
          <w:sz w:val="22"/>
          <w:szCs w:val="22"/>
        </w:rPr>
        <w:t>—7:16</w:t>
      </w:r>
      <w:r w:rsidR="00217FCF">
        <w:rPr>
          <w:rFonts w:asciiTheme="minorHAnsi" w:hAnsiTheme="minorHAnsi"/>
          <w:sz w:val="22"/>
          <w:szCs w:val="22"/>
        </w:rPr>
        <w:tab/>
        <w:t>Tell me!—the puzzled question</w:t>
      </w:r>
    </w:p>
    <w:p w:rsidR="00993B69" w:rsidRDefault="00672210" w:rsidP="00E16AC3">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301E26">
        <w:rPr>
          <w:rFonts w:asciiTheme="minorHAnsi" w:hAnsiTheme="minorHAnsi"/>
          <w:sz w:val="22"/>
          <w:szCs w:val="22"/>
        </w:rPr>
        <w:t>8:1</w:t>
      </w:r>
      <w:r w:rsidR="006D0828">
        <w:rPr>
          <w:rFonts w:asciiTheme="minorHAnsi" w:hAnsiTheme="minorHAnsi"/>
          <w:sz w:val="22"/>
          <w:szCs w:val="22"/>
        </w:rPr>
        <w:t>-14</w:t>
      </w:r>
      <w:r w:rsidR="00D91CD2">
        <w:rPr>
          <w:rFonts w:asciiTheme="minorHAnsi" w:hAnsiTheme="minorHAnsi"/>
          <w:sz w:val="22"/>
          <w:szCs w:val="22"/>
        </w:rPr>
        <w:tab/>
      </w:r>
      <w:r w:rsidR="006D0828">
        <w:rPr>
          <w:rFonts w:asciiTheme="minorHAnsi" w:hAnsiTheme="minorHAnsi"/>
          <w:sz w:val="22"/>
          <w:szCs w:val="22"/>
        </w:rPr>
        <w:tab/>
      </w:r>
      <w:r w:rsidR="00301E26">
        <w:rPr>
          <w:rFonts w:asciiTheme="minorHAnsi" w:hAnsiTheme="minorHAnsi"/>
          <w:sz w:val="22"/>
          <w:szCs w:val="22"/>
        </w:rPr>
        <w:t>Horn!—a</w:t>
      </w:r>
      <w:r w:rsidR="00D91CD2">
        <w:rPr>
          <w:rFonts w:asciiTheme="minorHAnsi" w:hAnsiTheme="minorHAnsi"/>
          <w:sz w:val="22"/>
          <w:szCs w:val="22"/>
        </w:rPr>
        <w:t xml:space="preserve"> confrontation ab</w:t>
      </w:r>
      <w:r>
        <w:rPr>
          <w:rFonts w:asciiTheme="minorHAnsi" w:hAnsiTheme="minorHAnsi"/>
          <w:sz w:val="22"/>
          <w:szCs w:val="22"/>
        </w:rPr>
        <w:t>out political initiatives</w:t>
      </w:r>
    </w:p>
    <w:p w:rsidR="00DC2DF6" w:rsidRDefault="00672210" w:rsidP="00E16AC3">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6D0828">
        <w:rPr>
          <w:rFonts w:asciiTheme="minorHAnsi" w:hAnsiTheme="minorHAnsi"/>
          <w:sz w:val="22"/>
          <w:szCs w:val="22"/>
        </w:rPr>
        <w:t>9:1-9</w:t>
      </w:r>
      <w:r w:rsidR="006D0828">
        <w:rPr>
          <w:rFonts w:asciiTheme="minorHAnsi" w:hAnsiTheme="minorHAnsi"/>
          <w:sz w:val="22"/>
          <w:szCs w:val="22"/>
        </w:rPr>
        <w:tab/>
      </w:r>
      <w:r w:rsidR="006D0828">
        <w:rPr>
          <w:rFonts w:asciiTheme="minorHAnsi" w:hAnsiTheme="minorHAnsi"/>
          <w:sz w:val="22"/>
          <w:szCs w:val="22"/>
        </w:rPr>
        <w:tab/>
        <w:t>Don’t celebrate—a confrontation about worship</w:t>
      </w:r>
    </w:p>
    <w:p w:rsidR="00CA4AAF" w:rsidRDefault="00672210" w:rsidP="00301E26">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9501A1" w:rsidRDefault="002427EF" w:rsidP="00A92136">
      <w:pPr>
        <w:pStyle w:val="NoSpacing"/>
        <w:ind w:left="1440" w:hanging="1440"/>
      </w:pPr>
      <w:r>
        <w:t>9:10—13:15</w:t>
      </w:r>
      <w:r w:rsidR="00301E26">
        <w:tab/>
        <w:t xml:space="preserve">Yahweh’s </w:t>
      </w:r>
      <w:r w:rsidR="00606F07">
        <w:t xml:space="preserve">unhappy </w:t>
      </w:r>
      <w:r w:rsidR="00301E26">
        <w:t>recollections</w:t>
      </w:r>
      <w:r w:rsidR="00672210">
        <w:t>: a</w:t>
      </w:r>
      <w:r w:rsidR="009501A1">
        <w:t xml:space="preserve"> series</w:t>
      </w:r>
      <w:r w:rsidR="00A92136">
        <w:t xml:space="preserve"> of remembrances about Israel, </w:t>
      </w:r>
      <w:r w:rsidR="00974FA8">
        <w:t>leading into</w:t>
      </w:r>
      <w:r w:rsidR="009501A1">
        <w:t xml:space="preserve"> further indictments and threat</w:t>
      </w:r>
      <w:r w:rsidR="00974FA8">
        <w:t>s. Perhaps</w:t>
      </w:r>
      <w:r w:rsidR="009501A1">
        <w:t xml:space="preserve"> “</w:t>
      </w:r>
      <w:r w:rsidR="009501A1" w:rsidRPr="00374AB7">
        <w:rPr>
          <w:rStyle w:val="Emphasis"/>
          <w:i w:val="0"/>
        </w:rPr>
        <w:t>the overal</w:t>
      </w:r>
      <w:r w:rsidR="00A92136">
        <w:rPr>
          <w:rStyle w:val="Emphasis"/>
          <w:i w:val="0"/>
        </w:rPr>
        <w:t xml:space="preserve">l </w:t>
      </w:r>
      <w:r w:rsidR="009501A1">
        <w:rPr>
          <w:rStyle w:val="Emphasis"/>
          <w:i w:val="0"/>
        </w:rPr>
        <w:t>conception of Israel's history justifies the application of the term salv</w:t>
      </w:r>
      <w:r w:rsidR="00A92136">
        <w:rPr>
          <w:rStyle w:val="Emphasis"/>
          <w:i w:val="0"/>
        </w:rPr>
        <w:t xml:space="preserve">ation history to Hosea’s </w:t>
      </w:r>
      <w:r w:rsidR="009501A1">
        <w:rPr>
          <w:rStyle w:val="Emphasis"/>
          <w:i w:val="0"/>
        </w:rPr>
        <w:t>perception of Yahweh’s activity in this history.”</w:t>
      </w:r>
      <w:r w:rsidR="009501A1">
        <w:rPr>
          <w:rStyle w:val="FootnoteReference"/>
          <w:iCs/>
        </w:rPr>
        <w:footnoteReference w:id="16"/>
      </w:r>
      <w:r w:rsidR="009501A1">
        <w:rPr>
          <w:rStyle w:val="Emphasis"/>
          <w:i w:val="0"/>
        </w:rPr>
        <w:t xml:space="preserve"> </w:t>
      </w:r>
      <w:r w:rsidR="009501A1">
        <w:t>But “it is charact</w:t>
      </w:r>
      <w:r w:rsidR="00DC2DF6">
        <w:t xml:space="preserve">eristic of Hosea… to transform </w:t>
      </w:r>
      <w:r w:rsidR="009501A1">
        <w:t>almost the whole of Isr</w:t>
      </w:r>
      <w:r w:rsidR="00350505">
        <w:t>ael’s history into ‘disaster-hi</w:t>
      </w:r>
      <w:r w:rsidR="009501A1">
        <w:t>story.’”</w:t>
      </w:r>
      <w:r w:rsidR="009501A1">
        <w:rPr>
          <w:rStyle w:val="FootnoteReference"/>
        </w:rPr>
        <w:footnoteReference w:id="17"/>
      </w:r>
    </w:p>
    <w:p w:rsidR="00301E26" w:rsidRDefault="00301E26" w:rsidP="00301E26">
      <w:pPr>
        <w:pStyle w:val="Default"/>
        <w:rPr>
          <w:rFonts w:asciiTheme="minorHAnsi" w:hAnsiTheme="minorHAnsi"/>
          <w:sz w:val="22"/>
          <w:szCs w:val="22"/>
        </w:rPr>
      </w:pPr>
    </w:p>
    <w:p w:rsidR="00301E26" w:rsidRDefault="00974FA8" w:rsidP="00301E26">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7919">
        <w:rPr>
          <w:rFonts w:asciiTheme="minorHAnsi" w:hAnsiTheme="minorHAnsi"/>
          <w:sz w:val="22"/>
          <w:szCs w:val="22"/>
        </w:rPr>
        <w:t>9:10-17</w:t>
      </w:r>
      <w:r w:rsidR="00217919">
        <w:rPr>
          <w:rFonts w:asciiTheme="minorHAnsi" w:hAnsiTheme="minorHAnsi"/>
          <w:sz w:val="22"/>
          <w:szCs w:val="22"/>
        </w:rPr>
        <w:tab/>
      </w:r>
      <w:r w:rsidR="00217919">
        <w:rPr>
          <w:rFonts w:asciiTheme="minorHAnsi" w:hAnsiTheme="minorHAnsi"/>
          <w:sz w:val="22"/>
          <w:szCs w:val="22"/>
        </w:rPr>
        <w:tab/>
      </w:r>
      <w:r w:rsidR="002427EF">
        <w:rPr>
          <w:rFonts w:asciiTheme="minorHAnsi" w:hAnsiTheme="minorHAnsi"/>
          <w:sz w:val="22"/>
          <w:szCs w:val="22"/>
        </w:rPr>
        <w:tab/>
      </w:r>
      <w:r w:rsidR="009501A1">
        <w:rPr>
          <w:rFonts w:asciiTheme="minorHAnsi" w:hAnsiTheme="minorHAnsi"/>
          <w:sz w:val="22"/>
          <w:szCs w:val="22"/>
        </w:rPr>
        <w:tab/>
      </w:r>
      <w:r w:rsidR="00217919">
        <w:rPr>
          <w:rFonts w:asciiTheme="minorHAnsi" w:hAnsiTheme="minorHAnsi"/>
          <w:sz w:val="22"/>
          <w:szCs w:val="22"/>
        </w:rPr>
        <w:t>The grapes</w:t>
      </w:r>
    </w:p>
    <w:p w:rsidR="00301E26" w:rsidRDefault="00974FA8" w:rsidP="00301E26">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7919">
        <w:rPr>
          <w:rFonts w:asciiTheme="minorHAnsi" w:hAnsiTheme="minorHAnsi"/>
          <w:sz w:val="22"/>
          <w:szCs w:val="22"/>
        </w:rPr>
        <w:t>10:1-10</w:t>
      </w:r>
      <w:r w:rsidR="00217919">
        <w:rPr>
          <w:rFonts w:asciiTheme="minorHAnsi" w:hAnsiTheme="minorHAnsi"/>
          <w:sz w:val="22"/>
          <w:szCs w:val="22"/>
        </w:rPr>
        <w:tab/>
      </w:r>
      <w:r w:rsidR="00217919">
        <w:rPr>
          <w:rFonts w:asciiTheme="minorHAnsi" w:hAnsiTheme="minorHAnsi"/>
          <w:sz w:val="22"/>
          <w:szCs w:val="22"/>
        </w:rPr>
        <w:tab/>
      </w:r>
      <w:r w:rsidR="002427EF">
        <w:rPr>
          <w:rFonts w:asciiTheme="minorHAnsi" w:hAnsiTheme="minorHAnsi"/>
          <w:sz w:val="22"/>
          <w:szCs w:val="22"/>
        </w:rPr>
        <w:tab/>
      </w:r>
      <w:r w:rsidR="009501A1">
        <w:rPr>
          <w:rFonts w:asciiTheme="minorHAnsi" w:hAnsiTheme="minorHAnsi"/>
          <w:sz w:val="22"/>
          <w:szCs w:val="22"/>
        </w:rPr>
        <w:tab/>
      </w:r>
      <w:r w:rsidR="00217919">
        <w:rPr>
          <w:rFonts w:asciiTheme="minorHAnsi" w:hAnsiTheme="minorHAnsi"/>
          <w:sz w:val="22"/>
          <w:szCs w:val="22"/>
        </w:rPr>
        <w:t xml:space="preserve">The </w:t>
      </w:r>
      <w:r w:rsidR="00301E26">
        <w:rPr>
          <w:rFonts w:asciiTheme="minorHAnsi" w:hAnsiTheme="minorHAnsi"/>
          <w:sz w:val="22"/>
          <w:szCs w:val="22"/>
        </w:rPr>
        <w:t>vine</w:t>
      </w:r>
    </w:p>
    <w:p w:rsidR="00D25281" w:rsidRPr="00D25281" w:rsidRDefault="00974FA8" w:rsidP="00D25281">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301E26">
        <w:rPr>
          <w:rFonts w:asciiTheme="minorHAnsi" w:hAnsiTheme="minorHAnsi"/>
          <w:sz w:val="22"/>
          <w:szCs w:val="22"/>
        </w:rPr>
        <w:t>10:11</w:t>
      </w:r>
      <w:r w:rsidR="00217919">
        <w:rPr>
          <w:rFonts w:asciiTheme="minorHAnsi" w:hAnsiTheme="minorHAnsi"/>
          <w:sz w:val="22"/>
          <w:szCs w:val="22"/>
        </w:rPr>
        <w:t>-15</w:t>
      </w:r>
      <w:r w:rsidR="00217919">
        <w:rPr>
          <w:rFonts w:asciiTheme="minorHAnsi" w:hAnsiTheme="minorHAnsi"/>
          <w:sz w:val="22"/>
          <w:szCs w:val="22"/>
        </w:rPr>
        <w:tab/>
      </w:r>
      <w:r w:rsidR="002427EF">
        <w:rPr>
          <w:rFonts w:asciiTheme="minorHAnsi" w:hAnsiTheme="minorHAnsi"/>
          <w:sz w:val="22"/>
          <w:szCs w:val="22"/>
        </w:rPr>
        <w:tab/>
      </w:r>
      <w:r w:rsidR="009501A1">
        <w:rPr>
          <w:rFonts w:asciiTheme="minorHAnsi" w:hAnsiTheme="minorHAnsi"/>
          <w:sz w:val="22"/>
          <w:szCs w:val="22"/>
        </w:rPr>
        <w:tab/>
      </w:r>
      <w:r w:rsidR="00217919">
        <w:rPr>
          <w:rFonts w:asciiTheme="minorHAnsi" w:hAnsiTheme="minorHAnsi"/>
          <w:sz w:val="22"/>
          <w:szCs w:val="22"/>
        </w:rPr>
        <w:t xml:space="preserve">The </w:t>
      </w:r>
      <w:r w:rsidR="00301E26">
        <w:rPr>
          <w:rFonts w:asciiTheme="minorHAnsi" w:hAnsiTheme="minorHAnsi"/>
          <w:sz w:val="22"/>
          <w:szCs w:val="22"/>
        </w:rPr>
        <w:t>heifer</w:t>
      </w:r>
    </w:p>
    <w:p w:rsidR="00D25281" w:rsidRPr="00D25281" w:rsidRDefault="00974FA8" w:rsidP="00D25281">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301E26">
        <w:rPr>
          <w:rFonts w:asciiTheme="minorHAnsi" w:hAnsiTheme="minorHAnsi"/>
          <w:sz w:val="22"/>
          <w:szCs w:val="22"/>
        </w:rPr>
        <w:t>11:1</w:t>
      </w:r>
      <w:r w:rsidR="002427EF">
        <w:rPr>
          <w:rFonts w:asciiTheme="minorHAnsi" w:hAnsiTheme="minorHAnsi"/>
          <w:sz w:val="22"/>
          <w:szCs w:val="22"/>
        </w:rPr>
        <w:t>—12:1 [2</w:t>
      </w:r>
      <w:r w:rsidR="00217919">
        <w:rPr>
          <w:rFonts w:asciiTheme="minorHAnsi" w:hAnsiTheme="minorHAnsi"/>
          <w:sz w:val="22"/>
          <w:szCs w:val="22"/>
        </w:rPr>
        <w:t>]</w:t>
      </w:r>
      <w:r w:rsidR="00217919">
        <w:rPr>
          <w:rFonts w:asciiTheme="minorHAnsi" w:hAnsiTheme="minorHAnsi"/>
          <w:sz w:val="22"/>
          <w:szCs w:val="22"/>
        </w:rPr>
        <w:tab/>
      </w:r>
      <w:r w:rsidR="002427EF">
        <w:rPr>
          <w:rFonts w:asciiTheme="minorHAnsi" w:hAnsiTheme="minorHAnsi"/>
          <w:sz w:val="22"/>
          <w:szCs w:val="22"/>
        </w:rPr>
        <w:tab/>
      </w:r>
      <w:r w:rsidR="009501A1">
        <w:rPr>
          <w:rFonts w:asciiTheme="minorHAnsi" w:hAnsiTheme="minorHAnsi"/>
          <w:sz w:val="22"/>
          <w:szCs w:val="22"/>
        </w:rPr>
        <w:tab/>
      </w:r>
      <w:r w:rsidR="00217919">
        <w:rPr>
          <w:rFonts w:asciiTheme="minorHAnsi" w:hAnsiTheme="minorHAnsi"/>
          <w:sz w:val="22"/>
          <w:szCs w:val="22"/>
        </w:rPr>
        <w:t>The son</w:t>
      </w:r>
    </w:p>
    <w:p w:rsidR="00D25281" w:rsidRPr="00D25281" w:rsidRDefault="00974FA8" w:rsidP="00D25281">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427EF">
        <w:rPr>
          <w:rFonts w:asciiTheme="minorHAnsi" w:hAnsiTheme="minorHAnsi"/>
          <w:sz w:val="22"/>
          <w:szCs w:val="22"/>
        </w:rPr>
        <w:t>12:2-11 [3-12</w:t>
      </w:r>
      <w:r w:rsidR="00217919">
        <w:rPr>
          <w:rFonts w:asciiTheme="minorHAnsi" w:hAnsiTheme="minorHAnsi"/>
          <w:sz w:val="22"/>
          <w:szCs w:val="22"/>
        </w:rPr>
        <w:t>]</w:t>
      </w:r>
      <w:r w:rsidR="00217919">
        <w:rPr>
          <w:rFonts w:asciiTheme="minorHAnsi" w:hAnsiTheme="minorHAnsi"/>
          <w:sz w:val="22"/>
          <w:szCs w:val="22"/>
        </w:rPr>
        <w:tab/>
      </w:r>
      <w:r w:rsidR="002427EF">
        <w:rPr>
          <w:rFonts w:asciiTheme="minorHAnsi" w:hAnsiTheme="minorHAnsi"/>
          <w:sz w:val="22"/>
          <w:szCs w:val="22"/>
        </w:rPr>
        <w:tab/>
      </w:r>
      <w:r w:rsidR="009501A1">
        <w:rPr>
          <w:rFonts w:asciiTheme="minorHAnsi" w:hAnsiTheme="minorHAnsi"/>
          <w:sz w:val="22"/>
          <w:szCs w:val="22"/>
        </w:rPr>
        <w:tab/>
      </w:r>
      <w:r w:rsidR="00217919">
        <w:rPr>
          <w:rFonts w:asciiTheme="minorHAnsi" w:hAnsiTheme="minorHAnsi"/>
          <w:sz w:val="22"/>
          <w:szCs w:val="22"/>
        </w:rPr>
        <w:t>The heel</w:t>
      </w:r>
      <w:r w:rsidR="009501A1">
        <w:rPr>
          <w:rFonts w:asciiTheme="minorHAnsi" w:hAnsiTheme="minorHAnsi"/>
          <w:sz w:val="22"/>
          <w:szCs w:val="22"/>
        </w:rPr>
        <w:t xml:space="preserve"> </w:t>
      </w:r>
    </w:p>
    <w:p w:rsidR="00D25281" w:rsidRDefault="00974FA8" w:rsidP="00D25281">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9501A1">
        <w:rPr>
          <w:rFonts w:asciiTheme="minorHAnsi" w:hAnsiTheme="minorHAnsi"/>
          <w:sz w:val="22"/>
          <w:szCs w:val="22"/>
        </w:rPr>
        <w:t>12</w:t>
      </w:r>
      <w:r w:rsidR="002427EF">
        <w:rPr>
          <w:rFonts w:asciiTheme="minorHAnsi" w:hAnsiTheme="minorHAnsi"/>
          <w:sz w:val="22"/>
          <w:szCs w:val="22"/>
        </w:rPr>
        <w:t>:1</w:t>
      </w:r>
      <w:r w:rsidR="00E5362F">
        <w:rPr>
          <w:rFonts w:asciiTheme="minorHAnsi" w:hAnsiTheme="minorHAnsi"/>
          <w:sz w:val="22"/>
          <w:szCs w:val="22"/>
        </w:rPr>
        <w:t>2</w:t>
      </w:r>
      <w:r w:rsidR="002427EF">
        <w:rPr>
          <w:rFonts w:asciiTheme="minorHAnsi" w:hAnsiTheme="minorHAnsi"/>
          <w:sz w:val="22"/>
          <w:szCs w:val="22"/>
        </w:rPr>
        <w:t>—1</w:t>
      </w:r>
      <w:r w:rsidR="009501A1">
        <w:rPr>
          <w:rFonts w:asciiTheme="minorHAnsi" w:hAnsiTheme="minorHAnsi"/>
          <w:sz w:val="22"/>
          <w:szCs w:val="22"/>
        </w:rPr>
        <w:t>3:16</w:t>
      </w:r>
      <w:r w:rsidR="002427EF">
        <w:rPr>
          <w:rFonts w:asciiTheme="minorHAnsi" w:hAnsiTheme="minorHAnsi"/>
          <w:sz w:val="22"/>
          <w:szCs w:val="22"/>
        </w:rPr>
        <w:t xml:space="preserve"> [</w:t>
      </w:r>
      <w:r w:rsidR="00E5362F">
        <w:rPr>
          <w:rFonts w:asciiTheme="minorHAnsi" w:hAnsiTheme="minorHAnsi"/>
          <w:sz w:val="22"/>
          <w:szCs w:val="22"/>
        </w:rPr>
        <w:t>12:13—</w:t>
      </w:r>
      <w:r w:rsidR="002427EF">
        <w:rPr>
          <w:rFonts w:asciiTheme="minorHAnsi" w:hAnsiTheme="minorHAnsi"/>
          <w:sz w:val="22"/>
          <w:szCs w:val="22"/>
        </w:rPr>
        <w:t>14:1]</w:t>
      </w:r>
      <w:r w:rsidR="009501A1">
        <w:rPr>
          <w:rFonts w:asciiTheme="minorHAnsi" w:hAnsiTheme="minorHAnsi"/>
          <w:sz w:val="22"/>
          <w:szCs w:val="22"/>
        </w:rPr>
        <w:tab/>
        <w:t>The shepherds</w:t>
      </w:r>
    </w:p>
    <w:p w:rsidR="009501A1" w:rsidRDefault="009501A1" w:rsidP="00D25281">
      <w:pPr>
        <w:pStyle w:val="Default"/>
        <w:rPr>
          <w:rFonts w:asciiTheme="minorHAnsi" w:hAnsiTheme="minorHAnsi"/>
          <w:sz w:val="22"/>
          <w:szCs w:val="22"/>
        </w:rPr>
      </w:pPr>
    </w:p>
    <w:p w:rsidR="009501A1" w:rsidRDefault="009501A1" w:rsidP="00D25281">
      <w:pPr>
        <w:pStyle w:val="Default"/>
        <w:rPr>
          <w:rFonts w:asciiTheme="minorHAnsi" w:hAnsiTheme="minorHAnsi"/>
          <w:sz w:val="22"/>
          <w:szCs w:val="22"/>
        </w:rPr>
      </w:pPr>
      <w:r>
        <w:rPr>
          <w:rFonts w:asciiTheme="minorHAnsi" w:hAnsiTheme="minorHAnsi"/>
          <w:sz w:val="22"/>
          <w:szCs w:val="22"/>
        </w:rPr>
        <w:t>14:1-8 [2-9]</w:t>
      </w:r>
      <w:r>
        <w:rPr>
          <w:rFonts w:asciiTheme="minorHAnsi" w:hAnsiTheme="minorHAnsi"/>
          <w:sz w:val="22"/>
          <w:szCs w:val="22"/>
        </w:rPr>
        <w:tab/>
        <w:t>One last bidding: turn back!</w:t>
      </w:r>
      <w:r w:rsidR="00DC2DF6">
        <w:rPr>
          <w:rFonts w:asciiTheme="minorHAnsi" w:hAnsiTheme="minorHAnsi"/>
          <w:sz w:val="22"/>
          <w:szCs w:val="22"/>
        </w:rPr>
        <w:t xml:space="preserve"> This bidding leads into a promise.</w:t>
      </w:r>
      <w:r w:rsidR="000B672A">
        <w:rPr>
          <w:rFonts w:asciiTheme="minorHAnsi" w:hAnsiTheme="minorHAnsi"/>
          <w:sz w:val="22"/>
          <w:szCs w:val="22"/>
        </w:rPr>
        <w:t xml:space="preserve"> </w:t>
      </w:r>
      <w:r w:rsidR="00965D5C">
        <w:rPr>
          <w:rFonts w:asciiTheme="minorHAnsi" w:hAnsiTheme="minorHAnsi"/>
          <w:sz w:val="22"/>
          <w:szCs w:val="22"/>
        </w:rPr>
        <w:t xml:space="preserve">The themes and motifs of </w:t>
      </w:r>
      <w:r w:rsidR="00965D5C">
        <w:rPr>
          <w:rFonts w:asciiTheme="minorHAnsi" w:hAnsiTheme="minorHAnsi"/>
          <w:sz w:val="22"/>
          <w:szCs w:val="22"/>
        </w:rPr>
        <w:tab/>
      </w:r>
      <w:r w:rsidR="00965D5C">
        <w:rPr>
          <w:rFonts w:asciiTheme="minorHAnsi" w:hAnsiTheme="minorHAnsi"/>
          <w:sz w:val="22"/>
          <w:szCs w:val="22"/>
        </w:rPr>
        <w:tab/>
      </w:r>
      <w:r w:rsidR="00965D5C">
        <w:rPr>
          <w:rFonts w:asciiTheme="minorHAnsi" w:hAnsiTheme="minorHAnsi"/>
          <w:sz w:val="22"/>
          <w:szCs w:val="22"/>
        </w:rPr>
        <w:tab/>
        <w:t>1:2</w:t>
      </w:r>
      <w:r w:rsidR="000B672A">
        <w:rPr>
          <w:rFonts w:asciiTheme="minorHAnsi" w:hAnsiTheme="minorHAnsi"/>
          <w:sz w:val="22"/>
          <w:szCs w:val="22"/>
        </w:rPr>
        <w:t>—3:5 recur here.</w:t>
      </w:r>
      <w:r w:rsidR="000B672A">
        <w:rPr>
          <w:rStyle w:val="FootnoteReference"/>
          <w:rFonts w:asciiTheme="minorHAnsi" w:hAnsiTheme="minorHAnsi"/>
          <w:sz w:val="22"/>
          <w:szCs w:val="22"/>
        </w:rPr>
        <w:footnoteReference w:id="18"/>
      </w:r>
    </w:p>
    <w:p w:rsidR="00301E26" w:rsidRPr="007E525C" w:rsidRDefault="00301E26" w:rsidP="00301E26">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301E26" w:rsidRDefault="00301E26" w:rsidP="002427EF">
      <w:pPr>
        <w:pStyle w:val="NoSpacing"/>
      </w:pPr>
      <w:r w:rsidRPr="007E525C">
        <w:t>14:9</w:t>
      </w:r>
      <w:r w:rsidR="009501A1">
        <w:t xml:space="preserve"> [10] </w:t>
      </w:r>
      <w:r w:rsidR="001F3349">
        <w:tab/>
      </w:r>
      <w:r w:rsidRPr="007E525C">
        <w:t>Concluding note</w:t>
      </w:r>
      <w:r w:rsidR="006B6063">
        <w:t xml:space="preserve">: </w:t>
      </w:r>
      <w:r w:rsidR="002427EF">
        <w:t xml:space="preserve">the close of the </w:t>
      </w:r>
      <w:r w:rsidR="006B6063">
        <w:t xml:space="preserve">frame around the whole </w:t>
      </w:r>
      <w:r w:rsidR="002427EF">
        <w:t>that suggests how to read it</w:t>
      </w:r>
      <w:r w:rsidR="0026632A">
        <w:t>.</w:t>
      </w:r>
    </w:p>
    <w:p w:rsidR="0026632A" w:rsidRDefault="0026632A" w:rsidP="002427EF">
      <w:pPr>
        <w:pStyle w:val="NoSpacing"/>
      </w:pPr>
    </w:p>
    <w:p w:rsidR="00617BAA" w:rsidRDefault="001F3349" w:rsidP="002427EF">
      <w:pPr>
        <w:pStyle w:val="NoSpacing"/>
      </w:pPr>
      <w:r>
        <w:t>The rhetorical significance of this</w:t>
      </w:r>
      <w:r w:rsidR="0026632A">
        <w:t xml:space="preserve"> </w:t>
      </w:r>
      <w:r w:rsidR="00617BAA">
        <w:t>arrangemen</w:t>
      </w:r>
      <w:r w:rsidR="00E5362F">
        <w:t>t of 1:2—14:9 [10]</w:t>
      </w:r>
      <w:r w:rsidR="00617BAA">
        <w:t xml:space="preserve"> is</w:t>
      </w:r>
      <w:r w:rsidR="00E5362F">
        <w:t xml:space="preserve"> to persuade</w:t>
      </w:r>
      <w:r w:rsidR="00A92136">
        <w:t xml:space="preserve"> people</w:t>
      </w:r>
    </w:p>
    <w:p w:rsidR="001F3349" w:rsidRDefault="001F3349" w:rsidP="002427EF">
      <w:pPr>
        <w:pStyle w:val="NoSpacing"/>
      </w:pPr>
    </w:p>
    <w:p w:rsidR="0026632A" w:rsidRDefault="00A92136" w:rsidP="009652A7">
      <w:pPr>
        <w:pStyle w:val="NoSpacing"/>
        <w:numPr>
          <w:ilvl w:val="0"/>
          <w:numId w:val="16"/>
        </w:numPr>
      </w:pPr>
      <w:r>
        <w:t>T</w:t>
      </w:r>
      <w:r w:rsidR="00617BAA">
        <w:t>o see themselves between chastisement and restoration</w:t>
      </w:r>
    </w:p>
    <w:p w:rsidR="00617BAA" w:rsidRDefault="00617BAA" w:rsidP="009652A7">
      <w:pPr>
        <w:pStyle w:val="NoSpacing"/>
        <w:numPr>
          <w:ilvl w:val="0"/>
          <w:numId w:val="16"/>
        </w:numPr>
      </w:pPr>
      <w:r>
        <w:t>To respond to the imperative exhortations</w:t>
      </w:r>
    </w:p>
    <w:p w:rsidR="00617BAA" w:rsidRDefault="00617BAA" w:rsidP="009652A7">
      <w:pPr>
        <w:pStyle w:val="NoSpacing"/>
        <w:numPr>
          <w:ilvl w:val="0"/>
          <w:numId w:val="16"/>
        </w:numPr>
      </w:pPr>
      <w:r>
        <w:t xml:space="preserve">To sense the poignancy of the recollections </w:t>
      </w:r>
    </w:p>
    <w:p w:rsidR="002427EF" w:rsidRPr="00A92136" w:rsidRDefault="00617BAA" w:rsidP="009652A7">
      <w:pPr>
        <w:pStyle w:val="NoSpacing"/>
        <w:numPr>
          <w:ilvl w:val="0"/>
          <w:numId w:val="16"/>
        </w:numPr>
      </w:pPr>
      <w:r>
        <w:t>To turn</w:t>
      </w:r>
      <w:r w:rsidR="00A92136">
        <w:t xml:space="preserve"> back to Yahweh</w:t>
      </w:r>
      <w:r w:rsidR="001F3349">
        <w:t xml:space="preserve"> in hope</w:t>
      </w:r>
    </w:p>
    <w:p w:rsidR="003053AE" w:rsidRDefault="00CE78F8" w:rsidP="00EF7B98">
      <w:pPr>
        <w:pStyle w:val="Heading1"/>
      </w:pPr>
      <w:r>
        <w:lastRenderedPageBreak/>
        <w:t>Hosea 1:1: Preface</w:t>
      </w:r>
    </w:p>
    <w:p w:rsidR="003053AE" w:rsidRDefault="003053AE" w:rsidP="001D3546">
      <w:pPr>
        <w:pStyle w:val="Heading2"/>
      </w:pPr>
      <w:r>
        <w:t>Translation</w:t>
      </w:r>
    </w:p>
    <w:p w:rsidR="003053AE" w:rsidRPr="00A17DD4" w:rsidRDefault="009C1BC5" w:rsidP="002C1886">
      <w:r>
        <w:rPr>
          <w:vertAlign w:val="superscript"/>
        </w:rPr>
        <w:t>1</w:t>
      </w:r>
      <w:r w:rsidR="008B6D17">
        <w:t>Yahweh’s message</w:t>
      </w:r>
      <w:r w:rsidR="003053AE">
        <w:t xml:space="preserve"> which bec</w:t>
      </w:r>
      <w:r w:rsidR="007E525C">
        <w:t>ame a reality to Hôshē</w:t>
      </w:r>
      <w:r w:rsidR="00A17DD4">
        <w:t>a</w:t>
      </w:r>
      <w:r w:rsidR="007E525C">
        <w:t>‘ ben Bə’ērî</w:t>
      </w:r>
      <w:r w:rsidR="003053AE">
        <w:t xml:space="preserve"> in the days</w:t>
      </w:r>
      <w:r w:rsidR="007E525C">
        <w:t xml:space="preserve"> of ‘Uzziyyāh</w:t>
      </w:r>
      <w:r w:rsidR="00670687">
        <w:t>,</w:t>
      </w:r>
      <w:r w:rsidR="007E525C">
        <w:t xml:space="preserve"> Yôtām</w:t>
      </w:r>
      <w:r w:rsidR="00670687">
        <w:t>,</w:t>
      </w:r>
      <w:r w:rsidR="007E525C">
        <w:t xml:space="preserve"> ’Āhāz</w:t>
      </w:r>
      <w:r w:rsidR="00670687">
        <w:t>,</w:t>
      </w:r>
      <w:r w:rsidR="007E525C">
        <w:t xml:space="preserve"> Yeḥizqiyyā</w:t>
      </w:r>
      <w:r w:rsidR="003053AE">
        <w:t>h king</w:t>
      </w:r>
      <w:r w:rsidR="00235122">
        <w:t>s</w:t>
      </w:r>
      <w:r w:rsidR="002C1886">
        <w:t xml:space="preserve"> of Yəhûdāh</w:t>
      </w:r>
      <w:r w:rsidR="007E525C">
        <w:t xml:space="preserve"> and in the days of Yārob‘ām ben Yô’ā</w:t>
      </w:r>
      <w:r w:rsidR="00C45FA1">
        <w:t>š</w:t>
      </w:r>
      <w:r w:rsidR="002C1886">
        <w:t xml:space="preserve"> king of Yiśrā’ē</w:t>
      </w:r>
      <w:r w:rsidR="003053AE">
        <w:t>l.</w:t>
      </w:r>
      <w:r w:rsidR="00A17DD4">
        <w:t xml:space="preserve"> </w:t>
      </w:r>
    </w:p>
    <w:p w:rsidR="003053AE" w:rsidRDefault="003053AE" w:rsidP="001D3546">
      <w:pPr>
        <w:pStyle w:val="Heading2"/>
      </w:pPr>
      <w:r>
        <w:t>Interpretation</w:t>
      </w:r>
    </w:p>
    <w:p w:rsidR="008613A1" w:rsidRPr="008613A1" w:rsidRDefault="009C1BC5" w:rsidP="00F50077">
      <w:r>
        <w:t>The opening</w:t>
      </w:r>
      <w:r w:rsidR="00A17DD4">
        <w:t xml:space="preserve"> lines of Hosea </w:t>
      </w:r>
      <w:r w:rsidR="008613A1">
        <w:t xml:space="preserve">(vv. 1-2a) </w:t>
      </w:r>
      <w:r w:rsidR="00A17DD4">
        <w:t>for</w:t>
      </w:r>
      <w:r w:rsidR="00FE563A">
        <w:t>m</w:t>
      </w:r>
      <w:r w:rsidR="00A17DD4">
        <w:t xml:space="preserve"> a double introduction</w:t>
      </w:r>
      <w:r w:rsidR="00B66BC5">
        <w:t xml:space="preserve"> to the scroll, and</w:t>
      </w:r>
      <w:r w:rsidR="00191AF1" w:rsidRPr="00191AF1">
        <w:t xml:space="preserve"> M</w:t>
      </w:r>
      <w:r w:rsidR="00B66BC5">
        <w:t>T makes</w:t>
      </w:r>
      <w:r w:rsidR="00191AF1">
        <w:t xml:space="preserve"> a section break after v. 2a. </w:t>
      </w:r>
      <w:r w:rsidR="00B66BC5">
        <w:t>But v. 2a is an introduction to 1:2—3:5 in particular, whereas 1:1 relates to the scroll as a whole. It is a third-p</w:t>
      </w:r>
      <w:r w:rsidR="00811E8B">
        <w:t>erson preface</w:t>
      </w:r>
      <w:r w:rsidR="00FA4FC0">
        <w:t xml:space="preserve"> to Hosea’s message provided by hi</w:t>
      </w:r>
      <w:r w:rsidR="00B66BC5">
        <w:t>s discipl</w:t>
      </w:r>
      <w:r w:rsidR="00811E8B">
        <w:t>es, parallel to the preface</w:t>
      </w:r>
      <w:r w:rsidR="00B66BC5">
        <w:t xml:space="preserve">s to the other five scrolls. </w:t>
      </w:r>
      <w:r w:rsidR="00B924B1">
        <w:t>The scroll thus begins by dating Hosea in relation to</w:t>
      </w:r>
      <w:r w:rsidR="00F8481F" w:rsidRPr="00F8481F">
        <w:t xml:space="preserve"> four Judahite kings, who reigned from the 780s until at least to the time Hezekiah became </w:t>
      </w:r>
      <w:r w:rsidR="00212B7D">
        <w:t>co-regent with Ahaz, about 730</w:t>
      </w:r>
      <w:r w:rsidR="00F8481F" w:rsidRPr="00F8481F">
        <w:t>. The author</w:t>
      </w:r>
      <w:r w:rsidR="00212B7D">
        <w:t xml:space="preserve">s will be Judahites who </w:t>
      </w:r>
      <w:r w:rsidR="00F8481F" w:rsidRPr="00F8481F">
        <w:t>recognize</w:t>
      </w:r>
      <w:r w:rsidR="00212B7D">
        <w:t>d</w:t>
      </w:r>
      <w:r w:rsidR="00F8481F" w:rsidRPr="00F8481F">
        <w:t xml:space="preserve"> the truth of Hosea’s message when it was brought to Judah before or after the fall of Samaria in </w:t>
      </w:r>
      <w:r w:rsidR="00FA4FC0">
        <w:t>722</w:t>
      </w:r>
      <w:r w:rsidR="00811E8B">
        <w:t>. Their preface</w:t>
      </w:r>
      <w:r w:rsidR="00F8481F" w:rsidRPr="00F8481F">
        <w:t xml:space="preserve"> implies an invitation to</w:t>
      </w:r>
      <w:r w:rsidR="00212B7D">
        <w:t xml:space="preserve"> Judah to relate to the message.</w:t>
      </w:r>
      <w:r w:rsidR="00F8481F" w:rsidRPr="00F8481F">
        <w:t xml:space="preserve"> </w:t>
      </w:r>
      <w:r w:rsidR="008613A1">
        <w:t>The claim that Hosea’s</w:t>
      </w:r>
      <w:r w:rsidR="008613A1" w:rsidRPr="008613A1">
        <w:t xml:space="preserve"> message came from Yahweh would have been disputed by mo</w:t>
      </w:r>
      <w:r w:rsidR="008613A1">
        <w:t xml:space="preserve">st of the people to whom he </w:t>
      </w:r>
      <w:r w:rsidR="00FA4FC0">
        <w:t xml:space="preserve">originally </w:t>
      </w:r>
      <w:r w:rsidR="008613A1">
        <w:t xml:space="preserve">delivered it, particularly </w:t>
      </w:r>
      <w:r w:rsidR="008613A1" w:rsidRPr="008613A1">
        <w:t>people in authority in Ephr</w:t>
      </w:r>
      <w:r w:rsidR="003E03A1">
        <w:t>aim; hence the fact that Samaria</w:t>
      </w:r>
      <w:r w:rsidR="008613A1" w:rsidRPr="008613A1">
        <w:t xml:space="preserve"> fell in 722.</w:t>
      </w:r>
      <w:r w:rsidR="008613A1">
        <w:t xml:space="preserve"> The authors now boldly but plausibly claim that his claim was justified.</w:t>
      </w:r>
    </w:p>
    <w:p w:rsidR="00231A10" w:rsidRPr="00231A10" w:rsidRDefault="00C03BCD" w:rsidP="00231A10">
      <w:r w:rsidRPr="00C03BCD">
        <w:t xml:space="preserve">While the First Testament commonly uses the expression </w:t>
      </w:r>
      <w:r w:rsidRPr="00C03BCD">
        <w:rPr>
          <w:i/>
        </w:rPr>
        <w:t xml:space="preserve">dəbar yahweh </w:t>
      </w:r>
      <w:r w:rsidRPr="00C03BCD">
        <w:t>to denote an individual declaration from God (4:1 may be an example</w:t>
      </w:r>
      <w:r w:rsidR="00FA4FC0">
        <w:t xml:space="preserve">; cf. </w:t>
      </w:r>
      <w:r w:rsidR="00FA4FC0" w:rsidRPr="00FA4FC0">
        <w:t>Amos 7:16; 8:12</w:t>
      </w:r>
      <w:r w:rsidR="00FA4FC0">
        <w:t>; Jonah 1:1; 3:1</w:t>
      </w:r>
      <w:r w:rsidRPr="00C03BCD">
        <w:t>), here the expression has come to apply to t</w:t>
      </w:r>
      <w:r w:rsidR="00FA4FC0">
        <w:t xml:space="preserve">he collection of Hosea’s words, </w:t>
      </w:r>
      <w:r w:rsidRPr="00C03BCD">
        <w:t>a</w:t>
      </w:r>
      <w:r w:rsidR="00FA4FC0">
        <w:t>nd the stories about him (cf. Joel 1:1</w:t>
      </w:r>
      <w:r w:rsidR="00EC0FC6">
        <w:t>; Micah 1:1</w:t>
      </w:r>
      <w:r w:rsidR="00FA4FC0">
        <w:t>). T</w:t>
      </w:r>
      <w:r w:rsidRPr="00C03BCD">
        <w:t xml:space="preserve">he </w:t>
      </w:r>
      <w:r>
        <w:t xml:space="preserve">singular </w:t>
      </w:r>
      <w:r w:rsidRPr="00C03BCD">
        <w:t>word suggests that there is some coherence about the scroll as a whole. Its various parts form one decla</w:t>
      </w:r>
      <w:r w:rsidR="00FA4FC0">
        <w:t xml:space="preserve">ration or statement or message. </w:t>
      </w:r>
      <w:r w:rsidR="00231A10" w:rsidRPr="00231A10">
        <w:t>The expression “Yahweh’s message became a reality” or “happened”</w:t>
      </w:r>
      <w:r w:rsidR="00231A10" w:rsidRPr="00231A10">
        <w:rPr>
          <w:vertAlign w:val="superscript"/>
        </w:rPr>
        <w:footnoteReference w:id="19"/>
      </w:r>
      <w:r w:rsidR="00231A10">
        <w:t xml:space="preserve"> </w:t>
      </w:r>
      <w:r w:rsidR="00231A10" w:rsidRPr="00231A10">
        <w:t>puts the focus on the objective content of the message</w:t>
      </w:r>
      <w:r w:rsidR="0082602A">
        <w:t>, and</w:t>
      </w:r>
      <w:r w:rsidR="00231A10">
        <w:t xml:space="preserve"> </w:t>
      </w:r>
      <w:r w:rsidR="0082602A">
        <w:t>on how</w:t>
      </w:r>
      <w:r w:rsidR="00231A10" w:rsidRPr="00231A10">
        <w:t xml:space="preserve"> it came to th</w:t>
      </w:r>
      <w:r w:rsidR="00231A10">
        <w:t xml:space="preserve">e prophet in thoughts or words </w:t>
      </w:r>
      <w:r w:rsidR="00231A10" w:rsidRPr="00231A10">
        <w:t>without t</w:t>
      </w:r>
      <w:r w:rsidR="00B66BC5">
        <w:t xml:space="preserve">here needing to be a sense of </w:t>
      </w:r>
      <w:r w:rsidR="00231A10" w:rsidRPr="00231A10">
        <w:t>Yahweh as speaker speaking</w:t>
      </w:r>
      <w:r w:rsidR="00231A10">
        <w:t xml:space="preserve">. </w:t>
      </w:r>
      <w:r w:rsidR="00231A10" w:rsidRPr="00231A10">
        <w:t>Describing Hosea as ben Be’eri ensures that readers do not confuse this Hosea with any other Hosea, such as the Hoshea who was the last king of Ephraim and was thus a contemporary of Hos</w:t>
      </w:r>
      <w:r w:rsidR="00453258">
        <w:t>ea (in Hebrew the names</w:t>
      </w:r>
      <w:r w:rsidR="00231A10" w:rsidRPr="00231A10">
        <w:t xml:space="preserve"> are the same). It’s like saying “John Goldingay” and not simply “John.”  </w:t>
      </w:r>
    </w:p>
    <w:p w:rsidR="00C03BCD" w:rsidRDefault="00C03BCD" w:rsidP="00C03BCD">
      <w:pPr>
        <w:pStyle w:val="NoSpacing"/>
        <w:ind w:firstLine="720"/>
      </w:pPr>
      <w:r w:rsidRPr="00F8481F">
        <w:t>T</w:t>
      </w:r>
      <w:r>
        <w:t>h</w:t>
      </w:r>
      <w:r w:rsidRPr="00F8481F">
        <w:t xml:space="preserve">e four </w:t>
      </w:r>
      <w:r>
        <w:t xml:space="preserve">Judahite </w:t>
      </w:r>
      <w:r w:rsidRPr="00F8481F">
        <w:t>kin</w:t>
      </w:r>
      <w:r>
        <w:t>gs</w:t>
      </w:r>
      <w:r w:rsidRPr="00F8481F">
        <w:t xml:space="preserve"> </w:t>
      </w:r>
      <w:r w:rsidR="00FA4FC0">
        <w:t xml:space="preserve">who are </w:t>
      </w:r>
      <w:r>
        <w:t xml:space="preserve">named here </w:t>
      </w:r>
      <w:r w:rsidRPr="00F8481F">
        <w:t>feature</w:t>
      </w:r>
      <w:r>
        <w:t xml:space="preserve"> at the opening of Isaiah. I</w:t>
      </w:r>
      <w:r w:rsidRPr="00F8481F">
        <w:t>n both scrolls the names come as a str</w:t>
      </w:r>
      <w:r>
        <w:t xml:space="preserve">ing without </w:t>
      </w:r>
      <w:r w:rsidRPr="00F8481F">
        <w:t>“and”; Micah 1:1 lists three kings in the same way. The omission is comparable to</w:t>
      </w:r>
      <w:r>
        <w:t xml:space="preserve"> omitting commas in English;</w:t>
      </w:r>
      <w:r w:rsidRPr="00F8481F">
        <w:t xml:space="preserve"> it ties the kings tog</w:t>
      </w:r>
      <w:r>
        <w:t>ether and hints that they form one era.</w:t>
      </w:r>
      <w:r w:rsidRPr="00F8481F">
        <w:t xml:space="preserve"> The parallels between the</w:t>
      </w:r>
      <w:r>
        <w:t>se</w:t>
      </w:r>
      <w:r w:rsidRPr="00F8481F">
        <w:t xml:space="preserve"> three occurrences with their distincti</w:t>
      </w:r>
      <w:r>
        <w:t>ve form might suggest</w:t>
      </w:r>
      <w:r w:rsidRPr="00F8481F">
        <w:t xml:space="preserve"> that they deri</w:t>
      </w:r>
      <w:r>
        <w:t>ve from the same Judahite group.</w:t>
      </w:r>
      <w:r w:rsidRPr="00F8481F">
        <w:rPr>
          <w:vertAlign w:val="superscript"/>
        </w:rPr>
        <w:footnoteReference w:id="20"/>
      </w:r>
      <w:r>
        <w:t xml:space="preserve"> T</w:t>
      </w:r>
      <w:r w:rsidRPr="00F8481F">
        <w:t>he expression “Yahweh’s message became a reality” is most common in Jeremiah and Ezekiel, while accounts of the series of</w:t>
      </w:r>
      <w:r>
        <w:t xml:space="preserve"> kings in the two kingdoms come</w:t>
      </w:r>
      <w:r w:rsidRPr="00F8481F">
        <w:t xml:space="preserve"> in 1—2 Kings, all works that belong in the decades beginning in</w:t>
      </w:r>
      <w:r>
        <w:t xml:space="preserve"> the late 600s</w:t>
      </w:r>
      <w:r w:rsidRPr="00F8481F">
        <w:t>.</w:t>
      </w:r>
      <w:r>
        <w:t xml:space="preserve"> </w:t>
      </w:r>
    </w:p>
    <w:p w:rsidR="00EB6097" w:rsidRDefault="00C03BCD" w:rsidP="00C03BCD">
      <w:pPr>
        <w:pStyle w:val="NoSpacing"/>
        <w:ind w:firstLine="720"/>
      </w:pPr>
      <w:r w:rsidRPr="00F8481F">
        <w:t>The one Ep</w:t>
      </w:r>
      <w:r>
        <w:t>hraimite king mentioned</w:t>
      </w:r>
      <w:r w:rsidRPr="00F8481F">
        <w:t xml:space="preserve"> is Jeroboam II, who re</w:t>
      </w:r>
      <w:r>
        <w:t>igned from about 790</w:t>
      </w:r>
      <w:r w:rsidRPr="00F8481F">
        <w:t xml:space="preserve"> to about 750. </w:t>
      </w:r>
      <w:r>
        <w:t xml:space="preserve">But Hosea refers nine times to Assyria, and we know of no dealings between Assyria and Ephraim in Jeroboam’s time. Further, some of Hosea’s messages presuppose </w:t>
      </w:r>
      <w:r w:rsidRPr="00F8481F">
        <w:t xml:space="preserve">the time of the succeeding kings, Zechariah, </w:t>
      </w:r>
      <w:r>
        <w:t>Shallu</w:t>
      </w:r>
      <w:r w:rsidRPr="00F8481F">
        <w:t>m, Menahem, Pe</w:t>
      </w:r>
      <w:r>
        <w:t xml:space="preserve">kahiah, Pekah, and Hoshea, up to the eve of Samaria’s fall </w:t>
      </w:r>
      <w:r w:rsidR="00811E8B">
        <w:t>in 722. The preface</w:t>
      </w:r>
      <w:r>
        <w:t xml:space="preserve"> to Hosea</w:t>
      </w:r>
      <w:r w:rsidR="00811E8B">
        <w:t xml:space="preserve"> thus parallels those</w:t>
      </w:r>
      <w:r w:rsidRPr="00F8481F">
        <w:t xml:space="preserve"> to Isaiah, Jeremiah, and Ezekiel</w:t>
      </w:r>
      <w:r>
        <w:t>, which</w:t>
      </w:r>
      <w:r w:rsidRPr="00F8481F">
        <w:t xml:space="preserve"> do not refer to the entire </w:t>
      </w:r>
      <w:r w:rsidRPr="00F8481F">
        <w:lastRenderedPageBreak/>
        <w:t>period covered by th</w:t>
      </w:r>
      <w:r>
        <w:t xml:space="preserve">e scroll. </w:t>
      </w:r>
      <w:r w:rsidR="00EB6097">
        <w:t>Or is it that was expelled from Ephraim</w:t>
      </w:r>
      <w:r w:rsidR="0044405B">
        <w:t xml:space="preserve"> and delivered his later messages in Jerusalem?</w:t>
      </w:r>
    </w:p>
    <w:p w:rsidR="00C03BCD" w:rsidRPr="00F8481F" w:rsidRDefault="00EC0FC6" w:rsidP="00C03BCD">
      <w:pPr>
        <w:pStyle w:val="NoSpacing"/>
        <w:ind w:firstLine="720"/>
      </w:pPr>
      <w:r>
        <w:t xml:space="preserve">The provision of </w:t>
      </w:r>
      <w:r w:rsidR="00F50077">
        <w:t>information about the ki</w:t>
      </w:r>
      <w:r>
        <w:t>ngs in this preface and in Amos and Micah</w:t>
      </w:r>
      <w:r w:rsidR="00F50077">
        <w:t xml:space="preserve"> stands</w:t>
      </w:r>
      <w:r>
        <w:t xml:space="preserve"> in contrast to the </w:t>
      </w:r>
      <w:r w:rsidR="00F50077">
        <w:t>persistent disinclination of the Prophets themselves to mention specific kings or events, whic</w:t>
      </w:r>
      <w:r>
        <w:t>h rather implies that people don’</w:t>
      </w:r>
      <w:r w:rsidR="00F50077">
        <w:t xml:space="preserve">t need to know the specific context of the messages. As with the psalms, there is enough information in the text itself concerning the situation they address, and the absence of concrete references may reduce the chance of the messages being narrowed down in their significance and </w:t>
      </w:r>
      <w:r>
        <w:t xml:space="preserve">may </w:t>
      </w:r>
      <w:r w:rsidR="00F50077">
        <w:t>increase the chance of their being applied to contexts other than the ones in which they were given.</w:t>
      </w:r>
      <w:r>
        <w:t xml:space="preserve"> But the information does</w:t>
      </w:r>
      <w:r w:rsidRPr="00EC0FC6">
        <w:t xml:space="preserve"> invite readers to see the message in relation to these kings’ time and/or to the</w:t>
      </w:r>
      <w:r>
        <w:t>ir</w:t>
      </w:r>
      <w:r w:rsidRPr="00EC0FC6">
        <w:t xml:space="preserve"> </w:t>
      </w:r>
      <w:r>
        <w:t xml:space="preserve">portrayal </w:t>
      </w:r>
      <w:r w:rsidRPr="00EC0FC6">
        <w:t>in 2 Kings.</w:t>
      </w:r>
    </w:p>
    <w:p w:rsidR="003053AE" w:rsidRDefault="003053AE" w:rsidP="001D3546">
      <w:pPr>
        <w:pStyle w:val="Heading2"/>
      </w:pPr>
      <w:r>
        <w:t>Theological Implications</w:t>
      </w:r>
    </w:p>
    <w:p w:rsidR="00244E0B" w:rsidRDefault="00A71046" w:rsidP="009652A7">
      <w:pPr>
        <w:pStyle w:val="NoSpacing"/>
        <w:numPr>
          <w:ilvl w:val="0"/>
          <w:numId w:val="4"/>
        </w:numPr>
        <w:ind w:left="360"/>
      </w:pPr>
      <w:r w:rsidRPr="00A71046">
        <w:t xml:space="preserve">The </w:t>
      </w:r>
      <w:r w:rsidR="00B75873">
        <w:t xml:space="preserve">existence </w:t>
      </w:r>
      <w:r w:rsidR="00C03BCD">
        <w:t xml:space="preserve">of the Hosea scroll </w:t>
      </w:r>
      <w:r w:rsidR="00EC37AF">
        <w:t xml:space="preserve">implies that God </w:t>
      </w:r>
      <w:r w:rsidRPr="00A71046">
        <w:t>speak</w:t>
      </w:r>
      <w:r w:rsidR="00EC37AF">
        <w:t>s</w:t>
      </w:r>
      <w:r w:rsidRPr="00A71046">
        <w:t xml:space="preserve"> to h</w:t>
      </w:r>
      <w:r w:rsidR="00EC37AF">
        <w:t>is people, not least when they’</w:t>
      </w:r>
      <w:r w:rsidRPr="00A71046">
        <w:t>re unfaithful and rebellious</w:t>
      </w:r>
      <w:r w:rsidR="00244E0B">
        <w:t xml:space="preserve">. </w:t>
      </w:r>
      <w:r w:rsidR="000F240A">
        <w:t>“No scriptural prophecy bec</w:t>
      </w:r>
      <w:r w:rsidR="00425A4F">
        <w:t>omes a reality through personal interpretation, because no prophecy was ever generated by human will. Rather people carried along by</w:t>
      </w:r>
      <w:r w:rsidR="00C03BCD">
        <w:t xml:space="preserve"> the Holy Spirit spoke from God</w:t>
      </w:r>
      <w:r w:rsidR="00425A4F">
        <w:t xml:space="preserve">” </w:t>
      </w:r>
      <w:r w:rsidR="00C03BCD">
        <w:t xml:space="preserve">(2 </w:t>
      </w:r>
      <w:r w:rsidR="00D2552F">
        <w:t>Peter 1:20</w:t>
      </w:r>
      <w:r w:rsidR="00C03BCD">
        <w:t>). Such are</w:t>
      </w:r>
      <w:r w:rsidR="003751FC">
        <w:t xml:space="preserve"> the im</w:t>
      </w:r>
      <w:r w:rsidR="00C03BCD">
        <w:t xml:space="preserve">plications of </w:t>
      </w:r>
      <w:r w:rsidR="003751FC">
        <w:t xml:space="preserve">the opening of </w:t>
      </w:r>
      <w:r w:rsidR="00C03BCD">
        <w:t xml:space="preserve">the </w:t>
      </w:r>
      <w:r w:rsidR="003751FC">
        <w:t>Hosea</w:t>
      </w:r>
      <w:r w:rsidR="00C03BCD">
        <w:t xml:space="preserve"> scroll</w:t>
      </w:r>
      <w:r w:rsidR="00811E8B">
        <w:t xml:space="preserve">. </w:t>
      </w:r>
      <w:r w:rsidR="00B46005">
        <w:t>Whereas i</w:t>
      </w:r>
      <w:r w:rsidR="003112EB">
        <w:t xml:space="preserve">t is common to speak of </w:t>
      </w:r>
      <w:r w:rsidR="003751FC">
        <w:t>Hose</w:t>
      </w:r>
      <w:r w:rsidR="003112EB">
        <w:t>a’s message</w:t>
      </w:r>
      <w:r w:rsidR="00B46005">
        <w:t>,</w:t>
      </w:r>
      <w:r w:rsidR="003751FC">
        <w:t xml:space="preserve"> the scroll invites us to see what follows as </w:t>
      </w:r>
      <w:r w:rsidR="00244E0B">
        <w:t>God’s message.</w:t>
      </w:r>
    </w:p>
    <w:p w:rsidR="00244E0B" w:rsidRDefault="003751FC" w:rsidP="009652A7">
      <w:pPr>
        <w:pStyle w:val="NoSpacing"/>
        <w:numPr>
          <w:ilvl w:val="0"/>
          <w:numId w:val="4"/>
        </w:numPr>
        <w:ind w:left="360"/>
      </w:pPr>
      <w:r>
        <w:t xml:space="preserve">The declaration that what we are to read came from God is </w:t>
      </w:r>
      <w:r w:rsidR="00C03BCD">
        <w:t xml:space="preserve">a </w:t>
      </w:r>
      <w:r>
        <w:t xml:space="preserve">distinctive </w:t>
      </w:r>
      <w:r w:rsidR="00C03BCD">
        <w:t xml:space="preserve">feature </w:t>
      </w:r>
      <w:r>
        <w:t>of the Prophets</w:t>
      </w:r>
      <w:r w:rsidR="00C03BCD">
        <w:t xml:space="preserve"> over against </w:t>
      </w:r>
      <w:r w:rsidR="00811E8B">
        <w:t xml:space="preserve">the narrative and </w:t>
      </w:r>
      <w:r w:rsidR="00B46005">
        <w:t>Wisdom books</w:t>
      </w:r>
      <w:r>
        <w:t xml:space="preserve">. Oddly, it is also </w:t>
      </w:r>
      <w:r w:rsidR="00C03BCD">
        <w:t xml:space="preserve">a </w:t>
      </w:r>
      <w:r>
        <w:t xml:space="preserve">distinctive </w:t>
      </w:r>
      <w:r w:rsidR="00C03BCD">
        <w:t xml:space="preserve">feature </w:t>
      </w:r>
      <w:r>
        <w:t>that the agent is named—most of the S</w:t>
      </w:r>
      <w:r w:rsidR="00853948">
        <w:t>criptures are anonymous. Whereas t</w:t>
      </w:r>
      <w:r w:rsidR="00C03BCD">
        <w:t>he expression “Yahweh’s message</w:t>
      </w:r>
      <w:r>
        <w:t>” sounds as if it will make th</w:t>
      </w:r>
      <w:r w:rsidR="00853948">
        <w:t>e human speaker unimportant, actually he is named.</w:t>
      </w:r>
      <w:r w:rsidR="00244E0B">
        <w:t xml:space="preserve"> </w:t>
      </w:r>
      <w:r w:rsidR="00853948">
        <w:t>While t</w:t>
      </w:r>
      <w:r w:rsidR="00244E0B">
        <w:t xml:space="preserve">he message came to him, </w:t>
      </w:r>
      <w:r w:rsidR="008D54F6">
        <w:t>the speaking happened through him</w:t>
      </w:r>
      <w:r w:rsidR="00416C89">
        <w:t>.</w:t>
      </w:r>
    </w:p>
    <w:p w:rsidR="00244E0B" w:rsidRDefault="00853948" w:rsidP="009652A7">
      <w:pPr>
        <w:pStyle w:val="NoSpacing"/>
        <w:numPr>
          <w:ilvl w:val="0"/>
          <w:numId w:val="4"/>
        </w:numPr>
        <w:ind w:left="360"/>
      </w:pPr>
      <w:r>
        <w:t>There is a third link in the chain.</w:t>
      </w:r>
      <w:r w:rsidR="00B75873">
        <w:t xml:space="preserve"> The message came to him; God</w:t>
      </w:r>
      <w:r w:rsidRPr="00853948">
        <w:t xml:space="preserve"> spoke through </w:t>
      </w:r>
      <w:r>
        <w:t xml:space="preserve">him; he spoke to the people. </w:t>
      </w:r>
      <w:r w:rsidR="008D54F6">
        <w:t>To judge from what will follow, sometimes God gave him th</w:t>
      </w:r>
      <w:r w:rsidR="000D3359">
        <w:t xml:space="preserve">e words to speak. Verse 2b implies that he heard actual words. But sometimes </w:t>
      </w:r>
      <w:r w:rsidR="008D54F6">
        <w:t>he made up the words; this fact did not compromise its being God’s message.</w:t>
      </w:r>
      <w:r>
        <w:t xml:space="preserve"> </w:t>
      </w:r>
      <w:r w:rsidR="00416C89">
        <w:t>T</w:t>
      </w:r>
      <w:r w:rsidR="00416C89" w:rsidRPr="00416C89">
        <w:t>he singular term “message” rather than the plural “words” (</w:t>
      </w:r>
      <w:r w:rsidR="00416C89" w:rsidRPr="00416C89">
        <w:rPr>
          <w:i/>
        </w:rPr>
        <w:t>debar</w:t>
      </w:r>
      <w:r w:rsidR="00416C89" w:rsidRPr="00416C89">
        <w:t xml:space="preserve"> not </w:t>
      </w:r>
      <w:r w:rsidR="00416C89" w:rsidRPr="00416C89">
        <w:rPr>
          <w:i/>
        </w:rPr>
        <w:t>dibrȇ</w:t>
      </w:r>
      <w:r w:rsidR="00416C89" w:rsidRPr="00416C89">
        <w:t>) may allow for some slippage</w:t>
      </w:r>
      <w:r w:rsidR="00416C89">
        <w:t xml:space="preserve"> in the notion of the message coming from God</w:t>
      </w:r>
      <w:r w:rsidR="00416C89" w:rsidRPr="00416C89">
        <w:t xml:space="preserve">. When a messenger is commissioned to deliver a message, the messenger may formulate the words, without its lessening the message’s authority. So it may be with a prophet such as Hosea. It’s the message that comes, and Hosea doesn’t make </w:t>
      </w:r>
      <w:r w:rsidR="00811E8B">
        <w:t>it up</w:t>
      </w:r>
      <w:r w:rsidR="00416C89" w:rsidRPr="00416C89">
        <w:t>, but he does make up the words. Thus the expression</w:t>
      </w:r>
      <w:r w:rsidR="00811E8B">
        <w:t xml:space="preserve"> of the message varies between (say) </w:t>
      </w:r>
      <w:r w:rsidR="00416C89" w:rsidRPr="00416C89">
        <w:t>Hosea and Amos as poets.</w:t>
      </w:r>
    </w:p>
    <w:p w:rsidR="00951183" w:rsidRDefault="00811E8B" w:rsidP="009652A7">
      <w:pPr>
        <w:pStyle w:val="NoSpacing"/>
        <w:numPr>
          <w:ilvl w:val="0"/>
          <w:numId w:val="4"/>
        </w:numPr>
        <w:ind w:left="360"/>
      </w:pPr>
      <w:r>
        <w:t>T</w:t>
      </w:r>
      <w:r w:rsidR="00416C89">
        <w:t>he scroll</w:t>
      </w:r>
      <w:r>
        <w:t>’s preface</w:t>
      </w:r>
      <w:r w:rsidR="00244E0B">
        <w:t xml:space="preserve"> further implies </w:t>
      </w:r>
      <w:r w:rsidR="00416C89">
        <w:t>that this particular message from God was</w:t>
      </w:r>
      <w:r w:rsidR="00244E0B" w:rsidRPr="00244E0B">
        <w:t xml:space="preserve"> significant n</w:t>
      </w:r>
      <w:r w:rsidR="00416C89">
        <w:t>ot only for the people whom Hosea</w:t>
      </w:r>
      <w:r w:rsidR="00244E0B" w:rsidRPr="00244E0B">
        <w:t xml:space="preserve"> originally addressed but for the rest of the people of God at the time </w:t>
      </w:r>
      <w:r w:rsidR="00951183">
        <w:t xml:space="preserve">(specifically, for Judah) </w:t>
      </w:r>
      <w:r w:rsidR="00244E0B" w:rsidRPr="00244E0B">
        <w:t xml:space="preserve">and for future generations. </w:t>
      </w:r>
      <w:r w:rsidR="003112EB">
        <w:t>“The sacred scriptures… are able to make you wise with a view to deliverance through the faith that is in the Anointed</w:t>
      </w:r>
      <w:r w:rsidR="00853948">
        <w:t xml:space="preserve"> one</w:t>
      </w:r>
      <w:r w:rsidR="003112EB">
        <w:t>, Jesus.  Every scripture is God-breathed and profitable for teaching, for reproof, for correctio</w:t>
      </w:r>
      <w:r w:rsidR="00951183">
        <w:t>n, for training in right living” (2 Tim.</w:t>
      </w:r>
      <w:r w:rsidR="009F1241">
        <w:t xml:space="preserve"> 3:15-16</w:t>
      </w:r>
      <w:r w:rsidR="00951183">
        <w:t>).</w:t>
      </w:r>
      <w:r w:rsidR="009F1241">
        <w:t xml:space="preserve"> </w:t>
      </w:r>
      <w:r w:rsidR="00951183">
        <w:t xml:space="preserve">God may </w:t>
      </w:r>
      <w:r w:rsidR="008D54F6">
        <w:t>have</w:t>
      </w:r>
      <w:r w:rsidR="00951183">
        <w:t xml:space="preserve"> given Hosea </w:t>
      </w:r>
      <w:r w:rsidR="008D54F6">
        <w:t>messages that were n</w:t>
      </w:r>
      <w:r>
        <w:t>ot incorporated in this scroll, and in our own world</w:t>
      </w:r>
      <w:r w:rsidR="008D54F6" w:rsidRPr="008D54F6">
        <w:t xml:space="preserve"> poets and song</w:t>
      </w:r>
      <w:r w:rsidR="00951183">
        <w:t xml:space="preserve">writers and prophets may </w:t>
      </w:r>
      <w:r w:rsidR="008D54F6" w:rsidRPr="008D54F6">
        <w:t>sense that something comes to them that they did not generate.</w:t>
      </w:r>
      <w:r w:rsidR="00416C89">
        <w:t xml:space="preserve"> The </w:t>
      </w:r>
      <w:r>
        <w:t xml:space="preserve">scroll’s inclusion </w:t>
      </w:r>
      <w:r w:rsidR="00416C89">
        <w:t>of the prophecies that will follow</w:t>
      </w:r>
      <w:r w:rsidR="008D54F6">
        <w:t xml:space="preserve"> reflects the conviction that they have something to say beyond their original se</w:t>
      </w:r>
      <w:r w:rsidR="00951183">
        <w:t>tting. It is this fact that is explained</w:t>
      </w:r>
      <w:r w:rsidR="008D54F6">
        <w:t xml:space="preserve"> by declaring that the Holy Spirit was distinctively involved in their coming into being.</w:t>
      </w:r>
    </w:p>
    <w:p w:rsidR="00951183" w:rsidRDefault="00951183" w:rsidP="009652A7">
      <w:pPr>
        <w:pStyle w:val="NoSpacing"/>
        <w:numPr>
          <w:ilvl w:val="0"/>
          <w:numId w:val="4"/>
        </w:numPr>
        <w:ind w:left="360"/>
      </w:pPr>
      <w:r>
        <w:t>T</w:t>
      </w:r>
      <w:r w:rsidRPr="00951183">
        <w:t>he conviction of the people who assembled the scroll</w:t>
      </w:r>
      <w:r>
        <w:t xml:space="preserve"> was that it</w:t>
      </w:r>
      <w:r w:rsidR="00B75873">
        <w:t xml:space="preserve"> was a statement from God</w:t>
      </w:r>
      <w:r w:rsidR="003053AE">
        <w:t>, and evidently the Judahite community came to accept it, so that it became part of the Prophets and part of Judah’s S</w:t>
      </w:r>
      <w:r>
        <w:t xml:space="preserve">criptures. There were </w:t>
      </w:r>
      <w:r w:rsidR="003053AE">
        <w:t>Judahites who would have continued to dispute aspects of it (such as its insistence on worshiping Yahweh alone), but the community came to accept that Hosea was right. There have continued to be people who h</w:t>
      </w:r>
      <w:r w:rsidR="009C1BC5">
        <w:t xml:space="preserve">ave disputed whether Hosea was </w:t>
      </w:r>
      <w:r w:rsidR="003053AE">
        <w:t>ri</w:t>
      </w:r>
      <w:r w:rsidR="009C1BC5">
        <w:t>ght</w:t>
      </w:r>
      <w:r w:rsidR="003053AE">
        <w:t xml:space="preserve">—for </w:t>
      </w:r>
      <w:r w:rsidR="003053AE">
        <w:lastRenderedPageBreak/>
        <w:t>instance, in the way he tal</w:t>
      </w:r>
      <w:r w:rsidR="00811E8B">
        <w:t>ks about Gomer. The preface challenges us</w:t>
      </w:r>
      <w:r w:rsidR="003053AE">
        <w:t xml:space="preserve"> to confo</w:t>
      </w:r>
      <w:r w:rsidR="00811E8B">
        <w:t>rm ou</w:t>
      </w:r>
      <w:r w:rsidR="003053AE">
        <w:t>r thinking to its rath</w:t>
      </w:r>
      <w:r w:rsidR="009A6784">
        <w:t>er than conforming it to ou</w:t>
      </w:r>
      <w:r>
        <w:t>rs.</w:t>
      </w:r>
    </w:p>
    <w:p w:rsidR="00F32B60" w:rsidRDefault="008979C1" w:rsidP="00EF7B98">
      <w:pPr>
        <w:pStyle w:val="Heading1"/>
      </w:pPr>
      <w:r>
        <w:t>Part One</w:t>
      </w:r>
      <w:r w:rsidR="00F32B60">
        <w:t>: Hosea 1:2—</w:t>
      </w:r>
      <w:r w:rsidR="001F52E7">
        <w:t>3:5</w:t>
      </w:r>
      <w:r w:rsidR="0012002D">
        <w:t xml:space="preserve">                                                                                            </w:t>
      </w:r>
      <w:r w:rsidR="00F32B60">
        <w:t>The Metanarrative</w:t>
      </w:r>
    </w:p>
    <w:p w:rsidR="001F52E7" w:rsidRDefault="00135B26" w:rsidP="00F32B60">
      <w:r>
        <w:t>After the preface t</w:t>
      </w:r>
      <w:r w:rsidR="00F32B60">
        <w:t xml:space="preserve">he Hosea scroll begins with three chapters that take the listeners from the very beginning to the very end of the story of Yahweh’s dealing with “Israel.” </w:t>
      </w:r>
      <w:r w:rsidR="00EE7854">
        <w:t xml:space="preserve">Each time the word “Israel” occurs, it refers directly to Ephraim, but this metanarrative also embraces Judah, so that one can also see it as the story of Israel as the people of God. It is a </w:t>
      </w:r>
      <w:r w:rsidR="00EE7854" w:rsidRPr="00EE7854">
        <w:rPr>
          <w:i/>
        </w:rPr>
        <w:t>meta</w:t>
      </w:r>
      <w:r w:rsidR="00EE7854">
        <w:t>narrative in the sense of an overarching theology. It is also a meta</w:t>
      </w:r>
      <w:r w:rsidR="00EE7854" w:rsidRPr="00EE7854">
        <w:rPr>
          <w:i/>
        </w:rPr>
        <w:t>narrative</w:t>
      </w:r>
      <w:r w:rsidR="00EE7854">
        <w:t xml:space="preserve"> in the sense of an overarching story. It takes Israel from (1) Yahweh’s entering into a relation with it through (2) Israel’s unfaithfulness and (3) Yahweh’s severe chastisement to (4) Yahweh’s reestablishing of the relationship and (5) Israel’s responding. </w:t>
      </w:r>
    </w:p>
    <w:p w:rsidR="001F52E7" w:rsidRDefault="001F52E7" w:rsidP="00F32B60"/>
    <w:p w:rsidR="001F52E7" w:rsidRDefault="00EE7854" w:rsidP="009652A7">
      <w:pPr>
        <w:pStyle w:val="ListParagraph"/>
        <w:numPr>
          <w:ilvl w:val="0"/>
          <w:numId w:val="24"/>
        </w:numPr>
        <w:ind w:left="720"/>
      </w:pPr>
      <w:r>
        <w:t xml:space="preserve">Chapter 1 </w:t>
      </w:r>
      <w:r w:rsidR="001F52E7">
        <w:t>(strictly 1:2</w:t>
      </w:r>
      <w:r w:rsidR="00B776F6">
        <w:t>b</w:t>
      </w:r>
      <w:r w:rsidR="001F52E7">
        <w:t>—2:</w:t>
      </w:r>
      <w:r w:rsidR="00135B26">
        <w:t xml:space="preserve">1 [3 </w:t>
      </w:r>
      <w:r w:rsidR="001F52E7">
        <w:t>]</w:t>
      </w:r>
      <w:r w:rsidR="00981A94">
        <w:t>)</w:t>
      </w:r>
      <w:r w:rsidR="001F52E7">
        <w:t xml:space="preserve"> </w:t>
      </w:r>
      <w:r>
        <w:t>covers stages (1) through (4)</w:t>
      </w:r>
      <w:r w:rsidR="001F52E7">
        <w:t xml:space="preserve">. </w:t>
      </w:r>
    </w:p>
    <w:p w:rsidR="001F52E7" w:rsidRDefault="001F52E7" w:rsidP="009652A7">
      <w:pPr>
        <w:pStyle w:val="ListParagraph"/>
        <w:numPr>
          <w:ilvl w:val="0"/>
          <w:numId w:val="24"/>
        </w:numPr>
        <w:ind w:left="720"/>
      </w:pPr>
      <w:r>
        <w:t>C</w:t>
      </w:r>
      <w:r w:rsidR="00EE7854">
        <w:t xml:space="preserve">hapter 2 </w:t>
      </w:r>
      <w:r w:rsidR="00135B26">
        <w:t>(strictly, 2:2-23 [24-25</w:t>
      </w:r>
      <w:r w:rsidRPr="001F52E7">
        <w:t xml:space="preserve">]) </w:t>
      </w:r>
      <w:r w:rsidR="00EE7854">
        <w:t>focuses on stages (2) through (4)</w:t>
      </w:r>
      <w:r>
        <w:t>.</w:t>
      </w:r>
    </w:p>
    <w:p w:rsidR="00EE7854" w:rsidRDefault="001F52E7" w:rsidP="009652A7">
      <w:pPr>
        <w:pStyle w:val="ListParagraph"/>
        <w:numPr>
          <w:ilvl w:val="0"/>
          <w:numId w:val="24"/>
        </w:numPr>
        <w:ind w:left="720"/>
      </w:pPr>
      <w:r>
        <w:t>C</w:t>
      </w:r>
      <w:r w:rsidR="00EE7854">
        <w:t>hapter 3 focuses on stages (4) and (5).</w:t>
      </w:r>
    </w:p>
    <w:p w:rsidR="001F52E7" w:rsidRDefault="001F52E7" w:rsidP="00F32B60"/>
    <w:p w:rsidR="00F32B60" w:rsidRDefault="00981A94" w:rsidP="00F32B60">
      <w:r>
        <w:t>Chapter 1</w:t>
      </w:r>
      <w:r w:rsidR="00EE7854">
        <w:t xml:space="preserve"> presents itself as a story about Hosea</w:t>
      </w:r>
      <w:r w:rsidR="00722685">
        <w:t xml:space="preserve"> incorporating short messages from Yahweh</w:t>
      </w:r>
      <w:r w:rsidR="00EE7854">
        <w:t xml:space="preserve">, </w:t>
      </w:r>
      <w:r w:rsidR="00722685">
        <w:t>chapter 2 as a message from Yahweh which refers back to chapter 1 (see 2:23</w:t>
      </w:r>
      <w:r w:rsidR="00135B26">
        <w:t xml:space="preserve"> [25]</w:t>
      </w:r>
      <w:r w:rsidR="00722685">
        <w:t>), chapter 3 as a story by Hosea which also refers back to chapter 1 (see 3:1). The chapters are thus diverse in form, and one could peel off element</w:t>
      </w:r>
      <w:r w:rsidR="00135B26">
        <w:t>s from them</w:t>
      </w:r>
      <w:r w:rsidR="00722685">
        <w:t xml:space="preserve"> so as to identify each as an indepe</w:t>
      </w:r>
      <w:r w:rsidR="00135B26">
        <w:t>ndent unit, but as</w:t>
      </w:r>
      <w:r w:rsidR="00722685">
        <w:t xml:space="preserve"> we have the three ch</w:t>
      </w:r>
      <w:r w:rsidR="00135B26">
        <w:t>apters, they work as a whole. While they</w:t>
      </w:r>
      <w:r w:rsidR="00722685">
        <w:t xml:space="preserve"> might have been dictated by Hosea</w:t>
      </w:r>
      <w:r w:rsidR="00D80E49">
        <w:t>,</w:t>
      </w:r>
      <w:r w:rsidR="00722685">
        <w:t xml:space="preserve"> initially </w:t>
      </w:r>
      <w:r w:rsidR="00D80E49">
        <w:t>referring</w:t>
      </w:r>
      <w:r w:rsidR="00722685">
        <w:t xml:space="preserve"> to himself in the third person</w:t>
      </w:r>
      <w:r w:rsidR="00D80E49">
        <w:t>,</w:t>
      </w:r>
      <w:r w:rsidR="00135B26">
        <w:t xml:space="preserve"> </w:t>
      </w:r>
      <w:r w:rsidR="00722685">
        <w:t xml:space="preserve">it </w:t>
      </w:r>
      <w:r w:rsidR="00135B26">
        <w:t>seems more natural to assume that they were</w:t>
      </w:r>
      <w:r w:rsidR="001F52E7">
        <w:t xml:space="preserve"> written by a disciple speaking</w:t>
      </w:r>
      <w:r w:rsidR="00722685">
        <w:t xml:space="preserve"> in his name, “inspired” by him.</w:t>
      </w:r>
    </w:p>
    <w:p w:rsidR="00965D5C" w:rsidRDefault="00965D5C" w:rsidP="00EF7B98">
      <w:pPr>
        <w:pStyle w:val="Heading1"/>
      </w:pPr>
      <w:r>
        <w:t>Hos</w:t>
      </w:r>
      <w:r w:rsidR="00B776F6">
        <w:t>ea 1:2a: Introduction to the M</w:t>
      </w:r>
      <w:r>
        <w:t>etanarrative</w:t>
      </w:r>
    </w:p>
    <w:p w:rsidR="00965D5C" w:rsidRDefault="00965D5C" w:rsidP="00965D5C">
      <w:pPr>
        <w:pStyle w:val="Heading2"/>
      </w:pPr>
      <w:r>
        <w:t>Translation</w:t>
      </w:r>
    </w:p>
    <w:p w:rsidR="00965D5C" w:rsidRDefault="00965D5C" w:rsidP="00F32B60">
      <w:r>
        <w:rPr>
          <w:vertAlign w:val="superscript"/>
        </w:rPr>
        <w:t>2a</w:t>
      </w:r>
      <w:r>
        <w:t>The beginning</w:t>
      </w:r>
      <w:r>
        <w:rPr>
          <w:rStyle w:val="FootnoteReference"/>
        </w:rPr>
        <w:footnoteReference w:id="21"/>
      </w:r>
      <w:r>
        <w:t xml:space="preserve"> of when Yahweh spoke</w:t>
      </w:r>
      <w:r>
        <w:rPr>
          <w:rStyle w:val="FootnoteReference"/>
        </w:rPr>
        <w:footnoteReference w:id="22"/>
      </w:r>
      <w:r>
        <w:t xml:space="preserve"> through</w:t>
      </w:r>
      <w:r>
        <w:rPr>
          <w:rStyle w:val="FootnoteReference"/>
        </w:rPr>
        <w:footnoteReference w:id="23"/>
      </w:r>
      <w:r>
        <w:t xml:space="preserve"> </w:t>
      </w:r>
      <w:r w:rsidRPr="00FE563A">
        <w:t>Hôshēa‘</w:t>
      </w:r>
      <w:r>
        <w:t>.</w:t>
      </w:r>
    </w:p>
    <w:p w:rsidR="00B776F6" w:rsidRDefault="00B776F6" w:rsidP="00B776F6">
      <w:pPr>
        <w:pStyle w:val="Heading2"/>
      </w:pPr>
      <w:r>
        <w:t>Interpretation</w:t>
      </w:r>
    </w:p>
    <w:p w:rsidR="00B776F6" w:rsidRDefault="00416C89" w:rsidP="00B776F6">
      <w:pPr>
        <w:pStyle w:val="NoSpacing"/>
        <w:ind w:firstLine="720"/>
      </w:pPr>
      <w:r>
        <w:t>Like v. 1, this</w:t>
      </w:r>
      <w:r w:rsidR="00B776F6">
        <w:t xml:space="preserve"> introduction</w:t>
      </w:r>
      <w:r w:rsidR="00B776F6" w:rsidRPr="00244C33">
        <w:t xml:space="preserve"> </w:t>
      </w:r>
      <w:r w:rsidR="00B776F6">
        <w:t xml:space="preserve">to </w:t>
      </w:r>
      <w:r w:rsidR="00B776F6" w:rsidRPr="00244C33">
        <w:t>th</w:t>
      </w:r>
      <w:r>
        <w:t xml:space="preserve">e first three chapters of the scroll </w:t>
      </w:r>
      <w:r w:rsidR="00B776F6" w:rsidRPr="00B924B1">
        <w:t>has no main verb</w:t>
      </w:r>
      <w:r w:rsidR="00B776F6">
        <w:t>. “The beginning” suggests that the introduction</w:t>
      </w:r>
      <w:r w:rsidR="00B776F6" w:rsidRPr="00B924B1">
        <w:t xml:space="preserve"> presupposes the story’s place as the </w:t>
      </w:r>
      <w:r w:rsidR="00FA45AA">
        <w:t xml:space="preserve">part of the </w:t>
      </w:r>
      <w:r w:rsidR="00B776F6">
        <w:t>prologue to a collection of Hosea’s prophecies. Maybe the story was written first and this introduction was added when the story acquired this position, or mayb</w:t>
      </w:r>
      <w:r w:rsidR="00764A31">
        <w:t>e the story was compos</w:t>
      </w:r>
      <w:r w:rsidR="00B776F6">
        <w:t>e</w:t>
      </w:r>
      <w:r w:rsidR="00764A31">
        <w:t>d to lead into</w:t>
      </w:r>
      <w:r w:rsidR="00B776F6">
        <w:t xml:space="preserve"> the collage that follows and the introduction was thus an integral part of it. </w:t>
      </w:r>
    </w:p>
    <w:p w:rsidR="00B776F6" w:rsidRDefault="00B776F6" w:rsidP="00B776F6">
      <w:pPr>
        <w:pStyle w:val="NoSpacing"/>
        <w:ind w:firstLine="720"/>
      </w:pPr>
      <w:r>
        <w:t xml:space="preserve">It was the task of prophets to speak and the task of disciples and secretaries to write down their words (Isa. 8:16; Jer. 36:1-4, 32), and it makes sense to take this introduction as deriving from such </w:t>
      </w:r>
      <w:r>
        <w:lastRenderedPageBreak/>
        <w:t xml:space="preserve">disciple(s)/secretary(ies), people among the minority in Ephraim </w:t>
      </w:r>
      <w:r w:rsidR="00FA45AA">
        <w:t xml:space="preserve">or people in Judah who accepted </w:t>
      </w:r>
      <w:r>
        <w:t>his message.</w:t>
      </w:r>
    </w:p>
    <w:p w:rsidR="00B776F6" w:rsidRPr="00C670D9" w:rsidRDefault="00FA45AA" w:rsidP="00B776F6">
      <w:pPr>
        <w:pStyle w:val="NoSpacing"/>
        <w:ind w:firstLine="720"/>
      </w:pPr>
      <w:r>
        <w:t xml:space="preserve">The </w:t>
      </w:r>
      <w:r w:rsidR="00B776F6" w:rsidRPr="00871371">
        <w:t>fo</w:t>
      </w:r>
      <w:r w:rsidR="00B776F6">
        <w:t xml:space="preserve">rmulation “Yahweh spoke” </w:t>
      </w:r>
      <w:r>
        <w:t xml:space="preserve">as opposed to the formulation in v. 1a </w:t>
      </w:r>
      <w:r w:rsidR="00B776F6" w:rsidRPr="00871371">
        <w:t>draws attention to the personal natu</w:t>
      </w:r>
      <w:r w:rsidR="00B776F6">
        <w:t>re of the communication process, while</w:t>
      </w:r>
      <w:r w:rsidR="00B776F6" w:rsidRPr="00C670D9">
        <w:t xml:space="preserve"> “</w:t>
      </w:r>
      <w:r w:rsidR="00B776F6">
        <w:t>through Hosea” indicates that the message is</w:t>
      </w:r>
      <w:r w:rsidR="00B776F6" w:rsidRPr="00C670D9">
        <w:t xml:space="preserve"> mediated through someone. </w:t>
      </w:r>
      <w:r w:rsidR="00B776F6">
        <w:t xml:space="preserve">Only the introduction to Hosea </w:t>
      </w:r>
      <w:r w:rsidR="00B776F6" w:rsidRPr="00C670D9">
        <w:t>speak</w:t>
      </w:r>
      <w:r w:rsidR="00B776F6">
        <w:t>s</w:t>
      </w:r>
      <w:r w:rsidR="00B776F6" w:rsidRPr="00C670D9">
        <w:t xml:space="preserve"> of the message coming “through” the prophet (</w:t>
      </w:r>
      <w:r w:rsidR="00B776F6" w:rsidRPr="00C670D9">
        <w:rPr>
          <w:i/>
        </w:rPr>
        <w:t>b</w:t>
      </w:r>
      <w:r w:rsidR="00B776F6">
        <w:rPr>
          <w:i/>
        </w:rPr>
        <w:t>ə</w:t>
      </w:r>
      <w:r w:rsidR="00B776F6">
        <w:t>)</w:t>
      </w:r>
      <w:r w:rsidR="00B776F6" w:rsidRPr="00C670D9">
        <w:t xml:space="preserve">; Haggai and Malachi have </w:t>
      </w:r>
      <w:r w:rsidR="00B776F6" w:rsidRPr="00C670D9">
        <w:rPr>
          <w:i/>
        </w:rPr>
        <w:t>beyad</w:t>
      </w:r>
      <w:r w:rsidR="00B776F6" w:rsidRPr="00C670D9">
        <w:t>, “by the hand of/by means of”</w:t>
      </w:r>
      <w:r w:rsidR="00B776F6">
        <w:t xml:space="preserve"> (but Micaiah use </w:t>
      </w:r>
      <w:r w:rsidR="00B776F6">
        <w:rPr>
          <w:i/>
        </w:rPr>
        <w:t>bə</w:t>
      </w:r>
      <w:r w:rsidR="00B776F6">
        <w:t>: 1 Kings 22:28). In Hosea’s</w:t>
      </w:r>
      <w:r w:rsidR="00B776F6" w:rsidRPr="00C670D9">
        <w:t xml:space="preserve"> case it indeed comes “through” him and his family. </w:t>
      </w:r>
    </w:p>
    <w:p w:rsidR="00B776F6" w:rsidRDefault="00B776F6" w:rsidP="00B776F6">
      <w:pPr>
        <w:pStyle w:val="Heading2"/>
      </w:pPr>
      <w:r>
        <w:t>Theological Implications</w:t>
      </w:r>
    </w:p>
    <w:p w:rsidR="00B776F6" w:rsidRDefault="00B776F6" w:rsidP="00B776F6">
      <w:pPr>
        <w:pStyle w:val="ListParagraph"/>
        <w:numPr>
          <w:ilvl w:val="0"/>
          <w:numId w:val="23"/>
        </w:numPr>
        <w:ind w:left="360"/>
      </w:pPr>
      <w:r w:rsidRPr="005C3240">
        <w:t xml:space="preserve">Only </w:t>
      </w:r>
      <w:r>
        <w:t>Hosea among the Twelve</w:t>
      </w:r>
      <w:r w:rsidRPr="005C3240">
        <w:t xml:space="preserve"> beg</w:t>
      </w:r>
      <w:r>
        <w:t>ins by describing how the prophet came to begin his work. As in</w:t>
      </w:r>
      <w:r w:rsidRPr="005C3240">
        <w:t xml:space="preserve"> other accounts of a prophet’s summons to his task, interest</w:t>
      </w:r>
      <w:r>
        <w:t xml:space="preserve"> does not lie in the experie</w:t>
      </w:r>
      <w:r w:rsidR="00FA45AA">
        <w:t>nce’s significance for Hosea nor</w:t>
      </w:r>
      <w:r>
        <w:t xml:space="preserve"> does it presuppose that the account is instructive for ordinary memb</w:t>
      </w:r>
      <w:r w:rsidR="00FA45AA">
        <w:t>ers of the people of God since</w:t>
      </w:r>
      <w:r>
        <w:t xml:space="preserve"> God may relate to them in the same way—rather the opposite. Nor does it provide</w:t>
      </w:r>
      <w:r w:rsidR="00FA45AA">
        <w:t xml:space="preserve"> a warrant for Hosea’s undertaking his</w:t>
      </w:r>
      <w:r w:rsidRPr="005C3240">
        <w:t xml:space="preserve"> task or a basis f</w:t>
      </w:r>
      <w:r w:rsidR="00FA45AA">
        <w:t>or urging his hearers to heed what he says</w:t>
      </w:r>
      <w:r w:rsidRPr="005C3240">
        <w:t xml:space="preserve">. </w:t>
      </w:r>
      <w:r w:rsidRPr="00CB5459">
        <w:t>Interest lies in the account’s links with</w:t>
      </w:r>
      <w:r>
        <w:t xml:space="preserve"> the prophet’s message and work. God</w:t>
      </w:r>
      <w:r w:rsidRPr="005C3240">
        <w:t xml:space="preserve"> commissions Hosea t</w:t>
      </w:r>
      <w:r>
        <w:t>o undertake</w:t>
      </w:r>
      <w:r w:rsidRPr="005C3240">
        <w:t xml:space="preserve"> a series of prophetic</w:t>
      </w:r>
      <w:r w:rsidR="00FA45AA">
        <w:t xml:space="preserve"> actions (marrying and naming) that embody central themes of hi</w:t>
      </w:r>
      <w:r w:rsidRPr="00CB5459">
        <w:t xml:space="preserve">s messages. </w:t>
      </w:r>
      <w:r w:rsidRPr="000261A2">
        <w:t>“Perhaps mime will succeed where words fail.”</w:t>
      </w:r>
      <w:r w:rsidRPr="000261A2">
        <w:rPr>
          <w:vertAlign w:val="superscript"/>
        </w:rPr>
        <w:footnoteReference w:id="24"/>
      </w:r>
      <w:r>
        <w:t xml:space="preserve"> </w:t>
      </w:r>
    </w:p>
    <w:p w:rsidR="00B92055" w:rsidRDefault="00B92055" w:rsidP="00B92055">
      <w:pPr>
        <w:pStyle w:val="ListParagraph"/>
        <w:numPr>
          <w:ilvl w:val="0"/>
          <w:numId w:val="23"/>
        </w:numPr>
        <w:ind w:left="360"/>
      </w:pPr>
      <w:r>
        <w:t xml:space="preserve">The three chapters that will follow are </w:t>
      </w:r>
      <w:r w:rsidRPr="00B92055">
        <w:t>the beginning of God’s spea</w:t>
      </w:r>
      <w:r>
        <w:t>king through Hosea. Indeed God’s speaking though Hosea was</w:t>
      </w:r>
      <w:r w:rsidR="00FA45AA">
        <w:t xml:space="preserve"> </w:t>
      </w:r>
      <w:r w:rsidRPr="00B92055">
        <w:t xml:space="preserve">near the very beginning of God’s speaking through </w:t>
      </w:r>
      <w:r>
        <w:t xml:space="preserve">all </w:t>
      </w:r>
      <w:r w:rsidRPr="00B92055">
        <w:t xml:space="preserve">those prophets whose speaking </w:t>
      </w:r>
      <w:r>
        <w:t>was so significant that it generated</w:t>
      </w:r>
      <w:r w:rsidRPr="00B92055">
        <w:t xml:space="preserve"> scrolls preserving the message God gave them. </w:t>
      </w:r>
      <w:r>
        <w:t>T</w:t>
      </w:r>
      <w:r w:rsidRPr="00B92055">
        <w:t>heir message was important enough to be written down. It is an epoch-making moment in the history of God’s involvement with his people and in the process that generates the Scriptures.</w:t>
      </w:r>
    </w:p>
    <w:p w:rsidR="00B776F6" w:rsidRDefault="00416C89" w:rsidP="00B776F6">
      <w:pPr>
        <w:pStyle w:val="ListParagraph"/>
        <w:numPr>
          <w:ilvl w:val="0"/>
          <w:numId w:val="23"/>
        </w:numPr>
        <w:ind w:left="360"/>
      </w:pPr>
      <w:r>
        <w:t xml:space="preserve">Every prophecy comes through a prophet. But </w:t>
      </w:r>
      <w:r w:rsidR="00B776F6">
        <w:t>God’s message</w:t>
      </w:r>
      <w:r w:rsidR="00B776F6" w:rsidRPr="00CB5459">
        <w:t xml:space="preserve"> </w:t>
      </w:r>
      <w:r>
        <w:t>comes through Hosea in a special sense. I</w:t>
      </w:r>
      <w:r w:rsidRPr="00416C89">
        <w:t>n his case it is through his life that God’s message comes to people.</w:t>
      </w:r>
      <w:r>
        <w:t xml:space="preserve"> The message </w:t>
      </w:r>
      <w:r w:rsidR="00FA45AA">
        <w:t xml:space="preserve">can be </w:t>
      </w:r>
      <w:r w:rsidR="00B776F6" w:rsidRPr="00CB5459">
        <w:t>embodied i</w:t>
      </w:r>
      <w:r w:rsidR="00B776F6">
        <w:t xml:space="preserve">n a person through whom God </w:t>
      </w:r>
      <w:r w:rsidR="00B776F6" w:rsidRPr="00CB5459">
        <w:t xml:space="preserve">speaks. </w:t>
      </w:r>
      <w:r w:rsidR="00FA45AA">
        <w:t>But i</w:t>
      </w:r>
      <w:r w:rsidR="00B776F6">
        <w:t>n speaking “through” Hosea, God makes outrageous demands on him. “There is hardly any other sphere in which humans are so super-sensitive as when they are choosing a companion for life. Anyone who dares interfere has to watch his step!”</w:t>
      </w:r>
      <w:r w:rsidR="00B776F6" w:rsidRPr="00711BFD">
        <w:rPr>
          <w:vertAlign w:val="superscript"/>
        </w:rPr>
        <w:footnoteReference w:id="25"/>
      </w:r>
    </w:p>
    <w:p w:rsidR="003053AE" w:rsidRDefault="003053AE" w:rsidP="00EF7B98">
      <w:pPr>
        <w:pStyle w:val="Heading1"/>
      </w:pPr>
      <w:r>
        <w:t>Hosea 1:2</w:t>
      </w:r>
      <w:r w:rsidR="00954746">
        <w:t>b</w:t>
      </w:r>
      <w:r>
        <w:t>—2:1</w:t>
      </w:r>
      <w:r w:rsidR="00EB0CBE">
        <w:t xml:space="preserve"> [3]</w:t>
      </w:r>
      <w:r>
        <w:t>: Hosea and Gomer (i)</w:t>
      </w:r>
    </w:p>
    <w:p w:rsidR="00965D5C" w:rsidRDefault="00965D5C" w:rsidP="00965D5C">
      <w:pPr>
        <w:pStyle w:val="Heading2"/>
      </w:pPr>
      <w:r>
        <w:t>Translation</w:t>
      </w:r>
    </w:p>
    <w:p w:rsidR="00EB0CBE" w:rsidRDefault="009C1BC5" w:rsidP="00EB0CBE">
      <w:pPr>
        <w:pStyle w:val="NoSpacing"/>
        <w:ind w:firstLine="720"/>
      </w:pPr>
      <w:r>
        <w:rPr>
          <w:vertAlign w:val="superscript"/>
        </w:rPr>
        <w:t>2b</w:t>
      </w:r>
      <w:r w:rsidR="003053AE">
        <w:t>Yahweh said to</w:t>
      </w:r>
      <w:r w:rsidR="002C1886">
        <w:t xml:space="preserve"> </w:t>
      </w:r>
      <w:r w:rsidR="002C1886" w:rsidRPr="002C1886">
        <w:t>Hôshēa</w:t>
      </w:r>
      <w:r w:rsidR="002C1886">
        <w:t>‘</w:t>
      </w:r>
      <w:r w:rsidR="003053AE">
        <w:t xml:space="preserve">, “Go, get yourself a </w:t>
      </w:r>
      <w:r w:rsidR="001E0D3D">
        <w:t xml:space="preserve">downright </w:t>
      </w:r>
      <w:r w:rsidR="003053AE">
        <w:t xml:space="preserve">whorish woman and </w:t>
      </w:r>
      <w:r w:rsidR="001E0D3D">
        <w:t xml:space="preserve">downright </w:t>
      </w:r>
      <w:r w:rsidR="003053AE">
        <w:t>whorish children,</w:t>
      </w:r>
      <w:r w:rsidR="00362BF6">
        <w:rPr>
          <w:rStyle w:val="FootnoteReference"/>
        </w:rPr>
        <w:footnoteReference w:id="26"/>
      </w:r>
      <w:r w:rsidR="003053AE">
        <w:t xml:space="preserve"> because the country totally w</w:t>
      </w:r>
      <w:r w:rsidR="007E1FB5">
        <w:t>hores</w:t>
      </w:r>
      <w:r w:rsidR="0005735D">
        <w:rPr>
          <w:rStyle w:val="FootnoteReference"/>
        </w:rPr>
        <w:footnoteReference w:id="27"/>
      </w:r>
      <w:r w:rsidR="007E1FB5">
        <w:t xml:space="preserve"> from going</w:t>
      </w:r>
      <w:r w:rsidR="00267003">
        <w:t xml:space="preserve"> after</w:t>
      </w:r>
      <w:r>
        <w:t xml:space="preserve"> Yahweh.” </w:t>
      </w:r>
      <w:r>
        <w:rPr>
          <w:vertAlign w:val="superscript"/>
        </w:rPr>
        <w:t>3</w:t>
      </w:r>
      <w:r w:rsidR="003053AE">
        <w:t>So he went and got Gomer bat Dibla</w:t>
      </w:r>
      <w:r w:rsidR="009F57E9">
        <w:t>y</w:t>
      </w:r>
      <w:r w:rsidR="00237226">
        <w:t>im,</w:t>
      </w:r>
      <w:r w:rsidR="00104B59">
        <w:rPr>
          <w:rStyle w:val="FootnoteReference"/>
        </w:rPr>
        <w:footnoteReference w:id="28"/>
      </w:r>
      <w:r w:rsidR="00237226">
        <w:t xml:space="preserve"> and s</w:t>
      </w:r>
      <w:r w:rsidR="003053AE">
        <w:t>he became pregnant and</w:t>
      </w:r>
      <w:r>
        <w:t xml:space="preserve"> gave birth to a son for him</w:t>
      </w:r>
      <w:r w:rsidR="00C90186">
        <w:t>.</w:t>
      </w:r>
      <w:r w:rsidR="00954746">
        <w:rPr>
          <w:rStyle w:val="FootnoteReference"/>
        </w:rPr>
        <w:footnoteReference w:id="29"/>
      </w:r>
      <w:r>
        <w:t xml:space="preserve"> </w:t>
      </w:r>
      <w:r>
        <w:rPr>
          <w:vertAlign w:val="superscript"/>
        </w:rPr>
        <w:t>4</w:t>
      </w:r>
      <w:r w:rsidR="003053AE">
        <w:t>Yah</w:t>
      </w:r>
      <w:r w:rsidR="002C1886">
        <w:t xml:space="preserve">weh said to him, “Name </w:t>
      </w:r>
      <w:r w:rsidR="002C1886">
        <w:lastRenderedPageBreak/>
        <w:t>him Yizrə‘ē</w:t>
      </w:r>
      <w:r w:rsidR="003053AE">
        <w:t>’l, bec</w:t>
      </w:r>
      <w:r w:rsidR="0033521C">
        <w:t>ause in a little while more I wi</w:t>
      </w:r>
      <w:r w:rsidR="003053AE">
        <w:t>ll attend to</w:t>
      </w:r>
      <w:r w:rsidR="00FD3FE7">
        <w:rPr>
          <w:rStyle w:val="FootnoteReference"/>
        </w:rPr>
        <w:footnoteReference w:id="30"/>
      </w:r>
      <w:r w:rsidR="003053AE">
        <w:t xml:space="preserve"> the bloodshed</w:t>
      </w:r>
      <w:r w:rsidR="00E23165">
        <w:rPr>
          <w:rStyle w:val="FootnoteReference"/>
        </w:rPr>
        <w:footnoteReference w:id="31"/>
      </w:r>
      <w:r w:rsidR="002C1886">
        <w:t xml:space="preserve"> of </w:t>
      </w:r>
      <w:r w:rsidR="002C1886" w:rsidRPr="002C1886">
        <w:t>Yizrə‘ē’l</w:t>
      </w:r>
      <w:r w:rsidR="0033521C">
        <w:t xml:space="preserve"> upon the household of Yehu</w:t>
      </w:r>
      <w:r w:rsidR="002C1886">
        <w:t>’</w:t>
      </w:r>
      <w:r w:rsidR="00BD00A6">
        <w:rPr>
          <w:rStyle w:val="FootnoteReference"/>
        </w:rPr>
        <w:footnoteReference w:id="32"/>
      </w:r>
      <w:r w:rsidR="007979E0">
        <w:t xml:space="preserve"> and bring</w:t>
      </w:r>
      <w:r w:rsidR="003053AE">
        <w:t xml:space="preserve"> the k</w:t>
      </w:r>
      <w:r w:rsidR="00982237">
        <w:t>ingship</w:t>
      </w:r>
      <w:r>
        <w:t xml:space="preserve"> of</w:t>
      </w:r>
      <w:r w:rsidR="00982237">
        <w:rPr>
          <w:rStyle w:val="FootnoteReference"/>
        </w:rPr>
        <w:footnoteReference w:id="33"/>
      </w:r>
      <w:r w:rsidR="002C1886">
        <w:t xml:space="preserve"> </w:t>
      </w:r>
      <w:r w:rsidR="002C1886" w:rsidRPr="002C1886">
        <w:t>Yiśrā’ē</w:t>
      </w:r>
      <w:r w:rsidR="003053AE" w:rsidRPr="002C1886">
        <w:t>l</w:t>
      </w:r>
      <w:r>
        <w:t>’s household</w:t>
      </w:r>
      <w:r w:rsidR="007979E0">
        <w:t xml:space="preserve"> to a stop</w:t>
      </w:r>
      <w:r>
        <w:t>.</w:t>
      </w:r>
      <w:r w:rsidR="00C86C8C">
        <w:rPr>
          <w:rStyle w:val="FootnoteReference"/>
        </w:rPr>
        <w:footnoteReference w:id="34"/>
      </w:r>
      <w:r w:rsidR="00EB0CBE">
        <w:t xml:space="preserve"> </w:t>
      </w:r>
      <w:r>
        <w:rPr>
          <w:vertAlign w:val="superscript"/>
        </w:rPr>
        <w:t>5</w:t>
      </w:r>
      <w:r w:rsidR="002C1886">
        <w:t xml:space="preserve">On that day I will break </w:t>
      </w:r>
      <w:r w:rsidR="002C1886" w:rsidRPr="002C1886">
        <w:t>Yiśrā’ē</w:t>
      </w:r>
      <w:r w:rsidR="003053AE" w:rsidRPr="002C1886">
        <w:t>l</w:t>
      </w:r>
      <w:r w:rsidR="002C1886">
        <w:t xml:space="preserve">’s bow in the Vale of </w:t>
      </w:r>
      <w:r w:rsidR="002C1886" w:rsidRPr="002C1886">
        <w:t>Yizrə‘ē’l</w:t>
      </w:r>
      <w:r w:rsidR="003A7DA7">
        <w:t>.</w:t>
      </w:r>
      <w:r w:rsidR="00EB0CBE">
        <w:t>”</w:t>
      </w:r>
    </w:p>
    <w:p w:rsidR="00EB0CBE" w:rsidRDefault="009C1BC5" w:rsidP="00EB0CBE">
      <w:pPr>
        <w:pStyle w:val="NoSpacing"/>
        <w:ind w:firstLine="720"/>
      </w:pPr>
      <w:r>
        <w:rPr>
          <w:vertAlign w:val="superscript"/>
        </w:rPr>
        <w:t>6</w:t>
      </w:r>
      <w:r w:rsidR="003053AE">
        <w:t>She became pregnant again and gave birth to a daughter. He said t</w:t>
      </w:r>
      <w:r>
        <w:t>o</w:t>
      </w:r>
      <w:r w:rsidR="000A08B8">
        <w:t xml:space="preserve"> him, “Name her It</w:t>
      </w:r>
      <w:r w:rsidR="001E6EB0">
        <w:t>-is-n</w:t>
      </w:r>
      <w:r w:rsidR="009F57E9">
        <w:t>ot-</w:t>
      </w:r>
      <w:r w:rsidR="00E00CB1">
        <w:t>shown-</w:t>
      </w:r>
      <w:r w:rsidR="003053AE">
        <w:t>compas</w:t>
      </w:r>
      <w:r w:rsidR="00E00CB1">
        <w:t>sion</w:t>
      </w:r>
      <w:r w:rsidR="00F76E67">
        <w:t>,</w:t>
      </w:r>
      <w:r w:rsidR="001E6EB0">
        <w:rPr>
          <w:rStyle w:val="FootnoteReference"/>
        </w:rPr>
        <w:footnoteReference w:id="35"/>
      </w:r>
      <w:r w:rsidR="00F76E67">
        <w:t xml:space="preserve"> because I will no</w:t>
      </w:r>
      <w:r w:rsidR="00237226">
        <w:t>t any</w:t>
      </w:r>
      <w:r w:rsidR="00E00CB1">
        <w:t xml:space="preserve"> more continue </w:t>
      </w:r>
      <w:r w:rsidR="00307756">
        <w:t xml:space="preserve">to </w:t>
      </w:r>
      <w:r w:rsidR="00E00CB1">
        <w:t>show</w:t>
      </w:r>
      <w:r w:rsidR="003053AE">
        <w:t xml:space="preserve"> compa</w:t>
      </w:r>
      <w:r w:rsidR="00EA3991">
        <w:t>ssi</w:t>
      </w:r>
      <w:r w:rsidR="00307756">
        <w:t xml:space="preserve">on </w:t>
      </w:r>
      <w:r w:rsidR="009B42E1">
        <w:t xml:space="preserve">towards </w:t>
      </w:r>
      <w:r w:rsidR="002C1886" w:rsidRPr="002C1886">
        <w:t>Yiśrā’ē</w:t>
      </w:r>
      <w:r w:rsidR="003053AE" w:rsidRPr="002C1886">
        <w:t>l</w:t>
      </w:r>
      <w:r w:rsidR="00EB0CBE">
        <w:t xml:space="preserve">’s household. </w:t>
      </w:r>
      <w:r w:rsidR="003053AE">
        <w:t>Yet I will definitely carry</w:t>
      </w:r>
      <w:r w:rsidR="00DC1C1D" w:rsidRPr="00DC1C1D">
        <w:rPr>
          <w:vertAlign w:val="superscript"/>
        </w:rPr>
        <w:footnoteReference w:id="36"/>
      </w:r>
      <w:r w:rsidR="003053AE">
        <w:t xml:space="preserve"> them</w:t>
      </w:r>
      <w:r>
        <w:t>,</w:t>
      </w:r>
      <w:r w:rsidR="00DC1C1D">
        <w:t xml:space="preserve"> </w:t>
      </w:r>
      <w:r w:rsidR="006A707A">
        <w:rPr>
          <w:vertAlign w:val="superscript"/>
        </w:rPr>
        <w:t>7</w:t>
      </w:r>
      <w:r w:rsidR="003053AE">
        <w:t xml:space="preserve">and </w:t>
      </w:r>
      <w:r w:rsidR="009B42E1">
        <w:t xml:space="preserve">towards </w:t>
      </w:r>
      <w:r w:rsidR="002C1886" w:rsidRPr="002C1886">
        <w:t>Yəhûdāh</w:t>
      </w:r>
      <w:r w:rsidR="009F57E9" w:rsidRPr="009F57E9">
        <w:t xml:space="preserve">’s household </w:t>
      </w:r>
      <w:r w:rsidR="003053AE">
        <w:t>I will have compassion</w:t>
      </w:r>
      <w:r w:rsidR="00451B35">
        <w:t>.</w:t>
      </w:r>
      <w:r w:rsidR="003053AE">
        <w:t xml:space="preserve"> I will deliver them</w:t>
      </w:r>
      <w:r w:rsidR="001508DB">
        <w:rPr>
          <w:rStyle w:val="FootnoteReference"/>
        </w:rPr>
        <w:footnoteReference w:id="37"/>
      </w:r>
      <w:r w:rsidR="003053AE">
        <w:t xml:space="preserve"> through </w:t>
      </w:r>
      <w:r w:rsidR="00451B35">
        <w:t xml:space="preserve">Yahweh their God; </w:t>
      </w:r>
      <w:r w:rsidR="003053AE">
        <w:t xml:space="preserve">I </w:t>
      </w:r>
      <w:r w:rsidR="008B7AF1">
        <w:t>will not deliver them through</w:t>
      </w:r>
      <w:r w:rsidR="009F57E9">
        <w:t xml:space="preserve"> bow,</w:t>
      </w:r>
      <w:r w:rsidR="003053AE">
        <w:t xml:space="preserve"> </w:t>
      </w:r>
      <w:r w:rsidR="008B7AF1">
        <w:t>through</w:t>
      </w:r>
      <w:r w:rsidR="009F57E9">
        <w:t xml:space="preserve"> </w:t>
      </w:r>
      <w:r w:rsidR="003053AE">
        <w:t>sword</w:t>
      </w:r>
      <w:r w:rsidR="009F57E9">
        <w:t>,</w:t>
      </w:r>
      <w:r w:rsidR="00B01D42">
        <w:t xml:space="preserve"> or</w:t>
      </w:r>
      <w:r w:rsidR="003053AE">
        <w:t xml:space="preserve"> </w:t>
      </w:r>
      <w:r w:rsidR="008B7AF1">
        <w:t>through</w:t>
      </w:r>
      <w:r w:rsidR="009F57E9">
        <w:t xml:space="preserve"> </w:t>
      </w:r>
      <w:r w:rsidR="008B7AF1">
        <w:t>battle, through</w:t>
      </w:r>
      <w:r w:rsidR="00B01D42">
        <w:t xml:space="preserve"> horses or</w:t>
      </w:r>
      <w:r w:rsidR="003053AE">
        <w:t xml:space="preserve"> </w:t>
      </w:r>
      <w:r w:rsidR="008B7AF1">
        <w:t>through</w:t>
      </w:r>
      <w:r w:rsidR="009F57E9">
        <w:t xml:space="preserve"> </w:t>
      </w:r>
      <w:r w:rsidR="00EA3991">
        <w:t>riders.</w:t>
      </w:r>
      <w:r w:rsidR="00EB0CBE">
        <w:t>”</w:t>
      </w:r>
    </w:p>
    <w:p w:rsidR="006854C5" w:rsidRDefault="009C1BC5" w:rsidP="00EB0CBE">
      <w:pPr>
        <w:pStyle w:val="NoSpacing"/>
        <w:ind w:firstLine="720"/>
      </w:pPr>
      <w:r>
        <w:rPr>
          <w:vertAlign w:val="superscript"/>
        </w:rPr>
        <w:t>8</w:t>
      </w:r>
      <w:r w:rsidR="00F90F01">
        <w:t>She weaned It</w:t>
      </w:r>
      <w:r w:rsidR="00523781">
        <w:t>-is-n</w:t>
      </w:r>
      <w:r w:rsidR="009F57E9">
        <w:t>ot-</w:t>
      </w:r>
      <w:r w:rsidR="00BE09FE">
        <w:t>shown-compassion</w:t>
      </w:r>
      <w:r w:rsidR="003053AE">
        <w:t xml:space="preserve">, and became pregnant and gave birth to a son. </w:t>
      </w:r>
      <w:r>
        <w:rPr>
          <w:vertAlign w:val="superscript"/>
        </w:rPr>
        <w:t>9</w:t>
      </w:r>
      <w:r w:rsidR="003053AE">
        <w:t>He said, “Name h</w:t>
      </w:r>
      <w:r w:rsidR="008D1D7A">
        <w:t>im Not-</w:t>
      </w:r>
      <w:r w:rsidR="00451B35">
        <w:t>my-people, because you’</w:t>
      </w:r>
      <w:r w:rsidR="00FD3FE7">
        <w:t xml:space="preserve">re not my people and </w:t>
      </w:r>
      <w:r w:rsidR="00E64295">
        <w:t>I’m not ‘I am’ for you</w:t>
      </w:r>
      <w:r w:rsidR="00EB0CBE">
        <w:t>.</w:t>
      </w:r>
      <w:r w:rsidR="00D40C53">
        <w:rPr>
          <w:rStyle w:val="FootnoteReference"/>
        </w:rPr>
        <w:footnoteReference w:id="38"/>
      </w:r>
      <w:r w:rsidR="00EB0CBE">
        <w:t xml:space="preserve"> </w:t>
      </w:r>
    </w:p>
    <w:p w:rsidR="00800B3A" w:rsidRDefault="009C1BC5" w:rsidP="00EB0CBE">
      <w:pPr>
        <w:pStyle w:val="NoSpacing"/>
        <w:ind w:firstLine="720"/>
      </w:pPr>
      <w:r>
        <w:rPr>
          <w:vertAlign w:val="superscript"/>
        </w:rPr>
        <w:t>10</w:t>
      </w:r>
      <w:r w:rsidR="008B13C4">
        <w:t xml:space="preserve">But the number of the </w:t>
      </w:r>
      <w:r w:rsidR="008B13C4" w:rsidRPr="008B13C4">
        <w:t>Yiśrā’ēl</w:t>
      </w:r>
      <w:r w:rsidR="003053AE">
        <w:t>ites will be</w:t>
      </w:r>
      <w:r w:rsidR="00954F87">
        <w:t>come</w:t>
      </w:r>
      <w:r w:rsidR="003053AE">
        <w:t xml:space="preserve"> like the sand of the sea, which may not be measured and may n</w:t>
      </w:r>
      <w:r w:rsidR="006B72B4">
        <w:t>ot be counted.  And at the site</w:t>
      </w:r>
      <w:r w:rsidR="006B72B4">
        <w:rPr>
          <w:rStyle w:val="FootnoteReference"/>
        </w:rPr>
        <w:footnoteReference w:id="39"/>
      </w:r>
      <w:r w:rsidR="00EB0CBE">
        <w:t xml:space="preserve"> where it’s said to them ‘</w:t>
      </w:r>
      <w:r w:rsidR="00756F36">
        <w:t>You’</w:t>
      </w:r>
      <w:r w:rsidR="00EB0CBE">
        <w:t>re not my people’</w:t>
      </w:r>
      <w:r w:rsidR="003053AE">
        <w:t xml:space="preserve"> it will be said to them, </w:t>
      </w:r>
      <w:r w:rsidR="00EB0CBE">
        <w:t>‘</w:t>
      </w:r>
      <w:r w:rsidR="003053AE">
        <w:t>Ch</w:t>
      </w:r>
      <w:r w:rsidR="00EB0CBE">
        <w:t>ildren of the living God.’</w:t>
      </w:r>
      <w:r>
        <w:t xml:space="preserve"> </w:t>
      </w:r>
      <w:r w:rsidR="003D6F26">
        <w:rPr>
          <w:vertAlign w:val="superscript"/>
        </w:rPr>
        <w:t>1</w:t>
      </w:r>
      <w:r>
        <w:rPr>
          <w:vertAlign w:val="superscript"/>
        </w:rPr>
        <w:t>1</w:t>
      </w:r>
      <w:r w:rsidR="003053AE">
        <w:t xml:space="preserve">The </w:t>
      </w:r>
      <w:r w:rsidR="00C90186" w:rsidRPr="00C90186">
        <w:t>Yəhûdāh’</w:t>
      </w:r>
      <w:r w:rsidR="008B13C4">
        <w:t xml:space="preserve">ites and the </w:t>
      </w:r>
      <w:r w:rsidR="008B13C4" w:rsidRPr="008B13C4">
        <w:t>Yiśrā’ēl</w:t>
      </w:r>
      <w:r w:rsidR="008D6866">
        <w:t>ites</w:t>
      </w:r>
      <w:r w:rsidR="003D6F26">
        <w:t xml:space="preserve"> will collect</w:t>
      </w:r>
      <w:r w:rsidR="004C7E53">
        <w:t xml:space="preserve"> themselves together,</w:t>
      </w:r>
      <w:r w:rsidR="003053AE">
        <w:t xml:space="preserve"> appoi</w:t>
      </w:r>
      <w:r w:rsidR="00FC4B6F">
        <w:t>nt for themselves one head</w:t>
      </w:r>
      <w:r w:rsidR="002708F0">
        <w:t>,</w:t>
      </w:r>
      <w:r w:rsidR="002A01A7">
        <w:rPr>
          <w:rStyle w:val="FootnoteReference"/>
        </w:rPr>
        <w:footnoteReference w:id="40"/>
      </w:r>
      <w:r w:rsidR="00FC4B6F">
        <w:t xml:space="preserve"> and </w:t>
      </w:r>
      <w:r w:rsidR="003053AE">
        <w:t>go up from the country,</w:t>
      </w:r>
      <w:r w:rsidR="00C56B9D">
        <w:rPr>
          <w:rStyle w:val="FootnoteReference"/>
        </w:rPr>
        <w:footnoteReference w:id="41"/>
      </w:r>
      <w:r w:rsidR="003053AE">
        <w:t xml:space="preserve"> because the day of Yizre‘e’l will be great. </w:t>
      </w:r>
    </w:p>
    <w:p w:rsidR="003053AE" w:rsidRDefault="003D6F26" w:rsidP="00EB0CBE">
      <w:pPr>
        <w:pStyle w:val="NoSpacing"/>
        <w:ind w:firstLine="720"/>
      </w:pPr>
      <w:r>
        <w:rPr>
          <w:vertAlign w:val="superscript"/>
        </w:rPr>
        <w:lastRenderedPageBreak/>
        <w:t>2</w:t>
      </w:r>
      <w:r w:rsidR="00EA3991">
        <w:rPr>
          <w:vertAlign w:val="superscript"/>
        </w:rPr>
        <w:t>:1</w:t>
      </w:r>
      <w:r w:rsidR="003053AE">
        <w:t>Say</w:t>
      </w:r>
      <w:r w:rsidR="005939C6">
        <w:rPr>
          <w:rStyle w:val="FootnoteReference"/>
        </w:rPr>
        <w:footnoteReference w:id="42"/>
      </w:r>
      <w:r w:rsidR="003053AE">
        <w:t xml:space="preserve"> to</w:t>
      </w:r>
      <w:r w:rsidR="0095337A">
        <w:rPr>
          <w:rStyle w:val="FootnoteReference"/>
        </w:rPr>
        <w:footnoteReference w:id="43"/>
      </w:r>
      <w:r w:rsidR="00EB0CBE">
        <w:t xml:space="preserve"> your brothers, ‘My people,’</w:t>
      </w:r>
      <w:r w:rsidR="003053AE">
        <w:t xml:space="preserve"> and to your sisters,</w:t>
      </w:r>
      <w:r w:rsidR="00451B35">
        <w:rPr>
          <w:rStyle w:val="FootnoteReference"/>
        </w:rPr>
        <w:footnoteReference w:id="44"/>
      </w:r>
      <w:r w:rsidR="00EB0CBE">
        <w:t xml:space="preserve"> ‘</w:t>
      </w:r>
      <w:r w:rsidR="006A19C6">
        <w:t>It is shown compassion</w:t>
      </w:r>
      <w:r w:rsidR="00EB0CBE">
        <w:t>.’”</w:t>
      </w:r>
    </w:p>
    <w:p w:rsidR="003053AE" w:rsidRDefault="003053AE" w:rsidP="001D3546">
      <w:pPr>
        <w:pStyle w:val="Heading2"/>
      </w:pPr>
      <w:r>
        <w:t>Interpretation</w:t>
      </w:r>
    </w:p>
    <w:p w:rsidR="007B4680" w:rsidRDefault="003053AE" w:rsidP="00DB46B7">
      <w:pPr>
        <w:autoSpaceDE w:val="0"/>
        <w:autoSpaceDN w:val="0"/>
        <w:adjustRightInd w:val="0"/>
      </w:pPr>
      <w:r>
        <w:t>The ma</w:t>
      </w:r>
      <w:r w:rsidR="00EA3991">
        <w:t>in content of Hosea</w:t>
      </w:r>
      <w:r>
        <w:t xml:space="preserve"> </w:t>
      </w:r>
      <w:r w:rsidR="00CA1738">
        <w:t>begins with a story about</w:t>
      </w:r>
      <w:r w:rsidR="00E00CB1">
        <w:t xml:space="preserve"> an acted prophecy</w:t>
      </w:r>
      <w:r w:rsidR="00AC7F02">
        <w:t xml:space="preserve"> tha</w:t>
      </w:r>
      <w:r w:rsidR="00AC7F02" w:rsidRPr="00AC7F02">
        <w:t>t provides an introduction to Hosea’s ministry and message</w:t>
      </w:r>
      <w:r w:rsidR="002F62E3">
        <w:t xml:space="preserve">. </w:t>
      </w:r>
      <w:r w:rsidR="00B3788E">
        <w:t>The story tells of how Yahweh told Hosea to marry a “whorish woman</w:t>
      </w:r>
      <w:r w:rsidR="008B47CA">
        <w:t>,</w:t>
      </w:r>
      <w:r w:rsidR="00B3788E">
        <w:t xml:space="preserve">” and to have “whorish children” whose names would </w:t>
      </w:r>
      <w:r w:rsidR="008B47CA">
        <w:t>express Yahweh’s attitude to Ephraim.</w:t>
      </w:r>
      <w:r w:rsidR="00B3788E">
        <w:t xml:space="preserve"> </w:t>
      </w:r>
      <w:r w:rsidR="00DB46B7" w:rsidRPr="00DB46B7">
        <w:t xml:space="preserve">The account </w:t>
      </w:r>
      <w:r w:rsidR="008B47CA">
        <w:t xml:space="preserve">also </w:t>
      </w:r>
      <w:r w:rsidR="00DB46B7" w:rsidRPr="00DB46B7">
        <w:t>incorporates several verbal prophecies</w:t>
      </w:r>
      <w:r w:rsidR="008B47CA">
        <w:t xml:space="preserve"> of a more positive kind; i</w:t>
      </w:r>
      <w:r w:rsidR="00DB46B7" w:rsidRPr="00DB46B7">
        <w:t xml:space="preserve">t is a complex unit in combining narrative and prophecies. The narrative would hardly stand on its own without any of the prophecies, and some of the prophecies could hardly stand on their own without the narrative. Its third-person form implies that it was composed by a disciple rather than by Hosea. It could not have been composed until after the birth of Hosea and Gomer’s third child and </w:t>
      </w:r>
      <w:r w:rsidR="001F3349">
        <w:t xml:space="preserve">it thus </w:t>
      </w:r>
      <w:r w:rsidR="00DB46B7" w:rsidRPr="00DB46B7">
        <w:t xml:space="preserve">covers a period of some years. </w:t>
      </w:r>
    </w:p>
    <w:p w:rsidR="005939C6" w:rsidRPr="005939C6" w:rsidRDefault="00DB46B7" w:rsidP="005939C6">
      <w:pPr>
        <w:autoSpaceDE w:val="0"/>
        <w:autoSpaceDN w:val="0"/>
        <w:adjustRightInd w:val="0"/>
      </w:pPr>
      <w:r w:rsidRPr="00DB46B7">
        <w:t xml:space="preserve">One can peel off </w:t>
      </w:r>
      <w:r w:rsidR="006854C5">
        <w:t>some the prophecies without disturbing the flow of the story</w:t>
      </w:r>
      <w:r w:rsidRPr="00DB46B7">
        <w:t>, and Hosea</w:t>
      </w:r>
      <w:r w:rsidR="006854C5">
        <w:t xml:space="preserve"> or his disciples might</w:t>
      </w:r>
      <w:r w:rsidRPr="00DB46B7">
        <w:t xml:space="preserve"> have added them to an original briefer and tighter versio</w:t>
      </w:r>
      <w:r w:rsidR="001F3349">
        <w:t xml:space="preserve">n of the story (vv. 2b-4, 6a, 8-9) </w:t>
      </w:r>
      <w:r w:rsidR="00FB06D2">
        <w:t>to turn it</w:t>
      </w:r>
      <w:r w:rsidRPr="00DB46B7">
        <w:t xml:space="preserve"> into a more compr</w:t>
      </w:r>
      <w:r w:rsidR="006854C5">
        <w:t>ehensive introduction to the scroll for people in Judah. The story</w:t>
      </w:r>
      <w:r w:rsidRPr="00DB46B7">
        <w:t xml:space="preserve"> implicitly challenges them not to (continue to) make Ephraim’s mistakes, </w:t>
      </w:r>
      <w:r w:rsidR="006854C5">
        <w:t xml:space="preserve">but </w:t>
      </w:r>
      <w:r w:rsidRPr="00DB46B7">
        <w:t xml:space="preserve">to trust </w:t>
      </w:r>
      <w:r w:rsidR="006854C5">
        <w:t>in Yahweh for their own destiny</w:t>
      </w:r>
      <w:r w:rsidRPr="00DB46B7">
        <w:t xml:space="preserve"> and to expect the restoration of Ephraim and the re-establishment of unity be</w:t>
      </w:r>
      <w:r w:rsidR="00FB06D2">
        <w:t xml:space="preserve">tween the two nations. </w:t>
      </w:r>
      <w:r w:rsidR="00015B51">
        <w:t xml:space="preserve">Both </w:t>
      </w:r>
      <w:r w:rsidR="00FB06D2">
        <w:t xml:space="preserve">MT’s </w:t>
      </w:r>
      <w:r w:rsidRPr="00DB46B7">
        <w:t>subsection or section break after 1:9</w:t>
      </w:r>
      <w:r w:rsidR="00FB06D2">
        <w:t xml:space="preserve"> </w:t>
      </w:r>
      <w:r w:rsidR="00015B51">
        <w:t xml:space="preserve">(followed by printed Hebrew Bibles) </w:t>
      </w:r>
      <w:r>
        <w:t>and the English chapter division</w:t>
      </w:r>
      <w:r w:rsidRPr="00DB46B7">
        <w:t xml:space="preserve"> </w:t>
      </w:r>
      <w:r w:rsidR="00FB06D2">
        <w:t xml:space="preserve">after 1:11 </w:t>
      </w:r>
      <w:r w:rsidRPr="00DB46B7">
        <w:t>obscure the logic in the text. As some LXX manuscripts recognize,</w:t>
      </w:r>
      <w:r w:rsidRPr="00DB46B7">
        <w:rPr>
          <w:vertAlign w:val="superscript"/>
        </w:rPr>
        <w:footnoteReference w:id="45"/>
      </w:r>
      <w:r w:rsidRPr="00DB46B7">
        <w:t xml:space="preserve"> 2:1 </w:t>
      </w:r>
      <w:r w:rsidR="00015B51">
        <w:t xml:space="preserve">[3] </w:t>
      </w:r>
      <w:r w:rsidRPr="00DB46B7">
        <w:t xml:space="preserve">is </w:t>
      </w:r>
      <w:r w:rsidR="005939C6">
        <w:t>the conclu</w:t>
      </w:r>
      <w:r w:rsidR="00015B51">
        <w:t>sion of what precedes, though</w:t>
      </w:r>
      <w:r w:rsidR="005939C6">
        <w:t xml:space="preserve"> f</w:t>
      </w:r>
      <w:r w:rsidR="005939C6" w:rsidRPr="005939C6">
        <w:t xml:space="preserve">ormally </w:t>
      </w:r>
      <w:r w:rsidR="005939C6">
        <w:t>the reassurance</w:t>
      </w:r>
      <w:r w:rsidR="005939C6" w:rsidRPr="005939C6">
        <w:t xml:space="preserve"> </w:t>
      </w:r>
      <w:r w:rsidR="005939C6">
        <w:t>it offers</w:t>
      </w:r>
      <w:r w:rsidR="005939C6" w:rsidRPr="005939C6">
        <w:t xml:space="preserve"> comes as an imperative</w:t>
      </w:r>
      <w:r w:rsidR="005939C6">
        <w:t>, and t</w:t>
      </w:r>
      <w:r w:rsidR="005939C6" w:rsidRPr="005939C6">
        <w:t>his change will lie behind the English chapter transition</w:t>
      </w:r>
      <w:r w:rsidR="005939C6">
        <w:t>;</w:t>
      </w:r>
      <w:r w:rsidR="005939C6" w:rsidRPr="005939C6">
        <w:t xml:space="preserve"> the </w:t>
      </w:r>
      <w:r w:rsidR="005939C6">
        <w:t xml:space="preserve">subsequent </w:t>
      </w:r>
      <w:r w:rsidR="005939C6" w:rsidRPr="005939C6">
        <w:t xml:space="preserve">imperative </w:t>
      </w:r>
      <w:r w:rsidR="005939C6">
        <w:t>in 2:2 [4]</w:t>
      </w:r>
      <w:r w:rsidR="00D96BE4">
        <w:t xml:space="preserve"> </w:t>
      </w:r>
      <w:r w:rsidR="005939C6">
        <w:t>has a different significance.</w:t>
      </w:r>
    </w:p>
    <w:p w:rsidR="00CA1738" w:rsidRPr="00CA1738" w:rsidRDefault="00E00CB1" w:rsidP="009319C8">
      <w:pPr>
        <w:autoSpaceDE w:val="0"/>
        <w:autoSpaceDN w:val="0"/>
        <w:adjustRightInd w:val="0"/>
      </w:pPr>
      <w:r>
        <w:t>Tg</w:t>
      </w:r>
      <w:r w:rsidR="008212E8" w:rsidRPr="00976BFB">
        <w:t xml:space="preserve"> </w:t>
      </w:r>
      <w:r w:rsidR="0090060C" w:rsidRPr="00976BFB">
        <w:t>renders Yahweh</w:t>
      </w:r>
      <w:r w:rsidR="00976BFB" w:rsidRPr="00976BFB">
        <w:t xml:space="preserve">’s opening command </w:t>
      </w:r>
      <w:r w:rsidR="0090060C" w:rsidRPr="00976BFB">
        <w:t>“</w:t>
      </w:r>
      <w:r w:rsidR="00976BFB" w:rsidRPr="00976BFB">
        <w:rPr>
          <w:rFonts w:eastAsiaTheme="minorHAnsi" w:cs="Times New Roman"/>
        </w:rPr>
        <w:t>Go</w:t>
      </w:r>
      <w:r w:rsidR="0090060C" w:rsidRPr="00976BFB">
        <w:rPr>
          <w:rFonts w:eastAsiaTheme="minorHAnsi" w:cs="Times New Roman"/>
        </w:rPr>
        <w:t xml:space="preserve"> </w:t>
      </w:r>
      <w:r w:rsidR="00976BFB">
        <w:rPr>
          <w:rFonts w:eastAsiaTheme="minorHAnsi" w:cs="Times New Roman"/>
          <w:iCs/>
        </w:rPr>
        <w:t>speak a prophecy</w:t>
      </w:r>
      <w:r w:rsidR="0090060C" w:rsidRPr="00976BFB">
        <w:rPr>
          <w:rFonts w:eastAsiaTheme="minorHAnsi" w:cs="Times New Roman"/>
          <w:iCs/>
        </w:rPr>
        <w:t xml:space="preserve"> against the</w:t>
      </w:r>
      <w:r w:rsidR="00976BFB">
        <w:rPr>
          <w:rFonts w:eastAsiaTheme="minorHAnsi" w:cs="Times New Roman"/>
          <w:iCs/>
        </w:rPr>
        <w:t xml:space="preserve"> </w:t>
      </w:r>
      <w:r w:rsidR="0090060C" w:rsidRPr="00976BFB">
        <w:rPr>
          <w:rFonts w:eastAsiaTheme="minorHAnsi" w:cs="Times New Roman"/>
          <w:iCs/>
        </w:rPr>
        <w:t xml:space="preserve">inhabitants </w:t>
      </w:r>
      <w:r w:rsidR="00976BFB">
        <w:rPr>
          <w:rFonts w:eastAsiaTheme="minorHAnsi" w:cs="Times New Roman"/>
          <w:iCs/>
        </w:rPr>
        <w:t>of</w:t>
      </w:r>
      <w:r w:rsidR="0090060C" w:rsidRPr="00976BFB">
        <w:rPr>
          <w:rFonts w:eastAsiaTheme="minorHAnsi" w:cs="Times New Roman"/>
          <w:iCs/>
        </w:rPr>
        <w:t xml:space="preserve"> </w:t>
      </w:r>
      <w:r w:rsidR="001B0B36">
        <w:rPr>
          <w:rFonts w:eastAsiaTheme="minorHAnsi" w:cs="Times New Roman"/>
          <w:iCs/>
        </w:rPr>
        <w:t>the wayward</w:t>
      </w:r>
      <w:r w:rsidR="00E01D87">
        <w:rPr>
          <w:rFonts w:eastAsiaTheme="minorHAnsi" w:cs="Times New Roman"/>
          <w:iCs/>
        </w:rPr>
        <w:t xml:space="preserve"> town</w:t>
      </w:r>
      <w:r w:rsidR="00FB06D2">
        <w:rPr>
          <w:rFonts w:eastAsiaTheme="minorHAnsi" w:cs="Times New Roman"/>
          <w:iCs/>
        </w:rPr>
        <w:t xml:space="preserve">,” and </w:t>
      </w:r>
      <w:r w:rsidR="00015B51">
        <w:rPr>
          <w:rFonts w:eastAsiaTheme="minorHAnsi" w:cs="Times New Roman"/>
          <w:iCs/>
        </w:rPr>
        <w:t xml:space="preserve">it </w:t>
      </w:r>
      <w:r w:rsidR="00FB06D2">
        <w:rPr>
          <w:rFonts w:eastAsiaTheme="minorHAnsi" w:cs="Times New Roman"/>
          <w:iCs/>
        </w:rPr>
        <w:t xml:space="preserve">thus </w:t>
      </w:r>
      <w:r w:rsidR="00976BFB">
        <w:rPr>
          <w:rFonts w:eastAsiaTheme="minorHAnsi" w:cs="Times New Roman"/>
          <w:iCs/>
        </w:rPr>
        <w:t>t</w:t>
      </w:r>
      <w:r w:rsidR="00FB06D2">
        <w:t>reats</w:t>
      </w:r>
      <w:r w:rsidR="00976BFB">
        <w:t xml:space="preserve"> the story </w:t>
      </w:r>
      <w:r w:rsidR="008212E8" w:rsidRPr="00976BFB">
        <w:t>as an</w:t>
      </w:r>
      <w:r w:rsidR="006C7010" w:rsidRPr="00976BFB">
        <w:t xml:space="preserve"> allegorical fiction</w:t>
      </w:r>
      <w:r w:rsidR="00976BFB">
        <w:t>, while</w:t>
      </w:r>
      <w:r w:rsidR="00861212">
        <w:t xml:space="preserve"> Ibn Ezra </w:t>
      </w:r>
      <w:r w:rsidR="00967820">
        <w:t xml:space="preserve">and </w:t>
      </w:r>
      <w:r w:rsidR="00015B51">
        <w:t xml:space="preserve">Calvin </w:t>
      </w:r>
      <w:r w:rsidR="00967820">
        <w:t>see</w:t>
      </w:r>
      <w:r w:rsidR="00976BFB">
        <w:t xml:space="preserve"> it </w:t>
      </w:r>
      <w:r w:rsidR="00861212">
        <w:t>as a vision</w:t>
      </w:r>
      <w:r w:rsidR="006C7010">
        <w:t>,</w:t>
      </w:r>
      <w:r w:rsidR="00976BFB">
        <w:rPr>
          <w:rStyle w:val="FootnoteReference"/>
        </w:rPr>
        <w:footnoteReference w:id="46"/>
      </w:r>
      <w:r w:rsidR="006C7010">
        <w:t xml:space="preserve"> but </w:t>
      </w:r>
      <w:r w:rsidR="00FB06D2">
        <w:t xml:space="preserve">the story incorporates </w:t>
      </w:r>
      <w:r w:rsidR="00861212">
        <w:t>no pointers in these</w:t>
      </w:r>
      <w:r w:rsidR="006C7010">
        <w:t xml:space="preserve"> direction</w:t>
      </w:r>
      <w:r w:rsidR="00861212">
        <w:t>s</w:t>
      </w:r>
      <w:r w:rsidR="00FB06D2">
        <w:t xml:space="preserve">. </w:t>
      </w:r>
      <w:r w:rsidR="00015B51">
        <w:t>But s</w:t>
      </w:r>
      <w:r w:rsidR="00CA1738" w:rsidRPr="00CA1738">
        <w:t xml:space="preserve">ome of the enacted prophecies in Ezekiel 3—5 involve dramatic representation (e.g., of the siege of Jerusalem and of its 390/40 year history) rather than the event itself, and the same might be true in Hosea. </w:t>
      </w:r>
    </w:p>
    <w:p w:rsidR="00795728" w:rsidRDefault="00C37396" w:rsidP="002F62E3">
      <w:r>
        <w:t>While Hosea’s</w:t>
      </w:r>
      <w:r w:rsidRPr="00C37396">
        <w:t xml:space="preserve"> action might seem scandalous, it would not contravene the Torah (though even if it did, that fact need not restrain Yahweh from requiring it; he can break his own rules).</w:t>
      </w:r>
      <w:r>
        <w:t xml:space="preserve"> </w:t>
      </w:r>
      <w:r w:rsidR="002E34BF">
        <w:t xml:space="preserve">Resistance to a literal interpretation </w:t>
      </w:r>
      <w:r>
        <w:t xml:space="preserve">of the story </w:t>
      </w:r>
      <w:r w:rsidR="00FB06D2">
        <w:t xml:space="preserve">issues understandably </w:t>
      </w:r>
      <w:r w:rsidR="00015B51">
        <w:t xml:space="preserve">from </w:t>
      </w:r>
      <w:r>
        <w:t>its</w:t>
      </w:r>
      <w:r w:rsidR="007B4680">
        <w:t xml:space="preserve"> </w:t>
      </w:r>
      <w:r>
        <w:t>outrageous nature</w:t>
      </w:r>
      <w:r w:rsidR="00FB06D2">
        <w:t>, though</w:t>
      </w:r>
      <w:r w:rsidR="00FB06D2" w:rsidRPr="00FB06D2">
        <w:t xml:space="preserve"> Jerome nicely comments, “We do not understand the prophet to have</w:t>
      </w:r>
      <w:r w:rsidR="00C66E1A">
        <w:t xml:space="preserve"> lost chastity, having had sex</w:t>
      </w:r>
      <w:r w:rsidR="00FB06D2" w:rsidRPr="00FB06D2">
        <w:t xml:space="preserve"> with a whore, but the whore to h</w:t>
      </w:r>
      <w:r w:rsidR="00C66E1A">
        <w:t>ave gained a chastity which previously she didn’</w:t>
      </w:r>
      <w:r w:rsidR="00FB06D2" w:rsidRPr="00FB06D2">
        <w:t>t have.”</w:t>
      </w:r>
      <w:r w:rsidR="00FB06D2" w:rsidRPr="00FB06D2">
        <w:rPr>
          <w:vertAlign w:val="superscript"/>
        </w:rPr>
        <w:footnoteReference w:id="47"/>
      </w:r>
      <w:r w:rsidR="00FB06D2" w:rsidRPr="00FB06D2">
        <w:t xml:space="preserve">  </w:t>
      </w:r>
      <w:r w:rsidR="00015B51">
        <w:t>Such resistance</w:t>
      </w:r>
      <w:r w:rsidR="00C66E1A">
        <w:t xml:space="preserve"> might issue</w:t>
      </w:r>
      <w:r w:rsidR="00FB06D2">
        <w:t xml:space="preserve"> specifically from </w:t>
      </w:r>
      <w:r w:rsidR="00C66E1A">
        <w:t xml:space="preserve">awareness of the shame </w:t>
      </w:r>
      <w:r w:rsidR="00015B51">
        <w:t>Hosea’s action would bring on him</w:t>
      </w:r>
      <w:r w:rsidR="002E34BF">
        <w:t>,</w:t>
      </w:r>
      <w:r w:rsidR="002E34BF">
        <w:rPr>
          <w:rStyle w:val="FootnoteReference"/>
        </w:rPr>
        <w:footnoteReference w:id="48"/>
      </w:r>
      <w:r w:rsidR="002E34BF">
        <w:t xml:space="preserve"> which helps u</w:t>
      </w:r>
      <w:r w:rsidR="00E00CB1">
        <w:t xml:space="preserve">s appreciate the </w:t>
      </w:r>
      <w:r w:rsidR="00CA1738">
        <w:t xml:space="preserve">cost </w:t>
      </w:r>
      <w:r w:rsidR="00E00CB1">
        <w:t xml:space="preserve">of </w:t>
      </w:r>
      <w:r w:rsidR="00CA1738">
        <w:t>his action</w:t>
      </w:r>
      <w:r w:rsidR="00E00CB1">
        <w:t xml:space="preserve"> to him. </w:t>
      </w:r>
      <w:r w:rsidR="00015B51">
        <w:t xml:space="preserve">While </w:t>
      </w:r>
      <w:r w:rsidR="00E00CB1">
        <w:t>W</w:t>
      </w:r>
      <w:r w:rsidR="00C66E1A">
        <w:t>estern readers</w:t>
      </w:r>
      <w:r w:rsidR="002E34BF">
        <w:t xml:space="preserve"> </w:t>
      </w:r>
      <w:r w:rsidR="00015B51">
        <w:t xml:space="preserve">also </w:t>
      </w:r>
      <w:r w:rsidR="002E34BF">
        <w:t>live in an honor</w:t>
      </w:r>
      <w:r w:rsidR="00015B51">
        <w:t xml:space="preserve">-shame culture, </w:t>
      </w:r>
      <w:r w:rsidR="00C66E1A">
        <w:lastRenderedPageBreak/>
        <w:t>their</w:t>
      </w:r>
      <w:r w:rsidR="00E00CB1">
        <w:t xml:space="preserve"> </w:t>
      </w:r>
      <w:r w:rsidR="002E34BF">
        <w:t>h</w:t>
      </w:r>
      <w:r w:rsidR="00E00CB1">
        <w:t xml:space="preserve">onor and shame surface in </w:t>
      </w:r>
      <w:r w:rsidR="00015B51">
        <w:t>relation to</w:t>
      </w:r>
      <w:r w:rsidR="002E34BF">
        <w:t xml:space="preserve"> Hosea in other connections: e</w:t>
      </w:r>
      <w:r w:rsidR="00E00CB1">
        <w:t xml:space="preserve">.g., if I get bad reviews for this commentary or </w:t>
      </w:r>
      <w:r w:rsidR="002E34BF">
        <w:t>am found to have com</w:t>
      </w:r>
      <w:r w:rsidR="00CA1738">
        <w:t>mitted plagiarism in writing it</w:t>
      </w:r>
      <w:r w:rsidR="002E34BF">
        <w:t>.</w:t>
      </w:r>
      <w:r w:rsidR="00E00CB1">
        <w:t xml:space="preserve"> Paradoxically</w:t>
      </w:r>
      <w:r w:rsidR="00EB6420">
        <w:t>, doing things that were shameful, or at least bizarre, was a way prophets could get taken seriously.</w:t>
      </w:r>
      <w:r w:rsidR="00EB6420" w:rsidRPr="00EB6420">
        <w:rPr>
          <w:vertAlign w:val="superscript"/>
        </w:rPr>
        <w:footnoteReference w:id="49"/>
      </w:r>
      <w:r w:rsidR="00E00CB1">
        <w:t xml:space="preserve"> </w:t>
      </w:r>
      <w:r w:rsidR="00015B51">
        <w:t>Hosea’s</w:t>
      </w:r>
      <w:r w:rsidR="00C66E1A">
        <w:t xml:space="preserve"> action would be shocking</w:t>
      </w:r>
      <w:r w:rsidR="00795728">
        <w:t>, and that’s the point.</w:t>
      </w:r>
      <w:r w:rsidR="00795728">
        <w:rPr>
          <w:rStyle w:val="FootnoteReference"/>
        </w:rPr>
        <w:footnoteReference w:id="50"/>
      </w:r>
      <w:r w:rsidR="00575BAC">
        <w:t xml:space="preserve"> But the command “was said only and specifically to the prophet”; it’s not the kind of command that is generally applicable.</w:t>
      </w:r>
      <w:r w:rsidR="00575BAC">
        <w:rPr>
          <w:rStyle w:val="FootnoteReference"/>
        </w:rPr>
        <w:footnoteReference w:id="51"/>
      </w:r>
    </w:p>
    <w:p w:rsidR="00C66E1A" w:rsidRDefault="00C66E1A" w:rsidP="00CA1738">
      <w:r>
        <w:t>H</w:t>
      </w:r>
      <w:r w:rsidR="003053AE">
        <w:t xml:space="preserve">ow </w:t>
      </w:r>
      <w:r>
        <w:t>did the actions or the story form part of Hosea’s prophesying?</w:t>
      </w:r>
      <w:r w:rsidR="003053AE">
        <w:t xml:space="preserve"> What se</w:t>
      </w:r>
      <w:r>
        <w:t>tting did they have? Perhaps the</w:t>
      </w:r>
      <w:r w:rsidR="003053AE">
        <w:t xml:space="preserve"> marriage and the </w:t>
      </w:r>
      <w:r>
        <w:t>children’s births</w:t>
      </w:r>
      <w:r w:rsidR="003053AE">
        <w:t xml:space="preserve"> provided sequential occasions for speak</w:t>
      </w:r>
      <w:r>
        <w:t xml:space="preserve">ing about </w:t>
      </w:r>
      <w:r w:rsidR="003053AE">
        <w:t>what was happening, in the manner of</w:t>
      </w:r>
      <w:r w:rsidR="00DB46B7">
        <w:t xml:space="preserve"> Isaiah, Jeremiah, and Ezekiel. A</w:t>
      </w:r>
      <w:r w:rsidR="00DB46B7" w:rsidRPr="00DB46B7">
        <w:t>cted prophecies in Isaiah also involve marriage and children</w:t>
      </w:r>
      <w:r>
        <w:t>, though</w:t>
      </w:r>
      <w:r w:rsidR="00DB46B7" w:rsidRPr="00DB46B7">
        <w:t xml:space="preserve"> in acted prophecies, “only Hosea among the prophets ‘plays’ God.”</w:t>
      </w:r>
      <w:r w:rsidR="00DB46B7" w:rsidRPr="00DB46B7">
        <w:rPr>
          <w:vertAlign w:val="superscript"/>
        </w:rPr>
        <w:footnoteReference w:id="52"/>
      </w:r>
      <w:r>
        <w:t xml:space="preserve"> </w:t>
      </w:r>
      <w:r w:rsidR="00DB46B7" w:rsidRPr="00DB46B7">
        <w:t>Every time p</w:t>
      </w:r>
      <w:r w:rsidR="00DB46B7">
        <w:t xml:space="preserve">eople met the children of Hosea </w:t>
      </w:r>
      <w:r w:rsidR="00DB46B7" w:rsidRPr="00DB46B7">
        <w:t xml:space="preserve">and Gomer they </w:t>
      </w:r>
      <w:r w:rsidR="00015B51">
        <w:t>might</w:t>
      </w:r>
      <w:r>
        <w:t xml:space="preserve"> be faced with Hosea’s</w:t>
      </w:r>
      <w:r w:rsidR="00015B51">
        <w:t xml:space="preserve"> sayings. B</w:t>
      </w:r>
      <w:r w:rsidR="00DB46B7">
        <w:t>ut the story as we have it</w:t>
      </w:r>
      <w:r w:rsidR="003053AE">
        <w:t xml:space="preserve"> could be t</w:t>
      </w:r>
      <w:r w:rsidR="006A19C6">
        <w:t xml:space="preserve">old only after </w:t>
      </w:r>
      <w:r w:rsidR="003053AE">
        <w:t>the three births</w:t>
      </w:r>
      <w:r w:rsidR="006A19C6">
        <w:t xml:space="preserve"> as well as the marriage</w:t>
      </w:r>
      <w:r w:rsidR="003053AE">
        <w:t>.</w:t>
      </w:r>
      <w:r w:rsidR="006351DD">
        <w:t xml:space="preserve"> </w:t>
      </w:r>
      <w:r w:rsidR="006A19C6">
        <w:t>And what counts in the scroll</w:t>
      </w:r>
      <w:r w:rsidR="00EF1CAA">
        <w:t xml:space="preserve"> is the telling of the </w:t>
      </w:r>
      <w:r w:rsidR="006A19C6">
        <w:t xml:space="preserve">entire </w:t>
      </w:r>
      <w:r w:rsidR="00EF1CAA">
        <w:t xml:space="preserve">story of the acted prophecy, designed to have an effect on its hearers, rather than the acted prophecy itself. </w:t>
      </w:r>
      <w:r w:rsidR="00265694">
        <w:t>I</w:t>
      </w:r>
      <w:r w:rsidR="006A19C6">
        <w:t>n either context, i</w:t>
      </w:r>
      <w:r w:rsidR="00265694">
        <w:t>t’s the names not the actions that are directly significant to the message.</w:t>
      </w:r>
      <w:r w:rsidR="00265694">
        <w:rPr>
          <w:rStyle w:val="FootnoteReference"/>
        </w:rPr>
        <w:footnoteReference w:id="53"/>
      </w:r>
      <w:r w:rsidR="006A19C6">
        <w:t xml:space="preserve"> </w:t>
      </w:r>
      <w:r w:rsidR="00EF1CAA">
        <w:t xml:space="preserve">There is thus some comparison </w:t>
      </w:r>
      <w:r w:rsidR="00F54C1F">
        <w:t xml:space="preserve">and contrast with </w:t>
      </w:r>
      <w:r w:rsidR="0093054D">
        <w:t>other accounts of acted prophecies</w:t>
      </w:r>
      <w:r>
        <w:t xml:space="preserve">, where the enacting was </w:t>
      </w:r>
      <w:r w:rsidR="00F54C1F">
        <w:t>sig</w:t>
      </w:r>
      <w:r>
        <w:t xml:space="preserve">nificant </w:t>
      </w:r>
      <w:r w:rsidR="0093054D">
        <w:t xml:space="preserve">though it is </w:t>
      </w:r>
      <w:r w:rsidR="00F54C1F">
        <w:t>the record of it that subsequently conveys its message.</w:t>
      </w:r>
      <w:r w:rsidR="006A19C6">
        <w:t xml:space="preserve"> </w:t>
      </w:r>
    </w:p>
    <w:p w:rsidR="00C66E1A" w:rsidRDefault="0093054D" w:rsidP="00CA1738">
      <w:r>
        <w:t>T</w:t>
      </w:r>
      <w:r w:rsidR="003040FB">
        <w:t>el</w:t>
      </w:r>
      <w:r>
        <w:t xml:space="preserve">ling </w:t>
      </w:r>
      <w:r w:rsidR="003040FB">
        <w:t>the</w:t>
      </w:r>
      <w:r>
        <w:t xml:space="preserve"> story </w:t>
      </w:r>
      <w:r w:rsidR="003040FB">
        <w:t>with its invitation to peop</w:t>
      </w:r>
      <w:r w:rsidR="00C66E1A">
        <w:t>le to examine</w:t>
      </w:r>
      <w:r w:rsidR="004C2360">
        <w:t xml:space="preserve"> what had </w:t>
      </w:r>
      <w:r>
        <w:t>been going on in</w:t>
      </w:r>
      <w:r w:rsidR="003040FB">
        <w:t xml:space="preserve"> Hosea</w:t>
      </w:r>
      <w:r w:rsidR="00DB0717">
        <w:t xml:space="preserve">’s marriage </w:t>
      </w:r>
      <w:r w:rsidR="003040FB">
        <w:t xml:space="preserve">would be designed to break through to Ephraimites to get them to face the implications of their stance </w:t>
      </w:r>
      <w:r w:rsidR="009B42E1">
        <w:t xml:space="preserve">towards </w:t>
      </w:r>
      <w:r w:rsidR="003040FB">
        <w:t>Yahweh. I</w:t>
      </w:r>
      <w:r w:rsidR="003040FB" w:rsidRPr="003040FB">
        <w:t>nterwoven with the promises</w:t>
      </w:r>
      <w:r w:rsidR="003040FB">
        <w:t>, it would invite them not to be</w:t>
      </w:r>
      <w:r w:rsidR="00C66E1A">
        <w:t xml:space="preserve"> confounded by facing up to facts, and/or it would help them </w:t>
      </w:r>
      <w:r w:rsidR="003040FB">
        <w:t>f</w:t>
      </w:r>
      <w:r w:rsidR="004C2360">
        <w:t xml:space="preserve">ace facts. </w:t>
      </w:r>
    </w:p>
    <w:p w:rsidR="006351DD" w:rsidRDefault="006351DD" w:rsidP="006351DD">
      <w:pPr>
        <w:rPr>
          <w:iCs/>
        </w:rPr>
      </w:pPr>
    </w:p>
    <w:p w:rsidR="008B47CA" w:rsidRDefault="00DA1BEF" w:rsidP="00DD0920">
      <w:r w:rsidRPr="00DA1BEF">
        <w:rPr>
          <w:b/>
        </w:rPr>
        <w:t>Hosea 1:</w:t>
      </w:r>
      <w:r w:rsidR="00DB59AC">
        <w:rPr>
          <w:b/>
        </w:rPr>
        <w:t>2b-5</w:t>
      </w:r>
      <w:r w:rsidR="00D2453F" w:rsidRPr="00DA1BEF">
        <w:rPr>
          <w:b/>
        </w:rPr>
        <w:t>.</w:t>
      </w:r>
      <w:r w:rsidR="00D2453F">
        <w:t xml:space="preserve"> </w:t>
      </w:r>
      <w:r w:rsidR="008B47CA">
        <w:t>So the narrative begins with an account of Yahweh’s commissioning Hose to marry and of the birth of his first son.</w:t>
      </w:r>
    </w:p>
    <w:p w:rsidR="00DB59AC" w:rsidRDefault="008B47CA" w:rsidP="00DD0920">
      <w:r w:rsidRPr="008B47CA">
        <w:t xml:space="preserve">Hebrew doesn’t have a word for “marry,” and “get yourself a woman” </w:t>
      </w:r>
      <w:r>
        <w:t xml:space="preserve">(v. 2b) </w:t>
      </w:r>
      <w:r w:rsidRPr="008B47CA">
        <w:t>thus denotes marrying someon</w:t>
      </w:r>
      <w:r>
        <w:t>e. It needn’</w:t>
      </w:r>
      <w:r w:rsidRPr="008B47CA">
        <w:t xml:space="preserve">t imply that the woman has no choice over whether she is “got”; it was not so with Isaac and Rebekah. </w:t>
      </w:r>
      <w:r w:rsidR="00362BF6">
        <w:t xml:space="preserve">The First Testament rarely uses the </w:t>
      </w:r>
      <w:r w:rsidR="003053AE">
        <w:t xml:space="preserve">Hebrew </w:t>
      </w:r>
      <w:r w:rsidR="00362BF6">
        <w:t xml:space="preserve">words for “husband” and “wife,” </w:t>
      </w:r>
      <w:r w:rsidR="00362BF6">
        <w:rPr>
          <w:i/>
        </w:rPr>
        <w:t xml:space="preserve">ba‘al </w:t>
      </w:r>
      <w:r w:rsidR="00362BF6">
        <w:t xml:space="preserve">and </w:t>
      </w:r>
      <w:r w:rsidR="00362BF6">
        <w:rPr>
          <w:i/>
        </w:rPr>
        <w:t>bə‘ûlāh</w:t>
      </w:r>
      <w:r w:rsidR="00362BF6">
        <w:t>, which etymologically suggest owner/master and owned/mastered</w:t>
      </w:r>
      <w:r w:rsidR="00362BF6">
        <w:rPr>
          <w:i/>
        </w:rPr>
        <w:t xml:space="preserve">. </w:t>
      </w:r>
      <w:r w:rsidR="00362BF6">
        <w:t>I</w:t>
      </w:r>
      <w:r w:rsidR="00981A94">
        <w:t>ts usual term</w:t>
      </w:r>
      <w:r w:rsidR="003053AE">
        <w:t>s for “husband” and “wife” are simply the word</w:t>
      </w:r>
      <w:r w:rsidR="005E1174">
        <w:t>s</w:t>
      </w:r>
      <w:r w:rsidR="00A84C06">
        <w:t xml:space="preserve"> for man </w:t>
      </w:r>
      <w:r w:rsidR="003053AE">
        <w:t xml:space="preserve">and woman. </w:t>
      </w:r>
    </w:p>
    <w:p w:rsidR="003053AE" w:rsidRDefault="004C2360" w:rsidP="00CA1738">
      <w:r>
        <w:t xml:space="preserve">Western readers’ attention to the story </w:t>
      </w:r>
      <w:r w:rsidR="00DD0920" w:rsidRPr="00DD0920">
        <w:t>may lie in the human interest, particularly in the context of our interest in the way the Scriptures speak about women and men.</w:t>
      </w:r>
      <w:r>
        <w:t xml:space="preserve"> The focu</w:t>
      </w:r>
      <w:r w:rsidR="005D5541">
        <w:t>s</w:t>
      </w:r>
      <w:r>
        <w:t xml:space="preserve"> of the story’s attention to</w:t>
      </w:r>
      <w:r w:rsidR="003053AE">
        <w:t xml:space="preserve"> the </w:t>
      </w:r>
      <w:r w:rsidR="00A84C06">
        <w:t>marriage arrangements</w:t>
      </w:r>
      <w:r w:rsidR="003053AE">
        <w:t xml:space="preserve"> lies elsewhere. </w:t>
      </w:r>
      <w:r w:rsidR="00DD0920">
        <w:t>Hosea and Gomer stand for Yahweh and Israel</w:t>
      </w:r>
      <w:r w:rsidR="00A84C06">
        <w:t xml:space="preserve"> (notwithstanding Israel </w:t>
      </w:r>
      <w:r w:rsidR="00DD0920">
        <w:t xml:space="preserve">itself </w:t>
      </w:r>
      <w:r w:rsidR="00A84C06">
        <w:t xml:space="preserve">being </w:t>
      </w:r>
      <w:r w:rsidR="00DD0920">
        <w:t>a “he” rather than a “she”; the</w:t>
      </w:r>
      <w:r w:rsidR="00A84C06">
        <w:t xml:space="preserve"> mixing of gender</w:t>
      </w:r>
      <w:r w:rsidR="00DB0717">
        <w:t>s</w:t>
      </w:r>
      <w:r w:rsidR="00A84C06">
        <w:t xml:space="preserve"> </w:t>
      </w:r>
      <w:r w:rsidR="00DD0920">
        <w:t>recur when Hosea and Gomer’s daughter also represents Israel).</w:t>
      </w:r>
      <w:r>
        <w:t xml:space="preserve"> </w:t>
      </w:r>
      <w:r w:rsidR="00FF5065">
        <w:t>Hosea</w:t>
      </w:r>
      <w:r w:rsidR="003053AE">
        <w:t xml:space="preserve"> is not told to marry a specific whorish woman; maybe that is simpl</w:t>
      </w:r>
      <w:r>
        <w:t>y the kind of woman he must get</w:t>
      </w:r>
      <w:r w:rsidR="003053AE">
        <w:t>.</w:t>
      </w:r>
    </w:p>
    <w:p w:rsidR="001F751F" w:rsidRPr="001F751F" w:rsidRDefault="00FF5065" w:rsidP="001F751F">
      <w:r>
        <w:rPr>
          <w:i/>
        </w:rPr>
        <w:t>Z</w:t>
      </w:r>
      <w:r w:rsidR="001F751F">
        <w:rPr>
          <w:i/>
        </w:rPr>
        <w:t>ōn</w:t>
      </w:r>
      <w:r>
        <w:rPr>
          <w:i/>
        </w:rPr>
        <w:t>e</w:t>
      </w:r>
      <w:r w:rsidR="006351DD">
        <w:rPr>
          <w:i/>
        </w:rPr>
        <w:t xml:space="preserve">h </w:t>
      </w:r>
      <w:r>
        <w:t>can</w:t>
      </w:r>
      <w:r w:rsidR="003053AE">
        <w:t xml:space="preserve"> denote someone whom men pay for</w:t>
      </w:r>
      <w:r>
        <w:t xml:space="preserve"> sex,</w:t>
      </w:r>
      <w:r w:rsidR="00A372B6">
        <w:rPr>
          <w:rStyle w:val="FootnoteReference"/>
        </w:rPr>
        <w:footnoteReference w:id="54"/>
      </w:r>
      <w:r w:rsidRPr="00FF5065">
        <w:t xml:space="preserve"> </w:t>
      </w:r>
      <w:r>
        <w:t xml:space="preserve">and Hosea </w:t>
      </w:r>
      <w:r w:rsidRPr="00FF5065">
        <w:t>refer</w:t>
      </w:r>
      <w:r>
        <w:t>s</w:t>
      </w:r>
      <w:r w:rsidRPr="00FF5065">
        <w:t xml:space="preserve"> to the whore receiving a fee from her lovers (2:12 [14])</w:t>
      </w:r>
      <w:r>
        <w:t>,</w:t>
      </w:r>
      <w:r w:rsidR="004C2360">
        <w:t xml:space="preserve"> </w:t>
      </w:r>
      <w:r>
        <w:t xml:space="preserve">but </w:t>
      </w:r>
      <w:r w:rsidR="003053AE">
        <w:t xml:space="preserve">the reason for </w:t>
      </w:r>
      <w:r w:rsidR="006351DD">
        <w:t xml:space="preserve">Hosea’s </w:t>
      </w:r>
      <w:r>
        <w:t>marrying a whore relates to the</w:t>
      </w:r>
      <w:r w:rsidR="003053AE">
        <w:t xml:space="preserve"> analogy with Yahweh’s “marr</w:t>
      </w:r>
      <w:r w:rsidR="004C2360">
        <w:t xml:space="preserve">ying” Israel and </w:t>
      </w:r>
      <w:r>
        <w:t xml:space="preserve">with </w:t>
      </w:r>
      <w:r w:rsidR="004C2360">
        <w:t xml:space="preserve">Israel’s </w:t>
      </w:r>
      <w:r w:rsidR="003053AE">
        <w:t>unfaithful</w:t>
      </w:r>
      <w:r w:rsidR="004C2360">
        <w:t>ness</w:t>
      </w:r>
      <w:r>
        <w:t>. T</w:t>
      </w:r>
      <w:r w:rsidR="00887D2F">
        <w:t>he notion of payment need</w:t>
      </w:r>
      <w:r>
        <w:t>n’</w:t>
      </w:r>
      <w:r w:rsidR="003053AE">
        <w:t xml:space="preserve">t enter into </w:t>
      </w:r>
      <w:r w:rsidR="003053AE">
        <w:lastRenderedPageBreak/>
        <w:t>the a</w:t>
      </w:r>
      <w:r w:rsidR="004C2360">
        <w:t>nalogy and may obscure it</w:t>
      </w:r>
      <w:r>
        <w:t xml:space="preserve">. </w:t>
      </w:r>
      <w:r>
        <w:rPr>
          <w:i/>
        </w:rPr>
        <w:t>Zōne</w:t>
      </w:r>
      <w:r w:rsidR="004C2360">
        <w:rPr>
          <w:i/>
        </w:rPr>
        <w:t>h</w:t>
      </w:r>
      <w:r w:rsidR="003053AE">
        <w:t xml:space="preserve"> has the same b</w:t>
      </w:r>
      <w:r w:rsidR="00887D2F">
        <w:t>roader connotations as “whore</w:t>
      </w:r>
      <w:r w:rsidR="003053AE">
        <w:t>.</w:t>
      </w:r>
      <w:r w:rsidR="00887D2F">
        <w:t>”</w:t>
      </w:r>
      <w:r w:rsidR="003053AE">
        <w:t xml:space="preserve"> Hosea is to marry someone who is known t</w:t>
      </w:r>
      <w:r w:rsidR="006351DD">
        <w:t>o be promiscuous, or</w:t>
      </w:r>
      <w:r w:rsidR="003053AE">
        <w:t xml:space="preserve"> who is n</w:t>
      </w:r>
      <w:r>
        <w:t>ot promiscuous at the moment but</w:t>
      </w:r>
      <w:r w:rsidR="003053AE">
        <w:t xml:space="preserve"> will be</w:t>
      </w:r>
      <w:r w:rsidR="00F54C1F">
        <w:t>come</w:t>
      </w:r>
      <w:r w:rsidR="003053AE">
        <w:t xml:space="preserve"> so.</w:t>
      </w:r>
      <w:r w:rsidR="00F176ED">
        <w:t xml:space="preserve"> </w:t>
      </w:r>
      <w:r w:rsidR="00D5395C">
        <w:t>Given that</w:t>
      </w:r>
      <w:r w:rsidR="00C37396">
        <w:t xml:space="preserve"> </w:t>
      </w:r>
      <w:r w:rsidR="00D5395C">
        <w:t>whoring i</w:t>
      </w:r>
      <w:r w:rsidR="006351DD">
        <w:t>s a metaphor for following</w:t>
      </w:r>
      <w:r w:rsidR="003053AE">
        <w:t xml:space="preserve"> other gods</w:t>
      </w:r>
      <w:r w:rsidR="00D5395C">
        <w:t xml:space="preserve">, </w:t>
      </w:r>
      <w:r w:rsidR="003735E1">
        <w:t>there might</w:t>
      </w:r>
      <w:r w:rsidR="00C37396">
        <w:t xml:space="preserve"> be no implication that Gomer is sexually promiscuous</w:t>
      </w:r>
      <w:r w:rsidR="003735E1">
        <w:t>. She might rather be someone</w:t>
      </w:r>
      <w:r w:rsidR="002F307C">
        <w:t xml:space="preserve"> who follows other gods</w:t>
      </w:r>
      <w:r w:rsidR="00EC5C55">
        <w:rPr>
          <w:i/>
        </w:rPr>
        <w:t xml:space="preserve"> </w:t>
      </w:r>
      <w:r w:rsidR="003735E1">
        <w:t xml:space="preserve">and </w:t>
      </w:r>
      <w:r w:rsidR="00DB0717">
        <w:t xml:space="preserve">who </w:t>
      </w:r>
      <w:r w:rsidR="003735E1">
        <w:t>would</w:t>
      </w:r>
      <w:r w:rsidR="003053AE">
        <w:t xml:space="preserve"> </w:t>
      </w:r>
      <w:r w:rsidR="001F751F">
        <w:t xml:space="preserve">expect to </w:t>
      </w:r>
      <w:r w:rsidR="003053AE">
        <w:t>bear</w:t>
      </w:r>
      <w:r w:rsidR="00EC5C55">
        <w:t xml:space="preserve"> children </w:t>
      </w:r>
      <w:r w:rsidR="001F751F">
        <w:t xml:space="preserve">through </w:t>
      </w:r>
      <w:r w:rsidR="00EC5C55">
        <w:t>seeking their help</w:t>
      </w:r>
      <w:r w:rsidR="003053AE">
        <w:t>.</w:t>
      </w:r>
      <w:r w:rsidR="0005735D">
        <w:rPr>
          <w:rStyle w:val="FootnoteReference"/>
        </w:rPr>
        <w:footnoteReference w:id="55"/>
      </w:r>
      <w:r w:rsidR="003053AE">
        <w:t xml:space="preserve"> </w:t>
      </w:r>
      <w:r w:rsidR="003735E1">
        <w:t>A</w:t>
      </w:r>
      <w:r w:rsidR="00C37396">
        <w:t xml:space="preserve"> command </w:t>
      </w:r>
      <w:r w:rsidR="003735E1">
        <w:t xml:space="preserve">to marry such a person </w:t>
      </w:r>
      <w:r w:rsidR="00C37396">
        <w:t>would ac</w:t>
      </w:r>
      <w:r w:rsidR="0005735D">
        <w:t>tually be even more scandalous.</w:t>
      </w:r>
      <w:r w:rsidR="00D5395C">
        <w:t xml:space="preserve"> </w:t>
      </w:r>
      <w:r w:rsidR="0005735D">
        <w:t xml:space="preserve"> Either way, </w:t>
      </w:r>
      <w:r w:rsidR="00D5395C">
        <w:t>Yahweh describes</w:t>
      </w:r>
      <w:r w:rsidR="003053AE">
        <w:t xml:space="preserve"> this whoring in extreme terms. It is not merely an inclination on the p</w:t>
      </w:r>
      <w:r w:rsidR="0005735D">
        <w:t>art of some individuals. T</w:t>
      </w:r>
      <w:r w:rsidR="00D5395C">
        <w:t xml:space="preserve">he </w:t>
      </w:r>
      <w:r w:rsidR="00DB0717">
        <w:t xml:space="preserve">entire </w:t>
      </w:r>
      <w:r w:rsidR="00D5395C">
        <w:t>people</w:t>
      </w:r>
      <w:r w:rsidR="00DB0717">
        <w:t xml:space="preserve"> </w:t>
      </w:r>
      <w:r w:rsidR="00D5395C">
        <w:t>is involved</w:t>
      </w:r>
      <w:r w:rsidR="00486438">
        <w:t xml:space="preserve">. </w:t>
      </w:r>
      <w:r w:rsidR="00DB0717">
        <w:t xml:space="preserve">So actually </w:t>
      </w:r>
      <w:r w:rsidR="00486438">
        <w:t xml:space="preserve">Hosea would have a hard time finding a wife who was not </w:t>
      </w:r>
      <w:r w:rsidR="00D17076">
        <w:t>whorish.</w:t>
      </w:r>
      <w:r w:rsidR="00D17076" w:rsidRPr="00D17076">
        <w:rPr>
          <w:vertAlign w:val="superscript"/>
        </w:rPr>
        <w:footnoteReference w:id="56"/>
      </w:r>
      <w:r w:rsidR="0005735D">
        <w:t xml:space="preserve"> Gomer is simply</w:t>
      </w:r>
      <w:r w:rsidR="00414E83">
        <w:t xml:space="preserve"> a “</w:t>
      </w:r>
      <w:r w:rsidR="00414E83">
        <w:rPr>
          <w:i/>
        </w:rPr>
        <w:t>typical</w:t>
      </w:r>
      <w:r w:rsidR="00414E83">
        <w:t xml:space="preserve"> Israelite, and this is an indictment in itself”—not merely of her but of the nation.</w:t>
      </w:r>
      <w:r w:rsidR="00414E83">
        <w:rPr>
          <w:rStyle w:val="FootnoteReference"/>
        </w:rPr>
        <w:footnoteReference w:id="57"/>
      </w:r>
      <w:r w:rsidR="001F751F">
        <w:t xml:space="preserve"> </w:t>
      </w:r>
      <w:r w:rsidR="001F751F" w:rsidRPr="001F751F">
        <w:t>In the description of Gomer, “it is not the wife’s morality but Israel’s apostasy from Yahweh that is called into question.”</w:t>
      </w:r>
      <w:r w:rsidR="001F751F" w:rsidRPr="001F751F">
        <w:rPr>
          <w:vertAlign w:val="superscript"/>
        </w:rPr>
        <w:footnoteReference w:id="58"/>
      </w:r>
      <w:r w:rsidR="00AF7E54">
        <w:t xml:space="preserve"> The nature </w:t>
      </w:r>
      <w:r w:rsidR="00DB0717">
        <w:t xml:space="preserve">of </w:t>
      </w:r>
      <w:r w:rsidR="00AF7E54">
        <w:t xml:space="preserve">the nation’s whoring is left open, but the scroll will indicate that it embraces the realms of religion, internal politics, and external politics, and this introductory chapter will hint at those various facets as it unfolds. </w:t>
      </w:r>
    </w:p>
    <w:p w:rsidR="00451A6C" w:rsidRPr="00451A6C" w:rsidRDefault="009B30C7" w:rsidP="00CA1738">
      <w:r>
        <w:t>The people likely saw themselves as worshiping the Master</w:t>
      </w:r>
      <w:r w:rsidR="00DB0717">
        <w:t>s</w:t>
      </w:r>
      <w:r>
        <w:t xml:space="preserve"> as well as Yahweh</w:t>
      </w:r>
      <w:r w:rsidR="00DB0717">
        <w:t xml:space="preserve"> not instead of Yahweh</w:t>
      </w:r>
      <w:r>
        <w:t xml:space="preserve">. </w:t>
      </w:r>
      <w:r w:rsidRPr="009B30C7">
        <w:t>For Yahweh it is either-or, them or me. In following other deities they are whoring “from after” him. They have turned away from him.</w:t>
      </w:r>
      <w:r>
        <w:t xml:space="preserve"> It is t</w:t>
      </w:r>
      <w:r w:rsidRPr="009B30C7">
        <w:t>he country (</w:t>
      </w:r>
      <w:r w:rsidRPr="009B30C7">
        <w:rPr>
          <w:i/>
        </w:rPr>
        <w:t>’ereș</w:t>
      </w:r>
      <w:r w:rsidRPr="009B30C7">
        <w:t>)</w:t>
      </w:r>
      <w:r w:rsidRPr="009B30C7">
        <w:rPr>
          <w:i/>
        </w:rPr>
        <w:t xml:space="preserve"> </w:t>
      </w:r>
      <w:r>
        <w:t xml:space="preserve">that has done so. </w:t>
      </w:r>
      <w:r w:rsidR="00360516">
        <w:t>The life and destiny of p</w:t>
      </w:r>
      <w:r w:rsidR="00C679A0">
        <w:t xml:space="preserve">eople and land </w:t>
      </w:r>
      <w:r w:rsidR="00360516">
        <w:t>are tied up together. The land shapes the people, not least when it acts aggressively or parsim</w:t>
      </w:r>
      <w:r w:rsidR="00D5395C">
        <w:t>oniously (e.g., 2:9-23 [11</w:t>
      </w:r>
      <w:r w:rsidR="00360516">
        <w:t xml:space="preserve">-25]); the people shape the land, not least when they act faithlessly </w:t>
      </w:r>
      <w:r w:rsidR="001454A2">
        <w:t xml:space="preserve">(e.g., </w:t>
      </w:r>
      <w:r w:rsidR="00360516">
        <w:t xml:space="preserve">4:1-3). The two </w:t>
      </w:r>
      <w:r w:rsidR="00C679A0">
        <w:t>are symbiotically one</w:t>
      </w:r>
      <w:r w:rsidR="00360516">
        <w:t>; “the land reflects (almost ‘is’) the life of the people</w:t>
      </w:r>
      <w:r w:rsidR="00C679A0">
        <w:t>.</w:t>
      </w:r>
      <w:r w:rsidR="00360516">
        <w:t>”</w:t>
      </w:r>
      <w:r w:rsidR="00C679A0">
        <w:rPr>
          <w:rStyle w:val="FootnoteReference"/>
        </w:rPr>
        <w:footnoteReference w:id="59"/>
      </w:r>
      <w:r w:rsidR="00C679A0">
        <w:t xml:space="preserve"> </w:t>
      </w:r>
      <w:r w:rsidR="00360516">
        <w:t>As a family o</w:t>
      </w:r>
      <w:r w:rsidR="004B73EF">
        <w:t xml:space="preserve">r </w:t>
      </w:r>
      <w:r w:rsidR="00360516">
        <w:t>people can be seen as thoroughly wayward irrespective of the stance of particular member</w:t>
      </w:r>
      <w:r w:rsidR="00F613FE">
        <w:t>s</w:t>
      </w:r>
      <w:r w:rsidR="00360516">
        <w:t xml:space="preserve">, so the country can be seen as thoroughly wayward irrespective of the stance of </w:t>
      </w:r>
      <w:r w:rsidR="00836281">
        <w:t>the rocks and the trees considered separate from the human beings who live with them.</w:t>
      </w:r>
    </w:p>
    <w:p w:rsidR="00C679A0" w:rsidRDefault="004B73EF" w:rsidP="00CA1738">
      <w:r>
        <w:t xml:space="preserve">If Gomer </w:t>
      </w:r>
      <w:r w:rsidR="00C679A0">
        <w:t>follow</w:t>
      </w:r>
      <w:r>
        <w:t>ed</w:t>
      </w:r>
      <w:r w:rsidR="009B30C7">
        <w:t xml:space="preserve"> a particular deity alongside</w:t>
      </w:r>
      <w:r w:rsidR="00C679A0">
        <w:t xml:space="preserve"> Yahw</w:t>
      </w:r>
      <w:r w:rsidR="009B30C7">
        <w:t>eh, it might</w:t>
      </w:r>
      <w:r>
        <w:t xml:space="preserve"> be</w:t>
      </w:r>
      <w:r w:rsidR="00C679A0">
        <w:t xml:space="preserve"> Yahweh’s consort Asherah. Jeremiah 44 reports the later testimony </w:t>
      </w:r>
      <w:r>
        <w:t>of some Judahite women</w:t>
      </w:r>
      <w:r w:rsidR="00C679A0">
        <w:t xml:space="preserve"> that they worshiped the Queen of Heaven</w:t>
      </w:r>
      <w:r w:rsidR="009B30C7">
        <w:t xml:space="preserve">, and many </w:t>
      </w:r>
      <w:r w:rsidR="00C679A0">
        <w:t>images of such a goddess have been discovered in Israel. This fact would complicate the metaphor: Gomer the devotee of Yahweh’s</w:t>
      </w:r>
      <w:r w:rsidR="009B30C7">
        <w:t xml:space="preserve"> consort symbolizes Ephraim</w:t>
      </w:r>
      <w:r>
        <w:t xml:space="preserve"> the supposed devotee of Yahweh</w:t>
      </w:r>
      <w:r w:rsidR="00C679A0">
        <w:t>.</w:t>
      </w:r>
    </w:p>
    <w:p w:rsidR="00DB59AC" w:rsidRPr="00DB59AC" w:rsidRDefault="00DB59AC" w:rsidP="00DB59AC">
      <w:r>
        <w:t xml:space="preserve">Hosea does as Yahweh bids (v. 3). </w:t>
      </w:r>
      <w:r w:rsidRPr="00DB59AC">
        <w:t>Like the story of</w:t>
      </w:r>
      <w:r>
        <w:t xml:space="preserve"> Boaz and Ruth, the narrative</w:t>
      </w:r>
      <w:r w:rsidRPr="00DB59AC">
        <w:t xml:space="preserve"> doesn’t say whether Hosea already has a wife, which would not be important to the story. If he were single and if Gomer were single, both would likely be teenagers, since parents would usually negotiate marriages for their children in their teenage years. Whatever their age, presumably Hosea would have to get Be’eri (and his wife?) to negotiate a marriage with Diblayim</w:t>
      </w:r>
      <w:r w:rsidR="001454A2">
        <w:t xml:space="preserve"> (and his wife?) (compare Judg.</w:t>
      </w:r>
      <w:r w:rsidRPr="00DB59AC">
        <w:t xml:space="preserve"> 11). But the story is not interested in clarifying these elements in the background. </w:t>
      </w:r>
    </w:p>
    <w:p w:rsidR="001454A2" w:rsidRDefault="00DB59AC" w:rsidP="00CA1738">
      <w:r>
        <w:t>Further, “a</w:t>
      </w:r>
      <w:r w:rsidR="00AE5471">
        <w:t>lthough Gomer has captured the attention of most readers, chapter 1 is primarily focused on the children of promiscuity, not the promiscuous woman.”</w:t>
      </w:r>
      <w:r w:rsidR="00AE5471" w:rsidRPr="00AE5471">
        <w:rPr>
          <w:vertAlign w:val="superscript"/>
        </w:rPr>
        <w:t xml:space="preserve"> </w:t>
      </w:r>
      <w:r w:rsidR="00AE5471" w:rsidRPr="00AE5471">
        <w:rPr>
          <w:vertAlign w:val="superscript"/>
        </w:rPr>
        <w:footnoteReference w:id="60"/>
      </w:r>
      <w:r w:rsidR="00AE5471">
        <w:t xml:space="preserve"> </w:t>
      </w:r>
      <w:r w:rsidR="007B4680">
        <w:t>Hosea’s marriage is significant only as the means whereby the</w:t>
      </w:r>
      <w:r w:rsidR="007B4680" w:rsidRPr="007B4680">
        <w:t xml:space="preserve"> children with their names are brought into being—again there is a parallel with Isaiah and his wife and children. </w:t>
      </w:r>
      <w:r w:rsidR="009B30C7">
        <w:t>The names are</w:t>
      </w:r>
      <w:r w:rsidR="007B4680">
        <w:t xml:space="preserve"> analogous to ones</w:t>
      </w:r>
      <w:r w:rsidR="003053AE">
        <w:t xml:space="preserve"> in Isaiah (e.g., 7:3, 14; 8:3; </w:t>
      </w:r>
      <w:r w:rsidR="007B4680">
        <w:t>9:6 [5]) that do</w:t>
      </w:r>
      <w:r w:rsidR="003053AE">
        <w:t xml:space="preserve"> no</w:t>
      </w:r>
      <w:r w:rsidR="00D42469">
        <w:t>t</w:t>
      </w:r>
      <w:r w:rsidR="007B4680">
        <w:t xml:space="preserve"> describe</w:t>
      </w:r>
      <w:r w:rsidR="003053AE">
        <w:t xml:space="preserve"> the children’</w:t>
      </w:r>
      <w:r w:rsidR="007B4680">
        <w:t>s nature or destiny</w:t>
      </w:r>
      <w:r w:rsidR="007E0206">
        <w:t>. They</w:t>
      </w:r>
      <w:r w:rsidR="007E0206" w:rsidRPr="007E0206">
        <w:t xml:space="preserve"> are not themselves the remnant, the God-with-us</w:t>
      </w:r>
      <w:r w:rsidR="007E0206">
        <w:t>, the spoil, or the Mighty God. Their names turn them</w:t>
      </w:r>
      <w:r w:rsidR="003053AE">
        <w:t xml:space="preserve"> in</w:t>
      </w:r>
      <w:r w:rsidR="007B4680">
        <w:t>to signposts to something that’</w:t>
      </w:r>
      <w:r w:rsidR="003053AE">
        <w:t>s nothing to do with them</w:t>
      </w:r>
      <w:r w:rsidR="001454A2">
        <w:t>, like people carrying placards</w:t>
      </w:r>
      <w:r w:rsidR="003053AE">
        <w:t>.</w:t>
      </w:r>
      <w:r w:rsidR="0034324B">
        <w:t xml:space="preserve"> </w:t>
      </w:r>
      <w:r w:rsidR="007B4680">
        <w:t>As</w:t>
      </w:r>
      <w:r w:rsidR="00D424F4">
        <w:t xml:space="preserve"> the descri</w:t>
      </w:r>
      <w:r w:rsidR="007B4680">
        <w:t xml:space="preserve">ption of Gomer needn’t mean she </w:t>
      </w:r>
      <w:r w:rsidR="007B4680">
        <w:lastRenderedPageBreak/>
        <w:t xml:space="preserve">actually was a whore, neither were the children </w:t>
      </w:r>
      <w:r w:rsidR="00D424F4">
        <w:t>what their names say</w:t>
      </w:r>
      <w:r w:rsidR="00E20D2E">
        <w:t xml:space="preserve">; </w:t>
      </w:r>
      <w:r w:rsidR="007B4680">
        <w:t>it was something they symbolized, and they carried the cross, as</w:t>
      </w:r>
      <w:r w:rsidR="00E20D2E">
        <w:t xml:space="preserve"> she </w:t>
      </w:r>
      <w:r w:rsidR="007B4680">
        <w:t>and</w:t>
      </w:r>
      <w:r w:rsidR="00C74B65">
        <w:t xml:space="preserve"> Hosea did</w:t>
      </w:r>
      <w:r w:rsidR="00E20D2E">
        <w:t>.</w:t>
      </w:r>
      <w:r w:rsidR="00E20D2E" w:rsidRPr="00E20D2E">
        <w:rPr>
          <w:vertAlign w:val="superscript"/>
        </w:rPr>
        <w:footnoteReference w:id="61"/>
      </w:r>
    </w:p>
    <w:p w:rsidR="003B15E1" w:rsidRDefault="00D42469" w:rsidP="00CA1738">
      <w:r>
        <w:t xml:space="preserve">Jezreel </w:t>
      </w:r>
      <w:r w:rsidR="001454A2">
        <w:t xml:space="preserve">(v. 4) </w:t>
      </w:r>
      <w:r w:rsidR="0005439C">
        <w:t xml:space="preserve">is </w:t>
      </w:r>
      <w:r w:rsidR="003053AE">
        <w:t>the fertile plain at the center of Ephrai</w:t>
      </w:r>
      <w:r w:rsidR="0005439C">
        <w:t xml:space="preserve">m, between the </w:t>
      </w:r>
      <w:r w:rsidR="003053AE">
        <w:t xml:space="preserve">Samaria </w:t>
      </w:r>
      <w:r w:rsidR="0005439C">
        <w:t xml:space="preserve">highlands </w:t>
      </w:r>
      <w:r w:rsidR="003053AE">
        <w:t xml:space="preserve">and the </w:t>
      </w:r>
      <w:r w:rsidR="00C051DD">
        <w:t>Galilee mountains,</w:t>
      </w:r>
      <w:r w:rsidR="00B04B4D">
        <w:t xml:space="preserve"> </w:t>
      </w:r>
      <w:r w:rsidR="00C74B65">
        <w:t>strategically</w:t>
      </w:r>
      <w:r w:rsidR="00C051DD">
        <w:t xml:space="preserve"> located on the </w:t>
      </w:r>
      <w:r w:rsidR="00B04B4D">
        <w:t xml:space="preserve">route from Mesopotamia to Egypt. </w:t>
      </w:r>
      <w:r w:rsidR="00C051DD">
        <w:t>The name,</w:t>
      </w:r>
      <w:r w:rsidR="00747AA6">
        <w:t xml:space="preserve"> “</w:t>
      </w:r>
      <w:r w:rsidR="00C051DD">
        <w:t>God sows,” has</w:t>
      </w:r>
      <w:r w:rsidR="00747AA6">
        <w:t xml:space="preserve"> p</w:t>
      </w:r>
      <w:r w:rsidR="00C04A8F">
        <w:t>ositive connotations, but</w:t>
      </w:r>
      <w:r w:rsidR="00747AA6">
        <w:t xml:space="preserve"> </w:t>
      </w:r>
      <w:r w:rsidR="00C051DD">
        <w:t xml:space="preserve">the plain was </w:t>
      </w:r>
      <w:r w:rsidR="00185184">
        <w:t>the location of historic battles</w:t>
      </w:r>
      <w:r w:rsidR="0005439C">
        <w:t>,</w:t>
      </w:r>
      <w:r w:rsidR="004B47AA">
        <w:t xml:space="preserve"> a place of bloodshed</w:t>
      </w:r>
      <w:r w:rsidR="00CB0C25">
        <w:t xml:space="preserve"> </w:t>
      </w:r>
      <w:r w:rsidR="00CB0C25" w:rsidRPr="00CB0C25">
        <w:t>(see Judg</w:t>
      </w:r>
      <w:r w:rsidR="00CB0C25">
        <w:t>.</w:t>
      </w:r>
      <w:r w:rsidR="00CB0C25" w:rsidRPr="00CB0C25">
        <w:t xml:space="preserve"> 5:29; 6:23; 2 Kings 23:29 for battles fought within ten miles of the town of Jezreel)</w:t>
      </w:r>
      <w:r w:rsidR="004B47AA">
        <w:t>.</w:t>
      </w:r>
      <w:r w:rsidR="00C04A8F">
        <w:rPr>
          <w:rStyle w:val="FootnoteReference"/>
        </w:rPr>
        <w:footnoteReference w:id="62"/>
      </w:r>
      <w:r w:rsidR="004B47AA">
        <w:t xml:space="preserve"> Further,</w:t>
      </w:r>
      <w:r w:rsidR="00B04B4D">
        <w:t xml:space="preserve"> </w:t>
      </w:r>
      <w:r w:rsidR="00917C65">
        <w:t xml:space="preserve">the positive idea of scattering seed could become a negative one, of scattering a people (so Tg). Certainly </w:t>
      </w:r>
      <w:r w:rsidR="00185184">
        <w:t xml:space="preserve">Hosea </w:t>
      </w:r>
      <w:r w:rsidR="00836281">
        <w:t>is ab</w:t>
      </w:r>
      <w:r w:rsidR="00185184">
        <w:t>out to invert its implications</w:t>
      </w:r>
      <w:r w:rsidR="00E23165">
        <w:t xml:space="preserve"> from positive to negative</w:t>
      </w:r>
      <w:r w:rsidR="001454A2">
        <w:t xml:space="preserve">. </w:t>
      </w:r>
      <w:r w:rsidR="00CB0C25">
        <w:t xml:space="preserve">The town called </w:t>
      </w:r>
      <w:r w:rsidR="00185184">
        <w:t>Jezreel</w:t>
      </w:r>
      <w:r w:rsidR="00CB0C25">
        <w:t xml:space="preserve"> stands</w:t>
      </w:r>
      <w:r w:rsidR="00CC4E9E">
        <w:t xml:space="preserve"> a prominent position </w:t>
      </w:r>
      <w:r w:rsidR="008F7989">
        <w:t>on the southeastern</w:t>
      </w:r>
      <w:r w:rsidR="00C051DD">
        <w:t xml:space="preserve"> side of the</w:t>
      </w:r>
      <w:r w:rsidR="003053AE">
        <w:t xml:space="preserve"> plain</w:t>
      </w:r>
      <w:r w:rsidR="00CB0C25">
        <w:t xml:space="preserve">. It is </w:t>
      </w:r>
      <w:r w:rsidR="00C051DD">
        <w:t xml:space="preserve">Ephraim’s </w:t>
      </w:r>
      <w:r w:rsidR="00CC4E9E">
        <w:t xml:space="preserve">de </w:t>
      </w:r>
      <w:r w:rsidR="00C051DD">
        <w:t>facto second capital</w:t>
      </w:r>
      <w:r w:rsidR="00CB0C25">
        <w:t>,</w:t>
      </w:r>
      <w:r w:rsidR="00C051DD">
        <w:t xml:space="preserve"> </w:t>
      </w:r>
      <w:r w:rsidR="00CC4E9E">
        <w:t xml:space="preserve">closer to the northern part of the state, and </w:t>
      </w:r>
      <w:r w:rsidR="003053AE">
        <w:t>the si</w:t>
      </w:r>
      <w:r w:rsidR="00C051DD">
        <w:t xml:space="preserve">te of </w:t>
      </w:r>
      <w:r w:rsidR="003053AE">
        <w:t>events related in 1 Ki</w:t>
      </w:r>
      <w:r w:rsidR="00C051DD">
        <w:t>ngs 21 and 2 Kings 9—10. While b</w:t>
      </w:r>
      <w:r w:rsidR="003053AE">
        <w:t xml:space="preserve">oth </w:t>
      </w:r>
      <w:r w:rsidR="00836281">
        <w:t xml:space="preserve">events </w:t>
      </w:r>
      <w:r w:rsidR="003053AE">
        <w:t>involved b</w:t>
      </w:r>
      <w:r w:rsidR="00C051DD">
        <w:t>loodshed</w:t>
      </w:r>
      <w:r w:rsidR="003053AE">
        <w:t xml:space="preserve">, </w:t>
      </w:r>
      <w:r w:rsidR="00C051DD">
        <w:t xml:space="preserve">the </w:t>
      </w:r>
      <w:r w:rsidR="001454A2">
        <w:t>mention of</w:t>
      </w:r>
      <w:r w:rsidR="003053AE">
        <w:t xml:space="preserve"> Je</w:t>
      </w:r>
      <w:r w:rsidR="00C051DD">
        <w:t>hu suggests</w:t>
      </w:r>
      <w:r>
        <w:t xml:space="preserve"> that Yahweh refers</w:t>
      </w:r>
      <w:r w:rsidR="003053AE">
        <w:t xml:space="preserve"> to t</w:t>
      </w:r>
      <w:r w:rsidR="0005439C">
        <w:t>he second</w:t>
      </w:r>
      <w:r w:rsidR="0021006D">
        <w:t xml:space="preserve"> (cf. Tg)</w:t>
      </w:r>
      <w:r>
        <w:t xml:space="preserve">. </w:t>
      </w:r>
      <w:r w:rsidR="00C051DD">
        <w:t xml:space="preserve">Yahweh </w:t>
      </w:r>
      <w:r w:rsidR="003B15E1">
        <w:t>proclaims the e</w:t>
      </w:r>
      <w:r w:rsidR="00C051DD">
        <w:t>nd of Jehu’s dynasty, which</w:t>
      </w:r>
      <w:r w:rsidR="00401521" w:rsidRPr="00401521">
        <w:t xml:space="preserve"> was</w:t>
      </w:r>
      <w:r w:rsidR="00C051DD">
        <w:t xml:space="preserve"> indeed</w:t>
      </w:r>
      <w:r w:rsidR="00401521" w:rsidRPr="00401521">
        <w:t xml:space="preserve"> terminated by the assassination of </w:t>
      </w:r>
      <w:r w:rsidR="00C051DD">
        <w:t>Jeroboam’s son Zechariah</w:t>
      </w:r>
      <w:r w:rsidR="004811AF">
        <w:t xml:space="preserve"> in about 750</w:t>
      </w:r>
      <w:r w:rsidR="00C051DD">
        <w:t xml:space="preserve">, but also </w:t>
      </w:r>
      <w:r w:rsidR="003B15E1" w:rsidRPr="003B15E1">
        <w:t xml:space="preserve">the termination of any monarchy in Ephraim. </w:t>
      </w:r>
    </w:p>
    <w:p w:rsidR="00836281" w:rsidRDefault="004811AF" w:rsidP="003B15E1">
      <w:r>
        <w:t>Yahweh goes yet further (v. 5)</w:t>
      </w:r>
      <w:r w:rsidR="003B15E1">
        <w:t xml:space="preserve">. </w:t>
      </w:r>
      <w:r w:rsidR="003B15E1" w:rsidRPr="003B15E1">
        <w:t>“On that day” can denote a new day quite distinguishable from the present, a day that will belong to a new age (e.g., 2:16, 18, 21 [18, 20, 23]). But it c</w:t>
      </w:r>
      <w:r>
        <w:t xml:space="preserve">an also continue </w:t>
      </w:r>
      <w:r w:rsidR="001454A2">
        <w:t xml:space="preserve">reference to </w:t>
      </w:r>
      <w:r w:rsidR="003B15E1" w:rsidRPr="003B15E1">
        <w:t>a day that has just been men</w:t>
      </w:r>
      <w:r w:rsidR="001454A2">
        <w:t>tioned (e.g., Mic. 2:4). W</w:t>
      </w:r>
      <w:r w:rsidR="003B15E1" w:rsidRPr="003B15E1">
        <w:t>e do not have to distinguish these two too sharply</w:t>
      </w:r>
      <w:r>
        <w:t xml:space="preserve"> here</w:t>
      </w:r>
      <w:r w:rsidR="003B15E1" w:rsidRPr="003B15E1">
        <w:t>. Yahweh’s day is commonly embodied is some event, yet not without remainder.</w:t>
      </w:r>
      <w:r w:rsidR="003B15E1">
        <w:t xml:space="preserve"> </w:t>
      </w:r>
      <w:r w:rsidR="003B15E1" w:rsidRPr="003B15E1">
        <w:t xml:space="preserve"> </w:t>
      </w:r>
      <w:r w:rsidR="003B15E1">
        <w:t>“O</w:t>
      </w:r>
      <w:r w:rsidR="008F7989">
        <w:t xml:space="preserve">n that day” </w:t>
      </w:r>
      <w:r w:rsidR="003B15E1">
        <w:t xml:space="preserve">also </w:t>
      </w:r>
      <w:r w:rsidR="001454A2">
        <w:t>frequent</w:t>
      </w:r>
      <w:r w:rsidR="008F7989">
        <w:t>ly mark</w:t>
      </w:r>
      <w:r w:rsidR="003B15E1">
        <w:t>s</w:t>
      </w:r>
      <w:r w:rsidR="008F7989">
        <w:t xml:space="preserve"> the beginning of a new message or a supplement to the </w:t>
      </w:r>
      <w:r>
        <w:t>preceding message</w:t>
      </w:r>
      <w:r w:rsidR="003B15E1">
        <w:t xml:space="preserve">. This further word from Yahweh </w:t>
      </w:r>
      <w:r>
        <w:t xml:space="preserve">extends Yahweh’s warning to </w:t>
      </w:r>
      <w:r w:rsidR="001454A2">
        <w:t xml:space="preserve">threaten </w:t>
      </w:r>
      <w:r w:rsidR="003B15E1" w:rsidRPr="003B15E1">
        <w:t>the end of Ephraim as a nation</w:t>
      </w:r>
      <w:r>
        <w:t>, which came</w:t>
      </w:r>
      <w:r w:rsidR="003B15E1" w:rsidRPr="003B15E1">
        <w:t xml:space="preserve"> in 722. </w:t>
      </w:r>
      <w:r w:rsidR="00CB0C25">
        <w:t>Yahweh will destroy Ephraim’s</w:t>
      </w:r>
      <w:r w:rsidR="003053AE">
        <w:t xml:space="preserve"> mi</w:t>
      </w:r>
      <w:r w:rsidR="003B15E1">
        <w:t>litary resources. B</w:t>
      </w:r>
      <w:r w:rsidR="003053AE">
        <w:t>reaking Ephraim’s bow in the Vale of Jezreel suggests a milit</w:t>
      </w:r>
      <w:r w:rsidR="00CB0C25">
        <w:t>ary defeat, for which</w:t>
      </w:r>
      <w:r w:rsidR="00D42469">
        <w:t xml:space="preserve"> the Jezreel plain is a</w:t>
      </w:r>
      <w:r w:rsidR="00CB0C25">
        <w:t xml:space="preserve"> natural location, though in the event</w:t>
      </w:r>
      <w:r w:rsidR="003B15E1">
        <w:t xml:space="preserve"> </w:t>
      </w:r>
      <w:r w:rsidR="003053AE">
        <w:t>the key confrontation between Assyria and Ephraim took place at Samaria</w:t>
      </w:r>
      <w:r w:rsidR="003B15E1">
        <w:t xml:space="preserve"> (2 Kings 17). </w:t>
      </w:r>
    </w:p>
    <w:p w:rsidR="00443EFB" w:rsidRPr="00443EFB" w:rsidRDefault="00443EFB" w:rsidP="00CA1738"/>
    <w:p w:rsidR="00531D90" w:rsidRDefault="00DA1BEF" w:rsidP="00CA1738">
      <w:r w:rsidRPr="00DA1BEF">
        <w:rPr>
          <w:b/>
        </w:rPr>
        <w:t xml:space="preserve">Hosea </w:t>
      </w:r>
      <w:r>
        <w:rPr>
          <w:b/>
        </w:rPr>
        <w:t>1</w:t>
      </w:r>
      <w:r w:rsidRPr="00DA1BEF">
        <w:rPr>
          <w:b/>
        </w:rPr>
        <w:t>:</w:t>
      </w:r>
      <w:r w:rsidR="00D2453F" w:rsidRPr="00DA1BEF">
        <w:rPr>
          <w:b/>
        </w:rPr>
        <w:t>6-7.</w:t>
      </w:r>
      <w:r w:rsidR="00D2453F">
        <w:t xml:space="preserve"> </w:t>
      </w:r>
      <w:r w:rsidR="003053AE">
        <w:t>Th</w:t>
      </w:r>
      <w:r w:rsidR="001454A2">
        <w:t>e scroll doesn’</w:t>
      </w:r>
      <w:r w:rsidR="00FB59A7">
        <w:t>t say that Gomer</w:t>
      </w:r>
      <w:r w:rsidR="003053AE">
        <w:t xml:space="preserve"> gave birth</w:t>
      </w:r>
      <w:r w:rsidR="00FB59A7">
        <w:t xml:space="preserve"> to her</w:t>
      </w:r>
      <w:r w:rsidR="002C0B88">
        <w:t xml:space="preserve"> second child “for him</w:t>
      </w:r>
      <w:r w:rsidR="003053AE">
        <w:t xml:space="preserve">” </w:t>
      </w:r>
      <w:r w:rsidR="008B47CA">
        <w:t xml:space="preserve">(v. 6), </w:t>
      </w:r>
      <w:r w:rsidR="003053AE">
        <w:t>and if she had been promiscuous this omission might hi</w:t>
      </w:r>
      <w:r w:rsidR="002C0B88">
        <w:t>nt that he was not the father. B</w:t>
      </w:r>
      <w:r w:rsidR="003053AE">
        <w:t xml:space="preserve">ut if there has been no indication that she was whorish in this sense, then the inference is unwarranted, and Yahweh’s simple instruction </w:t>
      </w:r>
      <w:r w:rsidR="002C53C6">
        <w:t xml:space="preserve">to Hosea </w:t>
      </w:r>
      <w:r w:rsidR="003053AE">
        <w:t>abo</w:t>
      </w:r>
      <w:r w:rsidR="00D42469">
        <w:t>ut the name the daughter</w:t>
      </w:r>
      <w:r w:rsidR="003053AE">
        <w:t xml:space="preserve"> is to bear works against the inference. </w:t>
      </w:r>
      <w:r w:rsidR="00CB0C25">
        <w:t>T</w:t>
      </w:r>
      <w:r w:rsidR="002C0B88">
        <w:t xml:space="preserve">he prophecy becomes more succinct as it proceeds (v. 8 will have no “again” or “to him”). </w:t>
      </w:r>
    </w:p>
    <w:p w:rsidR="003053AE" w:rsidRDefault="00CB0C25" w:rsidP="00CA1738">
      <w:r>
        <w:t>“H</w:t>
      </w:r>
      <w:r w:rsidR="003053AE" w:rsidRPr="00531D90">
        <w:t>ave compassion</w:t>
      </w:r>
      <w:r w:rsidR="00531D90">
        <w:t>”</w:t>
      </w:r>
      <w:r w:rsidR="003053AE">
        <w:rPr>
          <w:i/>
        </w:rPr>
        <w:t xml:space="preserve"> </w:t>
      </w:r>
      <w:r w:rsidR="003053AE">
        <w:t>(</w:t>
      </w:r>
      <w:r>
        <w:rPr>
          <w:i/>
        </w:rPr>
        <w:t>rā</w:t>
      </w:r>
      <w:r w:rsidR="003053AE">
        <w:rPr>
          <w:i/>
        </w:rPr>
        <w:t>ham</w:t>
      </w:r>
      <w:r w:rsidR="00FB59A7">
        <w:t xml:space="preserve">) </w:t>
      </w:r>
      <w:r w:rsidR="00531D90">
        <w:t xml:space="preserve">is </w:t>
      </w:r>
      <w:r w:rsidR="00FB59A7">
        <w:t xml:space="preserve">related to the noun </w:t>
      </w:r>
      <w:r w:rsidR="00531D90">
        <w:t>for “</w:t>
      </w:r>
      <w:r w:rsidR="003053AE" w:rsidRPr="00531D90">
        <w:t>womb</w:t>
      </w:r>
      <w:r w:rsidR="00531D90">
        <w:t>”</w:t>
      </w:r>
      <w:r w:rsidR="003053AE">
        <w:t xml:space="preserve"> (</w:t>
      </w:r>
      <w:r w:rsidR="00094007">
        <w:rPr>
          <w:i/>
        </w:rPr>
        <w:t>rehe</w:t>
      </w:r>
      <w:r w:rsidR="003053AE">
        <w:rPr>
          <w:i/>
        </w:rPr>
        <w:t>m</w:t>
      </w:r>
      <w:r w:rsidR="003053AE">
        <w:t xml:space="preserve">). </w:t>
      </w:r>
      <w:r w:rsidR="00531D90">
        <w:t>Compassion is the feeling a mother has for the children of her womb or the mutual feelings shared by children from the same womb, though they are feelings a father can also have (</w:t>
      </w:r>
      <w:r w:rsidR="00B0597F">
        <w:t xml:space="preserve">Ps. </w:t>
      </w:r>
      <w:r w:rsidR="00531D90">
        <w:t xml:space="preserve">104:13). </w:t>
      </w:r>
      <w:r w:rsidR="00F318C6">
        <w:t>“With a shocking act of linguistic violence, and a disturbing triad of curses, Yhwh begins with the negative, and deconstructs his audience’s assumptions.”</w:t>
      </w:r>
      <w:r w:rsidR="00F318C6" w:rsidRPr="00F318C6">
        <w:rPr>
          <w:vertAlign w:val="superscript"/>
        </w:rPr>
        <w:footnoteReference w:id="63"/>
      </w:r>
      <w:r w:rsidR="00F318C6">
        <w:t xml:space="preserve"> </w:t>
      </w:r>
      <w:r w:rsidR="003053AE">
        <w:t xml:space="preserve">Hosea’s daughter is the offspring of a womb but </w:t>
      </w:r>
      <w:r w:rsidR="00531D90">
        <w:t>she will stand for the withholding of womb-like feelings. C</w:t>
      </w:r>
      <w:r w:rsidR="003053AE">
        <w:t>ompassion is the first characteristic that Yahweh claims in his classic self-description in Exodus 34:6-7</w:t>
      </w:r>
      <w:r w:rsidR="00094007">
        <w:t xml:space="preserve"> (cf. also </w:t>
      </w:r>
      <w:r w:rsidR="00531D90">
        <w:t>33:19). This girl’s name</w:t>
      </w:r>
      <w:r w:rsidR="003053AE">
        <w:t xml:space="preserve"> indicates that Yahweh is ceasing to act in one of his most fundamental ways towards his people. </w:t>
      </w:r>
      <w:r w:rsidR="00174D81">
        <w:t xml:space="preserve">It is only a decade or three since Yahweh acted in compassion in fulfilling promises made through Jonah (2 Kings </w:t>
      </w:r>
      <w:r>
        <w:t>14:</w:t>
      </w:r>
      <w:r w:rsidR="00174D81">
        <w:t xml:space="preserve">25-27). There will be no more </w:t>
      </w:r>
      <w:r>
        <w:t>such acts. Hosea’s</w:t>
      </w:r>
      <w:r w:rsidR="00174D81">
        <w:t xml:space="preserve"> warni</w:t>
      </w:r>
      <w:r>
        <w:t xml:space="preserve">ng </w:t>
      </w:r>
      <w:r w:rsidR="00174D81">
        <w:t>matches ones issued through Amos</w:t>
      </w:r>
      <w:r w:rsidR="00094007">
        <w:t>, who uses similar</w:t>
      </w:r>
      <w:r w:rsidR="006F3A5B">
        <w:t xml:space="preserve"> phraseology</w:t>
      </w:r>
      <w:r w:rsidR="00174D81">
        <w:t xml:space="preserve">: “I will </w:t>
      </w:r>
      <w:r w:rsidR="006F3A5B">
        <w:t>no</w:t>
      </w:r>
      <w:r w:rsidR="00094007">
        <w:t>t any</w:t>
      </w:r>
      <w:r w:rsidR="006F3A5B">
        <w:t xml:space="preserve"> more continue p</w:t>
      </w:r>
      <w:r w:rsidR="00174D81">
        <w:t>ass</w:t>
      </w:r>
      <w:r w:rsidR="006F3A5B">
        <w:t>ing o</w:t>
      </w:r>
      <w:r w:rsidR="00174D81">
        <w:t>ver</w:t>
      </w:r>
      <w:r w:rsidR="006F3A5B">
        <w:t>”</w:t>
      </w:r>
      <w:r w:rsidR="00174D81">
        <w:t xml:space="preserve"> </w:t>
      </w:r>
      <w:r w:rsidR="006F3A5B">
        <w:t>Ephraim (Amos 7:8; 8:2). Of course in both prophets it is a warning of what will happen unless the country responds.</w:t>
      </w:r>
    </w:p>
    <w:p w:rsidR="000A08B8" w:rsidRDefault="00CB0C25" w:rsidP="00CA1738">
      <w:r>
        <w:t>Like her brother’</w:t>
      </w:r>
      <w:r w:rsidR="007E0206">
        <w:t>s names and the names in Isaiah, the little girl’s name</w:t>
      </w:r>
      <w:r w:rsidR="000A08B8">
        <w:t xml:space="preserve"> </w:t>
      </w:r>
      <w:r w:rsidR="007E0206">
        <w:t xml:space="preserve">does not </w:t>
      </w:r>
      <w:r w:rsidR="000A08B8">
        <w:t xml:space="preserve">refer to the person to whom they are </w:t>
      </w:r>
      <w:r w:rsidR="007E0206">
        <w:t>attached. There is no reason to infer that Hosea and Gomer had no</w:t>
      </w:r>
      <w:r w:rsidR="00531D90">
        <w:t xml:space="preserve"> </w:t>
      </w:r>
      <w:r w:rsidR="00531D90">
        <w:lastRenderedPageBreak/>
        <w:t>compassion f</w:t>
      </w:r>
      <w:r w:rsidR="007E0206">
        <w:t>or their daughter. T</w:t>
      </w:r>
      <w:r w:rsidR="00531D90" w:rsidRPr="00531D90">
        <w:t>he verb “</w:t>
      </w:r>
      <w:r w:rsidR="007E0206">
        <w:t xml:space="preserve">it </w:t>
      </w:r>
      <w:r w:rsidR="00531D90" w:rsidRPr="00531D90">
        <w:t xml:space="preserve">is not </w:t>
      </w:r>
      <w:r w:rsidR="007E0206">
        <w:t>shown compassion” is feminine and</w:t>
      </w:r>
      <w:r w:rsidR="003B18B0">
        <w:t xml:space="preserve"> being a</w:t>
      </w:r>
      <w:r w:rsidR="00531D90">
        <w:t xml:space="preserve"> girl may have generated the feminin</w:t>
      </w:r>
      <w:r w:rsidR="007E0206">
        <w:t>e verb, but the country can again be the</w:t>
      </w:r>
      <w:r w:rsidR="003A7DA7">
        <w:t xml:space="preserve"> implicit subject</w:t>
      </w:r>
      <w:r w:rsidR="007E0206">
        <w:t>, as in. v. 2</w:t>
      </w:r>
      <w:r w:rsidR="003B18B0">
        <w:t>.</w:t>
      </w:r>
    </w:p>
    <w:p w:rsidR="003053AE" w:rsidRDefault="007E0206" w:rsidP="00CA1738">
      <w:r>
        <w:t>As happened with the first child</w:t>
      </w:r>
      <w:r w:rsidR="003053AE">
        <w:t>,</w:t>
      </w:r>
      <w:r>
        <w:t xml:space="preserve"> the</w:t>
      </w:r>
      <w:r w:rsidR="003A7DA7">
        <w:t xml:space="preserve"> explanation </w:t>
      </w:r>
      <w:r>
        <w:t xml:space="preserve">of the name </w:t>
      </w:r>
      <w:r w:rsidR="003A7DA7">
        <w:t>is then supplement</w:t>
      </w:r>
      <w:r w:rsidR="003053AE">
        <w:t>ed</w:t>
      </w:r>
      <w:r>
        <w:t xml:space="preserve">. </w:t>
      </w:r>
      <w:r w:rsidR="003C6B5B" w:rsidRPr="003C6B5B">
        <w:t>Whereas the expansion of the first child’s name denoted a threat, this</w:t>
      </w:r>
      <w:r w:rsidR="003C6B5B">
        <w:t xml:space="preserve"> time the expansion</w:t>
      </w:r>
      <w:r w:rsidR="003C6B5B" w:rsidRPr="003C6B5B">
        <w:t xml:space="preserve"> indicates that threat is not Yahweh’s last word. </w:t>
      </w:r>
      <w:r>
        <w:t>“</w:t>
      </w:r>
      <w:r w:rsidRPr="007E0206">
        <w:t>C</w:t>
      </w:r>
      <w:r w:rsidR="003053AE" w:rsidRPr="007E0206">
        <w:t>arry</w:t>
      </w:r>
      <w:r>
        <w:t>”</w:t>
      </w:r>
      <w:r w:rsidR="003053AE">
        <w:rPr>
          <w:i/>
        </w:rPr>
        <w:t xml:space="preserve"> </w:t>
      </w:r>
      <w:r w:rsidR="003053AE">
        <w:t>(</w:t>
      </w:r>
      <w:r w:rsidR="003053AE">
        <w:rPr>
          <w:i/>
        </w:rPr>
        <w:t>nasa’</w:t>
      </w:r>
      <w:r>
        <w:t>) translates</w:t>
      </w:r>
      <w:r w:rsidR="003053AE">
        <w:t xml:space="preserve"> the Hebr</w:t>
      </w:r>
      <w:r w:rsidR="00DF19EB">
        <w:t>ew verb most frequently render</w:t>
      </w:r>
      <w:r w:rsidR="003053AE">
        <w:t xml:space="preserve">ed </w:t>
      </w:r>
      <w:r w:rsidR="003A7DA7">
        <w:t>“</w:t>
      </w:r>
      <w:r w:rsidR="00DF0F7B">
        <w:t>forgive.” F</w:t>
      </w:r>
      <w:r w:rsidR="003053AE">
        <w:t>orgiveness means carry</w:t>
      </w:r>
      <w:r w:rsidR="006A707A">
        <w:t>ing</w:t>
      </w:r>
      <w:r w:rsidR="00DF0F7B">
        <w:t xml:space="preserve"> someone’s </w:t>
      </w:r>
      <w:r w:rsidR="00DF19EB">
        <w:t>waywardness</w:t>
      </w:r>
      <w:r>
        <w:t xml:space="preserve"> for them (cf. </w:t>
      </w:r>
      <w:r w:rsidR="00DF0F7B">
        <w:t>14:2 [3], where the noun appears</w:t>
      </w:r>
      <w:r>
        <w:t>)</w:t>
      </w:r>
      <w:r w:rsidR="00DF0F7B">
        <w:t>; the shorter formulation here (literally, “carry for them”) involves an ellipse. Forgiveness means accepting responsibility for someone’s waywardness</w:t>
      </w:r>
      <w:r w:rsidR="003053AE">
        <w:t xml:space="preserve"> and paying the price for it rathe</w:t>
      </w:r>
      <w:r w:rsidR="003C6B5B">
        <w:t>r than making them</w:t>
      </w:r>
      <w:r w:rsidR="003053AE">
        <w:t xml:space="preserve"> do s</w:t>
      </w:r>
      <w:r w:rsidR="003C6B5B">
        <w:t xml:space="preserve">o. </w:t>
      </w:r>
      <w:r w:rsidR="00DF19EB">
        <w:t>At Sinai Yahweh</w:t>
      </w:r>
      <w:r w:rsidR="003C6B5B" w:rsidRPr="003C6B5B">
        <w:t xml:space="preserve"> had characterized himself as one who is</w:t>
      </w:r>
      <w:r w:rsidR="003C6B5B">
        <w:t xml:space="preserve"> compassionate an</w:t>
      </w:r>
      <w:r w:rsidR="00DF19EB">
        <w:t>d who carries (Exod. 34:6-7), and here he declares that in the end he</w:t>
      </w:r>
      <w:r w:rsidR="003C6B5B">
        <w:t xml:space="preserve"> will i</w:t>
      </w:r>
      <w:r w:rsidR="00DF19EB">
        <w:t>ndeed carry Ephraim’s waywardness</w:t>
      </w:r>
      <w:r w:rsidR="003C6B5B">
        <w:t>;</w:t>
      </w:r>
      <w:r w:rsidR="0021006D">
        <w:t xml:space="preserve"> (cf. Tg)</w:t>
      </w:r>
      <w:r w:rsidR="00DF19EB">
        <w:t>. T</w:t>
      </w:r>
      <w:r w:rsidR="00EF25EC">
        <w:t xml:space="preserve">he </w:t>
      </w:r>
      <w:r w:rsidR="003C6B5B">
        <w:t>present abandonment of compassion</w:t>
      </w:r>
      <w:r w:rsidR="00EF25EC">
        <w:t xml:space="preserve"> is softened by the </w:t>
      </w:r>
      <w:r w:rsidR="006B2F81">
        <w:t>future</w:t>
      </w:r>
      <w:r w:rsidR="00827641">
        <w:t xml:space="preserve"> emphatic “will </w:t>
      </w:r>
      <w:r w:rsidR="003C6B5B">
        <w:t xml:space="preserve">definitely </w:t>
      </w:r>
      <w:r w:rsidR="00827641">
        <w:t>carry.”</w:t>
      </w:r>
    </w:p>
    <w:p w:rsidR="003053AE" w:rsidRDefault="003053AE" w:rsidP="00CA1738">
      <w:r>
        <w:t>Yahweh goes on t</w:t>
      </w:r>
      <w:r w:rsidR="006A707A">
        <w:t>o elaborate on the promise (v. 7</w:t>
      </w:r>
      <w:r>
        <w:t>)</w:t>
      </w:r>
      <w:r w:rsidR="006B2F81">
        <w:t>. In keeping with the reference to Judah in v. 1, c</w:t>
      </w:r>
      <w:r>
        <w:t xml:space="preserve">ompassion will </w:t>
      </w:r>
      <w:r w:rsidR="006B2F81">
        <w:t xml:space="preserve">also characterize his attitude to Judah. </w:t>
      </w:r>
      <w:r w:rsidR="00DF19EB">
        <w:t>Its</w:t>
      </w:r>
      <w:r w:rsidR="00774FEF">
        <w:t xml:space="preserve"> deliverance will come “through Yahweh</w:t>
      </w:r>
      <w:r w:rsidR="008B7AF1">
        <w:t>.” Such</w:t>
      </w:r>
      <w:r w:rsidR="001508DB">
        <w:t xml:space="preserve"> is the nature of “deliverance,” which by definition denotes something that human resources cannot bring about. It will be miraculous, in that</w:t>
      </w:r>
      <w:r w:rsidR="00827641">
        <w:t xml:space="preserve"> i</w:t>
      </w:r>
      <w:r w:rsidR="00F11E6A">
        <w:t>t will not merely involve</w:t>
      </w:r>
      <w:r w:rsidR="001508DB">
        <w:t xml:space="preserve"> Yahweh helping Judah to win a victory by </w:t>
      </w:r>
      <w:r w:rsidR="00827641">
        <w:t xml:space="preserve">military means. It will be more like the conquest of Jericho than the conquest of Ai. </w:t>
      </w:r>
      <w:r w:rsidR="00774FEF">
        <w:t xml:space="preserve">The declaration </w:t>
      </w:r>
      <w:r w:rsidR="001508DB">
        <w:t>will speak</w:t>
      </w:r>
      <w:r w:rsidR="008B7AF1">
        <w:t xml:space="preserve"> to Judahite issues in</w:t>
      </w:r>
      <w:r w:rsidR="00774FEF">
        <w:t xml:space="preserve"> the period </w:t>
      </w:r>
      <w:r w:rsidR="008B7AF1">
        <w:t>covered by the kings named in v. 1</w:t>
      </w:r>
      <w:r w:rsidR="00F11E6A">
        <w:t>,</w:t>
      </w:r>
      <w:r w:rsidR="001508DB">
        <w:t xml:space="preserve"> </w:t>
      </w:r>
      <w:r w:rsidR="008B7AF1">
        <w:t xml:space="preserve">especially </w:t>
      </w:r>
      <w:r w:rsidR="001508DB">
        <w:t>when Judah faces</w:t>
      </w:r>
      <w:r w:rsidR="00774FEF">
        <w:t xml:space="preserve"> </w:t>
      </w:r>
      <w:r w:rsidR="008B7AF1">
        <w:t>the same challenges</w:t>
      </w:r>
      <w:r w:rsidR="00F11E6A">
        <w:t xml:space="preserve"> as Ephraim</w:t>
      </w:r>
      <w:r w:rsidR="00774FEF">
        <w:t xml:space="preserve"> in the time of </w:t>
      </w:r>
      <w:r w:rsidR="008B7AF1">
        <w:t>Hezekiah</w:t>
      </w:r>
      <w:r w:rsidR="00774FEF">
        <w:t>.</w:t>
      </w:r>
      <w:r w:rsidR="003915CB">
        <w:t xml:space="preserve"> Isaiah 30—31 directly confronts the administration in Hezekiah’s day for policies that contrast w</w:t>
      </w:r>
      <w:r w:rsidR="008B7AF1">
        <w:t>ith ones implied here</w:t>
      </w:r>
      <w:r w:rsidR="00F54C1F">
        <w:t>, a</w:t>
      </w:r>
      <w:r w:rsidR="00827641">
        <w:t>nd the story in Isaiah 36—37 tells of a miraculous deliverance.</w:t>
      </w:r>
      <w:r w:rsidR="00F54C1F">
        <w:t xml:space="preserve"> </w:t>
      </w:r>
      <w:r w:rsidR="00F01EEC">
        <w:t>Bow and sword suggest long-range and close-combat</w:t>
      </w:r>
      <w:r w:rsidR="00F11E6A">
        <w:t>; horses and riders adds cavalry to infantry.</w:t>
      </w:r>
      <w:r w:rsidR="006F3A5B">
        <w:t xml:space="preserve"> There is no indication of whether the deliverance will be a response to Judah’s turning to Yahweh or an act of grace designed to elicit a response to Yahweh.</w:t>
      </w:r>
      <w:r w:rsidR="00D132C4">
        <w:t xml:space="preserve"> I</w:t>
      </w:r>
      <w:r w:rsidR="008B7AF1">
        <w:t xml:space="preserve">n addition, there is no </w:t>
      </w:r>
      <w:r w:rsidR="00D132C4">
        <w:t>reason why Ephraimites should not take the latter part of v. 7 as a promise for them, too.</w:t>
      </w:r>
    </w:p>
    <w:p w:rsidR="001C598F" w:rsidRDefault="001C598F" w:rsidP="00CA1738"/>
    <w:p w:rsidR="003915CB" w:rsidRDefault="00DA1BEF" w:rsidP="00CA1738">
      <w:r w:rsidRPr="00DA1BEF">
        <w:rPr>
          <w:b/>
        </w:rPr>
        <w:t>Hosea 1:</w:t>
      </w:r>
      <w:r w:rsidR="00D2453F" w:rsidRPr="00DA1BEF">
        <w:rPr>
          <w:b/>
        </w:rPr>
        <w:t>8-9</w:t>
      </w:r>
      <w:r w:rsidR="00D2453F">
        <w:t xml:space="preserve">. </w:t>
      </w:r>
      <w:r w:rsidR="008B47CA">
        <w:t>Gomer has her third baby (v. 8). Whereas she</w:t>
      </w:r>
      <w:r w:rsidR="003915CB">
        <w:t xml:space="preserve"> </w:t>
      </w:r>
      <w:r w:rsidR="00F11E6A">
        <w:t xml:space="preserve">apparently </w:t>
      </w:r>
      <w:r w:rsidR="008B47CA">
        <w:t>had</w:t>
      </w:r>
      <w:r w:rsidR="003915CB">
        <w:t xml:space="preserve"> her daughter not long after</w:t>
      </w:r>
      <w:r w:rsidR="00AC54C7">
        <w:t xml:space="preserve"> </w:t>
      </w:r>
      <w:r w:rsidR="00F11E6A">
        <w:t>her first son, her</w:t>
      </w:r>
      <w:r w:rsidR="003915CB">
        <w:t xml:space="preserve"> </w:t>
      </w:r>
      <w:r w:rsidR="00F11E6A">
        <w:t xml:space="preserve">third conception </w:t>
      </w:r>
      <w:r w:rsidR="001508DB">
        <w:t>followed the weaning of It-is-n</w:t>
      </w:r>
      <w:r w:rsidR="003915CB">
        <w:t xml:space="preserve">ot-compassioned; babies may be at the breast for several years in traditional societies, so this expression implies a greater time interval. </w:t>
      </w:r>
      <w:r w:rsidR="001508DB">
        <w:t>As</w:t>
      </w:r>
      <w:r w:rsidR="002C53C6">
        <w:t xml:space="preserve"> with her second baby, the text does not describe </w:t>
      </w:r>
      <w:r w:rsidR="003915CB">
        <w:t>Gomer</w:t>
      </w:r>
      <w:r w:rsidR="002C53C6">
        <w:t xml:space="preserve"> as giving birth to this son “for Hosea,” but it is again</w:t>
      </w:r>
      <w:r w:rsidR="00F11E6A">
        <w:t xml:space="preserve"> </w:t>
      </w:r>
      <w:r w:rsidR="002C53C6">
        <w:t>Yahweh who tells H</w:t>
      </w:r>
      <w:r w:rsidR="00F11E6A">
        <w:t>osea how to name the child</w:t>
      </w:r>
      <w:r w:rsidR="002C53C6">
        <w:t xml:space="preserve">. </w:t>
      </w:r>
    </w:p>
    <w:p w:rsidR="004A5B25" w:rsidRDefault="002C53C6" w:rsidP="00AC54C7">
      <w:r>
        <w:t>Each name is mo</w:t>
      </w:r>
      <w:r w:rsidR="00F11E6A">
        <w:t>re devastating than the last</w:t>
      </w:r>
      <w:r w:rsidR="00D132C4">
        <w:t xml:space="preserve"> (v. 9)</w:t>
      </w:r>
      <w:r w:rsidR="00F11E6A">
        <w:t>. “It-is-n</w:t>
      </w:r>
      <w:r>
        <w:t>ot-compassioned”</w:t>
      </w:r>
      <w:r w:rsidR="00950A55">
        <w:t xml:space="preserve"> was </w:t>
      </w:r>
      <w:r>
        <w:t>horrifyi</w:t>
      </w:r>
      <w:r w:rsidR="001508DB">
        <w:t>ng;</w:t>
      </w:r>
      <w:r>
        <w:t xml:space="preserve"> “Not-my-people” is </w:t>
      </w:r>
      <w:r w:rsidR="00F11E6A">
        <w:t xml:space="preserve">theologically </w:t>
      </w:r>
      <w:r>
        <w:t>devastati</w:t>
      </w:r>
      <w:r w:rsidR="00AC54C7">
        <w:t xml:space="preserve">ng. </w:t>
      </w:r>
      <w:r w:rsidR="00B42A99">
        <w:t>It is “the final disowning of them.”</w:t>
      </w:r>
      <w:r w:rsidR="00B42A99">
        <w:rPr>
          <w:rStyle w:val="FootnoteReference"/>
        </w:rPr>
        <w:footnoteReference w:id="64"/>
      </w:r>
      <w:r w:rsidR="00B42A99">
        <w:t xml:space="preserve"> </w:t>
      </w:r>
      <w:r w:rsidR="00AC54C7">
        <w:t xml:space="preserve">“My people—your God” is a recurrent and </w:t>
      </w:r>
      <w:r>
        <w:t>elemental description of the relationship between a god and his people</w:t>
      </w:r>
      <w:r w:rsidR="00AC54C7">
        <w:t xml:space="preserve"> (e.g., Ex</w:t>
      </w:r>
      <w:r w:rsidR="00E6276E">
        <w:t>od.</w:t>
      </w:r>
      <w:r w:rsidR="00AC54C7">
        <w:t xml:space="preserve"> 6:7; Lev</w:t>
      </w:r>
      <w:r w:rsidR="00E6276E">
        <w:t>.</w:t>
      </w:r>
      <w:r w:rsidR="00AC54C7">
        <w:t xml:space="preserve"> 26:12)</w:t>
      </w:r>
      <w:r>
        <w:t xml:space="preserve">. </w:t>
      </w:r>
      <w:r w:rsidR="00AC54C7">
        <w:t xml:space="preserve">It is </w:t>
      </w:r>
      <w:r w:rsidR="00AC54C7" w:rsidRPr="00AC54C7">
        <w:t>shocking to declare that</w:t>
      </w:r>
      <w:r w:rsidR="00372B61">
        <w:t xml:space="preserve"> the formula no longer applies</w:t>
      </w:r>
      <w:r w:rsidR="00D132C4">
        <w:t xml:space="preserve"> to Ephraim</w:t>
      </w:r>
      <w:r w:rsidR="00372B61">
        <w:t xml:space="preserve">. </w:t>
      </w:r>
      <w:r w:rsidR="009772BC" w:rsidRPr="009772BC">
        <w:t>“I’m not ‘I am’ for you” (or “I will not be for you”) recalls and reverses Yahweh’s “I will be/I am</w:t>
      </w:r>
      <w:r w:rsidR="009772BC">
        <w:t>” in Exodus</w:t>
      </w:r>
      <w:r w:rsidR="009772BC" w:rsidRPr="009772BC">
        <w:t xml:space="preserve"> 3:12, 14. </w:t>
      </w:r>
      <w:r w:rsidR="00372B61">
        <w:t>Hosea “becomes an anti-Moses” and declares that “the Exodus, and with it the entire prophetic vocation, is cancelled out.”</w:t>
      </w:r>
      <w:r w:rsidR="00372B61" w:rsidRPr="00372B61">
        <w:rPr>
          <w:vertAlign w:val="superscript"/>
        </w:rPr>
        <w:footnoteReference w:id="65"/>
      </w:r>
      <w:r w:rsidR="00372B61">
        <w:t xml:space="preserve"> </w:t>
      </w:r>
      <w:r w:rsidR="00AC54C7" w:rsidRPr="00AC54C7">
        <w:t>No other prophet uses such words. It is theologically as radical a statement as Amos 9:7.</w:t>
      </w:r>
      <w:r w:rsidR="004A5B25">
        <w:t xml:space="preserve"> </w:t>
      </w:r>
      <w:r w:rsidR="000B0BDB">
        <w:t>While t</w:t>
      </w:r>
      <w:r w:rsidR="00D132C4">
        <w:t>he phrase</w:t>
      </w:r>
      <w:r>
        <w:t xml:space="preserve"> </w:t>
      </w:r>
      <w:r w:rsidR="00D132C4">
        <w:t xml:space="preserve">may or may not </w:t>
      </w:r>
      <w:r>
        <w:t xml:space="preserve">have a background in </w:t>
      </w:r>
      <w:r w:rsidR="00950A55">
        <w:t xml:space="preserve">the mutual commitment of marriage, it </w:t>
      </w:r>
      <w:r w:rsidR="00D132C4">
        <w:t xml:space="preserve">anyway </w:t>
      </w:r>
      <w:r w:rsidR="00950A55">
        <w:t xml:space="preserve">recalls that </w:t>
      </w:r>
      <w:r w:rsidR="00D132C4">
        <w:t xml:space="preserve">relationship (cf. Song </w:t>
      </w:r>
      <w:r w:rsidR="00950A55">
        <w:t xml:space="preserve">2:16; 6:3), and that link is significant in the present context. </w:t>
      </w:r>
    </w:p>
    <w:p w:rsidR="001C598F" w:rsidRDefault="001C598F" w:rsidP="00CA1738"/>
    <w:p w:rsidR="002113EE" w:rsidRDefault="00DA1BEF" w:rsidP="00D2453F">
      <w:r w:rsidRPr="00DA1BEF">
        <w:rPr>
          <w:b/>
        </w:rPr>
        <w:t xml:space="preserve">Hosea </w:t>
      </w:r>
      <w:r w:rsidR="003D3C47">
        <w:rPr>
          <w:b/>
        </w:rPr>
        <w:t>1:10-11</w:t>
      </w:r>
      <w:r w:rsidR="000B0BDB">
        <w:rPr>
          <w:b/>
        </w:rPr>
        <w:t xml:space="preserve"> [2:1-2]</w:t>
      </w:r>
      <w:r w:rsidR="00D2453F" w:rsidRPr="00DA1BEF">
        <w:rPr>
          <w:b/>
        </w:rPr>
        <w:t>.</w:t>
      </w:r>
      <w:r w:rsidR="00D2453F" w:rsidRPr="00D2453F">
        <w:t xml:space="preserve"> </w:t>
      </w:r>
      <w:r w:rsidR="000B0BDB">
        <w:t>It is as well</w:t>
      </w:r>
      <w:r w:rsidR="00395374">
        <w:t xml:space="preserve"> that the </w:t>
      </w:r>
      <w:r w:rsidR="00E6276E">
        <w:t xml:space="preserve">subsequent </w:t>
      </w:r>
      <w:r w:rsidR="00395374">
        <w:t>promise</w:t>
      </w:r>
      <w:r w:rsidR="001F1C58">
        <w:t>s</w:t>
      </w:r>
      <w:r w:rsidR="00E6276E">
        <w:t xml:space="preserve"> </w:t>
      </w:r>
      <w:r w:rsidR="001F1C58">
        <w:t>are</w:t>
      </w:r>
      <w:r w:rsidR="00395374">
        <w:t xml:space="preserve"> also more extravagant than the prophecies that follow the first two namings. </w:t>
      </w:r>
      <w:r w:rsidR="00B42F3D" w:rsidRPr="00B42F3D">
        <w:t xml:space="preserve">The promises are threefold and comprise two or three or separate prophecies. </w:t>
      </w:r>
      <w:r w:rsidR="003D3C47">
        <w:t>Unlike Amos, Hosea doesn’</w:t>
      </w:r>
      <w:r w:rsidR="00E740E9">
        <w:t>t appeal t</w:t>
      </w:r>
      <w:r w:rsidR="002113EE">
        <w:t>o Yahweh not to act in judgment.</w:t>
      </w:r>
      <w:r w:rsidR="00E740E9">
        <w:rPr>
          <w:rStyle w:val="FootnoteReference"/>
        </w:rPr>
        <w:footnoteReference w:id="66"/>
      </w:r>
      <w:r w:rsidR="005E07D9">
        <w:t xml:space="preserve"> </w:t>
      </w:r>
      <w:r w:rsidR="000B0BDB">
        <w:t xml:space="preserve">In its </w:t>
      </w:r>
      <w:r w:rsidR="000B0BDB">
        <w:lastRenderedPageBreak/>
        <w:t>extensive exposition of Hosea 1—2</w:t>
      </w:r>
      <w:r w:rsidR="002113EE">
        <w:t>,</w:t>
      </w:r>
      <w:r w:rsidR="000B0BDB">
        <w:t xml:space="preserve"> </w:t>
      </w:r>
      <w:r w:rsidR="002113EE">
        <w:t>b. Pesahim 87</w:t>
      </w:r>
      <w:r w:rsidR="005E07D9">
        <w:t xml:space="preserve"> has Yahweh urging him to do so, then has Yahweh agreeing—hence these promises that follow.</w:t>
      </w:r>
      <w:r w:rsidR="00E740E9">
        <w:t xml:space="preserve"> </w:t>
      </w:r>
      <w:r w:rsidR="002113EE">
        <w:t>T</w:t>
      </w:r>
      <w:r w:rsidR="00875F4A">
        <w:t>ypical</w:t>
      </w:r>
      <w:r w:rsidR="002113EE">
        <w:t>ly of prophetic promises, these promises</w:t>
      </w:r>
      <w:r w:rsidR="00875F4A">
        <w:t xml:space="preserve"> take up Yahweh’s f</w:t>
      </w:r>
      <w:r w:rsidR="002113EE">
        <w:t>undamental and historic undertakings</w:t>
      </w:r>
      <w:r w:rsidR="00875F4A">
        <w:t xml:space="preserve"> and reaffi</w:t>
      </w:r>
      <w:r w:rsidR="007F602F">
        <w:t>r</w:t>
      </w:r>
      <w:r w:rsidR="002113EE">
        <w:t>m them in this new situation</w:t>
      </w:r>
      <w:r w:rsidR="00D2453F">
        <w:t xml:space="preserve">. </w:t>
      </w:r>
    </w:p>
    <w:p w:rsidR="00A52DA3" w:rsidRDefault="00CB07AD" w:rsidP="00D2453F">
      <w:r>
        <w:t xml:space="preserve">The </w:t>
      </w:r>
      <w:r w:rsidR="00F8299F">
        <w:t xml:space="preserve">image of being </w:t>
      </w:r>
      <w:r w:rsidR="00875F4A">
        <w:t xml:space="preserve">as numerous as the sand of the sea </w:t>
      </w:r>
      <w:r w:rsidR="002113EE">
        <w:t>(v. 10a [2:1a]</w:t>
      </w:r>
      <w:r w:rsidR="00F8299F">
        <w:t>is well-known</w:t>
      </w:r>
      <w:r w:rsidR="003D3C47">
        <w:t xml:space="preserve">; specifically, it is </w:t>
      </w:r>
      <w:r w:rsidR="003D3C47" w:rsidRPr="003D3C47">
        <w:t>an image for the size of an army (Jos</w:t>
      </w:r>
      <w:r w:rsidR="003D3C47">
        <w:t>h.</w:t>
      </w:r>
      <w:r w:rsidR="003D3C47" w:rsidRPr="003D3C47">
        <w:t xml:space="preserve"> 11:4; Judg</w:t>
      </w:r>
      <w:r w:rsidR="003D3C47">
        <w:t>.</w:t>
      </w:r>
      <w:r w:rsidR="003D3C47" w:rsidRPr="003D3C47">
        <w:t xml:space="preserve"> 7:12; 1 Sam</w:t>
      </w:r>
      <w:r w:rsidR="003D3C47">
        <w:t>.</w:t>
      </w:r>
      <w:r w:rsidR="003D3C47" w:rsidRPr="003D3C47">
        <w:t xml:space="preserve"> 13:5; 2 Sam</w:t>
      </w:r>
      <w:r w:rsidR="003D3C47">
        <w:t>.</w:t>
      </w:r>
      <w:r w:rsidR="003D3C47" w:rsidRPr="003D3C47">
        <w:t xml:space="preserve"> 17:11).</w:t>
      </w:r>
      <w:r w:rsidR="003D3C47">
        <w:t xml:space="preserve"> While</w:t>
      </w:r>
      <w:r w:rsidR="003D3C47" w:rsidRPr="003D3C47">
        <w:t xml:space="preserve"> “Israelites” in the present context </w:t>
      </w:r>
      <w:r w:rsidR="003D3C47">
        <w:t>implies</w:t>
      </w:r>
      <w:r w:rsidR="003D3C47" w:rsidRPr="003D3C47">
        <w:t xml:space="preserve"> Ephraimites (cf. vv. 1, 4, 6, 11</w:t>
      </w:r>
      <w:r w:rsidR="002113EE">
        <w:t xml:space="preserve"> [2:1]</w:t>
      </w:r>
      <w:r w:rsidR="003D3C47" w:rsidRPr="003D3C47">
        <w:t>)</w:t>
      </w:r>
      <w:r w:rsidR="003D3C47">
        <w:t>,</w:t>
      </w:r>
      <w:r>
        <w:t xml:space="preserve"> </w:t>
      </w:r>
      <w:r w:rsidR="00F8299F">
        <w:t xml:space="preserve">as a promise about Israel’s descendants </w:t>
      </w:r>
      <w:r>
        <w:t xml:space="preserve">it gains further purchase from its association with </w:t>
      </w:r>
      <w:r w:rsidRPr="00CB07AD">
        <w:t xml:space="preserve">Yahweh’s </w:t>
      </w:r>
      <w:r>
        <w:t xml:space="preserve">promise </w:t>
      </w:r>
      <w:r w:rsidRPr="00CB07AD">
        <w:t xml:space="preserve">to Israel’s ancestors </w:t>
      </w:r>
      <w:r w:rsidR="00875F4A">
        <w:t>(Gen</w:t>
      </w:r>
      <w:r w:rsidR="003D3C47">
        <w:t>.</w:t>
      </w:r>
      <w:r w:rsidR="00875F4A">
        <w:t xml:space="preserve"> 22:17; 32:12</w:t>
      </w:r>
      <w:r w:rsidR="002113EE">
        <w:t>). That promise had been</w:t>
      </w:r>
      <w:r w:rsidR="002A01A7">
        <w:t xml:space="preserve"> fulfilled in Solomon’s time</w:t>
      </w:r>
      <w:r w:rsidR="00875F4A">
        <w:t xml:space="preserve"> </w:t>
      </w:r>
      <w:r>
        <w:t>(</w:t>
      </w:r>
      <w:r w:rsidR="00875F4A">
        <w:t>1 K</w:t>
      </w:r>
      <w:r w:rsidR="00D06435">
        <w:t>in</w:t>
      </w:r>
      <w:r w:rsidR="00875F4A">
        <w:t>gs 4:20</w:t>
      </w:r>
      <w:r w:rsidR="00F8299F">
        <w:t>)</w:t>
      </w:r>
      <w:r w:rsidR="003D3C47">
        <w:t xml:space="preserve"> but </w:t>
      </w:r>
      <w:r w:rsidR="002A01A7">
        <w:t xml:space="preserve">it’s </w:t>
      </w:r>
      <w:r w:rsidR="003D3C47">
        <w:t xml:space="preserve">now </w:t>
      </w:r>
      <w:r w:rsidR="002A01A7">
        <w:t xml:space="preserve">been </w:t>
      </w:r>
      <w:r w:rsidR="003D3C47">
        <w:t>reversed</w:t>
      </w:r>
      <w:r w:rsidR="002A01A7">
        <w:t>, as</w:t>
      </w:r>
      <w:r w:rsidR="00F8299F">
        <w:t xml:space="preserve"> </w:t>
      </w:r>
      <w:r w:rsidR="003B5521">
        <w:t xml:space="preserve">Isaiah </w:t>
      </w:r>
      <w:r w:rsidR="00F8299F">
        <w:t>notes</w:t>
      </w:r>
      <w:r w:rsidR="002A01A7">
        <w:t xml:space="preserve"> </w:t>
      </w:r>
      <w:r w:rsidR="003D3C47">
        <w:t>it</w:t>
      </w:r>
      <w:r w:rsidR="002A01A7">
        <w:t xml:space="preserve"> can be</w:t>
      </w:r>
      <w:r w:rsidR="00875F4A">
        <w:t xml:space="preserve"> (Isa</w:t>
      </w:r>
      <w:r w:rsidR="003D3C47">
        <w:t>.</w:t>
      </w:r>
      <w:r w:rsidR="00875F4A">
        <w:t xml:space="preserve"> 10:22; cf. 48:19).</w:t>
      </w:r>
      <w:r w:rsidR="004A715C">
        <w:t xml:space="preserve"> </w:t>
      </w:r>
      <w:r w:rsidR="002A01A7">
        <w:t>But i</w:t>
      </w:r>
      <w:r w:rsidR="003D3C47" w:rsidRPr="003D3C47">
        <w:t>f v. 9 revers</w:t>
      </w:r>
      <w:r w:rsidR="002A01A7">
        <w:t>es the exodus,</w:t>
      </w:r>
      <w:r w:rsidR="003D3C47">
        <w:t xml:space="preserve"> </w:t>
      </w:r>
      <w:r w:rsidR="003D3C47" w:rsidRPr="003D3C47">
        <w:t>v. 10a goes behind it to the ancestors.</w:t>
      </w:r>
      <w:r w:rsidR="00F8299F">
        <w:t xml:space="preserve"> </w:t>
      </w:r>
    </w:p>
    <w:p w:rsidR="003B5521" w:rsidRDefault="00F8299F" w:rsidP="00D2453F">
      <w:r>
        <w:t>Yahweh</w:t>
      </w:r>
      <w:r w:rsidR="003B5521">
        <w:t xml:space="preserve"> goes on </w:t>
      </w:r>
      <w:r w:rsidR="002A01A7">
        <w:t>(v. 10b</w:t>
      </w:r>
      <w:r w:rsidR="002113EE">
        <w:t xml:space="preserve"> [2:1b]</w:t>
      </w:r>
      <w:r w:rsidR="00DA1BEF">
        <w:t xml:space="preserve">) </w:t>
      </w:r>
      <w:r>
        <w:t>to reverse</w:t>
      </w:r>
      <w:r w:rsidR="003B5521">
        <w:t xml:space="preserve"> the “not my people” declaration</w:t>
      </w:r>
      <w:r w:rsidR="002A01A7">
        <w:t>. The worship “site” where his declaration was being made</w:t>
      </w:r>
      <w:r>
        <w:t xml:space="preserve"> would </w:t>
      </w:r>
      <w:r w:rsidR="00823984">
        <w:t xml:space="preserve">presumably </w:t>
      </w:r>
      <w:r>
        <w:t xml:space="preserve">be </w:t>
      </w:r>
      <w:r w:rsidR="00823984">
        <w:t>t</w:t>
      </w:r>
      <w:r w:rsidR="0037404B">
        <w:t xml:space="preserve">he </w:t>
      </w:r>
      <w:r w:rsidR="002A01A7">
        <w:t>sanctuary courtyard</w:t>
      </w:r>
      <w:r w:rsidR="00823984">
        <w:t>; compare the scene at Beth</w:t>
      </w:r>
      <w:r w:rsidR="00104FB8">
        <w:t>-</w:t>
      </w:r>
      <w:r w:rsidR="00823984">
        <w:t>el in A</w:t>
      </w:r>
      <w:r w:rsidR="00DE5B7C">
        <w:t>mos 7:10-1</w:t>
      </w:r>
      <w:r w:rsidR="002A01A7">
        <w:t xml:space="preserve">7 or the </w:t>
      </w:r>
      <w:r w:rsidR="00DE5B7C">
        <w:t xml:space="preserve">similar </w:t>
      </w:r>
      <w:r w:rsidR="00823984">
        <w:t xml:space="preserve">scenes in </w:t>
      </w:r>
      <w:r w:rsidR="00DE5B7C">
        <w:t xml:space="preserve">Jerusalem in </w:t>
      </w:r>
      <w:r w:rsidR="00823984">
        <w:t>Jerem</w:t>
      </w:r>
      <w:r w:rsidR="00DE5B7C">
        <w:t xml:space="preserve">iah and in </w:t>
      </w:r>
      <w:r w:rsidR="0081702C">
        <w:t xml:space="preserve">Jesus’s </w:t>
      </w:r>
      <w:r w:rsidR="00DE5B7C">
        <w:t xml:space="preserve"> story. At this</w:t>
      </w:r>
      <w:r w:rsidR="00823984">
        <w:t xml:space="preserve"> place of rejection Yahweh will reaffirm his commitment. </w:t>
      </w:r>
      <w:r w:rsidR="00CB07AD">
        <w:t>The people will no longer be “children of whoredom” (1:2)</w:t>
      </w:r>
      <w:r w:rsidR="00DE5B7C">
        <w:t xml:space="preserve"> but children of God again. Hosea nuances </w:t>
      </w:r>
      <w:r w:rsidR="003B5521">
        <w:t xml:space="preserve">the </w:t>
      </w:r>
      <w:r w:rsidR="00DE5B7C">
        <w:t xml:space="preserve">promise’s </w:t>
      </w:r>
      <w:r w:rsidR="003B5521">
        <w:t>wording by describing Yahweh as “the living God.” The pa</w:t>
      </w:r>
      <w:r w:rsidR="00DE5B7C">
        <w:t>rticular formulation</w:t>
      </w:r>
      <w:r w:rsidR="003B5521">
        <w:t xml:space="preserve"> (</w:t>
      </w:r>
      <w:r w:rsidR="004A715C" w:rsidRPr="00823984">
        <w:rPr>
          <w:i/>
        </w:rPr>
        <w:t>’ēl ḥay</w:t>
      </w:r>
      <w:r w:rsidR="004A715C">
        <w:t>) corresponds only to Josh</w:t>
      </w:r>
      <w:r w:rsidR="002A01A7">
        <w:t>ua</w:t>
      </w:r>
      <w:r w:rsidR="004A715C">
        <w:t xml:space="preserve"> 3:10; Ps</w:t>
      </w:r>
      <w:r w:rsidR="002A01A7">
        <w:t>alm</w:t>
      </w:r>
      <w:r w:rsidR="004A715C">
        <w:t>s 42:2[3]; 84:2[3], though whatever the precise form, the expression suggests that Yahweh is active and dynamic, and perhaps a different kind of deity from</w:t>
      </w:r>
      <w:r w:rsidR="00823984">
        <w:t xml:space="preserve"> the Master, who died each year, whom people worshipped at the sanctuary or to whom they assimilated Yahweh in their thinking there.</w:t>
      </w:r>
    </w:p>
    <w:p w:rsidR="00DE5B7C" w:rsidRDefault="004A715C" w:rsidP="00D2453F">
      <w:r>
        <w:t>T</w:t>
      </w:r>
      <w:r w:rsidR="00DE5B7C">
        <w:t>hird</w:t>
      </w:r>
      <w:r w:rsidR="002A01A7">
        <w:t xml:space="preserve"> </w:t>
      </w:r>
      <w:r w:rsidR="002113EE">
        <w:t xml:space="preserve">promise </w:t>
      </w:r>
      <w:r w:rsidR="002113EE" w:rsidRPr="002113EE">
        <w:t>(v. 11</w:t>
      </w:r>
      <w:r w:rsidR="006C074C">
        <w:t>a</w:t>
      </w:r>
      <w:r w:rsidR="002113EE">
        <w:t xml:space="preserve"> [2:2</w:t>
      </w:r>
      <w:r w:rsidR="006C074C">
        <w:t>a</w:t>
      </w:r>
      <w:r w:rsidR="002113EE">
        <w:t>]</w:t>
      </w:r>
      <w:r w:rsidR="002113EE" w:rsidRPr="002113EE">
        <w:t xml:space="preserve">) </w:t>
      </w:r>
      <w:r w:rsidR="002113EE">
        <w:t xml:space="preserve">is that </w:t>
      </w:r>
      <w:r w:rsidR="00D2453F">
        <w:t>t</w:t>
      </w:r>
      <w:r w:rsidR="002113EE">
        <w:t>he division going</w:t>
      </w:r>
      <w:r w:rsidR="00DE5B7C">
        <w:t xml:space="preserve"> back to</w:t>
      </w:r>
      <w:r>
        <w:t xml:space="preserve"> the time of Jeroboam </w:t>
      </w:r>
      <w:r w:rsidR="00DE5B7C">
        <w:t xml:space="preserve">I </w:t>
      </w:r>
      <w:r>
        <w:t>an</w:t>
      </w:r>
      <w:r w:rsidR="00D2453F">
        <w:t>d Rehoboam will come to an end</w:t>
      </w:r>
      <w:r w:rsidR="00376423">
        <w:t xml:space="preserve">. </w:t>
      </w:r>
      <w:r w:rsidR="00DE5B7C">
        <w:t>“Head”</w:t>
      </w:r>
      <w:r w:rsidR="00E96345">
        <w:t xml:space="preserve"> is most often a familial term, but in this context </w:t>
      </w:r>
      <w:r w:rsidR="00DE5B7C">
        <w:t xml:space="preserve">it </w:t>
      </w:r>
      <w:r w:rsidR="002113EE">
        <w:t>may denote</w:t>
      </w:r>
      <w:r w:rsidR="00E96345">
        <w:t xml:space="preserve"> a head priest</w:t>
      </w:r>
      <w:r w:rsidR="002113EE">
        <w:t xml:space="preserve"> (</w:t>
      </w:r>
      <w:r w:rsidR="00E96345">
        <w:t xml:space="preserve">“chief priest” is more literally “head priest”). While the head priest needs to be an Aaronide, as the king needs to be a Davidide, in neither case is there a </w:t>
      </w:r>
      <w:r w:rsidR="004A5B25">
        <w:t>rule about (e.g.) primogeniture</w:t>
      </w:r>
      <w:r w:rsidR="00E96345">
        <w:t xml:space="preserve">. So </w:t>
      </w:r>
      <w:r w:rsidR="002113EE">
        <w:t xml:space="preserve">within the relevant </w:t>
      </w:r>
      <w:r w:rsidR="006E6705">
        <w:t>parameters the two peoples can</w:t>
      </w:r>
      <w:r w:rsidR="00E96345">
        <w:t xml:space="preserve"> appoint </w:t>
      </w:r>
      <w:r w:rsidR="006E6705">
        <w:t>a head who w</w:t>
      </w:r>
      <w:r w:rsidR="000B12C7">
        <w:t xml:space="preserve">ill lead them when they </w:t>
      </w:r>
      <w:r w:rsidR="00954F87" w:rsidRPr="00954F87">
        <w:t>“go up” to a festival “from the country</w:t>
      </w:r>
      <w:r w:rsidR="002102FC">
        <w:t>,”</w:t>
      </w:r>
      <w:r w:rsidR="00954F87" w:rsidRPr="00954F87">
        <w:t xml:space="preserve"> </w:t>
      </w:r>
      <w:r w:rsidR="000B12C7">
        <w:t>the entire country:</w:t>
      </w:r>
      <w:r w:rsidR="00DC5F5F">
        <w:rPr>
          <w:rStyle w:val="FootnoteReference"/>
        </w:rPr>
        <w:footnoteReference w:id="67"/>
      </w:r>
      <w:r w:rsidR="000B12C7">
        <w:t xml:space="preserve"> t</w:t>
      </w:r>
      <w:r w:rsidR="00DE5B7C">
        <w:t xml:space="preserve">hey will now </w:t>
      </w:r>
      <w:r w:rsidR="002113EE">
        <w:t xml:space="preserve">go </w:t>
      </w:r>
      <w:r w:rsidR="006E6705">
        <w:t>together to J</w:t>
      </w:r>
      <w:r w:rsidR="000B12C7">
        <w:t>erusalem, even if the people continue</w:t>
      </w:r>
      <w:r w:rsidR="00C03F7D">
        <w:t xml:space="preserve"> to use sanctuaries</w:t>
      </w:r>
      <w:r w:rsidR="00296B00">
        <w:t xml:space="preserve"> such as </w:t>
      </w:r>
      <w:r w:rsidR="006E6705">
        <w:t>Beth</w:t>
      </w:r>
      <w:r w:rsidR="00104FB8">
        <w:t>-</w:t>
      </w:r>
      <w:r w:rsidR="00296B00">
        <w:t>el</w:t>
      </w:r>
      <w:r w:rsidR="006E6705">
        <w:t xml:space="preserve"> an</w:t>
      </w:r>
      <w:r w:rsidR="00DC5F5F">
        <w:t>d Beer</w:t>
      </w:r>
      <w:r w:rsidR="00104FB8">
        <w:t>-</w:t>
      </w:r>
      <w:r w:rsidR="00DC5F5F">
        <w:t>sheba on other occasions.</w:t>
      </w:r>
      <w:r w:rsidR="00376423">
        <w:t xml:space="preserve"> </w:t>
      </w:r>
      <w:r w:rsidR="00800B3A" w:rsidRPr="00800B3A">
        <w:t>The implicit assurance to Ephraimites that they will be able to revert to their commitment to Jerusalem carries an implicit insistence that they must do so. “Collect” with the reinforcing adverb “together” also constrain</w:t>
      </w:r>
      <w:r w:rsidR="00800B3A">
        <w:t>s</w:t>
      </w:r>
      <w:r w:rsidR="00800B3A" w:rsidRPr="00800B3A">
        <w:t xml:space="preserve"> Judahites from thinking that they can write off Ephraim. Neither nation is complete without the other. It is together that they are the people of Yahweh.</w:t>
      </w:r>
    </w:p>
    <w:p w:rsidR="00652254" w:rsidRDefault="000B12C7" w:rsidP="00D2453F">
      <w:r>
        <w:t>Thus</w:t>
      </w:r>
      <w:r w:rsidR="00FC4B6F">
        <w:t xml:space="preserve"> “the day of </w:t>
      </w:r>
      <w:r w:rsidR="00800B3A">
        <w:t xml:space="preserve">Jezreel </w:t>
      </w:r>
      <w:r w:rsidR="006C074C">
        <w:t>will be great</w:t>
      </w:r>
      <w:r w:rsidR="00472094">
        <w:t xml:space="preserve">” </w:t>
      </w:r>
      <w:r w:rsidR="006C074C" w:rsidRPr="006C074C">
        <w:t>(v. 11</w:t>
      </w:r>
      <w:r w:rsidR="006C074C">
        <w:t>b</w:t>
      </w:r>
      <w:r w:rsidR="006C074C" w:rsidRPr="006C074C">
        <w:t xml:space="preserve"> [2:2</w:t>
      </w:r>
      <w:r w:rsidR="006C074C">
        <w:t>b</w:t>
      </w:r>
      <w:r w:rsidR="006C074C" w:rsidRPr="006C074C">
        <w:t xml:space="preserve">]) </w:t>
      </w:r>
      <w:r w:rsidR="00472094">
        <w:t>A moment</w:t>
      </w:r>
      <w:r w:rsidR="00FC4B6F">
        <w:t xml:space="preserve"> </w:t>
      </w:r>
      <w:r w:rsidR="00F048DC">
        <w:t xml:space="preserve">ago </w:t>
      </w:r>
      <w:r w:rsidR="00FC4B6F">
        <w:t xml:space="preserve">talk of </w:t>
      </w:r>
      <w:r w:rsidR="00652254">
        <w:t xml:space="preserve">Jezreel </w:t>
      </w:r>
      <w:r w:rsidR="00FC4B6F">
        <w:t>was threatening</w:t>
      </w:r>
      <w:r w:rsidR="00472094">
        <w:t>, but now it’</w:t>
      </w:r>
      <w:r w:rsidR="00F048DC">
        <w:t>s re</w:t>
      </w:r>
      <w:r w:rsidR="00472094">
        <w:t>assuring. P</w:t>
      </w:r>
      <w:r w:rsidR="00F048DC">
        <w:t xml:space="preserve">eople hearing the prophecy would </w:t>
      </w:r>
      <w:r w:rsidR="00472094">
        <w:t xml:space="preserve">now </w:t>
      </w:r>
      <w:r w:rsidR="00DF6A2C">
        <w:t xml:space="preserve">be able to </w:t>
      </w:r>
      <w:r w:rsidR="00472094">
        <w:t>remember</w:t>
      </w:r>
      <w:r w:rsidR="00F048DC">
        <w:t xml:space="preserve"> that </w:t>
      </w:r>
      <w:r w:rsidR="00800B3A">
        <w:t>Jezreel</w:t>
      </w:r>
      <w:r w:rsidR="00652254" w:rsidRPr="00652254">
        <w:t xml:space="preserve"> </w:t>
      </w:r>
      <w:r w:rsidR="00800B3A">
        <w:t>does suggest</w:t>
      </w:r>
      <w:r w:rsidR="00DF6A2C">
        <w:t xml:space="preserve"> “God sows</w:t>
      </w:r>
      <w:r w:rsidR="00472094">
        <w:t xml:space="preserve">.” </w:t>
      </w:r>
      <w:r w:rsidR="00800B3A">
        <w:t xml:space="preserve">The description </w:t>
      </w:r>
      <w:r w:rsidR="00800B3A" w:rsidRPr="00800B3A">
        <w:t>ought to apply to this fertile vale</w:t>
      </w:r>
      <w:r w:rsidR="00800B3A">
        <w:t xml:space="preserve"> (t</w:t>
      </w:r>
      <w:r w:rsidR="00DF6A2C">
        <w:t xml:space="preserve">he </w:t>
      </w:r>
      <w:r w:rsidR="00472094">
        <w:t>point</w:t>
      </w:r>
      <w:r w:rsidR="00652254">
        <w:t xml:space="preserve"> will be taken further</w:t>
      </w:r>
      <w:r w:rsidR="00800B3A">
        <w:t xml:space="preserve"> in 2:21-22 [23-24])</w:t>
      </w:r>
      <w:r w:rsidR="00836281">
        <w:t>.</w:t>
      </w:r>
      <w:r w:rsidR="00DF6A2C">
        <w:t xml:space="preserve"> </w:t>
      </w:r>
      <w:r w:rsidR="00800B3A">
        <w:t>They might</w:t>
      </w:r>
      <w:r w:rsidR="00800B3A" w:rsidRPr="00800B3A">
        <w:t xml:space="preserve"> also note that Yizrə‘ē’l and Yiśrā’ēl are verbally close and pick up a hint that the day of Israel will be great. No, Yahweh is not finished with Ephraim.</w:t>
      </w:r>
    </w:p>
    <w:p w:rsidR="001F1C58" w:rsidRDefault="001F1C58" w:rsidP="00D2453F"/>
    <w:p w:rsidR="007B152F" w:rsidRDefault="00DA1BEF" w:rsidP="00D2453F">
      <w:r w:rsidRPr="00DA1BEF">
        <w:rPr>
          <w:b/>
        </w:rPr>
        <w:t xml:space="preserve">Hosea </w:t>
      </w:r>
      <w:r w:rsidR="00472094">
        <w:rPr>
          <w:b/>
        </w:rPr>
        <w:t>2:1</w:t>
      </w:r>
      <w:r w:rsidR="00800B3A">
        <w:rPr>
          <w:b/>
        </w:rPr>
        <w:t xml:space="preserve"> [3]</w:t>
      </w:r>
      <w:r w:rsidR="00D2453F" w:rsidRPr="00DA1BEF">
        <w:rPr>
          <w:b/>
        </w:rPr>
        <w:t>.</w:t>
      </w:r>
      <w:r w:rsidR="00D2453F">
        <w:t xml:space="preserve"> </w:t>
      </w:r>
      <w:r w:rsidR="00472094" w:rsidRPr="00472094">
        <w:t>This imperative constitutes the direct instruction about the appropriate response to the s</w:t>
      </w:r>
      <w:r w:rsidR="00472094">
        <w:t>ection it concludes</w:t>
      </w:r>
      <w:r w:rsidR="00472094" w:rsidRPr="00472094">
        <w:t xml:space="preserve"> </w:t>
      </w:r>
      <w:r w:rsidR="00472094">
        <w:t>(like Isa.</w:t>
      </w:r>
      <w:r w:rsidR="00800B3A">
        <w:t xml:space="preserve"> 2:5 concluding 1:2—2:4 or </w:t>
      </w:r>
      <w:r w:rsidR="00472094">
        <w:t xml:space="preserve">52:11-12 concluding </w:t>
      </w:r>
      <w:r w:rsidR="00472094" w:rsidRPr="00472094">
        <w:t>51:1—52:10</w:t>
      </w:r>
      <w:r w:rsidR="00472094">
        <w:t>). It drives the message home. It is also implicitly</w:t>
      </w:r>
      <w:r w:rsidR="001F1C58">
        <w:t xml:space="preserve"> a f</w:t>
      </w:r>
      <w:r w:rsidR="007B152F">
        <w:t>urther promise, taking</w:t>
      </w:r>
      <w:r w:rsidR="00472094">
        <w:t xml:space="preserve"> up the note </w:t>
      </w:r>
      <w:r w:rsidR="00652254">
        <w:t>missing so far in the</w:t>
      </w:r>
      <w:r w:rsidR="00703AB0">
        <w:t xml:space="preserve"> reversing o</w:t>
      </w:r>
      <w:r w:rsidR="00800B3A">
        <w:t>f Hosea’s threats. Jezreel (1:4-5) came in 1:</w:t>
      </w:r>
      <w:r w:rsidR="00703AB0">
        <w:t>11</w:t>
      </w:r>
      <w:r w:rsidR="00800B3A">
        <w:t xml:space="preserve"> [2:2]</w:t>
      </w:r>
      <w:r w:rsidR="00652254">
        <w:t xml:space="preserve">; not my </w:t>
      </w:r>
      <w:r w:rsidR="00703AB0">
        <w:t xml:space="preserve">people </w:t>
      </w:r>
      <w:r w:rsidR="00800B3A">
        <w:t>(1:</w:t>
      </w:r>
      <w:r w:rsidR="00652254">
        <w:t xml:space="preserve">9) </w:t>
      </w:r>
      <w:r w:rsidR="00800B3A">
        <w:t>in 1:</w:t>
      </w:r>
      <w:r w:rsidR="00703AB0">
        <w:t>10</w:t>
      </w:r>
      <w:r w:rsidR="00800B3A">
        <w:t xml:space="preserve"> [2:1]</w:t>
      </w:r>
      <w:r w:rsidR="00652254">
        <w:t xml:space="preserve">. What about “not </w:t>
      </w:r>
      <w:r w:rsidR="006A6CF3">
        <w:t>shown compassion” (1:</w:t>
      </w:r>
      <w:r w:rsidR="00652254">
        <w:t>6)?</w:t>
      </w:r>
      <w:r w:rsidR="00E85BC2">
        <w:t xml:space="preserve"> </w:t>
      </w:r>
      <w:r w:rsidR="0003053D">
        <w:t>To make more worrying the omission so far of this reversal, the word has been used in a positive way with rega</w:t>
      </w:r>
      <w:r w:rsidR="006A6CF3">
        <w:t>rd to Judah (1:</w:t>
      </w:r>
      <w:r w:rsidR="00652254">
        <w:t xml:space="preserve">7). Will it ever </w:t>
      </w:r>
      <w:r w:rsidR="0003053D">
        <w:t xml:space="preserve">apply </w:t>
      </w:r>
      <w:r w:rsidR="00652254">
        <w:t xml:space="preserve">again </w:t>
      </w:r>
      <w:r w:rsidR="0003053D">
        <w:t xml:space="preserve">to Ephraim? </w:t>
      </w:r>
    </w:p>
    <w:p w:rsidR="00A77007" w:rsidRDefault="00E85BC2" w:rsidP="00D2453F">
      <w:r>
        <w:t>The verb</w:t>
      </w:r>
      <w:r w:rsidR="0003053D">
        <w:t xml:space="preserve"> and the suffixes are plural. </w:t>
      </w:r>
      <w:r>
        <w:t xml:space="preserve">Hosea and/or Yahweh are </w:t>
      </w:r>
      <w:r w:rsidR="0003053D">
        <w:t>bidding Ephraimite men to take on their lips the words that Yahweh had previously outlawed, “my people</w:t>
      </w:r>
      <w:r w:rsidR="00A03E78">
        <w:t xml:space="preserve">,” </w:t>
      </w:r>
      <w:r w:rsidR="0003053D">
        <w:t>which came already in th</w:t>
      </w:r>
      <w:r w:rsidR="00A03E78">
        <w:t>e second promise</w:t>
      </w:r>
      <w:r w:rsidR="0003053D">
        <w:t>. They are also b</w:t>
      </w:r>
      <w:r w:rsidR="00A03E78">
        <w:t>idding Ephraimite women to take</w:t>
      </w:r>
      <w:r w:rsidR="0003053D">
        <w:t xml:space="preserve"> on t</w:t>
      </w:r>
      <w:r w:rsidR="00A03E78">
        <w:t xml:space="preserve">he other outlawed expression, </w:t>
      </w:r>
      <w:r w:rsidR="00A03E78">
        <w:lastRenderedPageBreak/>
        <w:t>“</w:t>
      </w:r>
      <w:r w:rsidR="006A6CF3">
        <w:t>shown compassion</w:t>
      </w:r>
      <w:r w:rsidR="0003053D">
        <w:t>.</w:t>
      </w:r>
      <w:r w:rsidR="00A03E78">
        <w:t>” In the context of Hosea’s ministry, t</w:t>
      </w:r>
      <w:r w:rsidR="004C7E53">
        <w:t>h</w:t>
      </w:r>
      <w:r w:rsidR="00A03E78">
        <w:t xml:space="preserve">e commission will be one that Ephraimites </w:t>
      </w:r>
      <w:r w:rsidR="006A6CF3">
        <w:t>can take up</w:t>
      </w:r>
      <w:r w:rsidR="00A03E78">
        <w:t xml:space="preserve"> if </w:t>
      </w:r>
      <w:r w:rsidR="006A6CF3">
        <w:t>they respond to the challenge about</w:t>
      </w:r>
      <w:r w:rsidR="00A03E78">
        <w:t xml:space="preserve"> repentance that Hosea leaves unarticulated. It is a commission that an </w:t>
      </w:r>
      <w:r w:rsidR="004C7E53">
        <w:t>Ephra</w:t>
      </w:r>
      <w:r w:rsidR="00A03E78">
        <w:t>i</w:t>
      </w:r>
      <w:r w:rsidR="006A6CF3">
        <w:t>mite remnant in Judah</w:t>
      </w:r>
      <w:r w:rsidR="00A03E78">
        <w:t xml:space="preserve"> or that Judahites can</w:t>
      </w:r>
      <w:r w:rsidR="006A6CF3">
        <w:t xml:space="preserve"> also</w:t>
      </w:r>
      <w:r w:rsidR="00A03E78">
        <w:t xml:space="preserve"> claim.</w:t>
      </w:r>
      <w:r w:rsidR="005939C6">
        <w:t xml:space="preserve"> The words</w:t>
      </w:r>
      <w:r w:rsidR="00A77007">
        <w:t xml:space="preserve"> </w:t>
      </w:r>
      <w:r w:rsidR="006A6CF3">
        <w:t>further</w:t>
      </w:r>
      <w:r w:rsidR="005939C6">
        <w:t xml:space="preserve"> </w:t>
      </w:r>
      <w:r w:rsidR="006A6CF3">
        <w:t xml:space="preserve">again </w:t>
      </w:r>
      <w:r w:rsidR="005939C6">
        <w:t>implicitly bid</w:t>
      </w:r>
      <w:r w:rsidR="00A77007">
        <w:t xml:space="preserve"> the men and women of Ephraim and Judah to respond t</w:t>
      </w:r>
      <w:r w:rsidR="005F7D3B">
        <w:t xml:space="preserve">o the promise/bidding in </w:t>
      </w:r>
      <w:r w:rsidR="00A77007">
        <w:t>1:11</w:t>
      </w:r>
      <w:r w:rsidR="006A6CF3">
        <w:t xml:space="preserve"> [2:2]</w:t>
      </w:r>
      <w:r w:rsidR="00A77007">
        <w:t>.</w:t>
      </w:r>
    </w:p>
    <w:p w:rsidR="003053AE" w:rsidRDefault="003053AE" w:rsidP="001D3546">
      <w:pPr>
        <w:pStyle w:val="Heading2"/>
      </w:pPr>
      <w:r>
        <w:t>Theological Implications</w:t>
      </w:r>
    </w:p>
    <w:p w:rsidR="00AB1F90" w:rsidRDefault="000261A2" w:rsidP="00B776F6">
      <w:pPr>
        <w:pStyle w:val="ListParagraph"/>
        <w:numPr>
          <w:ilvl w:val="0"/>
          <w:numId w:val="38"/>
        </w:numPr>
        <w:ind w:left="360"/>
      </w:pPr>
      <w:r>
        <w:t>Hosea inv</w:t>
      </w:r>
      <w:r w:rsidR="00CB5459">
        <w:t>ites comparison with Paul</w:t>
      </w:r>
      <w:r>
        <w:t>, whom</w:t>
      </w:r>
      <w:r w:rsidR="00992F3C">
        <w:t xml:space="preserve"> </w:t>
      </w:r>
      <w:r w:rsidR="00CB5459">
        <w:t>God compelled</w:t>
      </w:r>
      <w:r w:rsidR="00992F3C">
        <w:t xml:space="preserve"> to ackn</w:t>
      </w:r>
      <w:r w:rsidR="00CB5459">
        <w:t xml:space="preserve">owledge Jesus and then made </w:t>
      </w:r>
      <w:r w:rsidR="00992F3C">
        <w:t>suffer as the cost of the work he summoned him to</w:t>
      </w:r>
      <w:r w:rsidR="005C3240">
        <w:t xml:space="preserve"> (Col</w:t>
      </w:r>
      <w:r w:rsidR="002B609D">
        <w:t>.</w:t>
      </w:r>
      <w:r w:rsidR="005C3240">
        <w:t xml:space="preserve"> 1:24).</w:t>
      </w:r>
      <w:r>
        <w:t xml:space="preserve"> </w:t>
      </w:r>
      <w:r w:rsidR="000D1F38">
        <w:t>Hosea’s action involved what will have looked like foolishness to the wise and “the cross that he could not escape.”</w:t>
      </w:r>
      <w:r w:rsidR="000D1F38">
        <w:rPr>
          <w:rStyle w:val="FootnoteReference"/>
        </w:rPr>
        <w:footnoteReference w:id="68"/>
      </w:r>
    </w:p>
    <w:p w:rsidR="00CB5459" w:rsidRDefault="00CB5459" w:rsidP="00B776F6">
      <w:pPr>
        <w:pStyle w:val="ListParagraph"/>
        <w:numPr>
          <w:ilvl w:val="0"/>
          <w:numId w:val="38"/>
        </w:numPr>
        <w:ind w:left="360"/>
      </w:pPr>
      <w:r>
        <w:t>Yahweh is the one God and Yahweh does not have a consort. Yahweh</w:t>
      </w:r>
      <w:r w:rsidRPr="00A71046">
        <w:t xml:space="preserve"> is like a husband in relation to his people who are like his wife</w:t>
      </w:r>
      <w:r>
        <w:t>; his people resembles a promiscuous wife and Yahweh resembles</w:t>
      </w:r>
      <w:r w:rsidRPr="00A71046">
        <w:t xml:space="preserve"> a disciplinary husband. </w:t>
      </w:r>
      <w:r>
        <w:t>In the Scriptures</w:t>
      </w:r>
      <w:r w:rsidRPr="00A71046">
        <w:t xml:space="preserve">, Hosea </w:t>
      </w:r>
      <w:r>
        <w:t>and Ephesians make most far-reaching use of this analogy</w:t>
      </w:r>
      <w:r w:rsidRPr="00A71046">
        <w:t xml:space="preserve">.  </w:t>
      </w:r>
      <w:r>
        <w:t xml:space="preserve">Ephesians </w:t>
      </w:r>
      <w:r w:rsidRPr="00A71046">
        <w:t>urge</w:t>
      </w:r>
      <w:r>
        <w:t xml:space="preserve">s husbands to be like Jesus; </w:t>
      </w:r>
      <w:r w:rsidR="006A6CF3">
        <w:t xml:space="preserve">in </w:t>
      </w:r>
      <w:r w:rsidRPr="00A71046">
        <w:t>Hosea, t</w:t>
      </w:r>
      <w:r>
        <w:t xml:space="preserve">he analogy </w:t>
      </w:r>
      <w:r w:rsidRPr="00A71046">
        <w:t>confront</w:t>
      </w:r>
      <w:r>
        <w:t>s Ephraim with it</w:t>
      </w:r>
      <w:r w:rsidRPr="00A71046">
        <w:t xml:space="preserve">s </w:t>
      </w:r>
      <w:r>
        <w:t xml:space="preserve">being like an unfaithful wife who will pay a penalty for </w:t>
      </w:r>
      <w:r w:rsidRPr="00A71046">
        <w:t>unfaithfulness.</w:t>
      </w:r>
    </w:p>
    <w:p w:rsidR="00CB5459" w:rsidRDefault="00CB5459" w:rsidP="00B776F6">
      <w:pPr>
        <w:pStyle w:val="ListParagraph"/>
        <w:numPr>
          <w:ilvl w:val="0"/>
          <w:numId w:val="38"/>
        </w:numPr>
        <w:ind w:left="360"/>
      </w:pPr>
      <w:r w:rsidRPr="00A71046">
        <w:t>In the background of both Ephesians and Hosea is a patriarchal understanding of the man-woman relationship</w:t>
      </w:r>
      <w:r>
        <w:t xml:space="preserve"> as </w:t>
      </w:r>
      <w:r w:rsidRPr="00010901">
        <w:t>an example of patron-client relationships</w:t>
      </w:r>
      <w:r w:rsidRPr="00A71046">
        <w:t>,</w:t>
      </w:r>
      <w:r w:rsidRPr="00A71046">
        <w:rPr>
          <w:vertAlign w:val="superscript"/>
        </w:rPr>
        <w:footnoteReference w:id="69"/>
      </w:r>
      <w:r w:rsidRPr="00A71046">
        <w:t xml:space="preserve"> not the egalitarian understanding that emerges from Genesis 1—2 and the Song of </w:t>
      </w:r>
      <w:r>
        <w:t xml:space="preserve">Songs. </w:t>
      </w:r>
      <w:r w:rsidRPr="00A71046">
        <w:t xml:space="preserve">Hosea and Ephesians </w:t>
      </w:r>
      <w:r>
        <w:t xml:space="preserve">don’t simply accept </w:t>
      </w:r>
      <w:r w:rsidR="00E85236">
        <w:t>the patriarchal</w:t>
      </w:r>
      <w:r w:rsidRPr="00A71046">
        <w:t xml:space="preserve"> understanding</w:t>
      </w:r>
      <w:r>
        <w:t>; they deconstruct it</w:t>
      </w:r>
      <w:r w:rsidRPr="00A71046">
        <w:t xml:space="preserve">. </w:t>
      </w:r>
      <w:r>
        <w:t xml:space="preserve">In </w:t>
      </w:r>
      <w:r w:rsidRPr="00A71046">
        <w:t>Ephesia</w:t>
      </w:r>
      <w:r>
        <w:t>ns,</w:t>
      </w:r>
      <w:r w:rsidRPr="00A71046">
        <w:t xml:space="preserve"> </w:t>
      </w:r>
      <w:r>
        <w:t xml:space="preserve">the husband’s authority lies in </w:t>
      </w:r>
      <w:r w:rsidRPr="00A71046">
        <w:t>letting himself be crucified</w:t>
      </w:r>
      <w:r>
        <w:t xml:space="preserve"> for his wife and the wife’s submission lies in </w:t>
      </w:r>
      <w:r w:rsidRPr="00A71046">
        <w:t xml:space="preserve">letting him do so. </w:t>
      </w:r>
      <w:r>
        <w:t>In Hosea, the husband refuses</w:t>
      </w:r>
      <w:r w:rsidRPr="00A71046">
        <w:t xml:space="preserve"> to give up on th</w:t>
      </w:r>
      <w:r>
        <w:t>e relationship, more like a parent than a husband (cf. 11:1-9)</w:t>
      </w:r>
      <w:r w:rsidRPr="00A71046">
        <w:t>.</w:t>
      </w:r>
      <w:r w:rsidRPr="00A71046">
        <w:rPr>
          <w:vertAlign w:val="superscript"/>
        </w:rPr>
        <w:footnoteReference w:id="70"/>
      </w:r>
      <w:r>
        <w:t xml:space="preserve"> Both works thus undermine any claim that they </w:t>
      </w:r>
      <w:r w:rsidRPr="00A71046">
        <w:t xml:space="preserve">validate the abuse of wives by husbands. </w:t>
      </w:r>
    </w:p>
    <w:p w:rsidR="000235C6" w:rsidRDefault="006A6CF3" w:rsidP="00B776F6">
      <w:pPr>
        <w:pStyle w:val="ListParagraph"/>
        <w:numPr>
          <w:ilvl w:val="0"/>
          <w:numId w:val="38"/>
        </w:numPr>
        <w:ind w:left="360"/>
      </w:pPr>
      <w:r>
        <w:t>In taking</w:t>
      </w:r>
      <w:r w:rsidR="000235C6">
        <w:t xml:space="preserve"> marriage to provide an illuminating metaphor for the relationshi</w:t>
      </w:r>
      <w:r>
        <w:t>p between God and his people, Hosea 1 works</w:t>
      </w:r>
      <w:r w:rsidR="000235C6">
        <w:t xml:space="preserve"> with the frame</w:t>
      </w:r>
      <w:r>
        <w:t>work of patriarchal marriage, but it</w:t>
      </w:r>
      <w:r w:rsidR="000235C6">
        <w:t xml:space="preserve"> is not concerned </w:t>
      </w:r>
      <w:r>
        <w:t xml:space="preserve">either </w:t>
      </w:r>
      <w:r w:rsidR="000235C6">
        <w:t>to affirm that model or to question it. The model is s</w:t>
      </w:r>
      <w:r w:rsidR="00E85236">
        <w:t xml:space="preserve">imply the one </w:t>
      </w:r>
      <w:r>
        <w:t xml:space="preserve">that </w:t>
      </w:r>
      <w:r w:rsidR="00E85236">
        <w:t>people know</w:t>
      </w:r>
      <w:r w:rsidR="000235C6">
        <w:t>, and it provides an illuminating understanding of the relationship of God and</w:t>
      </w:r>
      <w:r>
        <w:t xml:space="preserve"> his people, as the ideals underlying</w:t>
      </w:r>
      <w:r w:rsidR="000235C6">
        <w:t xml:space="preserve"> Western marriage such as intimacy, romance, friendship, and an egalitarian relationship do not. In the Scriptures, we are not God’s equal partners. God as the husband is the master, </w:t>
      </w:r>
      <w:r>
        <w:t xml:space="preserve">and </w:t>
      </w:r>
      <w:r w:rsidR="000235C6">
        <w:t xml:space="preserve">Israel </w:t>
      </w:r>
      <w:r>
        <w:t xml:space="preserve">or the church </w:t>
      </w:r>
      <w:r w:rsidR="000235C6">
        <w:t xml:space="preserve">as the wife is the subordinate partner. A good </w:t>
      </w:r>
      <w:r>
        <w:t xml:space="preserve">patriarchal </w:t>
      </w:r>
      <w:r w:rsidR="000235C6">
        <w:t>marriage is one in which the man takes seriously and faithfully his responsibility to be in charge and a woman takes seriously and faithfully her responsibility to follow his lead and his bidd</w:t>
      </w:r>
      <w:r>
        <w:t>ing. It</w:t>
      </w:r>
      <w:r w:rsidR="000235C6">
        <w:t xml:space="preserve"> is not the Scriptures’ teaching about how marria</w:t>
      </w:r>
      <w:r>
        <w:t>ge is supposed to be, but a</w:t>
      </w:r>
      <w:r w:rsidR="000235C6">
        <w:t xml:space="preserve"> starting point in how things are for understanding the relationship of God and his people.</w:t>
      </w:r>
    </w:p>
    <w:p w:rsidR="00CB5459" w:rsidRDefault="00CB5459" w:rsidP="00B776F6">
      <w:pPr>
        <w:pStyle w:val="ListParagraph"/>
        <w:numPr>
          <w:ilvl w:val="0"/>
          <w:numId w:val="38"/>
        </w:numPr>
        <w:ind w:left="360"/>
      </w:pPr>
      <w:r>
        <w:t xml:space="preserve">The story </w:t>
      </w:r>
      <w:r w:rsidR="006A6CF3">
        <w:t xml:space="preserve">not only </w:t>
      </w:r>
      <w:r w:rsidRPr="00E00CB1">
        <w:t>clash</w:t>
      </w:r>
      <w:r>
        <w:t>es with a Western</w:t>
      </w:r>
      <w:r w:rsidRPr="00E00CB1">
        <w:t xml:space="preserve"> romantic un</w:t>
      </w:r>
      <w:r>
        <w:t xml:space="preserve">derstanding of marriage and </w:t>
      </w:r>
      <w:r w:rsidRPr="00E00CB1">
        <w:t xml:space="preserve">concern for a positive view of womanhood. </w:t>
      </w:r>
      <w:r>
        <w:t xml:space="preserve">It presupposes that God is </w:t>
      </w:r>
      <w:r w:rsidRPr="00A71046">
        <w:t>hardnosed and uncompromising in his insistence in using people</w:t>
      </w:r>
      <w:r>
        <w:t xml:space="preserve"> and </w:t>
      </w:r>
      <w:r w:rsidR="006A6CF3">
        <w:t xml:space="preserve">is </w:t>
      </w:r>
      <w:r>
        <w:t>prepared to take the risk of inspiring a story that could seem to validate spousal abuse</w:t>
      </w:r>
      <w:r w:rsidRPr="00A71046">
        <w:t>.</w:t>
      </w:r>
      <w:r w:rsidR="00771CC5">
        <w:rPr>
          <w:rStyle w:val="FootnoteReference"/>
        </w:rPr>
        <w:footnoteReference w:id="71"/>
      </w:r>
      <w:r w:rsidRPr="00A71046">
        <w:t xml:space="preserve"> </w:t>
      </w:r>
      <w:r w:rsidRPr="001D4F0E">
        <w:t xml:space="preserve">There are ancient and modern debates about whether the real God could </w:t>
      </w:r>
      <w:r>
        <w:lastRenderedPageBreak/>
        <w:t xml:space="preserve">commission Hosea to </w:t>
      </w:r>
      <w:r w:rsidRPr="001D4F0E">
        <w:t>his action.</w:t>
      </w:r>
      <w:r w:rsidRPr="001D4F0E">
        <w:rPr>
          <w:vertAlign w:val="superscript"/>
        </w:rPr>
        <w:footnoteReference w:id="72"/>
      </w:r>
      <w:r w:rsidRPr="001D4F0E">
        <w:t xml:space="preserve"> </w:t>
      </w:r>
      <w:r w:rsidRPr="00A71046">
        <w:t>T</w:t>
      </w:r>
      <w:r>
        <w:t xml:space="preserve">he entire family carries a cross for God and for </w:t>
      </w:r>
      <w:r w:rsidRPr="00A71046">
        <w:t xml:space="preserve">his people. </w:t>
      </w:r>
      <w:r>
        <w:t>Both the vocation and the sins of the parents are</w:t>
      </w:r>
      <w:r w:rsidRPr="00801C72">
        <w:t xml:space="preserve"> visited on the children. </w:t>
      </w:r>
      <w:r w:rsidRPr="00A71046">
        <w:t>God’s</w:t>
      </w:r>
      <w:r w:rsidR="0049276D">
        <w:t xml:space="preserve"> tough</w:t>
      </w:r>
      <w:r w:rsidRPr="00A71046">
        <w:t xml:space="preserve"> stance compares with t</w:t>
      </w:r>
      <w:r>
        <w:t>hat described in Romans 9. But the blessing of peacemakers (Matt. 5:9) attaches to this family.</w:t>
      </w:r>
    </w:p>
    <w:p w:rsidR="00AB1F90" w:rsidRDefault="003053AE" w:rsidP="00B776F6">
      <w:pPr>
        <w:pStyle w:val="ListParagraph"/>
        <w:numPr>
          <w:ilvl w:val="0"/>
          <w:numId w:val="38"/>
        </w:numPr>
        <w:ind w:left="360"/>
      </w:pPr>
      <w:r>
        <w:t xml:space="preserve">There is no indication in </w:t>
      </w:r>
      <w:r w:rsidR="00992F3C">
        <w:t xml:space="preserve">the </w:t>
      </w:r>
      <w:r>
        <w:t>Scripture</w:t>
      </w:r>
      <w:r w:rsidR="00992F3C">
        <w:t>s</w:t>
      </w:r>
      <w:r>
        <w:t xml:space="preserve"> that God generally has a view on which ind</w:t>
      </w:r>
      <w:r w:rsidR="005C3240">
        <w:t>ividual one</w:t>
      </w:r>
      <w:r w:rsidR="00992F3C">
        <w:t xml:space="preserve"> should marry. </w:t>
      </w:r>
      <w:r w:rsidR="00992F3C" w:rsidRPr="000261A2">
        <w:t>P</w:t>
      </w:r>
      <w:r w:rsidRPr="000261A2">
        <w:t>eople have neither the obligation nor the right to try to decide who</w:t>
      </w:r>
      <w:r w:rsidR="00992F3C" w:rsidRPr="000261A2">
        <w:t>m</w:t>
      </w:r>
      <w:r w:rsidRPr="000261A2">
        <w:t xml:space="preserve"> to marry on the basis of who God wants them to marry. </w:t>
      </w:r>
      <w:r w:rsidR="000235C6">
        <w:t>T</w:t>
      </w:r>
      <w:r w:rsidR="000261A2">
        <w:t>hey</w:t>
      </w:r>
      <w:r>
        <w:t xml:space="preserve"> should marry</w:t>
      </w:r>
      <w:r w:rsidR="000235C6">
        <w:t xml:space="preserve"> </w:t>
      </w:r>
      <w:r>
        <w:t xml:space="preserve">a fellow member of the people of God, </w:t>
      </w:r>
      <w:r w:rsidR="000261A2">
        <w:t>not some</w:t>
      </w:r>
      <w:r w:rsidR="000235C6">
        <w:t>one who will defile them</w:t>
      </w:r>
      <w:r>
        <w:t xml:space="preserve"> and thus defile God.</w:t>
      </w:r>
      <w:r w:rsidR="00992F3C">
        <w:t xml:space="preserve"> Yet </w:t>
      </w:r>
      <w:r w:rsidR="00992F3C" w:rsidRPr="00992F3C">
        <w:t>God also assumes the freedom to break his own rules, if he is bidding Hosea marry someo</w:t>
      </w:r>
      <w:r w:rsidR="00992F3C">
        <w:t>ne who is not a faithful follow</w:t>
      </w:r>
      <w:r w:rsidR="00992F3C" w:rsidRPr="00992F3C">
        <w:t xml:space="preserve">er of Yahweh. </w:t>
      </w:r>
    </w:p>
    <w:p w:rsidR="00AB1F90" w:rsidRDefault="00A87E75" w:rsidP="00B776F6">
      <w:pPr>
        <w:pStyle w:val="ListParagraph"/>
        <w:numPr>
          <w:ilvl w:val="0"/>
          <w:numId w:val="38"/>
        </w:numPr>
        <w:ind w:left="360"/>
      </w:pPr>
      <w:r>
        <w:t xml:space="preserve">God assumes the </w:t>
      </w:r>
      <w:r w:rsidR="005C3240" w:rsidRPr="005C3240">
        <w:t>right</w:t>
      </w:r>
      <w:r w:rsidR="000235C6">
        <w:t xml:space="preserve"> to give orders to someone </w:t>
      </w:r>
      <w:r w:rsidR="005C3240" w:rsidRPr="005C3240">
        <w:t>he intends to use</w:t>
      </w:r>
      <w:r>
        <w:t>, orders</w:t>
      </w:r>
      <w:r w:rsidR="000235C6">
        <w:t xml:space="preserve"> such as make radical demands on their personal life</w:t>
      </w:r>
      <w:r w:rsidR="005C3240" w:rsidRPr="005C3240">
        <w:t xml:space="preserve">. </w:t>
      </w:r>
      <w:r w:rsidR="000235C6">
        <w:t>God then ignores q</w:t>
      </w:r>
      <w:r>
        <w:t>uestions abo</w:t>
      </w:r>
      <w:r w:rsidR="000235C6">
        <w:t>ut freedom and fairness</w:t>
      </w:r>
      <w:r>
        <w:t>. God does what he wishe</w:t>
      </w:r>
      <w:r w:rsidR="000235C6">
        <w:t xml:space="preserve">s in light of a purpose </w:t>
      </w:r>
      <w:r>
        <w:t>bigger than the freedom of or than fairness to a particular individual</w:t>
      </w:r>
      <w:r w:rsidR="000235C6">
        <w:t xml:space="preserve"> or family</w:t>
      </w:r>
      <w:r>
        <w:t xml:space="preserve">. </w:t>
      </w:r>
      <w:r w:rsidR="000235C6">
        <w:t>God</w:t>
      </w:r>
      <w:r>
        <w:t xml:space="preserve">’s commission </w:t>
      </w:r>
      <w:r w:rsidR="000235C6">
        <w:t>of Hosea coheres with his</w:t>
      </w:r>
      <w:r>
        <w:t xml:space="preserve"> relationship with </w:t>
      </w:r>
      <w:r w:rsidR="005C3240" w:rsidRPr="005C3240">
        <w:t xml:space="preserve">Jeremiah, Ezekiel, and the unnamed prophet who speaks in Isaiah 49, with Jesus and with Paul, and </w:t>
      </w:r>
      <w:r w:rsidR="000235C6">
        <w:t xml:space="preserve">with </w:t>
      </w:r>
      <w:r w:rsidR="005C3240" w:rsidRPr="005C3240">
        <w:t xml:space="preserve">the account of </w:t>
      </w:r>
      <w:r w:rsidR="0081702C">
        <w:t xml:space="preserve">Jesus’s </w:t>
      </w:r>
      <w:r w:rsidR="005C3240" w:rsidRPr="005C3240">
        <w:t>relations</w:t>
      </w:r>
      <w:r w:rsidR="000235C6">
        <w:t xml:space="preserve">hip with his followers. </w:t>
      </w:r>
      <w:r w:rsidR="005C3240" w:rsidRPr="005C3240">
        <w:t>God tells Hosea he must love someone whom he</w:t>
      </w:r>
      <w:r w:rsidR="000235C6">
        <w:t xml:space="preserve"> would be expected to repudiate;</w:t>
      </w:r>
      <w:r w:rsidR="005C3240" w:rsidRPr="005C3240">
        <w:t xml:space="preserve"> Jesus tells his followers they must repudiate people whom they </w:t>
      </w:r>
      <w:r w:rsidR="000235C6">
        <w:t xml:space="preserve">would be expected to love. </w:t>
      </w:r>
      <w:r w:rsidR="0081702C">
        <w:t xml:space="preserve">Jesus’s </w:t>
      </w:r>
      <w:r w:rsidR="000235C6">
        <w:t xml:space="preserve">bidding them </w:t>
      </w:r>
      <w:r w:rsidR="005C3240" w:rsidRPr="005C3240">
        <w:t>take up their cross and follow him coheres with God’s b</w:t>
      </w:r>
      <w:r w:rsidR="000235C6">
        <w:t>idding to Hosea. T</w:t>
      </w:r>
      <w:r w:rsidR="005C3240" w:rsidRPr="005C3240">
        <w:t>he action</w:t>
      </w:r>
      <w:r w:rsidR="000235C6">
        <w:t>s embody</w:t>
      </w:r>
      <w:r w:rsidR="005C3240" w:rsidRPr="005C3240">
        <w:t xml:space="preserve"> the stance God himself takes. In Hosea God relates in toughness but also in faithfulness and compass</w:t>
      </w:r>
      <w:r w:rsidR="000235C6">
        <w:t xml:space="preserve">ion to Ephraim and </w:t>
      </w:r>
      <w:r w:rsidR="005C3240" w:rsidRPr="005C3240">
        <w:t xml:space="preserve">to Hosea; in Jesus God relates in compassion but also in </w:t>
      </w:r>
      <w:r w:rsidR="000235C6">
        <w:t xml:space="preserve">toughness to the world and </w:t>
      </w:r>
      <w:r w:rsidR="005C3240" w:rsidRPr="005C3240">
        <w:t>to his followers.</w:t>
      </w:r>
    </w:p>
    <w:p w:rsidR="00AB1F90" w:rsidRDefault="000235C6" w:rsidP="00B776F6">
      <w:pPr>
        <w:pStyle w:val="ListParagraph"/>
        <w:numPr>
          <w:ilvl w:val="0"/>
          <w:numId w:val="38"/>
        </w:numPr>
        <w:ind w:left="360"/>
      </w:pPr>
      <w:r>
        <w:t>Within Ephraim, too, the sins of parents are visited on children. I</w:t>
      </w:r>
      <w:r w:rsidRPr="00A71046">
        <w:t xml:space="preserve">n Hosea’s day </w:t>
      </w:r>
      <w:r>
        <w:t xml:space="preserve">Ephraim </w:t>
      </w:r>
      <w:r w:rsidRPr="00A71046">
        <w:t>i</w:t>
      </w:r>
      <w:r>
        <w:t xml:space="preserve">s no more faithless than </w:t>
      </w:r>
      <w:r w:rsidRPr="00A71046">
        <w:t>in other times, but the ax is now to fall.</w:t>
      </w:r>
      <w:r>
        <w:t xml:space="preserve"> </w:t>
      </w:r>
      <w:r w:rsidR="0049276D">
        <w:t xml:space="preserve">The story </w:t>
      </w:r>
      <w:r w:rsidR="003A17B2">
        <w:t>takes for granted the unfaithfulness of the people of God to its lord, her unfaithfulness to her husband. The entire scriptural story works w</w:t>
      </w:r>
      <w:r w:rsidR="00A87E75">
        <w:t>ith this assumption</w:t>
      </w:r>
      <w:r w:rsidR="003A17B2">
        <w:t>, and church history does not sugg</w:t>
      </w:r>
      <w:r w:rsidR="0049276D">
        <w:t>est that things have changed. On</w:t>
      </w:r>
      <w:r w:rsidR="003A17B2">
        <w:t>e</w:t>
      </w:r>
      <w:r w:rsidR="00A87E75">
        <w:t xml:space="preserve"> challenge of the story is </w:t>
      </w:r>
      <w:r w:rsidR="003A17B2">
        <w:t xml:space="preserve">for the church to ask how unfaithfulness now manifests itself. </w:t>
      </w:r>
    </w:p>
    <w:p w:rsidR="00AB1F90" w:rsidRDefault="000235C6" w:rsidP="00B776F6">
      <w:pPr>
        <w:pStyle w:val="ListParagraph"/>
        <w:numPr>
          <w:ilvl w:val="0"/>
          <w:numId w:val="38"/>
        </w:numPr>
        <w:ind w:left="360"/>
      </w:pPr>
      <w:r>
        <w:t xml:space="preserve">Hosea’s story </w:t>
      </w:r>
      <w:r w:rsidR="003A17B2">
        <w:t xml:space="preserve">illumines the way </w:t>
      </w:r>
      <w:r w:rsidR="00725349">
        <w:t>First T</w:t>
      </w:r>
      <w:r w:rsidR="003A17B2">
        <w:t>estament, New Testament, and church history portray God’</w:t>
      </w:r>
      <w:r w:rsidR="005822D4">
        <w:t>s rejection of his people and his withholding his compassion. The church in the West currently undergo</w:t>
      </w:r>
      <w:r>
        <w:t>es this experience. God validates</w:t>
      </w:r>
      <w:r w:rsidR="005822D4">
        <w:t xml:space="preserve"> the decisions his people make. </w:t>
      </w:r>
      <w:r w:rsidR="00523781">
        <w:t xml:space="preserve">We turn to other gods; God accepts it and </w:t>
      </w:r>
      <w:r w:rsidR="00BF4FF3">
        <w:t>affirms that we will live with the consequences.</w:t>
      </w:r>
      <w:r>
        <w:t xml:space="preserve"> But </w:t>
      </w:r>
      <w:r w:rsidR="005822D4">
        <w:t>w</w:t>
      </w:r>
      <w:r w:rsidR="00A87E75">
        <w:t>e should not underplay God’s</w:t>
      </w:r>
      <w:r w:rsidR="005822D4">
        <w:t xml:space="preserve"> deliberate decision-making. In Hosea </w:t>
      </w:r>
      <w:r w:rsidR="00A87E75">
        <w:t xml:space="preserve">God </w:t>
      </w:r>
      <w:r w:rsidR="005822D4">
        <w:t>does not simply leave things to work out. He attends to, he terminates, he says “</w:t>
      </w:r>
      <w:r w:rsidR="005822D4" w:rsidRPr="005822D4">
        <w:t>I will not be for you/I’m not ‘I am’ for you</w:t>
      </w:r>
      <w:r w:rsidR="005822D4">
        <w:t>.”</w:t>
      </w:r>
      <w:r w:rsidR="008B7FA0">
        <w:t xml:space="preserve"> He</w:t>
      </w:r>
      <w:r w:rsidR="008B7FA0" w:rsidRPr="008B7FA0">
        <w:t xml:space="preserve"> can cease to be</w:t>
      </w:r>
      <w:r w:rsidR="00725349">
        <w:t xml:space="preserve"> “I am” for us, though </w:t>
      </w:r>
      <w:r w:rsidR="008B7FA0">
        <w:t xml:space="preserve">he </w:t>
      </w:r>
      <w:r w:rsidR="00725349">
        <w:t>does not cease</w:t>
      </w:r>
      <w:r w:rsidR="008B7FA0">
        <w:t xml:space="preserve"> to be “I am.”</w:t>
      </w:r>
    </w:p>
    <w:p w:rsidR="00AB1F90" w:rsidRDefault="008B7FA0" w:rsidP="00B776F6">
      <w:pPr>
        <w:pStyle w:val="ListParagraph"/>
        <w:numPr>
          <w:ilvl w:val="0"/>
          <w:numId w:val="38"/>
        </w:numPr>
        <w:ind w:left="360"/>
      </w:pPr>
      <w:r>
        <w:t xml:space="preserve">But God will never finally cast off his people. </w:t>
      </w:r>
      <w:r w:rsidRPr="008B7FA0">
        <w:t xml:space="preserve">Yahweh does not change the name of Jezreel and he cannot get away from the fact that it means “God sows,” and perhaps from the beginning the names </w:t>
      </w:r>
      <w:r w:rsidR="0049276D">
        <w:t xml:space="preserve">that Hosea is </w:t>
      </w:r>
      <w:r w:rsidRPr="008B7FA0">
        <w:t>give</w:t>
      </w:r>
      <w:r w:rsidR="0049276D">
        <w:t>n</w:t>
      </w:r>
      <w:r w:rsidRPr="008B7FA0">
        <w:t xml:space="preserve"> </w:t>
      </w:r>
      <w:r w:rsidR="0049276D">
        <w:t xml:space="preserve">for his </w:t>
      </w:r>
      <w:r w:rsidRPr="008B7FA0">
        <w:t>children “carry the seed of their reversal</w:t>
      </w:r>
      <w:r w:rsidR="0049276D">
        <w:t>.” C</w:t>
      </w:r>
      <w:r w:rsidRPr="008B7FA0">
        <w:t>ertainly for people hearing the Hosea scroll read out a couple of centuries</w:t>
      </w:r>
      <w:r w:rsidR="0049276D">
        <w:t xml:space="preserve"> later they would do so. “T</w:t>
      </w:r>
      <w:r w:rsidRPr="008B7FA0">
        <w:t>hey serve as markers pointing at the irrevocable character of the relation of these children (/Israel) to their father (/YHWH.”</w:t>
      </w:r>
      <w:r w:rsidRPr="008B7FA0">
        <w:rPr>
          <w:vertAlign w:val="superscript"/>
        </w:rPr>
        <w:footnoteReference w:id="73"/>
      </w:r>
      <w:r w:rsidRPr="008B7FA0">
        <w:t xml:space="preserve"> The Talmud imagines God telling Hosea to marry Gomer then telling him to send her away for her unfaithfulness: “If he is able to send her away, so will I too send Israel away” (b. Pesahim 87a).</w:t>
      </w:r>
    </w:p>
    <w:p w:rsidR="00AB1F90" w:rsidRDefault="00A87E75" w:rsidP="00B776F6">
      <w:pPr>
        <w:pStyle w:val="ListParagraph"/>
        <w:numPr>
          <w:ilvl w:val="0"/>
          <w:numId w:val="38"/>
        </w:numPr>
        <w:ind w:left="360"/>
      </w:pPr>
      <w:r w:rsidRPr="00A87E75">
        <w:t>Yahweh’s c</w:t>
      </w:r>
      <w:r w:rsidR="00725349">
        <w:t>omment about</w:t>
      </w:r>
      <w:r w:rsidR="008B7FA0">
        <w:t xml:space="preserve"> Jehu </w:t>
      </w:r>
      <w:r w:rsidRPr="00A87E75">
        <w:t xml:space="preserve">contrasts with his involvement in Jehu’s coup in 2 Kings 9—10. </w:t>
      </w:r>
      <w:r w:rsidR="0021006D" w:rsidRPr="0021006D">
        <w:t>Was Elisha mistaken in declaring that Yahweh was giving Jehu a commission? Was his disciple mistaken in elaborating the commission? Did Jehu exceed his commission in kil</w:t>
      </w:r>
      <w:r w:rsidR="0049276D">
        <w:t>ling the Judahite king</w:t>
      </w:r>
      <w:r w:rsidR="00725349">
        <w:t xml:space="preserve"> and the </w:t>
      </w:r>
      <w:r w:rsidR="0021006D" w:rsidRPr="0021006D">
        <w:t>worshipers</w:t>
      </w:r>
      <w:r w:rsidR="00725349">
        <w:t xml:space="preserve"> of the Master? </w:t>
      </w:r>
      <w:r w:rsidR="0021006D" w:rsidRPr="0021006D">
        <w:t xml:space="preserve">Yahweh </w:t>
      </w:r>
      <w:r w:rsidR="00725349">
        <w:t>did commend</w:t>
      </w:r>
      <w:r w:rsidR="0021006D" w:rsidRPr="0021006D">
        <w:t xml:space="preserve"> Jehu (2 </w:t>
      </w:r>
      <w:r w:rsidR="00D06435">
        <w:t>Kings</w:t>
      </w:r>
      <w:r w:rsidR="0021006D" w:rsidRPr="0021006D">
        <w:t xml:space="preserve"> 10:30). </w:t>
      </w:r>
      <w:r>
        <w:t>The implication is not necessarily that Hosea contradicts the account in Kings</w:t>
      </w:r>
      <w:r w:rsidR="0049276D">
        <w:t xml:space="preserve"> (or vice versa)</w:t>
      </w:r>
      <w:r>
        <w:t xml:space="preserve">, perhaps unconsciously, and even if he did, we would still have to consider the relationship between the two accounts. The </w:t>
      </w:r>
      <w:r>
        <w:lastRenderedPageBreak/>
        <w:t>concept of progressive revelation might then make us choose 2 Kings rather than Hosea, since 2 Kings is later. Western people would more likely choose Hosea because we don’t like theology to get mixed up in approving violence. The presence of both accounts in the Scriptures could rather be considered in light of the way the Prophets talks about Assyria and Babylon</w:t>
      </w:r>
      <w:r w:rsidR="008B7FA0">
        <w:t xml:space="preserve"> (e.g., Isa</w:t>
      </w:r>
      <w:r w:rsidR="00725349">
        <w:t>.</w:t>
      </w:r>
      <w:r w:rsidR="008B7FA0">
        <w:t xml:space="preserve"> 10</w:t>
      </w:r>
      <w:r w:rsidR="00725349">
        <w:t>; 47</w:t>
      </w:r>
      <w:r w:rsidR="008B7FA0">
        <w:t>)</w:t>
      </w:r>
      <w:r w:rsidR="00B75873">
        <w:t>. God</w:t>
      </w:r>
      <w:r>
        <w:t xml:space="preserve"> summoned both powers to come to take action against Judah as his agents in a way that has some analogies wit</w:t>
      </w:r>
      <w:r w:rsidR="00B75873">
        <w:t>h his commission to Jehu. God</w:t>
      </w:r>
      <w:r>
        <w:t xml:space="preserve"> then critiqued and brought disaster to both powers because their action was motivated by their own ambition and/or</w:t>
      </w:r>
      <w:r w:rsidR="008B7FA0">
        <w:t xml:space="preserve"> was</w:t>
      </w:r>
      <w:r>
        <w:t xml:space="preserve"> a cause of their own self-congratulation and/or </w:t>
      </w:r>
      <w:r w:rsidR="008B7FA0">
        <w:t xml:space="preserve">was taken without </w:t>
      </w:r>
      <w:r>
        <w:t xml:space="preserve">compassion and with unmitigated harshness. </w:t>
      </w:r>
    </w:p>
    <w:p w:rsidR="00472094" w:rsidRDefault="00472094" w:rsidP="00B776F6">
      <w:pPr>
        <w:pStyle w:val="ListParagraph"/>
        <w:numPr>
          <w:ilvl w:val="0"/>
          <w:numId w:val="38"/>
        </w:numPr>
        <w:ind w:left="360"/>
        <w:rPr>
          <w:lang w:bidi="he-IL"/>
        </w:rPr>
      </w:pPr>
      <w:r w:rsidRPr="00472094">
        <w:rPr>
          <w:lang w:bidi="he-IL"/>
        </w:rPr>
        <w:t>T</w:t>
      </w:r>
      <w:r>
        <w:rPr>
          <w:lang w:bidi="he-IL"/>
        </w:rPr>
        <w:t>he</w:t>
      </w:r>
      <w:r w:rsidRPr="00472094">
        <w:rPr>
          <w:lang w:bidi="he-IL"/>
        </w:rPr>
        <w:t xml:space="preserve"> vision of Judah and Ephra</w:t>
      </w:r>
      <w:r w:rsidR="000C51D6">
        <w:rPr>
          <w:lang w:bidi="he-IL"/>
        </w:rPr>
        <w:t xml:space="preserve">im coming together appears </w:t>
      </w:r>
      <w:r w:rsidRPr="00472094">
        <w:rPr>
          <w:lang w:bidi="he-IL"/>
        </w:rPr>
        <w:t>in the vision of a Judahite prophet in Ezekiel 37:15-23 (cf. 48:1-35; also Isa. 11:12-13; Jer. 3:6-18; 31:27-34)</w:t>
      </w:r>
      <w:r w:rsidR="000C51D6">
        <w:rPr>
          <w:lang w:bidi="he-IL"/>
        </w:rPr>
        <w:t xml:space="preserve"> as well as </w:t>
      </w:r>
      <w:r w:rsidR="000C51D6" w:rsidRPr="000C51D6">
        <w:rPr>
          <w:lang w:bidi="he-IL"/>
        </w:rPr>
        <w:t>in the message of an Ephraimite prophet</w:t>
      </w:r>
      <w:r w:rsidRPr="00472094">
        <w:rPr>
          <w:lang w:bidi="he-IL"/>
        </w:rPr>
        <w:t>.</w:t>
      </w:r>
      <w:r w:rsidR="00FE2CF0">
        <w:rPr>
          <w:lang w:bidi="he-IL"/>
        </w:rPr>
        <w:t xml:space="preserve"> The people of God is one.</w:t>
      </w:r>
    </w:p>
    <w:p w:rsidR="00F13519" w:rsidRPr="00472094" w:rsidRDefault="00F13519" w:rsidP="00B776F6">
      <w:pPr>
        <w:pStyle w:val="ListParagraph"/>
        <w:numPr>
          <w:ilvl w:val="0"/>
          <w:numId w:val="38"/>
        </w:numPr>
        <w:ind w:left="360"/>
        <w:rPr>
          <w:lang w:bidi="he-IL"/>
        </w:rPr>
      </w:pPr>
      <w:r>
        <w:rPr>
          <w:lang w:bidi="he-IL"/>
        </w:rPr>
        <w:t xml:space="preserve">On the quotation of 1:10 </w:t>
      </w:r>
      <w:r w:rsidR="000C51D6">
        <w:rPr>
          <w:lang w:bidi="he-IL"/>
        </w:rPr>
        <w:t xml:space="preserve">[2:1] </w:t>
      </w:r>
      <w:r>
        <w:rPr>
          <w:lang w:bidi="he-IL"/>
        </w:rPr>
        <w:t>in Romans 9:26, see t</w:t>
      </w:r>
      <w:r w:rsidR="000C51D6">
        <w:rPr>
          <w:lang w:bidi="he-IL"/>
        </w:rPr>
        <w:t>he “Theological Implications” of</w:t>
      </w:r>
      <w:r>
        <w:rPr>
          <w:lang w:bidi="he-IL"/>
        </w:rPr>
        <w:t xml:space="preserve"> 2:2-23</w:t>
      </w:r>
      <w:r w:rsidR="000C51D6">
        <w:rPr>
          <w:lang w:bidi="he-IL"/>
        </w:rPr>
        <w:t xml:space="preserve"> [4-25]</w:t>
      </w:r>
      <w:r>
        <w:rPr>
          <w:lang w:bidi="he-IL"/>
        </w:rPr>
        <w:t>.</w:t>
      </w:r>
    </w:p>
    <w:p w:rsidR="00A03E78" w:rsidRDefault="00A03E78" w:rsidP="00EF7B98">
      <w:pPr>
        <w:pStyle w:val="Heading1"/>
      </w:pPr>
      <w:r w:rsidRPr="00A03E78">
        <w:t xml:space="preserve">Hosea </w:t>
      </w:r>
      <w:r w:rsidR="0081383F">
        <w:t>2:2-23</w:t>
      </w:r>
      <w:r w:rsidR="00EB0CBE">
        <w:t xml:space="preserve"> [4-25]</w:t>
      </w:r>
      <w:r>
        <w:t>: Threat and Promise</w:t>
      </w:r>
    </w:p>
    <w:p w:rsidR="009E6BD0" w:rsidRDefault="009E6BD0" w:rsidP="001D3546">
      <w:pPr>
        <w:pStyle w:val="Heading2"/>
      </w:pPr>
      <w:r>
        <w:t>Translation</w:t>
      </w:r>
    </w:p>
    <w:p w:rsidR="00A03E78" w:rsidRDefault="00F0023A" w:rsidP="00B924B1">
      <w:pPr>
        <w:pStyle w:val="NoSpacing"/>
        <w:ind w:left="720"/>
      </w:pPr>
      <w:r>
        <w:rPr>
          <w:vertAlign w:val="superscript"/>
        </w:rPr>
        <w:t>2</w:t>
      </w:r>
      <w:r w:rsidR="00846751">
        <w:t>Challenge your mother, challenge</w:t>
      </w:r>
      <w:r w:rsidR="009E6BD0">
        <w:t>,</w:t>
      </w:r>
    </w:p>
    <w:p w:rsidR="009E6BD0" w:rsidRDefault="009E6BD0" w:rsidP="00B924B1">
      <w:pPr>
        <w:pStyle w:val="NoSpacing"/>
        <w:ind w:left="720"/>
      </w:pPr>
      <w:r>
        <w:tab/>
        <w:t>because</w:t>
      </w:r>
      <w:r w:rsidR="0052367B">
        <w:rPr>
          <w:rStyle w:val="FootnoteReference"/>
        </w:rPr>
        <w:footnoteReference w:id="74"/>
      </w:r>
      <w:r>
        <w:t xml:space="preserve"> she’s not my w</w:t>
      </w:r>
      <w:r w:rsidR="005B2DA0">
        <w:t>oman</w:t>
      </w:r>
      <w:r>
        <w:t>,</w:t>
      </w:r>
    </w:p>
    <w:p w:rsidR="009E6BD0" w:rsidRDefault="005B2DA0" w:rsidP="00B924B1">
      <w:pPr>
        <w:pStyle w:val="NoSpacing"/>
        <w:ind w:left="720"/>
      </w:pPr>
      <w:r>
        <w:tab/>
        <w:t>and I’m not her man</w:t>
      </w:r>
      <w:r w:rsidR="00581FF9">
        <w:t>,</w:t>
      </w:r>
    </w:p>
    <w:p w:rsidR="009E6BD0" w:rsidRDefault="00D559EB" w:rsidP="00B924B1">
      <w:pPr>
        <w:pStyle w:val="NoSpacing"/>
        <w:ind w:left="720"/>
      </w:pPr>
      <w:r>
        <w:t>S</w:t>
      </w:r>
      <w:r w:rsidR="005170F2">
        <w:t xml:space="preserve">o </w:t>
      </w:r>
      <w:r w:rsidR="00581FF9">
        <w:t xml:space="preserve">she </w:t>
      </w:r>
      <w:r>
        <w:t>put</w:t>
      </w:r>
      <w:r w:rsidR="00D67AC1">
        <w:t>s</w:t>
      </w:r>
      <w:r>
        <w:t xml:space="preserve"> away</w:t>
      </w:r>
      <w:r w:rsidR="00EF7ECF">
        <w:rPr>
          <w:rStyle w:val="FootnoteReference"/>
        </w:rPr>
        <w:footnoteReference w:id="75"/>
      </w:r>
      <w:r w:rsidR="009E6BD0">
        <w:t xml:space="preserve"> her </w:t>
      </w:r>
      <w:r w:rsidR="009B42E1">
        <w:t xml:space="preserve">downright </w:t>
      </w:r>
      <w:r w:rsidR="009E6BD0">
        <w:t>whoring from her face,</w:t>
      </w:r>
    </w:p>
    <w:p w:rsidR="009E6BD0" w:rsidRDefault="009E6BD0" w:rsidP="00B924B1">
      <w:pPr>
        <w:pStyle w:val="NoSpacing"/>
        <w:ind w:left="720"/>
      </w:pPr>
      <w:r>
        <w:tab/>
        <w:t>her ad</w:t>
      </w:r>
      <w:r w:rsidR="005170F2">
        <w:t>ultery from between her breasts,</w:t>
      </w:r>
    </w:p>
    <w:p w:rsidR="009E6BD0" w:rsidRDefault="00F0023A" w:rsidP="00B924B1">
      <w:pPr>
        <w:pStyle w:val="NoSpacing"/>
        <w:ind w:left="720"/>
      </w:pPr>
      <w:r>
        <w:rPr>
          <w:vertAlign w:val="superscript"/>
        </w:rPr>
        <w:t>3</w:t>
      </w:r>
      <w:r w:rsidR="005170F2">
        <w:t>In order that I don’t</w:t>
      </w:r>
      <w:r w:rsidR="009E6BD0">
        <w:t xml:space="preserve"> strip her </w:t>
      </w:r>
      <w:r w:rsidR="00770C07">
        <w:t>bare</w:t>
      </w:r>
    </w:p>
    <w:p w:rsidR="009E6BD0" w:rsidRDefault="009E6BD0" w:rsidP="00B924B1">
      <w:pPr>
        <w:pStyle w:val="NoSpacing"/>
        <w:ind w:left="720"/>
      </w:pPr>
      <w:r>
        <w:tab/>
        <w:t>and presen</w:t>
      </w:r>
      <w:r w:rsidR="005170F2">
        <w:t>t her like the day she was born,</w:t>
      </w:r>
    </w:p>
    <w:p w:rsidR="009E6BD0" w:rsidRDefault="005170F2" w:rsidP="00B924B1">
      <w:pPr>
        <w:pStyle w:val="NoSpacing"/>
        <w:ind w:left="720"/>
      </w:pPr>
      <w:r>
        <w:t>M</w:t>
      </w:r>
      <w:r w:rsidR="009E6BD0">
        <w:t xml:space="preserve">ake her like the wilderness, </w:t>
      </w:r>
    </w:p>
    <w:p w:rsidR="009E6BD0" w:rsidRDefault="009E6BD0" w:rsidP="00B924B1">
      <w:pPr>
        <w:pStyle w:val="NoSpacing"/>
        <w:ind w:left="720"/>
      </w:pPr>
      <w:r>
        <w:tab/>
        <w:t>render her like a dry country</w:t>
      </w:r>
      <w:r w:rsidR="00AE61EC">
        <w:t>,</w:t>
      </w:r>
    </w:p>
    <w:p w:rsidR="00AE61EC" w:rsidRDefault="00AE779E" w:rsidP="00B924B1">
      <w:pPr>
        <w:pStyle w:val="NoSpacing"/>
        <w:ind w:left="720"/>
      </w:pPr>
      <w:r>
        <w:tab/>
      </w:r>
      <w:r w:rsidR="00AE61EC">
        <w:t>let her die of thirst.</w:t>
      </w:r>
    </w:p>
    <w:p w:rsidR="00AE61EC" w:rsidRDefault="00AE61EC" w:rsidP="00B924B1">
      <w:pPr>
        <w:pStyle w:val="NoSpacing"/>
        <w:ind w:left="720"/>
      </w:pPr>
    </w:p>
    <w:p w:rsidR="00AE664D" w:rsidRDefault="00F0023A" w:rsidP="00B924B1">
      <w:pPr>
        <w:pStyle w:val="NoSpacing"/>
        <w:ind w:left="720"/>
      </w:pPr>
      <w:r>
        <w:rPr>
          <w:vertAlign w:val="superscript"/>
        </w:rPr>
        <w:t>4</w:t>
      </w:r>
      <w:r w:rsidR="00BE09FE">
        <w:t xml:space="preserve">And </w:t>
      </w:r>
      <w:r w:rsidR="009B42E1">
        <w:t xml:space="preserve">towards </w:t>
      </w:r>
      <w:r w:rsidR="00D67AC1">
        <w:t>her children I won’</w:t>
      </w:r>
      <w:r w:rsidR="00BE09FE">
        <w:t>t show</w:t>
      </w:r>
      <w:r w:rsidR="00AE61EC">
        <w:t xml:space="preserve"> compassion</w:t>
      </w:r>
      <w:r w:rsidR="00AE664D">
        <w:t>,</w:t>
      </w:r>
    </w:p>
    <w:p w:rsidR="00AE61EC" w:rsidRDefault="00AE779E" w:rsidP="00B924B1">
      <w:pPr>
        <w:pStyle w:val="NoSpacing"/>
        <w:ind w:left="720"/>
      </w:pPr>
      <w:r>
        <w:tab/>
        <w:t xml:space="preserve"> because they’</w:t>
      </w:r>
      <w:r w:rsidR="00C92774">
        <w:t xml:space="preserve">re </w:t>
      </w:r>
      <w:r w:rsidR="009B42E1">
        <w:t xml:space="preserve">downright </w:t>
      </w:r>
      <w:r w:rsidR="00C92774">
        <w:t>whorish children.</w:t>
      </w:r>
    </w:p>
    <w:p w:rsidR="00AE664D" w:rsidRDefault="00F0023A" w:rsidP="00B924B1">
      <w:pPr>
        <w:pStyle w:val="NoSpacing"/>
        <w:ind w:left="720"/>
      </w:pPr>
      <w:r>
        <w:rPr>
          <w:vertAlign w:val="superscript"/>
        </w:rPr>
        <w:t>5</w:t>
      </w:r>
      <w:r w:rsidR="00AE664D">
        <w:t xml:space="preserve">Because their mother whored; </w:t>
      </w:r>
    </w:p>
    <w:p w:rsidR="00AE664D" w:rsidRDefault="00AE664D" w:rsidP="00B924B1">
      <w:pPr>
        <w:pStyle w:val="NoSpacing"/>
        <w:ind w:left="720"/>
      </w:pPr>
      <w:r>
        <w:tab/>
        <w:t>the one who conceived them acted shamefully.</w:t>
      </w:r>
      <w:r w:rsidR="00650F2E">
        <w:t xml:space="preserve"> </w:t>
      </w:r>
    </w:p>
    <w:p w:rsidR="00AE664D" w:rsidRDefault="00AE664D" w:rsidP="00B924B1">
      <w:pPr>
        <w:pStyle w:val="NoSpacing"/>
        <w:ind w:left="720"/>
      </w:pPr>
      <w:r>
        <w:t>Because she said,</w:t>
      </w:r>
    </w:p>
    <w:p w:rsidR="00AE664D" w:rsidRDefault="00AE664D" w:rsidP="00B924B1">
      <w:pPr>
        <w:pStyle w:val="NoSpacing"/>
        <w:ind w:left="720"/>
      </w:pPr>
      <w:r>
        <w:tab/>
      </w:r>
      <w:r w:rsidR="00A149AF">
        <w:t>“</w:t>
      </w:r>
      <w:r w:rsidR="00AE779E">
        <w:t>I’</w:t>
      </w:r>
      <w:r>
        <w:t>ll go after my lovers,</w:t>
      </w:r>
      <w:r w:rsidR="003E6C83">
        <w:rPr>
          <w:rStyle w:val="FootnoteReference"/>
        </w:rPr>
        <w:footnoteReference w:id="76"/>
      </w:r>
    </w:p>
    <w:p w:rsidR="00AE664D" w:rsidRDefault="006630AC" w:rsidP="00B924B1">
      <w:pPr>
        <w:pStyle w:val="NoSpacing"/>
        <w:ind w:left="720"/>
      </w:pPr>
      <w:r>
        <w:t>The givers of</w:t>
      </w:r>
      <w:r w:rsidR="00AE664D">
        <w:t xml:space="preserve"> my bread and my water, </w:t>
      </w:r>
    </w:p>
    <w:p w:rsidR="00AE664D" w:rsidRDefault="00ED6319" w:rsidP="00B924B1">
      <w:pPr>
        <w:pStyle w:val="NoSpacing"/>
        <w:ind w:left="720"/>
      </w:pPr>
      <w:r>
        <w:tab/>
        <w:t>my wool and my flax</w:t>
      </w:r>
      <w:r w:rsidR="00AE664D">
        <w:t>,</w:t>
      </w:r>
    </w:p>
    <w:p w:rsidR="00AE664D" w:rsidRDefault="00AE664D" w:rsidP="00B924B1">
      <w:pPr>
        <w:pStyle w:val="NoSpacing"/>
        <w:ind w:left="720"/>
      </w:pPr>
      <w:r>
        <w:tab/>
        <w:t>my olive oil and my drink.</w:t>
      </w:r>
      <w:r w:rsidR="00A149AF">
        <w:t>”</w:t>
      </w:r>
    </w:p>
    <w:p w:rsidR="00AE664D" w:rsidRDefault="00AE664D" w:rsidP="00B924B1">
      <w:pPr>
        <w:pStyle w:val="NoSpacing"/>
        <w:ind w:left="720"/>
      </w:pPr>
    </w:p>
    <w:p w:rsidR="00AE664D" w:rsidRDefault="00F0023A" w:rsidP="00B924B1">
      <w:pPr>
        <w:pStyle w:val="NoSpacing"/>
        <w:ind w:left="720"/>
      </w:pPr>
      <w:r>
        <w:rPr>
          <w:vertAlign w:val="superscript"/>
        </w:rPr>
        <w:t>6</w:t>
      </w:r>
      <w:r w:rsidR="00AE664D">
        <w:t xml:space="preserve">Therefore, here I am, </w:t>
      </w:r>
      <w:r w:rsidR="00070EEB">
        <w:t>I’m going to block</w:t>
      </w:r>
      <w:r w:rsidR="00AE664D">
        <w:t xml:space="preserve"> your way</w:t>
      </w:r>
      <w:r w:rsidR="002401C5">
        <w:rPr>
          <w:rStyle w:val="FootnoteReference"/>
        </w:rPr>
        <w:footnoteReference w:id="77"/>
      </w:r>
      <w:r w:rsidR="00AE664D">
        <w:t xml:space="preserve"> with thorn</w:t>
      </w:r>
      <w:r w:rsidR="00D67AC1">
        <w:t>-</w:t>
      </w:r>
      <w:r w:rsidR="00AE664D">
        <w:t>bushes;</w:t>
      </w:r>
    </w:p>
    <w:p w:rsidR="00AE664D" w:rsidRDefault="00D67AC1" w:rsidP="00B924B1">
      <w:pPr>
        <w:pStyle w:val="NoSpacing"/>
        <w:ind w:left="720"/>
      </w:pPr>
      <w:r>
        <w:tab/>
        <w:t>I’</w:t>
      </w:r>
      <w:r w:rsidR="001C19DD">
        <w:t>ll</w:t>
      </w:r>
      <w:r w:rsidR="00AE664D">
        <w:t xml:space="preserve"> erect a wall for her,</w:t>
      </w:r>
      <w:r w:rsidR="00AF6837">
        <w:rPr>
          <w:rStyle w:val="FootnoteReference"/>
        </w:rPr>
        <w:footnoteReference w:id="78"/>
      </w:r>
    </w:p>
    <w:p w:rsidR="00AE664D" w:rsidRDefault="00D67AC1" w:rsidP="00B924B1">
      <w:pPr>
        <w:pStyle w:val="NoSpacing"/>
        <w:ind w:left="720"/>
      </w:pPr>
      <w:r>
        <w:lastRenderedPageBreak/>
        <w:tab/>
        <w:t>and she won’</w:t>
      </w:r>
      <w:r w:rsidR="00AE664D">
        <w:t>t find her paths.</w:t>
      </w:r>
    </w:p>
    <w:p w:rsidR="00C36912" w:rsidRDefault="00F0023A" w:rsidP="00B924B1">
      <w:pPr>
        <w:pStyle w:val="NoSpacing"/>
        <w:ind w:left="720"/>
      </w:pPr>
      <w:r>
        <w:rPr>
          <w:vertAlign w:val="superscript"/>
        </w:rPr>
        <w:t>7</w:t>
      </w:r>
      <w:r w:rsidR="00146FEB">
        <w:t>She’</w:t>
      </w:r>
      <w:r w:rsidR="00C36912">
        <w:t>ll pu</w:t>
      </w:r>
      <w:r w:rsidR="00F947B4">
        <w:t>rsue</w:t>
      </w:r>
      <w:r w:rsidR="00CB086F">
        <w:t xml:space="preserve"> hard</w:t>
      </w:r>
      <w:r w:rsidR="00CB086F">
        <w:rPr>
          <w:rStyle w:val="FootnoteReference"/>
        </w:rPr>
        <w:footnoteReference w:id="79"/>
      </w:r>
      <w:r w:rsidR="00F947B4">
        <w:t xml:space="preserve"> </w:t>
      </w:r>
      <w:r w:rsidR="00CB086F">
        <w:t xml:space="preserve">after </w:t>
      </w:r>
      <w:r w:rsidR="00BA7E69">
        <w:t>her lovers, but not</w:t>
      </w:r>
      <w:r w:rsidR="00C36912">
        <w:t xml:space="preserve"> catch up with them; </w:t>
      </w:r>
    </w:p>
    <w:p w:rsidR="00C36912" w:rsidRDefault="00957BD9" w:rsidP="00B924B1">
      <w:pPr>
        <w:pStyle w:val="NoSpacing"/>
        <w:ind w:left="720"/>
      </w:pPr>
      <w:r>
        <w:tab/>
        <w:t>s</w:t>
      </w:r>
      <w:r w:rsidR="00146FEB">
        <w:t>he’</w:t>
      </w:r>
      <w:r w:rsidR="00C36912">
        <w:t xml:space="preserve">ll seek </w:t>
      </w:r>
      <w:r w:rsidR="00EC0992">
        <w:t xml:space="preserve">help from </w:t>
      </w:r>
      <w:r w:rsidR="00C36912">
        <w:t>the</w:t>
      </w:r>
      <w:r w:rsidR="00D77D9C">
        <w:t>m, but not find</w:t>
      </w:r>
      <w:r w:rsidR="00C36912">
        <w:t>.</w:t>
      </w:r>
    </w:p>
    <w:p w:rsidR="00C36912" w:rsidRDefault="00146FEB" w:rsidP="00B924B1">
      <w:pPr>
        <w:pStyle w:val="NoSpacing"/>
        <w:ind w:left="720"/>
      </w:pPr>
      <w:r>
        <w:t>And she’</w:t>
      </w:r>
      <w:r w:rsidR="00650F2E">
        <w:t>ll say, “I’</w:t>
      </w:r>
      <w:r w:rsidR="00C36912">
        <w:t>ll go</w:t>
      </w:r>
      <w:r w:rsidR="00931A4C">
        <w:t xml:space="preserve">, and </w:t>
      </w:r>
      <w:r w:rsidR="00C36912">
        <w:t xml:space="preserve">turn </w:t>
      </w:r>
      <w:r w:rsidR="00931A4C">
        <w:t>back</w:t>
      </w:r>
    </w:p>
    <w:p w:rsidR="00C36912" w:rsidRDefault="00842A08" w:rsidP="00B924B1">
      <w:pPr>
        <w:pStyle w:val="NoSpacing"/>
        <w:ind w:left="720"/>
      </w:pPr>
      <w:r>
        <w:tab/>
        <w:t>to my first man</w:t>
      </w:r>
      <w:r w:rsidR="00C36912">
        <w:t>,</w:t>
      </w:r>
      <w:r>
        <w:rPr>
          <w:rStyle w:val="FootnoteReference"/>
        </w:rPr>
        <w:footnoteReference w:id="80"/>
      </w:r>
    </w:p>
    <w:p w:rsidR="00C36912" w:rsidRDefault="00C36912" w:rsidP="00B924B1">
      <w:pPr>
        <w:pStyle w:val="NoSpacing"/>
        <w:ind w:left="720"/>
      </w:pPr>
      <w:r>
        <w:t xml:space="preserve">Because </w:t>
      </w:r>
      <w:r w:rsidR="008B6959">
        <w:t>things were good</w:t>
      </w:r>
      <w:r>
        <w:t xml:space="preserve"> for me</w:t>
      </w:r>
      <w:r w:rsidR="008B6959">
        <w:t>,</w:t>
      </w:r>
    </w:p>
    <w:p w:rsidR="00713D13" w:rsidRDefault="00C36912" w:rsidP="00B924B1">
      <w:pPr>
        <w:pStyle w:val="NoSpacing"/>
        <w:ind w:left="720"/>
      </w:pPr>
      <w:r>
        <w:tab/>
      </w:r>
      <w:r w:rsidR="008B6959">
        <w:t xml:space="preserve">more so </w:t>
      </w:r>
      <w:r>
        <w:t>then than now</w:t>
      </w:r>
      <w:r w:rsidR="00F0023A">
        <w:t>.”</w:t>
      </w:r>
      <w:r w:rsidR="00F0023A">
        <w:br/>
      </w:r>
      <w:r w:rsidR="00F0023A">
        <w:rPr>
          <w:vertAlign w:val="superscript"/>
        </w:rPr>
        <w:t>8</w:t>
      </w:r>
      <w:r w:rsidR="002D2222">
        <w:t>But she—she</w:t>
      </w:r>
      <w:r w:rsidR="0024290A">
        <w:t xml:space="preserve"> hasn’</w:t>
      </w:r>
      <w:r w:rsidR="00713D13">
        <w:t xml:space="preserve">t acknowledged </w:t>
      </w:r>
    </w:p>
    <w:p w:rsidR="00C36912" w:rsidRDefault="00AE779E" w:rsidP="00B924B1">
      <w:pPr>
        <w:pStyle w:val="NoSpacing"/>
        <w:ind w:left="720"/>
      </w:pPr>
      <w:r>
        <w:tab/>
        <w:t>that I’</w:t>
      </w:r>
      <w:r w:rsidR="00713D13">
        <w:t>m the one who gave her</w:t>
      </w:r>
    </w:p>
    <w:p w:rsidR="00713D13" w:rsidRDefault="00D71F1D" w:rsidP="00B924B1">
      <w:pPr>
        <w:pStyle w:val="NoSpacing"/>
        <w:ind w:left="720"/>
      </w:pPr>
      <w:r>
        <w:tab/>
        <w:t>t</w:t>
      </w:r>
      <w:r w:rsidR="009441E6">
        <w:t>he wheat</w:t>
      </w:r>
      <w:r w:rsidR="00713D13">
        <w:t xml:space="preserve"> and </w:t>
      </w:r>
      <w:r>
        <w:t>the new wine and the fresh oil,</w:t>
      </w:r>
      <w:r w:rsidR="00713D13">
        <w:tab/>
      </w:r>
    </w:p>
    <w:p w:rsidR="00713D13" w:rsidRDefault="00D71F1D" w:rsidP="00B924B1">
      <w:pPr>
        <w:pStyle w:val="NoSpacing"/>
        <w:ind w:left="720"/>
      </w:pPr>
      <w:r>
        <w:t>a</w:t>
      </w:r>
      <w:r w:rsidR="00713D13">
        <w:t xml:space="preserve">nd </w:t>
      </w:r>
      <w:r>
        <w:t>silver that I made manifold</w:t>
      </w:r>
      <w:r w:rsidR="00594521">
        <w:t xml:space="preserve"> for her</w:t>
      </w:r>
      <w:r w:rsidR="00713D13">
        <w:t xml:space="preserve">, </w:t>
      </w:r>
    </w:p>
    <w:p w:rsidR="00713D13" w:rsidRDefault="00713D13" w:rsidP="00B924B1">
      <w:pPr>
        <w:pStyle w:val="NoSpacing"/>
        <w:ind w:left="720"/>
      </w:pPr>
      <w:r>
        <w:tab/>
        <w:t>and gold</w:t>
      </w:r>
      <w:r w:rsidR="00594521">
        <w:t xml:space="preserve"> </w:t>
      </w:r>
      <w:r w:rsidR="00D71F1D">
        <w:t xml:space="preserve">that </w:t>
      </w:r>
      <w:r w:rsidR="00594521">
        <w:t>they used</w:t>
      </w:r>
      <w:r w:rsidR="00A30233">
        <w:t xml:space="preserve"> for the Master</w:t>
      </w:r>
      <w:r>
        <w:t>.</w:t>
      </w:r>
      <w:r w:rsidR="00757AA3" w:rsidRPr="00757AA3">
        <w:rPr>
          <w:vertAlign w:val="superscript"/>
        </w:rPr>
        <w:footnoteReference w:id="81"/>
      </w:r>
    </w:p>
    <w:p w:rsidR="001C3DFC" w:rsidRDefault="001C3DFC" w:rsidP="00B924B1">
      <w:pPr>
        <w:pStyle w:val="NoSpacing"/>
        <w:ind w:left="720"/>
      </w:pPr>
    </w:p>
    <w:p w:rsidR="00A149AF" w:rsidRDefault="00F0023A" w:rsidP="00B924B1">
      <w:pPr>
        <w:pStyle w:val="NoSpacing"/>
        <w:ind w:left="720"/>
      </w:pPr>
      <w:r>
        <w:rPr>
          <w:vertAlign w:val="superscript"/>
        </w:rPr>
        <w:t>9</w:t>
      </w:r>
      <w:r w:rsidR="00713D13">
        <w:t>Therefore</w:t>
      </w:r>
      <w:r w:rsidR="0048335E">
        <w:t xml:space="preserve"> I’</w:t>
      </w:r>
      <w:r w:rsidR="003E718F">
        <w:t>l</w:t>
      </w:r>
      <w:r w:rsidR="00A149AF">
        <w:t>l take back</w:t>
      </w:r>
      <w:r w:rsidR="0067038B">
        <w:rPr>
          <w:rStyle w:val="FootnoteReference"/>
        </w:rPr>
        <w:footnoteReference w:id="82"/>
      </w:r>
      <w:r w:rsidR="00A149AF">
        <w:t xml:space="preserve"> </w:t>
      </w:r>
    </w:p>
    <w:p w:rsidR="001C3DFC" w:rsidRDefault="009441E6" w:rsidP="00B924B1">
      <w:pPr>
        <w:pStyle w:val="NoSpacing"/>
        <w:ind w:left="720"/>
      </w:pPr>
      <w:r>
        <w:tab/>
        <w:t>my wheat</w:t>
      </w:r>
      <w:r w:rsidR="00A149AF">
        <w:t xml:space="preserve"> in its time </w:t>
      </w:r>
    </w:p>
    <w:p w:rsidR="00713D13" w:rsidRDefault="001C3DFC" w:rsidP="00B924B1">
      <w:pPr>
        <w:pStyle w:val="NoSpacing"/>
        <w:ind w:left="720"/>
      </w:pPr>
      <w:r>
        <w:tab/>
      </w:r>
      <w:r w:rsidR="00A149AF">
        <w:t xml:space="preserve">and my new wine in its </w:t>
      </w:r>
      <w:r w:rsidR="003E718F">
        <w:t xml:space="preserve">set </w:t>
      </w:r>
      <w:r w:rsidR="00A149AF">
        <w:t>season.</w:t>
      </w:r>
    </w:p>
    <w:p w:rsidR="00A149AF" w:rsidRDefault="0048335E" w:rsidP="00B924B1">
      <w:pPr>
        <w:pStyle w:val="NoSpacing"/>
        <w:ind w:left="720"/>
      </w:pPr>
      <w:r>
        <w:t>I’</w:t>
      </w:r>
      <w:r w:rsidR="00697230">
        <w:t>ll rescue</w:t>
      </w:r>
      <w:r w:rsidR="00ED6319">
        <w:t xml:space="preserve"> my wool and my flax</w:t>
      </w:r>
      <w:r w:rsidR="00A149AF">
        <w:t xml:space="preserve"> </w:t>
      </w:r>
    </w:p>
    <w:p w:rsidR="00A149AF" w:rsidRDefault="00A149AF" w:rsidP="00B924B1">
      <w:pPr>
        <w:pStyle w:val="NoSpacing"/>
        <w:ind w:left="720"/>
      </w:pPr>
      <w:r>
        <w:tab/>
        <w:t>for covering</w:t>
      </w:r>
      <w:r w:rsidR="002D2222">
        <w:rPr>
          <w:rStyle w:val="FootnoteReference"/>
        </w:rPr>
        <w:footnoteReference w:id="83"/>
      </w:r>
      <w:r>
        <w:t xml:space="preserve"> her nakedness.</w:t>
      </w:r>
    </w:p>
    <w:p w:rsidR="008D579A" w:rsidRDefault="00F0023A" w:rsidP="00B924B1">
      <w:pPr>
        <w:pStyle w:val="NoSpacing"/>
        <w:ind w:left="720"/>
      </w:pPr>
      <w:r>
        <w:rPr>
          <w:vertAlign w:val="superscript"/>
        </w:rPr>
        <w:t>10</w:t>
      </w:r>
      <w:r w:rsidR="0048335E">
        <w:t>And now I’</w:t>
      </w:r>
      <w:r w:rsidR="00AE779E">
        <w:t>ll expose</w:t>
      </w:r>
      <w:r>
        <w:t xml:space="preserve"> </w:t>
      </w:r>
      <w:r w:rsidR="008D579A">
        <w:t xml:space="preserve">her mindlessness </w:t>
      </w:r>
    </w:p>
    <w:p w:rsidR="008D579A" w:rsidRDefault="00697230" w:rsidP="00B924B1">
      <w:pPr>
        <w:pStyle w:val="NoSpacing"/>
        <w:ind w:left="720"/>
      </w:pPr>
      <w:r>
        <w:tab/>
        <w:t>before the eyes of her lovers.</w:t>
      </w:r>
      <w:r w:rsidR="008D579A">
        <w:t xml:space="preserve"> </w:t>
      </w:r>
    </w:p>
    <w:p w:rsidR="00F0023A" w:rsidRDefault="008D579A" w:rsidP="00B924B1">
      <w:pPr>
        <w:pStyle w:val="NoSpacing"/>
        <w:ind w:left="720"/>
      </w:pPr>
      <w:r>
        <w:t xml:space="preserve">None will rescue her from my hand, </w:t>
      </w:r>
    </w:p>
    <w:p w:rsidR="008D579A" w:rsidRDefault="008D579A" w:rsidP="00B924B1">
      <w:pPr>
        <w:pStyle w:val="NoSpacing"/>
        <w:ind w:left="720"/>
      </w:pPr>
      <w:r>
        <w:tab/>
      </w:r>
      <w:r>
        <w:rPr>
          <w:vertAlign w:val="superscript"/>
        </w:rPr>
        <w:t>11</w:t>
      </w:r>
      <w:r w:rsidR="0048335E">
        <w:t>and I’</w:t>
      </w:r>
      <w:r w:rsidR="005612E9">
        <w:t>ll stop</w:t>
      </w:r>
      <w:r>
        <w:t xml:space="preserve"> </w:t>
      </w:r>
      <w:r w:rsidR="00D559EB">
        <w:t>all her celebration</w:t>
      </w:r>
      <w:r>
        <w:t>,</w:t>
      </w:r>
    </w:p>
    <w:p w:rsidR="008D579A" w:rsidRDefault="008D579A" w:rsidP="00B924B1">
      <w:pPr>
        <w:pStyle w:val="NoSpacing"/>
        <w:ind w:left="720"/>
      </w:pPr>
      <w:r>
        <w:t xml:space="preserve">Her festival, her new month, and her </w:t>
      </w:r>
      <w:r w:rsidR="00D32DFF">
        <w:t>Sabbath</w:t>
      </w:r>
      <w:r>
        <w:t xml:space="preserve">, </w:t>
      </w:r>
    </w:p>
    <w:p w:rsidR="008D579A" w:rsidRDefault="00AD1F89" w:rsidP="00B924B1">
      <w:pPr>
        <w:pStyle w:val="NoSpacing"/>
        <w:ind w:left="720"/>
      </w:pPr>
      <w:r>
        <w:tab/>
        <w:t>yes,</w:t>
      </w:r>
      <w:r w:rsidRPr="00AD1F89">
        <w:rPr>
          <w:vertAlign w:val="superscript"/>
        </w:rPr>
        <w:footnoteReference w:id="84"/>
      </w:r>
      <w:r>
        <w:t xml:space="preserve"> </w:t>
      </w:r>
      <w:r w:rsidR="008D579A">
        <w:t>every set occasion of hers.</w:t>
      </w:r>
    </w:p>
    <w:p w:rsidR="008D579A" w:rsidRDefault="008D579A" w:rsidP="00B924B1">
      <w:pPr>
        <w:pStyle w:val="NoSpacing"/>
        <w:ind w:left="720"/>
      </w:pPr>
      <w:r>
        <w:rPr>
          <w:vertAlign w:val="superscript"/>
        </w:rPr>
        <w:t>12</w:t>
      </w:r>
      <w:r w:rsidR="0048335E">
        <w:t>I’</w:t>
      </w:r>
      <w:r>
        <w:t>ll lay waste to her vine and her fig tree,</w:t>
      </w:r>
    </w:p>
    <w:p w:rsidR="008D579A" w:rsidRDefault="0048335E" w:rsidP="00B924B1">
      <w:pPr>
        <w:pStyle w:val="NoSpacing"/>
        <w:ind w:left="720"/>
      </w:pPr>
      <w:r>
        <w:tab/>
        <w:t>of which she’</w:t>
      </w:r>
      <w:r w:rsidR="008D579A">
        <w:t>s said,</w:t>
      </w:r>
    </w:p>
    <w:p w:rsidR="008D579A" w:rsidRDefault="00650F2E" w:rsidP="00B924B1">
      <w:pPr>
        <w:pStyle w:val="NoSpacing"/>
        <w:ind w:left="720"/>
      </w:pPr>
      <w:r>
        <w:t>“They’</w:t>
      </w:r>
      <w:r w:rsidR="00422950">
        <w:t>re a “gift”</w:t>
      </w:r>
      <w:r w:rsidR="0060760F">
        <w:rPr>
          <w:rStyle w:val="FootnoteReference"/>
        </w:rPr>
        <w:footnoteReference w:id="85"/>
      </w:r>
      <w:r w:rsidR="008D579A">
        <w:t xml:space="preserve"> for me, </w:t>
      </w:r>
    </w:p>
    <w:p w:rsidR="008D579A" w:rsidRDefault="008D579A" w:rsidP="00B924B1">
      <w:pPr>
        <w:pStyle w:val="NoSpacing"/>
        <w:ind w:left="720"/>
      </w:pPr>
      <w:r>
        <w:tab/>
        <w:t xml:space="preserve">which my lovers </w:t>
      </w:r>
      <w:r w:rsidR="00697230">
        <w:t>have given</w:t>
      </w:r>
      <w:r>
        <w:t xml:space="preserve"> me.”</w:t>
      </w:r>
    </w:p>
    <w:p w:rsidR="008D579A" w:rsidRDefault="0048335E" w:rsidP="00B924B1">
      <w:pPr>
        <w:pStyle w:val="NoSpacing"/>
        <w:ind w:left="720"/>
      </w:pPr>
      <w:r>
        <w:lastRenderedPageBreak/>
        <w:t>I’</w:t>
      </w:r>
      <w:r w:rsidR="008D579A">
        <w:t>ll turn them into a wood,</w:t>
      </w:r>
      <w:r w:rsidR="00697230">
        <w:rPr>
          <w:rStyle w:val="FootnoteReference"/>
        </w:rPr>
        <w:footnoteReference w:id="86"/>
      </w:r>
      <w:r w:rsidR="008D579A">
        <w:t xml:space="preserve"> </w:t>
      </w:r>
    </w:p>
    <w:p w:rsidR="008D579A" w:rsidRDefault="008D579A" w:rsidP="00B924B1">
      <w:pPr>
        <w:pStyle w:val="NoSpacing"/>
        <w:ind w:left="720"/>
      </w:pPr>
      <w:r>
        <w:tab/>
        <w:t>and the creature of the wild will eat them.</w:t>
      </w:r>
    </w:p>
    <w:p w:rsidR="008D579A" w:rsidRDefault="008D579A" w:rsidP="003D1825">
      <w:pPr>
        <w:pStyle w:val="NoSpacing"/>
        <w:tabs>
          <w:tab w:val="left" w:pos="5535"/>
        </w:tabs>
        <w:ind w:left="720"/>
      </w:pPr>
      <w:r>
        <w:rPr>
          <w:vertAlign w:val="superscript"/>
        </w:rPr>
        <w:t>13</w:t>
      </w:r>
      <w:r w:rsidR="0048335E">
        <w:t>I’</w:t>
      </w:r>
      <w:r>
        <w:t>ll attend</w:t>
      </w:r>
      <w:r w:rsidR="003D1825">
        <w:rPr>
          <w:rStyle w:val="FootnoteReference"/>
        </w:rPr>
        <w:footnoteReference w:id="87"/>
      </w:r>
      <w:r>
        <w:t xml:space="preserve"> to her for the days of the Masters, </w:t>
      </w:r>
      <w:r w:rsidR="003D1825">
        <w:tab/>
      </w:r>
    </w:p>
    <w:p w:rsidR="008D579A" w:rsidRDefault="008D579A" w:rsidP="00B924B1">
      <w:pPr>
        <w:pStyle w:val="NoSpacing"/>
        <w:ind w:left="720"/>
      </w:pPr>
      <w:r>
        <w:tab/>
        <w:t>for whom she burns incense</w:t>
      </w:r>
      <w:r w:rsidR="00E2338E">
        <w:t>,</w:t>
      </w:r>
      <w:r w:rsidR="00B26623">
        <w:rPr>
          <w:rStyle w:val="FootnoteReference"/>
        </w:rPr>
        <w:footnoteReference w:id="88"/>
      </w:r>
    </w:p>
    <w:p w:rsidR="00E2338E" w:rsidRDefault="001C37E1" w:rsidP="00B924B1">
      <w:pPr>
        <w:pStyle w:val="NoSpacing"/>
        <w:ind w:left="720"/>
      </w:pPr>
      <w:r>
        <w:t xml:space="preserve">And </w:t>
      </w:r>
      <w:r w:rsidR="006B021B">
        <w:t xml:space="preserve">has </w:t>
      </w:r>
      <w:r w:rsidR="004D627C">
        <w:t xml:space="preserve">decked herself with </w:t>
      </w:r>
      <w:r w:rsidR="00E2338E">
        <w:t>ring</w:t>
      </w:r>
      <w:r w:rsidR="004D627C">
        <w:t xml:space="preserve"> and </w:t>
      </w:r>
      <w:r w:rsidR="00B13450">
        <w:t>necklace</w:t>
      </w:r>
      <w:r w:rsidR="00E2338E">
        <w:t xml:space="preserve">, </w:t>
      </w:r>
    </w:p>
    <w:p w:rsidR="00E2338E" w:rsidRDefault="006B021B" w:rsidP="00B924B1">
      <w:pPr>
        <w:pStyle w:val="NoSpacing"/>
        <w:ind w:left="720"/>
      </w:pPr>
      <w:r>
        <w:tab/>
        <w:t>and gone</w:t>
      </w:r>
      <w:r w:rsidR="00556C5B">
        <w:t xml:space="preserve"> after</w:t>
      </w:r>
      <w:r w:rsidR="00E2338E">
        <w:t xml:space="preserve"> her lovers, </w:t>
      </w:r>
    </w:p>
    <w:p w:rsidR="00E2338E" w:rsidRDefault="00E2338E" w:rsidP="00B924B1">
      <w:pPr>
        <w:pStyle w:val="NoSpacing"/>
        <w:ind w:left="720"/>
      </w:pPr>
      <w:r>
        <w:tab/>
        <w:t xml:space="preserve">and </w:t>
      </w:r>
      <w:r w:rsidR="0048335E">
        <w:t>as for me—she’</w:t>
      </w:r>
      <w:r w:rsidR="006072F8">
        <w:t xml:space="preserve">s </w:t>
      </w:r>
      <w:r>
        <w:t xml:space="preserve">disregarded me (Yahweh’s </w:t>
      </w:r>
      <w:r w:rsidR="00C73987">
        <w:t>proclamation</w:t>
      </w:r>
      <w:r>
        <w:t>).</w:t>
      </w:r>
    </w:p>
    <w:p w:rsidR="00E2338E" w:rsidRDefault="00E2338E" w:rsidP="00B924B1">
      <w:pPr>
        <w:pStyle w:val="NoSpacing"/>
        <w:ind w:left="720"/>
      </w:pPr>
    </w:p>
    <w:p w:rsidR="00776CB1" w:rsidRDefault="00E2338E" w:rsidP="00B924B1">
      <w:pPr>
        <w:pStyle w:val="NoSpacing"/>
        <w:ind w:left="720"/>
      </w:pPr>
      <w:r>
        <w:rPr>
          <w:vertAlign w:val="superscript"/>
        </w:rPr>
        <w:t>14</w:t>
      </w:r>
      <w:r w:rsidR="006B021B">
        <w:t>Therefore, here, I’</w:t>
      </w:r>
      <w:r>
        <w:t>m going to</w:t>
      </w:r>
      <w:r w:rsidR="00540938">
        <w:t xml:space="preserve"> entice</w:t>
      </w:r>
      <w:r w:rsidR="00DC17DC">
        <w:rPr>
          <w:rStyle w:val="FootnoteReference"/>
        </w:rPr>
        <w:footnoteReference w:id="89"/>
      </w:r>
      <w:r w:rsidR="00776CB1">
        <w:t xml:space="preserve"> her, </w:t>
      </w:r>
    </w:p>
    <w:p w:rsidR="001C3DFC" w:rsidRDefault="0048335E" w:rsidP="00B924B1">
      <w:pPr>
        <w:pStyle w:val="NoSpacing"/>
        <w:ind w:left="720"/>
      </w:pPr>
      <w:r>
        <w:tab/>
        <w:t>and I’</w:t>
      </w:r>
      <w:r w:rsidR="00776CB1">
        <w:t xml:space="preserve">ll get her to go to the wilderness, </w:t>
      </w:r>
    </w:p>
    <w:p w:rsidR="00E2338E" w:rsidRDefault="001C3DFC" w:rsidP="00B924B1">
      <w:pPr>
        <w:pStyle w:val="NoSpacing"/>
        <w:ind w:left="720"/>
      </w:pPr>
      <w:r>
        <w:tab/>
      </w:r>
      <w:r w:rsidR="00AF45FE">
        <w:t xml:space="preserve">and </w:t>
      </w:r>
      <w:r w:rsidR="0048335E">
        <w:t>I’</w:t>
      </w:r>
      <w:r w:rsidR="002A49CF">
        <w:t xml:space="preserve">ll </w:t>
      </w:r>
      <w:r w:rsidR="001F3E46">
        <w:t>speak</w:t>
      </w:r>
      <w:r w:rsidR="0048335E" w:rsidRPr="0048335E">
        <w:rPr>
          <w:vertAlign w:val="superscript"/>
        </w:rPr>
        <w:footnoteReference w:id="90"/>
      </w:r>
      <w:r w:rsidR="001F3E46">
        <w:t xml:space="preserve"> to her inner self</w:t>
      </w:r>
      <w:r w:rsidR="00776CB1">
        <w:t>.</w:t>
      </w:r>
      <w:r w:rsidR="00190A9B">
        <w:rPr>
          <w:rStyle w:val="FootnoteReference"/>
        </w:rPr>
        <w:footnoteReference w:id="91"/>
      </w:r>
    </w:p>
    <w:p w:rsidR="00776CB1" w:rsidRDefault="00776CB1" w:rsidP="00B924B1">
      <w:pPr>
        <w:pStyle w:val="NoSpacing"/>
        <w:ind w:left="720"/>
      </w:pPr>
      <w:r>
        <w:rPr>
          <w:vertAlign w:val="superscript"/>
        </w:rPr>
        <w:t>15</w:t>
      </w:r>
      <w:r w:rsidR="0048335E">
        <w:t>I’</w:t>
      </w:r>
      <w:r w:rsidR="00AF45FE">
        <w:t xml:space="preserve">ll give </w:t>
      </w:r>
      <w:r w:rsidR="00BA3939">
        <w:t xml:space="preserve">her vineyards </w:t>
      </w:r>
      <w:r w:rsidR="00AF45FE">
        <w:t xml:space="preserve">to her </w:t>
      </w:r>
      <w:r w:rsidR="00BA3939">
        <w:t>from there,</w:t>
      </w:r>
    </w:p>
    <w:p w:rsidR="00BA3939" w:rsidRDefault="00BA3939" w:rsidP="00B924B1">
      <w:pPr>
        <w:pStyle w:val="NoSpacing"/>
        <w:ind w:left="720"/>
      </w:pPr>
      <w:r>
        <w:tab/>
        <w:t>and Trouble Vale as Hope’s Entrance.</w:t>
      </w:r>
      <w:r w:rsidR="00CD38CE">
        <w:rPr>
          <w:rStyle w:val="FootnoteReference"/>
        </w:rPr>
        <w:footnoteReference w:id="92"/>
      </w:r>
    </w:p>
    <w:p w:rsidR="00BA3939" w:rsidRDefault="00BA3939" w:rsidP="00B924B1">
      <w:pPr>
        <w:pStyle w:val="NoSpacing"/>
        <w:ind w:left="720"/>
      </w:pPr>
      <w:r>
        <w:t>S</w:t>
      </w:r>
      <w:r w:rsidR="00756F36">
        <w:t>he’</w:t>
      </w:r>
      <w:r w:rsidR="00540938">
        <w:t>ll ave</w:t>
      </w:r>
      <w:r w:rsidR="00EF1ED8">
        <w:t>r</w:t>
      </w:r>
      <w:r w:rsidR="00540938">
        <w:rPr>
          <w:rStyle w:val="FootnoteReference"/>
        </w:rPr>
        <w:footnoteReference w:id="93"/>
      </w:r>
      <w:r>
        <w:t xml:space="preserve"> there as in the days of her youth, </w:t>
      </w:r>
    </w:p>
    <w:p w:rsidR="00BA3939" w:rsidRDefault="00BA3939" w:rsidP="00B924B1">
      <w:pPr>
        <w:pStyle w:val="NoSpacing"/>
        <w:ind w:left="720"/>
      </w:pPr>
      <w:r>
        <w:tab/>
        <w:t>as on the day she c</w:t>
      </w:r>
      <w:r w:rsidR="00DD49C2">
        <w:t>ame up from the country of Miṣrayim</w:t>
      </w:r>
      <w:r>
        <w:t>.</w:t>
      </w:r>
    </w:p>
    <w:p w:rsidR="00FF586D" w:rsidRPr="00FF586D" w:rsidRDefault="00BA3939" w:rsidP="00B924B1">
      <w:pPr>
        <w:pStyle w:val="NoSpacing"/>
        <w:ind w:left="720"/>
      </w:pPr>
      <w:r>
        <w:rPr>
          <w:vertAlign w:val="superscript"/>
        </w:rPr>
        <w:t>16</w:t>
      </w:r>
      <w:r>
        <w:t xml:space="preserve">On that day (Yahweh’s </w:t>
      </w:r>
      <w:r w:rsidR="00C73987">
        <w:t>proclamation</w:t>
      </w:r>
      <w:r w:rsidR="00756F36">
        <w:t>) you’</w:t>
      </w:r>
      <w:r w:rsidR="00FF586D">
        <w:t>ll call, “My man</w:t>
      </w:r>
      <w:r>
        <w:t>!”</w:t>
      </w:r>
    </w:p>
    <w:p w:rsidR="00BA3939" w:rsidRDefault="006072F8" w:rsidP="00B924B1">
      <w:pPr>
        <w:pStyle w:val="NoSpacing"/>
        <w:ind w:left="720"/>
      </w:pPr>
      <w:r>
        <w:t xml:space="preserve"> </w:t>
      </w:r>
      <w:r>
        <w:tab/>
        <w:t>and not call to me any</w:t>
      </w:r>
      <w:r w:rsidR="00BA3939">
        <w:t>more, “My master.”</w:t>
      </w:r>
      <w:r w:rsidR="007C1BE1">
        <w:rPr>
          <w:rStyle w:val="FootnoteReference"/>
        </w:rPr>
        <w:footnoteReference w:id="94"/>
      </w:r>
    </w:p>
    <w:p w:rsidR="00BA3939" w:rsidRDefault="00BA3939" w:rsidP="00B924B1">
      <w:pPr>
        <w:pStyle w:val="NoSpacing"/>
        <w:ind w:left="720"/>
      </w:pPr>
      <w:r>
        <w:rPr>
          <w:vertAlign w:val="superscript"/>
        </w:rPr>
        <w:t>17</w:t>
      </w:r>
      <w:r w:rsidR="00756F36">
        <w:t>I’</w:t>
      </w:r>
      <w:r>
        <w:t xml:space="preserve">ll put away the names of the Masters from her mouth; </w:t>
      </w:r>
    </w:p>
    <w:p w:rsidR="00C36912" w:rsidRDefault="00756F36" w:rsidP="00B924B1">
      <w:pPr>
        <w:pStyle w:val="NoSpacing"/>
        <w:ind w:left="720"/>
      </w:pPr>
      <w:r>
        <w:tab/>
        <w:t>they won’</w:t>
      </w:r>
      <w:r w:rsidR="006A71B3">
        <w:t>t be brought to mind</w:t>
      </w:r>
      <w:r w:rsidR="00FB4C2B">
        <w:rPr>
          <w:rStyle w:val="FootnoteReference"/>
        </w:rPr>
        <w:footnoteReference w:id="95"/>
      </w:r>
      <w:r w:rsidR="006072F8">
        <w:t xml:space="preserve"> any</w:t>
      </w:r>
      <w:r w:rsidR="0057636D">
        <w:t>more by their name</w:t>
      </w:r>
      <w:r w:rsidR="00BA3939">
        <w:t>.</w:t>
      </w:r>
    </w:p>
    <w:p w:rsidR="005C68E1" w:rsidRDefault="005C68E1" w:rsidP="00B924B1">
      <w:pPr>
        <w:pStyle w:val="NoSpacing"/>
        <w:ind w:left="720"/>
      </w:pPr>
      <w:r>
        <w:rPr>
          <w:vertAlign w:val="superscript"/>
        </w:rPr>
        <w:t>18</w:t>
      </w:r>
      <w:r w:rsidR="00756F36">
        <w:t>I’</w:t>
      </w:r>
      <w:r>
        <w:t>ll solemnize a pact for them</w:t>
      </w:r>
      <w:r w:rsidR="001F3E46">
        <w:rPr>
          <w:rStyle w:val="FootnoteReference"/>
        </w:rPr>
        <w:footnoteReference w:id="96"/>
      </w:r>
      <w:r>
        <w:t xml:space="preserve"> </w:t>
      </w:r>
    </w:p>
    <w:p w:rsidR="005C68E1" w:rsidRDefault="005C68E1" w:rsidP="00B924B1">
      <w:pPr>
        <w:pStyle w:val="NoSpacing"/>
        <w:ind w:left="720"/>
      </w:pPr>
      <w:r>
        <w:tab/>
        <w:t>on that day</w:t>
      </w:r>
    </w:p>
    <w:p w:rsidR="005C68E1" w:rsidRDefault="005C68E1" w:rsidP="00B924B1">
      <w:pPr>
        <w:pStyle w:val="NoSpacing"/>
        <w:ind w:left="720"/>
      </w:pPr>
      <w:r>
        <w:t>With the creature of the wild and with the bird of the heavens,</w:t>
      </w:r>
    </w:p>
    <w:p w:rsidR="005C68E1" w:rsidRDefault="005C68E1" w:rsidP="00B924B1">
      <w:pPr>
        <w:pStyle w:val="NoSpacing"/>
        <w:ind w:left="720"/>
      </w:pPr>
      <w:r>
        <w:tab/>
        <w:t>and the thing that moves on the ground.</w:t>
      </w:r>
    </w:p>
    <w:p w:rsidR="005C68E1" w:rsidRDefault="007861DC" w:rsidP="00B924B1">
      <w:pPr>
        <w:pStyle w:val="NoSpacing"/>
        <w:ind w:left="720"/>
      </w:pPr>
      <w:r>
        <w:t>B</w:t>
      </w:r>
      <w:r w:rsidR="005C68E1">
        <w:t xml:space="preserve">ow and sword and battle </w:t>
      </w:r>
    </w:p>
    <w:p w:rsidR="005C68E1" w:rsidRDefault="00756F36" w:rsidP="00B924B1">
      <w:pPr>
        <w:pStyle w:val="NoSpacing"/>
        <w:ind w:left="720"/>
      </w:pPr>
      <w:r>
        <w:tab/>
        <w:t>I’</w:t>
      </w:r>
      <w:r w:rsidR="005C68E1">
        <w:t xml:space="preserve">ll break from the country, </w:t>
      </w:r>
    </w:p>
    <w:p w:rsidR="005C68E1" w:rsidRDefault="005C68E1" w:rsidP="00B924B1">
      <w:pPr>
        <w:pStyle w:val="NoSpacing"/>
        <w:ind w:left="720"/>
      </w:pPr>
      <w:r>
        <w:tab/>
        <w:t>and let them</w:t>
      </w:r>
      <w:r w:rsidR="0024258A">
        <w:rPr>
          <w:rStyle w:val="FootnoteReference"/>
        </w:rPr>
        <w:footnoteReference w:id="97"/>
      </w:r>
      <w:r>
        <w:t xml:space="preserve"> lie down in confidence.</w:t>
      </w:r>
      <w:r w:rsidR="0024258A">
        <w:rPr>
          <w:rStyle w:val="FootnoteReference"/>
        </w:rPr>
        <w:footnoteReference w:id="98"/>
      </w:r>
    </w:p>
    <w:p w:rsidR="005C68E1" w:rsidRDefault="005C68E1" w:rsidP="00B924B1">
      <w:pPr>
        <w:pStyle w:val="NoSpacing"/>
        <w:ind w:left="720"/>
      </w:pPr>
    </w:p>
    <w:p w:rsidR="005C68E1" w:rsidRDefault="005C68E1" w:rsidP="00B924B1">
      <w:pPr>
        <w:pStyle w:val="NoSpacing"/>
        <w:ind w:left="720"/>
      </w:pPr>
      <w:r>
        <w:rPr>
          <w:vertAlign w:val="superscript"/>
        </w:rPr>
        <w:t>19</w:t>
      </w:r>
      <w:r w:rsidR="00756F36">
        <w:t>I’</w:t>
      </w:r>
      <w:r>
        <w:t>l</w:t>
      </w:r>
      <w:r w:rsidR="00893F63">
        <w:t>l betroth you as mine</w:t>
      </w:r>
      <w:r w:rsidR="00BD439E">
        <w:t xml:space="preserve"> permanently;</w:t>
      </w:r>
    </w:p>
    <w:p w:rsidR="005C68E1" w:rsidRDefault="00756F36" w:rsidP="00B924B1">
      <w:pPr>
        <w:pStyle w:val="NoSpacing"/>
        <w:ind w:left="720"/>
      </w:pPr>
      <w:r>
        <w:tab/>
        <w:t>I’</w:t>
      </w:r>
      <w:r w:rsidR="00893F63">
        <w:t>ll betroth you as mine</w:t>
      </w:r>
      <w:r w:rsidR="005C68E1">
        <w:t xml:space="preserve"> with</w:t>
      </w:r>
      <w:r w:rsidR="00F45C5F">
        <w:rPr>
          <w:rStyle w:val="FootnoteReference"/>
        </w:rPr>
        <w:footnoteReference w:id="99"/>
      </w:r>
      <w:r w:rsidR="005C68E1">
        <w:t xml:space="preserve"> faithfuln</w:t>
      </w:r>
      <w:r w:rsidR="007D3A25">
        <w:t>ess in the making of decisions</w:t>
      </w:r>
      <w:r w:rsidR="005C68E1">
        <w:t>,</w:t>
      </w:r>
    </w:p>
    <w:p w:rsidR="005C68E1" w:rsidRDefault="005C68E1" w:rsidP="00B924B1">
      <w:pPr>
        <w:pStyle w:val="NoSpacing"/>
        <w:ind w:left="720"/>
      </w:pPr>
      <w:r>
        <w:tab/>
        <w:t xml:space="preserve">with commitment and </w:t>
      </w:r>
      <w:r w:rsidR="00E157DB">
        <w:t xml:space="preserve">with </w:t>
      </w:r>
      <w:r>
        <w:t>compassion.</w:t>
      </w:r>
    </w:p>
    <w:p w:rsidR="005C68E1" w:rsidRDefault="005C68E1" w:rsidP="00B924B1">
      <w:pPr>
        <w:pStyle w:val="NoSpacing"/>
        <w:ind w:left="720"/>
      </w:pPr>
      <w:r>
        <w:rPr>
          <w:vertAlign w:val="superscript"/>
        </w:rPr>
        <w:t>20</w:t>
      </w:r>
      <w:r w:rsidR="00756F36">
        <w:t>I’l</w:t>
      </w:r>
      <w:r w:rsidR="001C19DD">
        <w:t>l</w:t>
      </w:r>
      <w:r w:rsidR="00893F63">
        <w:t xml:space="preserve"> betroth you as mine</w:t>
      </w:r>
      <w:r w:rsidR="00CE3649">
        <w:t xml:space="preserve"> with</w:t>
      </w:r>
      <w:r>
        <w:t xml:space="preserve"> truth, </w:t>
      </w:r>
    </w:p>
    <w:p w:rsidR="005C68E1" w:rsidRDefault="00756F36" w:rsidP="00B924B1">
      <w:pPr>
        <w:pStyle w:val="NoSpacing"/>
        <w:ind w:left="720"/>
      </w:pPr>
      <w:r>
        <w:tab/>
        <w:t>and you’</w:t>
      </w:r>
      <w:r w:rsidR="005C68E1">
        <w:t>ll acknowledge Yahweh.</w:t>
      </w:r>
      <w:r w:rsidR="00CE3649">
        <w:rPr>
          <w:rStyle w:val="FootnoteReference"/>
        </w:rPr>
        <w:footnoteReference w:id="100"/>
      </w:r>
    </w:p>
    <w:p w:rsidR="00EF1ED8" w:rsidRDefault="005C68E1" w:rsidP="00B924B1">
      <w:pPr>
        <w:pStyle w:val="NoSpacing"/>
        <w:ind w:left="720"/>
      </w:pPr>
      <w:r>
        <w:rPr>
          <w:vertAlign w:val="superscript"/>
        </w:rPr>
        <w:t>21</w:t>
      </w:r>
      <w:r w:rsidR="00EF1ED8">
        <w:t>On that</w:t>
      </w:r>
      <w:r w:rsidR="006072F8">
        <w:t xml:space="preserve"> day</w:t>
      </w:r>
      <w:r w:rsidR="00756F36">
        <w:t xml:space="preserve"> I’</w:t>
      </w:r>
      <w:r w:rsidR="003A1DF0">
        <w:t>ll av</w:t>
      </w:r>
      <w:r>
        <w:t xml:space="preserve">er (Yahweh’s </w:t>
      </w:r>
      <w:r w:rsidR="00C73987">
        <w:t>proclamation</w:t>
      </w:r>
      <w:r>
        <w:t>)</w:t>
      </w:r>
      <w:r w:rsidR="00EF1ED8">
        <w:t xml:space="preserve">: </w:t>
      </w:r>
    </w:p>
    <w:p w:rsidR="005C68E1" w:rsidRDefault="00756F36" w:rsidP="00B924B1">
      <w:pPr>
        <w:pStyle w:val="NoSpacing"/>
        <w:ind w:left="720"/>
      </w:pPr>
      <w:r>
        <w:tab/>
        <w:t>I’</w:t>
      </w:r>
      <w:r w:rsidR="00EF1ED8">
        <w:t>ll aver to the heavens,</w:t>
      </w:r>
    </w:p>
    <w:p w:rsidR="00EF1ED8" w:rsidRDefault="00756F36" w:rsidP="00B924B1">
      <w:pPr>
        <w:pStyle w:val="NoSpacing"/>
        <w:ind w:left="720"/>
      </w:pPr>
      <w:r>
        <w:tab/>
        <w:t>and they’</w:t>
      </w:r>
      <w:r w:rsidR="00A32F38">
        <w:t>ll aver to the earth.</w:t>
      </w:r>
      <w:r w:rsidR="00EF1ED8">
        <w:t xml:space="preserve"> </w:t>
      </w:r>
    </w:p>
    <w:p w:rsidR="00EF1ED8" w:rsidRDefault="00EF1ED8" w:rsidP="00B924B1">
      <w:pPr>
        <w:pStyle w:val="NoSpacing"/>
        <w:ind w:left="720"/>
      </w:pPr>
      <w:r>
        <w:rPr>
          <w:vertAlign w:val="superscript"/>
        </w:rPr>
        <w:t>22</w:t>
      </w:r>
      <w:r w:rsidR="00A32F38">
        <w:t>T</w:t>
      </w:r>
      <w:r w:rsidR="00E157DB">
        <w:t>he earth will aver</w:t>
      </w:r>
    </w:p>
    <w:p w:rsidR="00EF1ED8" w:rsidRDefault="00A32F38" w:rsidP="00B924B1">
      <w:pPr>
        <w:pStyle w:val="NoSpacing"/>
        <w:ind w:left="720"/>
      </w:pPr>
      <w:r>
        <w:tab/>
        <w:t>w</w:t>
      </w:r>
      <w:r w:rsidR="009441E6">
        <w:t>ith wheat</w:t>
      </w:r>
      <w:r w:rsidR="00EF1ED8">
        <w:t xml:space="preserve"> and wi</w:t>
      </w:r>
      <w:r w:rsidR="00E157DB">
        <w:t>th new wine and with fresh oil.</w:t>
      </w:r>
    </w:p>
    <w:p w:rsidR="00EF1ED8" w:rsidRDefault="00A32F38" w:rsidP="00B924B1">
      <w:pPr>
        <w:pStyle w:val="NoSpacing"/>
        <w:ind w:left="720"/>
      </w:pPr>
      <w:r>
        <w:t>T</w:t>
      </w:r>
      <w:r w:rsidR="00756F36">
        <w:t>hey’</w:t>
      </w:r>
      <w:r w:rsidR="00EF1ED8">
        <w:t xml:space="preserve">ll aver to </w:t>
      </w:r>
      <w:r w:rsidR="00EF1ED8" w:rsidRPr="00EF1ED8">
        <w:t>Yizrə‘ē’l</w:t>
      </w:r>
      <w:r>
        <w:t>,</w:t>
      </w:r>
      <w:r w:rsidR="00CD38CE">
        <w:rPr>
          <w:rStyle w:val="FootnoteReference"/>
        </w:rPr>
        <w:footnoteReference w:id="101"/>
      </w:r>
    </w:p>
    <w:p w:rsidR="00EF1ED8" w:rsidRDefault="00A32F38" w:rsidP="00B924B1">
      <w:pPr>
        <w:pStyle w:val="NoSpacing"/>
        <w:ind w:left="720"/>
      </w:pPr>
      <w:r>
        <w:rPr>
          <w:vertAlign w:val="superscript"/>
        </w:rPr>
        <w:tab/>
      </w:r>
      <w:r w:rsidR="00EF1ED8">
        <w:rPr>
          <w:vertAlign w:val="superscript"/>
        </w:rPr>
        <w:t>23</w:t>
      </w:r>
      <w:r>
        <w:t>and I</w:t>
      </w:r>
      <w:r w:rsidR="00756F36">
        <w:t>’</w:t>
      </w:r>
      <w:r w:rsidR="00EF1ED8">
        <w:t>ll</w:t>
      </w:r>
      <w:r w:rsidR="00893F63">
        <w:t xml:space="preserve"> sow her in the country as mine</w:t>
      </w:r>
      <w:r w:rsidR="00484005">
        <w:t>.</w:t>
      </w:r>
    </w:p>
    <w:p w:rsidR="00EF1ED8" w:rsidRDefault="00756F36" w:rsidP="00B924B1">
      <w:pPr>
        <w:pStyle w:val="NoSpacing"/>
        <w:ind w:left="720"/>
      </w:pPr>
      <w:r>
        <w:t>I’</w:t>
      </w:r>
      <w:r w:rsidR="00A32F38">
        <w:t>ll</w:t>
      </w:r>
      <w:r w:rsidR="00BE09FE">
        <w:t xml:space="preserve"> show</w:t>
      </w:r>
      <w:r w:rsidR="00EF1ED8">
        <w:t xml:space="preserve"> compa</w:t>
      </w:r>
      <w:r w:rsidR="00BE09FE">
        <w:t xml:space="preserve">ssion </w:t>
      </w:r>
      <w:r w:rsidR="009B42E1">
        <w:t xml:space="preserve">towards </w:t>
      </w:r>
      <w:r w:rsidR="00EF1ED8">
        <w:t xml:space="preserve">one who was </w:t>
      </w:r>
      <w:r w:rsidR="00AC7F02">
        <w:t>It-is-not-shown-compassion</w:t>
      </w:r>
      <w:r w:rsidR="00CE20CA">
        <w:t>,</w:t>
      </w:r>
    </w:p>
    <w:p w:rsidR="00EF1ED8" w:rsidRDefault="00A32F38" w:rsidP="00B924B1">
      <w:pPr>
        <w:pStyle w:val="NoSpacing"/>
        <w:ind w:left="720"/>
      </w:pPr>
      <w:r>
        <w:tab/>
      </w:r>
      <w:r w:rsidR="00756F36">
        <w:t>I’</w:t>
      </w:r>
      <w:r w:rsidR="00BE09FE">
        <w:t>ll say to Not-my-people</w:t>
      </w:r>
      <w:r w:rsidR="00756F36">
        <w:t xml:space="preserve"> “You’</w:t>
      </w:r>
      <w:r w:rsidR="00EF1ED8">
        <w:t xml:space="preserve">re my people,” </w:t>
      </w:r>
    </w:p>
    <w:p w:rsidR="00EF1ED8" w:rsidRDefault="00EF1ED8" w:rsidP="00B924B1">
      <w:pPr>
        <w:pStyle w:val="NoSpacing"/>
        <w:ind w:left="720"/>
      </w:pPr>
      <w:r>
        <w:tab/>
        <w:t>a</w:t>
      </w:r>
      <w:r w:rsidR="008D5220">
        <w:t>nd he</w:t>
      </w:r>
      <w:r>
        <w:t xml:space="preserve"> </w:t>
      </w:r>
      <w:r w:rsidR="00DA420A">
        <w:t xml:space="preserve">himself </w:t>
      </w:r>
      <w:r w:rsidR="00BE09FE">
        <w:t>will say</w:t>
      </w:r>
      <w:r>
        <w:t xml:space="preserve"> “My God.”</w:t>
      </w:r>
      <w:r w:rsidR="00E157DB">
        <w:rPr>
          <w:rStyle w:val="FootnoteReference"/>
        </w:rPr>
        <w:footnoteReference w:id="102"/>
      </w:r>
    </w:p>
    <w:p w:rsidR="00EF1ED8" w:rsidRDefault="00EF1ED8" w:rsidP="001D3546">
      <w:pPr>
        <w:pStyle w:val="Heading2"/>
      </w:pPr>
      <w:r w:rsidRPr="00EF1ED8">
        <w:t>Interpretation</w:t>
      </w:r>
    </w:p>
    <w:p w:rsidR="00FB0009" w:rsidRDefault="006C074C" w:rsidP="00E21934">
      <w:r>
        <w:t xml:space="preserve">Hosea </w:t>
      </w:r>
      <w:r w:rsidRPr="006C074C">
        <w:t xml:space="preserve">2:2-23 [4-25] is a reprise of 1:2b—2:1 [3] in the form of prophecy rather than of story. </w:t>
      </w:r>
      <w:r>
        <w:t>In t</w:t>
      </w:r>
      <w:r w:rsidRPr="006C074C">
        <w:t xml:space="preserve">his adroit and sustained piece of rhetoric, the most sustained in the scroll, </w:t>
      </w:r>
      <w:r>
        <w:t>Yahweh confronts Ephraim about its whoring, warns it of action he i</w:t>
      </w:r>
      <w:r w:rsidR="00FB0009">
        <w:t>ntends to take, but then promise</w:t>
      </w:r>
      <w:r>
        <w:t xml:space="preserve">s that he will then take further action to reestablish their relationship. </w:t>
      </w:r>
    </w:p>
    <w:p w:rsidR="00E85236" w:rsidRDefault="006C074C" w:rsidP="00E85236">
      <w:r>
        <w:t xml:space="preserve">It </w:t>
      </w:r>
      <w:r w:rsidR="0022522E">
        <w:t xml:space="preserve">begins with verses that in themselves seem a straightforward, trenchant, and disturbing address by a husband to his children. Possibly in any society the men would be inclined to identify with the husband and to take his side while the women might be inclined to rush to the wife’s support. </w:t>
      </w:r>
      <w:r w:rsidR="00BE09FE">
        <w:t>People in the West might</w:t>
      </w:r>
      <w:r w:rsidR="0022522E" w:rsidRPr="0022522E">
        <w:t xml:space="preserve"> see it as an attempt to involve the children in the troubles of a marital relationship and to get them to</w:t>
      </w:r>
      <w:r w:rsidR="00BE09FE">
        <w:t xml:space="preserve"> take the husband’s side, and</w:t>
      </w:r>
      <w:r w:rsidR="0022522E" w:rsidRPr="0022522E">
        <w:t xml:space="preserve"> would want to hear the wife</w:t>
      </w:r>
      <w:r w:rsidR="00AB5DCA">
        <w:t>’s side of</w:t>
      </w:r>
      <w:r w:rsidR="0022522E" w:rsidRPr="0022522E">
        <w:t xml:space="preserve"> the story.</w:t>
      </w:r>
      <w:r w:rsidR="00BE09FE">
        <w:t xml:space="preserve"> If </w:t>
      </w:r>
      <w:r w:rsidR="00AB5DCA">
        <w:t>Hosea declaimed</w:t>
      </w:r>
      <w:r w:rsidR="0037404B">
        <w:t xml:space="preserve"> </w:t>
      </w:r>
      <w:r w:rsidR="00BE09FE">
        <w:t xml:space="preserve">it </w:t>
      </w:r>
      <w:r w:rsidR="0037404B">
        <w:t>in a</w:t>
      </w:r>
      <w:r w:rsidR="00BE09FE">
        <w:t xml:space="preserve"> setting such as a public square or sanctuary courtyard, people un</w:t>
      </w:r>
      <w:r w:rsidR="00AA2D1C">
        <w:t>familiar with Hosea’s convictions and/or with his children’s names</w:t>
      </w:r>
      <w:r w:rsidR="00BE09FE">
        <w:t xml:space="preserve"> might</w:t>
      </w:r>
      <w:r w:rsidR="00AB5DCA">
        <w:t xml:space="preserve"> be puz</w:t>
      </w:r>
      <w:r w:rsidR="00BE09FE">
        <w:t xml:space="preserve">zled about what was going on, like </w:t>
      </w:r>
      <w:r w:rsidR="00AB5DCA">
        <w:t>Isaiah’s presumed listeners to his “song” (Is</w:t>
      </w:r>
      <w:r w:rsidR="00BE09FE">
        <w:t>a.</w:t>
      </w:r>
      <w:r w:rsidR="00AB5DCA">
        <w:t xml:space="preserve"> 5:1-7). </w:t>
      </w:r>
      <w:r w:rsidR="009A6487">
        <w:t xml:space="preserve">Western readers </w:t>
      </w:r>
      <w:r w:rsidR="00E85236">
        <w:t xml:space="preserve">have to be aware </w:t>
      </w:r>
      <w:r w:rsidR="009A6487">
        <w:t>of another way in which assumptions about</w:t>
      </w:r>
      <w:r w:rsidR="00E85236">
        <w:t xml:space="preserve"> marriage in our culture is different from that in a traditional culture</w:t>
      </w:r>
      <w:r w:rsidR="00FB0009">
        <w:t>. Th</w:t>
      </w:r>
      <w:r w:rsidR="002E1C27">
        <w:t>ere,</w:t>
      </w:r>
      <w:r w:rsidR="009A6487">
        <w:t xml:space="preserve"> marriage is</w:t>
      </w:r>
      <w:r w:rsidR="002E1C27">
        <w:t xml:space="preserve"> </w:t>
      </w:r>
      <w:r w:rsidR="009A6487">
        <w:t>especi</w:t>
      </w:r>
      <w:r w:rsidR="00E85236">
        <w:t xml:space="preserve">ally (though not solely) an economic and work </w:t>
      </w:r>
      <w:r w:rsidR="002E1C27">
        <w:t>arrangement</w:t>
      </w:r>
      <w:r w:rsidR="009A6487">
        <w:t>, though</w:t>
      </w:r>
      <w:r w:rsidR="00E85236">
        <w:t xml:space="preserve"> its patriarchalizing le</w:t>
      </w:r>
      <w:r w:rsidR="009A6487">
        <w:t>a</w:t>
      </w:r>
      <w:r w:rsidR="00E85236">
        <w:t>d</w:t>
      </w:r>
      <w:r w:rsidR="009A6487">
        <w:t>s</w:t>
      </w:r>
      <w:r w:rsidR="00E85236">
        <w:t xml:space="preserve"> to a skewing of this</w:t>
      </w:r>
      <w:r w:rsidR="00FB0009">
        <w:t xml:space="preserve"> aspect as t</w:t>
      </w:r>
      <w:r w:rsidR="002E1C27">
        <w:t xml:space="preserve">he man </w:t>
      </w:r>
      <w:r w:rsidR="009A6487">
        <w:t>gains authority over the woman and</w:t>
      </w:r>
      <w:r w:rsidR="00E85236">
        <w:t xml:space="preserve"> controls</w:t>
      </w:r>
      <w:r w:rsidR="002E1C27">
        <w:t xml:space="preserve"> the family’s economy, and </w:t>
      </w:r>
      <w:r w:rsidR="00E85236">
        <w:t>marriage breakdown thus has significant implications for the practic</w:t>
      </w:r>
      <w:r w:rsidR="008A55A7">
        <w:t>al position of a wife</w:t>
      </w:r>
      <w:r w:rsidR="00E85236">
        <w:t>.</w:t>
      </w:r>
      <w:r w:rsidR="00E85236">
        <w:rPr>
          <w:rStyle w:val="FootnoteReference"/>
        </w:rPr>
        <w:footnoteReference w:id="103"/>
      </w:r>
    </w:p>
    <w:p w:rsidR="00760046" w:rsidRDefault="002E1C27" w:rsidP="00E21934">
      <w:r>
        <w:t xml:space="preserve">But imagining the section </w:t>
      </w:r>
      <w:r w:rsidR="003E7FB2" w:rsidRPr="003E7FB2">
        <w:t xml:space="preserve">declaimed </w:t>
      </w:r>
      <w:r w:rsidR="009A6487">
        <w:t xml:space="preserve">in that way may be </w:t>
      </w:r>
      <w:r w:rsidR="006C074C">
        <w:t xml:space="preserve">artificial, because </w:t>
      </w:r>
      <w:r w:rsidR="009A6487">
        <w:t xml:space="preserve">it </w:t>
      </w:r>
      <w:r>
        <w:t>eventually (v. 23</w:t>
      </w:r>
      <w:r w:rsidR="009A6487">
        <w:t xml:space="preserve"> [25]</w:t>
      </w:r>
      <w:r>
        <w:t>) presupposes that the hearers know something of the contents of 1:2b—2:1</w:t>
      </w:r>
      <w:r w:rsidR="00CB6D4F">
        <w:t xml:space="preserve"> [3]</w:t>
      </w:r>
      <w:r>
        <w:t xml:space="preserve">. </w:t>
      </w:r>
      <w:r w:rsidR="006C074C">
        <w:t>In the reading out of the scroll, t</w:t>
      </w:r>
      <w:r w:rsidR="003E7FB2">
        <w:t>his section wou</w:t>
      </w:r>
      <w:r w:rsidR="009A6487">
        <w:t>ld be heard as a sequel to what precedes</w:t>
      </w:r>
      <w:r w:rsidR="00760046">
        <w:t xml:space="preserve"> </w:t>
      </w:r>
      <w:r w:rsidR="003E7FB2">
        <w:t xml:space="preserve">rather than on </w:t>
      </w:r>
      <w:r w:rsidR="00FB0009">
        <w:t>its own</w:t>
      </w:r>
      <w:r w:rsidR="003E7FB2" w:rsidRPr="003E7FB2">
        <w:t>.</w:t>
      </w:r>
      <w:r w:rsidR="00D627EA">
        <w:t xml:space="preserve"> </w:t>
      </w:r>
      <w:r w:rsidR="003E7FB2">
        <w:t xml:space="preserve">It </w:t>
      </w:r>
      <w:r w:rsidR="00760046">
        <w:t xml:space="preserve">would </w:t>
      </w:r>
      <w:r w:rsidR="003E7FB2">
        <w:t xml:space="preserve">still </w:t>
      </w:r>
      <w:r w:rsidR="00D627EA">
        <w:t xml:space="preserve">initially </w:t>
      </w:r>
      <w:r w:rsidR="003E7FB2">
        <w:t xml:space="preserve">raise the </w:t>
      </w:r>
      <w:r w:rsidR="00760046">
        <w:t xml:space="preserve">questions </w:t>
      </w:r>
      <w:r w:rsidR="003E7FB2">
        <w:t xml:space="preserve">just noted, but </w:t>
      </w:r>
      <w:r w:rsidR="006B021B">
        <w:t>listeners</w:t>
      </w:r>
      <w:r w:rsidR="00760046">
        <w:t xml:space="preserve"> might guess m</w:t>
      </w:r>
      <w:r w:rsidR="003E7FB2">
        <w:t>ore quickly where it</w:t>
      </w:r>
      <w:r w:rsidR="006B021B">
        <w:t xml:space="preserve"> i</w:t>
      </w:r>
      <w:r w:rsidR="009A6487">
        <w:t xml:space="preserve">s leading, </w:t>
      </w:r>
      <w:r w:rsidR="009A6487">
        <w:lastRenderedPageBreak/>
        <w:t>though t</w:t>
      </w:r>
      <w:r w:rsidR="00760046">
        <w:t xml:space="preserve">hey would </w:t>
      </w:r>
      <w:r w:rsidR="003E7FB2">
        <w:t xml:space="preserve">nevertheless </w:t>
      </w:r>
      <w:r w:rsidR="00760046">
        <w:t xml:space="preserve">be thrown by the change of tone </w:t>
      </w:r>
      <w:r w:rsidR="0081383F">
        <w:t>and message over against 2:1</w:t>
      </w:r>
      <w:r w:rsidR="009A6487">
        <w:t xml:space="preserve"> [3]</w:t>
      </w:r>
      <w:r w:rsidR="003E7FB2">
        <w:t>. W</w:t>
      </w:r>
      <w:r w:rsidR="00760046">
        <w:t xml:space="preserve">e have ricocheted </w:t>
      </w:r>
      <w:r w:rsidR="003E7FB2">
        <w:t xml:space="preserve">back into the attitude </w:t>
      </w:r>
      <w:r w:rsidR="00760046">
        <w:t xml:space="preserve">implicit in </w:t>
      </w:r>
      <w:r w:rsidR="003E7FB2">
        <w:t>the bulk of chapter 1.</w:t>
      </w:r>
    </w:p>
    <w:p w:rsidR="007851D1" w:rsidRDefault="00D627EA" w:rsidP="00D44182">
      <w:r>
        <w:t>V</w:t>
      </w:r>
      <w:r w:rsidR="0081383F">
        <w:t>erses 3b and 5</w:t>
      </w:r>
      <w:r w:rsidR="00C06869">
        <w:t xml:space="preserve"> </w:t>
      </w:r>
      <w:r w:rsidR="009A6487">
        <w:t xml:space="preserve">[5b and 7] </w:t>
      </w:r>
      <w:r w:rsidR="00C06869">
        <w:t>might</w:t>
      </w:r>
      <w:r w:rsidR="00046CE8">
        <w:t xml:space="preserve"> begin </w:t>
      </w:r>
      <w:r w:rsidR="00C06869">
        <w:t>to raise the question whether</w:t>
      </w:r>
      <w:r w:rsidR="00AA2D1C">
        <w:t xml:space="preserve"> th</w:t>
      </w:r>
      <w:r w:rsidR="009A6487">
        <w:t>ere was more to Hosea’s</w:t>
      </w:r>
      <w:r w:rsidR="002D4CCE">
        <w:t xml:space="preserve"> declamation</w:t>
      </w:r>
      <w:r w:rsidR="007851D1">
        <w:t xml:space="preserve"> than the publicizing of a marital crisis</w:t>
      </w:r>
      <w:r w:rsidR="002D4CCE">
        <w:t xml:space="preserve">, and succeeding verses would continue to do so, though they also </w:t>
      </w:r>
      <w:r>
        <w:t>continue with</w:t>
      </w:r>
      <w:r w:rsidR="002D4CCE">
        <w:t xml:space="preserve"> the imagery of a husbandly confrontation. </w:t>
      </w:r>
      <w:r>
        <w:t xml:space="preserve">The listeners would </w:t>
      </w:r>
      <w:r w:rsidR="002D4CCE">
        <w:t>be driven into keeping bo</w:t>
      </w:r>
      <w:r>
        <w:t xml:space="preserve">th pictures in their mind, </w:t>
      </w:r>
      <w:r w:rsidR="002D4CCE">
        <w:t>the offended husband threatening his wife because of her unfaithfulness and the offended God threatening his people b</w:t>
      </w:r>
      <w:r>
        <w:t xml:space="preserve">ecause of their unfaithfulness, </w:t>
      </w:r>
      <w:r w:rsidR="00C06869">
        <w:t>both religious and political.</w:t>
      </w:r>
      <w:r w:rsidR="00C06869">
        <w:rPr>
          <w:rStyle w:val="FootnoteReference"/>
        </w:rPr>
        <w:footnoteReference w:id="104"/>
      </w:r>
    </w:p>
    <w:p w:rsidR="005B330E" w:rsidRDefault="00D627EA" w:rsidP="00D2749B">
      <w:pPr>
        <w:rPr>
          <w:vertAlign w:val="superscript"/>
        </w:rPr>
      </w:pPr>
      <w:r>
        <w:t>W</w:t>
      </w:r>
      <w:r w:rsidR="007851D1">
        <w:t xml:space="preserve">omen and men </w:t>
      </w:r>
      <w:r>
        <w:t xml:space="preserve">in the audience </w:t>
      </w:r>
      <w:r w:rsidR="007851D1">
        <w:t>could</w:t>
      </w:r>
      <w:r w:rsidR="002D4CCE">
        <w:t xml:space="preserve"> be troubled by the de</w:t>
      </w:r>
      <w:r>
        <w:t>clamation. W</w:t>
      </w:r>
      <w:r w:rsidR="002D4CCE">
        <w:t>ome</w:t>
      </w:r>
      <w:r>
        <w:t xml:space="preserve">n might </w:t>
      </w:r>
      <w:r w:rsidR="002D4CCE">
        <w:t xml:space="preserve">be troubled on behalf of the </w:t>
      </w:r>
      <w:r>
        <w:t xml:space="preserve">wife </w:t>
      </w:r>
      <w:r w:rsidR="007851D1">
        <w:t>being denounced</w:t>
      </w:r>
      <w:r w:rsidR="002D4CCE">
        <w:t xml:space="preserve">, or judgmental of her, but </w:t>
      </w:r>
      <w:r w:rsidR="007851D1">
        <w:t>might then</w:t>
      </w:r>
      <w:r w:rsidR="002D4CCE">
        <w:t xml:space="preserve"> come to see themselves </w:t>
      </w:r>
      <w:r w:rsidR="000614EB">
        <w:t>as</w:t>
      </w:r>
      <w:r>
        <w:t xml:space="preserve"> unfaithful in Yahweh’s eyes. But one point</w:t>
      </w:r>
      <w:r w:rsidR="000614EB">
        <w:t xml:space="preserve"> about th</w:t>
      </w:r>
      <w:r w:rsidR="00227039">
        <w:t xml:space="preserve">e imagery would be to get </w:t>
      </w:r>
      <w:r w:rsidR="007851D1">
        <w:t>home to the men, who would likely</w:t>
      </w:r>
      <w:r w:rsidR="000614EB">
        <w:t xml:space="preserve"> be the majority of the people who heard the prop</w:t>
      </w:r>
      <w:r w:rsidR="00227039">
        <w:t xml:space="preserve">hecy declaimed. </w:t>
      </w:r>
      <w:r w:rsidR="00EB3ADC">
        <w:t>“Hosea… is calling the Israelites ‘women.’”</w:t>
      </w:r>
      <w:r w:rsidR="00EB3ADC">
        <w:rPr>
          <w:rStyle w:val="FootnoteReference"/>
        </w:rPr>
        <w:footnoteReference w:id="105"/>
      </w:r>
      <w:r w:rsidR="00EB3ADC">
        <w:t xml:space="preserve"> </w:t>
      </w:r>
      <w:r w:rsidR="00227039">
        <w:t>He’</w:t>
      </w:r>
      <w:r w:rsidR="005D5541">
        <w:t>s metaphorically castrating them.</w:t>
      </w:r>
      <w:r w:rsidR="005D5541">
        <w:rPr>
          <w:rStyle w:val="FootnoteReference"/>
        </w:rPr>
        <w:footnoteReference w:id="106"/>
      </w:r>
      <w:r w:rsidR="005D5541">
        <w:t xml:space="preserve"> </w:t>
      </w:r>
      <w:r w:rsidR="003C18FE">
        <w:t>It is not the only way in which he undermines their masculinity.</w:t>
      </w:r>
      <w:r w:rsidR="003C18FE">
        <w:rPr>
          <w:rStyle w:val="FootnoteReference"/>
        </w:rPr>
        <w:footnoteReference w:id="107"/>
      </w:r>
      <w:r w:rsidR="003C18FE">
        <w:t xml:space="preserve"> </w:t>
      </w:r>
      <w:r w:rsidR="00EB3ADC">
        <w:t>T</w:t>
      </w:r>
      <w:r w:rsidR="000614EB">
        <w:t xml:space="preserve">hey come to see that </w:t>
      </w:r>
      <w:r w:rsidR="007851D1">
        <w:t xml:space="preserve">the </w:t>
      </w:r>
      <w:r w:rsidR="000614EB">
        <w:t>attitude they could imagine taking to an unfaithful wife is the one Yahweh is taking to them.</w:t>
      </w:r>
      <w:r w:rsidR="00D44182">
        <w:t xml:space="preserve"> Hosea </w:t>
      </w:r>
      <w:r w:rsidR="00227039">
        <w:t>is not resorting</w:t>
      </w:r>
      <w:r w:rsidR="00D44182">
        <w:t xml:space="preserve"> to “</w:t>
      </w:r>
      <w:r w:rsidR="00D44182" w:rsidRPr="00D44182">
        <w:rPr>
          <w:bCs/>
        </w:rPr>
        <w:t>the literary expediency of physically victimized women for the sake of the androcentric inte</w:t>
      </w:r>
      <w:r w:rsidR="007851D1">
        <w:rPr>
          <w:bCs/>
        </w:rPr>
        <w:t>rests of the biblical narrative”</w:t>
      </w:r>
      <w:r w:rsidR="005B330E">
        <w:rPr>
          <w:bCs/>
        </w:rPr>
        <w:t xml:space="preserve"> except in the sense that putting the men down is in their interests (but in the women’s interests too).</w:t>
      </w:r>
      <w:r w:rsidR="00D44182" w:rsidRPr="00D44182">
        <w:rPr>
          <w:vertAlign w:val="superscript"/>
        </w:rPr>
        <w:t xml:space="preserve"> </w:t>
      </w:r>
      <w:r w:rsidR="00D44182" w:rsidRPr="00D44182">
        <w:rPr>
          <w:bCs/>
          <w:vertAlign w:val="superscript"/>
        </w:rPr>
        <w:footnoteReference w:id="108"/>
      </w:r>
      <w:r w:rsidR="005B330E">
        <w:rPr>
          <w:vertAlign w:val="superscript"/>
        </w:rPr>
        <w:t xml:space="preserve"> </w:t>
      </w:r>
    </w:p>
    <w:p w:rsidR="00586B0D" w:rsidRPr="00586B0D" w:rsidRDefault="007A73A5" w:rsidP="00586B0D">
      <w:r>
        <w:t>MT has subsection breaks after</w:t>
      </w:r>
      <w:r w:rsidR="0081383F">
        <w:t xml:space="preserve"> vv. 13, 15, and 19</w:t>
      </w:r>
      <w:r w:rsidR="009A6487">
        <w:t xml:space="preserve"> [15, 17, and 21]</w:t>
      </w:r>
      <w:r>
        <w:t xml:space="preserve">. </w:t>
      </w:r>
      <w:r w:rsidR="005B330E">
        <w:t xml:space="preserve">I </w:t>
      </w:r>
      <w:r>
        <w:t xml:space="preserve">rather </w:t>
      </w:r>
      <w:r w:rsidR="00227039">
        <w:t xml:space="preserve">take the </w:t>
      </w:r>
      <w:r w:rsidR="009A6487">
        <w:t xml:space="preserve">section’s </w:t>
      </w:r>
      <w:r w:rsidR="005B330E">
        <w:t>tricola</w:t>
      </w:r>
      <w:r w:rsidR="009A6487">
        <w:t xml:space="preserve"> as a clue to the its</w:t>
      </w:r>
      <w:r w:rsidR="00227039">
        <w:t xml:space="preserve"> structure: it</w:t>
      </w:r>
      <w:r w:rsidR="00D2749B">
        <w:t xml:space="preserve"> comprises six sub</w:t>
      </w:r>
      <w:r w:rsidR="009A6487">
        <w:t xml:space="preserve">sections </w:t>
      </w:r>
      <w:r w:rsidR="00D2749B">
        <w:t>marked each time by a closing tricolon and in all but one case by an opening tricolon.</w:t>
      </w:r>
      <w:r w:rsidR="00CE7B0C">
        <w:t xml:space="preserve"> </w:t>
      </w:r>
      <w:r w:rsidR="005B330E">
        <w:t>The subsections</w:t>
      </w:r>
      <w:r w:rsidR="00227039">
        <w:t xml:space="preserve"> come in pairs</w:t>
      </w:r>
      <w:r w:rsidR="00BC1416">
        <w:t xml:space="preserve">, </w:t>
      </w:r>
      <w:r w:rsidR="00227039">
        <w:t>the latter in</w:t>
      </w:r>
      <w:r w:rsidR="00BC1416">
        <w:t xml:space="preserve"> each</w:t>
      </w:r>
      <w:r w:rsidR="00227039">
        <w:t xml:space="preserve"> pair</w:t>
      </w:r>
      <w:r w:rsidR="00BC1416">
        <w:t xml:space="preserve"> (numbers 2, 4, and 6) heightening</w:t>
      </w:r>
      <w:r w:rsidR="009A6487">
        <w:t xml:space="preserve"> its predecessor</w:t>
      </w:r>
      <w:r w:rsidR="002671C1">
        <w:t xml:space="preserve"> in the manner of parallelism. </w:t>
      </w:r>
      <w:r w:rsidR="00BC1416" w:rsidRPr="00BC1416">
        <w:t>Three subsections open with “therefore,” a common marker of such transition</w:t>
      </w:r>
      <w:r w:rsidR="009A6487">
        <w:t>s in the messages of prophets: p</w:t>
      </w:r>
      <w:r w:rsidR="00BC1416" w:rsidRPr="00BC1416">
        <w:t>rophets speak like a representative of the village elders or of a town’s administration, who first denounce</w:t>
      </w:r>
      <w:r w:rsidR="00BC1416">
        <w:t>s someone for an action</w:t>
      </w:r>
      <w:r w:rsidR="00BC1416" w:rsidRPr="00BC1416">
        <w:t xml:space="preserve"> and then with a “therefore” declares the restitution that the offender must offer. </w:t>
      </w:r>
      <w:r w:rsidR="00BC1416">
        <w:t>In this section</w:t>
      </w:r>
      <w:r w:rsidR="00BC1416" w:rsidRPr="00BC1416">
        <w:t>, that metaphor cover</w:t>
      </w:r>
      <w:r w:rsidR="009A6487">
        <w:t>s only the middle of the three therefore</w:t>
      </w:r>
      <w:r w:rsidR="00BC1416" w:rsidRPr="00BC1416">
        <w:t>s. In the other occurrences, a different logic is at work.</w:t>
      </w:r>
      <w:r w:rsidR="00BC1416">
        <w:t xml:space="preserve"> In the </w:t>
      </w:r>
      <w:r w:rsidR="00BC1416" w:rsidRPr="00BC1416">
        <w:t>movement between the pairs</w:t>
      </w:r>
      <w:r w:rsidR="00BC1416">
        <w:t xml:space="preserve">, the first pair </w:t>
      </w:r>
      <w:r w:rsidR="00BC1416" w:rsidRPr="00BC1416">
        <w:t>focus</w:t>
      </w:r>
      <w:r w:rsidR="00BC1416">
        <w:t>es on accusation; its</w:t>
      </w:r>
      <w:r w:rsidR="00BC1416" w:rsidRPr="00BC1416">
        <w:t xml:space="preserve"> threats a</w:t>
      </w:r>
      <w:r w:rsidR="00BC1416">
        <w:t xml:space="preserve">re rather vague. The second </w:t>
      </w:r>
      <w:r w:rsidR="00BC1416" w:rsidRPr="00BC1416">
        <w:t>focus</w:t>
      </w:r>
      <w:r w:rsidR="00BC1416">
        <w:t>es</w:t>
      </w:r>
      <w:r w:rsidR="00BC1416" w:rsidRPr="00BC1416">
        <w:t xml:space="preserve"> on threats, which bec</w:t>
      </w:r>
      <w:r w:rsidR="00BC1416">
        <w:t xml:space="preserve">ome more concrete. The last </w:t>
      </w:r>
      <w:r w:rsidR="00BC1416" w:rsidRPr="00BC1416">
        <w:t>begin with another “therefore,” giving the impression that things are goin</w:t>
      </w:r>
      <w:r w:rsidR="00D96BE4">
        <w:t xml:space="preserve">g to become yet worse, but </w:t>
      </w:r>
      <w:r w:rsidR="00BC1416" w:rsidRPr="00BC1416">
        <w:t>t</w:t>
      </w:r>
      <w:r w:rsidR="00D96BE4">
        <w:t>hen move in an</w:t>
      </w:r>
      <w:r w:rsidR="00BC1416" w:rsidRPr="00BC1416">
        <w:t xml:space="preserve"> opposite direction.</w:t>
      </w:r>
      <w:r w:rsidR="00586B0D">
        <w:t xml:space="preserve"> Throughout, “</w:t>
      </w:r>
      <w:r w:rsidR="00586B0D" w:rsidRPr="00586B0D">
        <w:t xml:space="preserve">shifts of status are underscored by different uses of the particle </w:t>
      </w:r>
      <w:r w:rsidR="00586B0D" w:rsidRPr="00586B0D">
        <w:rPr>
          <w:i/>
          <w:iCs/>
        </w:rPr>
        <w:t>lo</w:t>
      </w:r>
      <w:r w:rsidR="00586B0D">
        <w:rPr>
          <w:i/>
          <w:iCs/>
        </w:rPr>
        <w:t>’</w:t>
      </w:r>
      <w:r w:rsidR="00586B0D" w:rsidRPr="00586B0D">
        <w:rPr>
          <w:i/>
          <w:iCs/>
        </w:rPr>
        <w:t xml:space="preserve"> </w:t>
      </w:r>
      <w:r w:rsidR="00586B0D">
        <w:t xml:space="preserve">(not)—or by its </w:t>
      </w:r>
      <w:r w:rsidR="00586B0D" w:rsidRPr="00586B0D">
        <w:t>strategic absence.</w:t>
      </w:r>
      <w:r w:rsidR="00586B0D">
        <w:t>”</w:t>
      </w:r>
      <w:r w:rsidR="00586B0D">
        <w:rPr>
          <w:rStyle w:val="FootnoteReference"/>
        </w:rPr>
        <w:footnoteReference w:id="109"/>
      </w:r>
    </w:p>
    <w:p w:rsidR="00D96BE4" w:rsidRPr="00D96BE4" w:rsidRDefault="00D96BE4" w:rsidP="00D96BE4">
      <w:r>
        <w:t>Like</w:t>
      </w:r>
      <w:r w:rsidRPr="00D96BE4">
        <w:t xml:space="preserve"> the</w:t>
      </w:r>
      <w:r>
        <w:t xml:space="preserve"> story, the prophecy</w:t>
      </w:r>
      <w:r w:rsidRPr="00D96BE4">
        <w:t xml:space="preserve"> would be designed to break through to Ephraimites to get them to face the implications of their stance </w:t>
      </w:r>
      <w:r w:rsidR="009B42E1">
        <w:t xml:space="preserve">towards </w:t>
      </w:r>
      <w:r w:rsidRPr="00D96BE4">
        <w:t>Yahweh</w:t>
      </w:r>
      <w:r>
        <w:t>, yet in light of its</w:t>
      </w:r>
      <w:r w:rsidRPr="00D96BE4">
        <w:t xml:space="preserve"> promises</w:t>
      </w:r>
      <w:r>
        <w:t>, it would invite them</w:t>
      </w:r>
      <w:r w:rsidRPr="00D96BE4">
        <w:t xml:space="preserve"> not to be </w:t>
      </w:r>
      <w:r>
        <w:t xml:space="preserve">hindered from or </w:t>
      </w:r>
      <w:r w:rsidRPr="00D96BE4">
        <w:t>confounded by facing up to f</w:t>
      </w:r>
      <w:r>
        <w:t>acts</w:t>
      </w:r>
      <w:r w:rsidRPr="00D96BE4">
        <w:t xml:space="preserve">. </w:t>
      </w:r>
    </w:p>
    <w:p w:rsidR="00D559EB" w:rsidRDefault="00D559EB" w:rsidP="00D2749B"/>
    <w:p w:rsidR="00FB0009" w:rsidRDefault="00DA1BEF" w:rsidP="008D4C2B">
      <w:r w:rsidRPr="00DA1BEF">
        <w:rPr>
          <w:b/>
        </w:rPr>
        <w:t xml:space="preserve">Hosea </w:t>
      </w:r>
      <w:r w:rsidR="00D559EB" w:rsidRPr="00DA1BEF">
        <w:rPr>
          <w:b/>
        </w:rPr>
        <w:t>2:2-3</w:t>
      </w:r>
      <w:r w:rsidR="00EC7B5D">
        <w:rPr>
          <w:b/>
        </w:rPr>
        <w:t xml:space="preserve"> [4-5]</w:t>
      </w:r>
      <w:r w:rsidR="00BD439E" w:rsidRPr="00DA1BEF">
        <w:rPr>
          <w:b/>
        </w:rPr>
        <w:t xml:space="preserve">. </w:t>
      </w:r>
      <w:r w:rsidR="00BD439E">
        <w:t xml:space="preserve">The </w:t>
      </w:r>
      <w:r w:rsidR="00FB0009">
        <w:t>prophecy begins with a declaration</w:t>
      </w:r>
      <w:r w:rsidR="00D96BE4">
        <w:t xml:space="preserve"> </w:t>
      </w:r>
      <w:r w:rsidR="00FB0009">
        <w:t xml:space="preserve">that </w:t>
      </w:r>
      <w:r w:rsidR="00484005">
        <w:t xml:space="preserve">recalls the bringing of </w:t>
      </w:r>
      <w:r w:rsidR="00E01D87">
        <w:t xml:space="preserve">a case at the town </w:t>
      </w:r>
      <w:r w:rsidR="00D559EB">
        <w:t>gate when on</w:t>
      </w:r>
      <w:r w:rsidR="00484005">
        <w:t>e member of the community issues</w:t>
      </w:r>
      <w:r w:rsidR="00D559EB">
        <w:t xml:space="preserve"> a charge against another (e.g., </w:t>
      </w:r>
      <w:r w:rsidR="000031BD">
        <w:t>Exod</w:t>
      </w:r>
      <w:r w:rsidR="00D96BE4">
        <w:t>.</w:t>
      </w:r>
      <w:r w:rsidR="000031BD">
        <w:t xml:space="preserve"> 23:1-3; </w:t>
      </w:r>
      <w:r w:rsidR="00D559EB">
        <w:t>Prov</w:t>
      </w:r>
      <w:r w:rsidR="00D96BE4">
        <w:t>.</w:t>
      </w:r>
      <w:r w:rsidR="00D559EB">
        <w:t xml:space="preserve"> 18:17; 25:8-9)</w:t>
      </w:r>
      <w:r w:rsidR="00484005">
        <w:t xml:space="preserve">. </w:t>
      </w:r>
    </w:p>
    <w:p w:rsidR="000E744F" w:rsidRDefault="00FB0009" w:rsidP="008D4C2B">
      <w:r>
        <w:t>T</w:t>
      </w:r>
      <w:r w:rsidR="00484005">
        <w:t xml:space="preserve">he </w:t>
      </w:r>
      <w:r>
        <w:t xml:space="preserve">one who issues the bidding (v. 2a [4a]) </w:t>
      </w:r>
      <w:r w:rsidR="000E744F">
        <w:t>address</w:t>
      </w:r>
      <w:r w:rsidR="00484005">
        <w:t>es not</w:t>
      </w:r>
      <w:r w:rsidR="000E744F">
        <w:t xml:space="preserve"> the one he is accusing </w:t>
      </w:r>
      <w:r w:rsidR="00484005">
        <w:t xml:space="preserve">or the elders or </w:t>
      </w:r>
      <w:r w:rsidR="00D96BE4">
        <w:t xml:space="preserve">the mayor </w:t>
      </w:r>
      <w:r w:rsidR="000E744F">
        <w:t>but some potenti</w:t>
      </w:r>
      <w:r w:rsidR="00484005">
        <w:t>al witnesses or advocates. H</w:t>
      </w:r>
      <w:r w:rsidR="000E744F">
        <w:t xml:space="preserve">e thereby suggests the distance </w:t>
      </w:r>
      <w:r w:rsidR="00D96BE4">
        <w:t xml:space="preserve">between </w:t>
      </w:r>
      <w:r w:rsidR="00D96BE4">
        <w:lastRenderedPageBreak/>
        <w:t>accuser and accused. I</w:t>
      </w:r>
      <w:r w:rsidR="00484005">
        <w:t>t is his children that he addresses in this way</w:t>
      </w:r>
      <w:r w:rsidR="00D96BE4">
        <w:t>, which</w:t>
      </w:r>
      <w:r w:rsidR="008D3F28">
        <w:t xml:space="preserve"> </w:t>
      </w:r>
      <w:r w:rsidR="001A39E2">
        <w:t>indicates</w:t>
      </w:r>
      <w:r w:rsidR="008D3F28">
        <w:t xml:space="preserve"> </w:t>
      </w:r>
      <w:r w:rsidR="00484005">
        <w:t xml:space="preserve">the depth of the problem between </w:t>
      </w:r>
      <w:r w:rsidR="00BE4E6B">
        <w:t>him and his wife (it might already raise</w:t>
      </w:r>
      <w:r w:rsidR="00484005">
        <w:t xml:space="preserve"> the question of how literal the audience should be</w:t>
      </w:r>
      <w:r w:rsidR="008D3F28">
        <w:t xml:space="preserve"> about the language</w:t>
      </w:r>
      <w:r w:rsidR="00BE4E6B">
        <w:t>)</w:t>
      </w:r>
      <w:r w:rsidR="00D559EB">
        <w:t>.</w:t>
      </w:r>
      <w:r w:rsidR="000031BD">
        <w:t xml:space="preserve"> </w:t>
      </w:r>
      <w:r w:rsidR="001A39E2">
        <w:t>The idea of the children</w:t>
      </w:r>
      <w:r w:rsidR="00BE4E6B" w:rsidRPr="00BE4E6B">
        <w:t xml:space="preserve"> bringing their mother before the authorities turns things upside down; the Torah speaks only of parents bringing their (grown-up) children before the authorities.</w:t>
      </w:r>
    </w:p>
    <w:p w:rsidR="008D4C2B" w:rsidRDefault="005B2DA0" w:rsidP="00586B0D">
      <w:r>
        <w:t xml:space="preserve">In isolation “She’s not </w:t>
      </w:r>
      <w:r w:rsidR="00D67AC1">
        <w:t>my woman</w:t>
      </w:r>
      <w:r>
        <w:t xml:space="preserve">/wife and I’m not </w:t>
      </w:r>
      <w:r w:rsidR="00D67AC1">
        <w:t>her man</w:t>
      </w:r>
      <w:r>
        <w:t>/husband</w:t>
      </w:r>
      <w:r w:rsidR="00D67AC1" w:rsidRPr="00D67AC1">
        <w:t>”</w:t>
      </w:r>
      <w:r w:rsidR="00D67AC1">
        <w:t xml:space="preserve">) </w:t>
      </w:r>
      <w:r w:rsidR="006860F8">
        <w:t>would be</w:t>
      </w:r>
      <w:r w:rsidR="00267F5D">
        <w:t xml:space="preserve"> tantamount to a </w:t>
      </w:r>
      <w:r>
        <w:t>speech act:</w:t>
      </w:r>
      <w:r w:rsidR="001A39E2">
        <w:t xml:space="preserve"> the man</w:t>
      </w:r>
      <w:r w:rsidR="006860F8">
        <w:t xml:space="preserve"> i</w:t>
      </w:r>
      <w:r>
        <w:t xml:space="preserve">s hereby divorcing his wife. </w:t>
      </w:r>
      <w:r w:rsidR="00A626FC" w:rsidRPr="00A626FC">
        <w:t xml:space="preserve">In an actual </w:t>
      </w:r>
      <w:r w:rsidR="001A39E2">
        <w:t>legal context, the authorities’ responsibility</w:t>
      </w:r>
      <w:r w:rsidR="00A626FC" w:rsidRPr="00A626FC">
        <w:t xml:space="preserve"> would then include seeing that a woman received divorce papers (Deut</w:t>
      </w:r>
      <w:r w:rsidR="001A39E2">
        <w:t>.</w:t>
      </w:r>
      <w:r w:rsidR="00A626FC" w:rsidRPr="00A626FC">
        <w:t xml:space="preserve"> 24:1; Isa</w:t>
      </w:r>
      <w:r w:rsidR="001A39E2">
        <w:t>.</w:t>
      </w:r>
      <w:r w:rsidR="00A626FC" w:rsidRPr="00A626FC">
        <w:t xml:space="preserve"> 50:1; Jer</w:t>
      </w:r>
      <w:r w:rsidR="001A39E2">
        <w:t>.</w:t>
      </w:r>
      <w:r w:rsidR="00A626FC" w:rsidRPr="00A626FC">
        <w:t xml:space="preserve"> 3:8), though circumstances such as unfaithfulness m</w:t>
      </w:r>
      <w:r w:rsidR="001A39E2">
        <w:t xml:space="preserve">ay mean </w:t>
      </w:r>
      <w:r w:rsidR="00A626FC" w:rsidRPr="00A626FC">
        <w:t xml:space="preserve">there would be none. </w:t>
      </w:r>
      <w:r w:rsidR="001A39E2">
        <w:t>T</w:t>
      </w:r>
      <w:r w:rsidR="00A626FC">
        <w:t xml:space="preserve">he expression </w:t>
      </w:r>
      <w:r w:rsidR="006860F8">
        <w:t xml:space="preserve">is </w:t>
      </w:r>
      <w:r w:rsidR="00511159">
        <w:t xml:space="preserve">not </w:t>
      </w:r>
      <w:r w:rsidR="00D31EF9">
        <w:t xml:space="preserve">a </w:t>
      </w:r>
      <w:r w:rsidR="006860F8">
        <w:t>legal formula in such a connection</w:t>
      </w:r>
      <w:r w:rsidR="00267F5D">
        <w:t xml:space="preserve">, </w:t>
      </w:r>
      <w:r w:rsidR="00511159" w:rsidRPr="00511159">
        <w:t>as far as we know</w:t>
      </w:r>
      <w:r w:rsidR="001A39E2">
        <w:t>, bu</w:t>
      </w:r>
      <w:r w:rsidR="00A626FC">
        <w:t>t it</w:t>
      </w:r>
      <w:r w:rsidR="006860F8">
        <w:t xml:space="preserve"> is </w:t>
      </w:r>
      <w:r w:rsidR="00A626FC">
        <w:t>a strikingly parallel negative equivalent</w:t>
      </w:r>
      <w:r w:rsidR="006860F8">
        <w:t xml:space="preserve"> </w:t>
      </w:r>
      <w:r w:rsidR="00197C32">
        <w:t>to</w:t>
      </w:r>
      <w:r w:rsidR="00267F5D">
        <w:t xml:space="preserve"> the a</w:t>
      </w:r>
      <w:r w:rsidR="00A626FC">
        <w:t>doption formula “Y</w:t>
      </w:r>
      <w:r w:rsidR="00756F36">
        <w:t>ou’</w:t>
      </w:r>
      <w:r w:rsidR="00197C32">
        <w:t>re my son,</w:t>
      </w:r>
      <w:r w:rsidR="00267F5D">
        <w:t>”</w:t>
      </w:r>
      <w:r w:rsidR="00A73768">
        <w:t xml:space="preserve"> </w:t>
      </w:r>
      <w:r w:rsidR="001A39E2">
        <w:t xml:space="preserve">especially as adapted in </w:t>
      </w:r>
      <w:r w:rsidR="00197C32">
        <w:t>phrase</w:t>
      </w:r>
      <w:r w:rsidR="001A39E2">
        <w:t>s</w:t>
      </w:r>
      <w:r w:rsidR="00197C32">
        <w:t xml:space="preserve"> such as “I will be his father and he will be my son” (2 Sam</w:t>
      </w:r>
      <w:r w:rsidR="001A39E2">
        <w:t>.</w:t>
      </w:r>
      <w:r w:rsidR="00197C32">
        <w:t xml:space="preserve"> 7:14). </w:t>
      </w:r>
      <w:r w:rsidR="00D31EF9">
        <w:t xml:space="preserve">It is </w:t>
      </w:r>
      <w:r w:rsidR="000E744F">
        <w:t>a declarat</w:t>
      </w:r>
      <w:r w:rsidR="00D31EF9">
        <w:t xml:space="preserve">ion that the marriage is </w:t>
      </w:r>
      <w:r w:rsidR="000E744F">
        <w:t xml:space="preserve">over in all but the legalities. Yet the </w:t>
      </w:r>
      <w:r w:rsidR="001A39E2">
        <w:t xml:space="preserve">subsequent argument </w:t>
      </w:r>
      <w:r w:rsidR="00A626FC">
        <w:t>presupposes that all need</w:t>
      </w:r>
      <w:r w:rsidR="000E744F">
        <w:t xml:space="preserve"> not </w:t>
      </w:r>
      <w:r w:rsidR="00A626FC">
        <w:t xml:space="preserve">be </w:t>
      </w:r>
      <w:r w:rsidR="000E744F">
        <w:t>over</w:t>
      </w:r>
      <w:r w:rsidR="00770C07">
        <w:t xml:space="preserve">. </w:t>
      </w:r>
      <w:r w:rsidR="00EC7B5D">
        <w:t>A challenge which</w:t>
      </w:r>
      <w:r w:rsidR="008D4C2B">
        <w:t xml:space="preserve"> the children</w:t>
      </w:r>
      <w:r w:rsidR="001A39E2">
        <w:t xml:space="preserve"> are </w:t>
      </w:r>
      <w:r w:rsidR="008D4C2B">
        <w:t>to pass on to their mother</w:t>
      </w:r>
      <w:r w:rsidR="008D3F28">
        <w:t xml:space="preserve"> with a view to her changing her behavior</w:t>
      </w:r>
      <w:r w:rsidR="001A39E2">
        <w:t xml:space="preserve"> rather constitutes</w:t>
      </w:r>
      <w:r w:rsidR="008D4C2B">
        <w:t xml:space="preserve"> a protest that she is behaving as if they are divorced </w:t>
      </w:r>
      <w:r w:rsidR="008D3F28">
        <w:t xml:space="preserve">and an implicit warning that divorce is where her action will lead. </w:t>
      </w:r>
      <w:r w:rsidR="00A52DA3">
        <w:t>The mother is</w:t>
      </w:r>
      <w:r w:rsidR="00C25052">
        <w:t xml:space="preserve"> offered a c</w:t>
      </w:r>
      <w:r w:rsidR="00A52DA3">
        <w:t>hoice: change or disaster (“in order that…”).</w:t>
      </w:r>
    </w:p>
    <w:p w:rsidR="00A626FC" w:rsidRPr="00A626FC" w:rsidRDefault="001A39E2" w:rsidP="00A626FC">
      <w:r>
        <w:t>Hosea now speaks of adultery (v. 2b</w:t>
      </w:r>
      <w:r w:rsidR="004E4A76">
        <w:t xml:space="preserve"> [4b]</w:t>
      </w:r>
      <w:r>
        <w:t>) not</w:t>
      </w:r>
      <w:r w:rsidR="00A626FC" w:rsidRPr="00A626FC">
        <w:t xml:space="preserve"> only of whoring, which denotes any se</w:t>
      </w:r>
      <w:r>
        <w:t>xual activity outside marriage</w:t>
      </w:r>
      <w:r w:rsidR="00EC7B5D">
        <w:t xml:space="preserve"> and does not presuppose that the “whore” is married</w:t>
      </w:r>
      <w:r w:rsidR="00A626FC" w:rsidRPr="00A626FC">
        <w:t>. As the Torah makes clear, adultery is a matter of community concern, not just a private matter between three people. The reference to adultery heightens the parallelism in the line; so does the move from “face” to “breasts.” The former suggests a brazenness of look on a part of the body that is visible to anyone, while the latter refers to a part of the body that is hidden but comes into</w:t>
      </w:r>
      <w:r>
        <w:t xml:space="preserve"> play in connection with sex</w:t>
      </w:r>
      <w:r w:rsidR="00A626FC" w:rsidRPr="00A626FC">
        <w:t>; or perhaps both refer to clothing or jewelry that advertise the woman to be a “loose woman” or “tart.”</w:t>
      </w:r>
    </w:p>
    <w:p w:rsidR="002C43CE" w:rsidRPr="002C43CE" w:rsidRDefault="00241262" w:rsidP="002C43CE">
      <w:r>
        <w:t>S</w:t>
      </w:r>
      <w:r w:rsidR="0089041A">
        <w:t xml:space="preserve">tripping </w:t>
      </w:r>
      <w:r w:rsidR="0081383F">
        <w:t>(v. 3</w:t>
      </w:r>
      <w:r w:rsidR="004E4A76">
        <w:t xml:space="preserve"> [5]</w:t>
      </w:r>
      <w:r w:rsidR="00770C07">
        <w:t xml:space="preserve">) </w:t>
      </w:r>
      <w:r>
        <w:t>might be a way of shaming and/or an aspect of the husband’s taking back what he has provided</w:t>
      </w:r>
      <w:r w:rsidR="002806C9">
        <w:t xml:space="preserve">. </w:t>
      </w:r>
      <w:r w:rsidR="0089041A">
        <w:t xml:space="preserve">But </w:t>
      </w:r>
      <w:r w:rsidR="007D63E1">
        <w:t xml:space="preserve">the reference to </w:t>
      </w:r>
      <w:r w:rsidR="0089041A">
        <w:t>bareness also prepares the way for the reference to the (bare) wilderness</w:t>
      </w:r>
      <w:r w:rsidR="002806C9">
        <w:t xml:space="preserve"> </w:t>
      </w:r>
      <w:r w:rsidR="007D63E1">
        <w:t>w</w:t>
      </w:r>
      <w:r w:rsidR="002806C9">
        <w:t>here lack of water is an issue. D</w:t>
      </w:r>
      <w:r w:rsidR="002806C9" w:rsidRPr="002806C9">
        <w:t>ying of thirst suggests being deprived of water through being cast out. While Israel does not seem to have treated the Torah’s death penalty for adultery as a sanction designed for literal implementation, the effect of the action Hosea describes would be execution.</w:t>
      </w:r>
      <w:r w:rsidR="002806C9">
        <w:t xml:space="preserve"> But </w:t>
      </w:r>
      <w:r w:rsidR="007D63E1">
        <w:t xml:space="preserve">“like the wilderness/dry country” raises the question whether </w:t>
      </w:r>
      <w:r w:rsidR="00EC7B5D">
        <w:t xml:space="preserve">the woman is not simply a </w:t>
      </w:r>
      <w:r w:rsidR="007D63E1">
        <w:t>woman</w:t>
      </w:r>
      <w:r w:rsidR="00267F5D">
        <w:t xml:space="preserve"> </w:t>
      </w:r>
      <w:r w:rsidR="007D63E1">
        <w:t>and the man not simply a man. W</w:t>
      </w:r>
      <w:r w:rsidR="002806C9">
        <w:t xml:space="preserve">hen prophets speak </w:t>
      </w:r>
      <w:r w:rsidR="007D63E1" w:rsidRPr="007D63E1">
        <w:t>of someone bringing a case against someone else,</w:t>
      </w:r>
      <w:r w:rsidR="007D63E1">
        <w:t xml:space="preserve"> i</w:t>
      </w:r>
      <w:r w:rsidR="002806C9">
        <w:t>t’</w:t>
      </w:r>
      <w:r w:rsidR="007D63E1">
        <w:t xml:space="preserve">s usually a metaphor for Yahweh </w:t>
      </w:r>
      <w:r w:rsidR="007D63E1" w:rsidRPr="007D63E1">
        <w:t>bringing a case against his peop</w:t>
      </w:r>
      <w:r w:rsidR="002806C9">
        <w:t xml:space="preserve">le, </w:t>
      </w:r>
      <w:r w:rsidR="007D63E1" w:rsidRPr="007D63E1">
        <w:t>though the people who first listened to Hosea might not yet</w:t>
      </w:r>
      <w:r w:rsidR="002806C9">
        <w:t xml:space="preserve"> be familiar with that metaphor</w:t>
      </w:r>
      <w:r w:rsidR="007D63E1" w:rsidRPr="007D63E1">
        <w:t>.</w:t>
      </w:r>
      <w:r w:rsidR="002806C9">
        <w:t xml:space="preserve"> </w:t>
      </w:r>
      <w:r w:rsidR="00BE4E6B">
        <w:t xml:space="preserve">Yahweh is declaring that his relationship with Ephraim is over and that Ephraim is finished as a people unless it changes its ways. </w:t>
      </w:r>
    </w:p>
    <w:p w:rsidR="00770C07" w:rsidRPr="00770C07" w:rsidRDefault="00050423" w:rsidP="00770C07">
      <w:r>
        <w:t>Suppose</w:t>
      </w:r>
      <w:r w:rsidR="00D769F8">
        <w:t xml:space="preserve"> listeners perceive </w:t>
      </w:r>
      <w:r>
        <w:t>Hosea’s point</w:t>
      </w:r>
      <w:r w:rsidR="00D769F8">
        <w:t xml:space="preserve">. </w:t>
      </w:r>
      <w:r>
        <w:t>In the rhetoric, t</w:t>
      </w:r>
      <w:r w:rsidR="00D769F8">
        <w:t xml:space="preserve">hey are the children. </w:t>
      </w:r>
      <w:r w:rsidR="00BE4E6B">
        <w:t>W</w:t>
      </w:r>
      <w:r>
        <w:t xml:space="preserve">ho </w:t>
      </w:r>
      <w:r w:rsidR="00D769F8">
        <w:t>is the</w:t>
      </w:r>
      <w:r w:rsidR="00BE4E6B">
        <w:t>ir</w:t>
      </w:r>
      <w:r w:rsidR="00D769F8">
        <w:t xml:space="preserve"> mother? </w:t>
      </w:r>
      <w:r>
        <w:t xml:space="preserve">Is </w:t>
      </w:r>
      <w:r w:rsidRPr="00050423">
        <w:t xml:space="preserve">Asherah </w:t>
      </w:r>
      <w:r w:rsidR="00A73768">
        <w:t>t</w:t>
      </w:r>
      <w:r>
        <w:t>he spouse Yahweh is divorcing?</w:t>
      </w:r>
      <w:r w:rsidR="00241262" w:rsidRPr="00241262">
        <w:rPr>
          <w:vertAlign w:val="superscript"/>
        </w:rPr>
        <w:footnoteReference w:id="110"/>
      </w:r>
      <w:r w:rsidR="00241262" w:rsidRPr="00241262">
        <w:t xml:space="preserve"> </w:t>
      </w:r>
      <w:r>
        <w:t>T</w:t>
      </w:r>
      <w:r w:rsidR="00A73768">
        <w:t>he s</w:t>
      </w:r>
      <w:r>
        <w:t>ection will indicate that</w:t>
      </w:r>
      <w:r w:rsidR="00D769F8">
        <w:t xml:space="preserve"> </w:t>
      </w:r>
      <w:r w:rsidR="006414B4">
        <w:t>The image of mother also refers to</w:t>
      </w:r>
      <w:r w:rsidR="00D769F8">
        <w:t xml:space="preserve"> them</w:t>
      </w:r>
      <w:r>
        <w:t>, not as Israel/Ephraim</w:t>
      </w:r>
      <w:r w:rsidR="002236CF">
        <w:t xml:space="preserve"> </w:t>
      </w:r>
      <w:r>
        <w:t>(</w:t>
      </w:r>
      <w:r w:rsidR="002236CF">
        <w:t>which is always treated as masculine</w:t>
      </w:r>
      <w:r>
        <w:t>) but</w:t>
      </w:r>
      <w:r w:rsidR="002236CF">
        <w:t xml:space="preserve"> </w:t>
      </w:r>
      <w:r w:rsidR="006414B4">
        <w:t xml:space="preserve">either </w:t>
      </w:r>
      <w:r w:rsidR="002236CF">
        <w:t xml:space="preserve">as the </w:t>
      </w:r>
      <w:r w:rsidR="00D769F8">
        <w:t>country</w:t>
      </w:r>
      <w:r w:rsidR="00A976B1">
        <w:t xml:space="preserve"> (</w:t>
      </w:r>
      <w:r w:rsidR="0080052A">
        <w:t>cf. 1:2</w:t>
      </w:r>
      <w:r w:rsidR="002236CF">
        <w:t xml:space="preserve">; </w:t>
      </w:r>
      <w:r w:rsidR="002236CF">
        <w:rPr>
          <w:i/>
        </w:rPr>
        <w:t xml:space="preserve">’ereș </w:t>
      </w:r>
      <w:r w:rsidR="002236CF">
        <w:t>is feminine</w:t>
      </w:r>
      <w:r>
        <w:t>) or as the</w:t>
      </w:r>
      <w:r w:rsidR="00D95869">
        <w:t xml:space="preserve"> </w:t>
      </w:r>
      <w:r>
        <w:t>town to which they belong (towns are treated</w:t>
      </w:r>
      <w:r w:rsidR="00D95869" w:rsidRPr="00D95869">
        <w:t xml:space="preserve"> as feminine</w:t>
      </w:r>
      <w:r w:rsidR="00D95869">
        <w:t>, not merely g</w:t>
      </w:r>
      <w:r>
        <w:t>rammatically but metaphorically).</w:t>
      </w:r>
      <w:r w:rsidR="00A73768">
        <w:rPr>
          <w:rStyle w:val="FootnoteReference"/>
        </w:rPr>
        <w:footnoteReference w:id="111"/>
      </w:r>
      <w:r w:rsidR="00D769F8">
        <w:t xml:space="preserve"> </w:t>
      </w:r>
      <w:r w:rsidR="00D95869">
        <w:t>W</w:t>
      </w:r>
      <w:r>
        <w:t xml:space="preserve">hile people reading the </w:t>
      </w:r>
      <w:r w:rsidR="00E01D87">
        <w:t>scroll might identify the town</w:t>
      </w:r>
      <w:r w:rsidR="0080052A">
        <w:t xml:space="preserve"> as Jezreel (1:</w:t>
      </w:r>
      <w:r w:rsidR="00884264">
        <w:t>4-5, 11</w:t>
      </w:r>
      <w:r w:rsidR="006414B4">
        <w:t xml:space="preserve"> [2:1]</w:t>
      </w:r>
      <w:r w:rsidR="00884264">
        <w:t>), Samaria</w:t>
      </w:r>
      <w:r w:rsidR="00E01D87">
        <w:t xml:space="preserve"> is the town</w:t>
      </w:r>
      <w:r w:rsidR="00884264">
        <w:t xml:space="preserve"> </w:t>
      </w:r>
      <w:r>
        <w:t>Hosea most often refers to (in 8:5-6</w:t>
      </w:r>
      <w:r w:rsidR="00884264">
        <w:t xml:space="preserve"> it is explicitly </w:t>
      </w:r>
      <w:r>
        <w:t>feminine)</w:t>
      </w:r>
      <w:r w:rsidR="00884264">
        <w:t xml:space="preserve">—not surprisingly </w:t>
      </w:r>
      <w:r w:rsidR="00D95869">
        <w:t>as it was Ephraim’s</w:t>
      </w:r>
      <w:r>
        <w:t xml:space="preserve"> </w:t>
      </w:r>
      <w:r w:rsidR="009B4A38">
        <w:t>capital</w:t>
      </w:r>
      <w:r w:rsidR="009B4A38" w:rsidRPr="009B4A38">
        <w:t xml:space="preserve">. </w:t>
      </w:r>
      <w:r>
        <w:t>T</w:t>
      </w:r>
      <w:r w:rsidR="00E24D5A">
        <w:t>he mother city</w:t>
      </w:r>
      <w:r w:rsidR="00E01D87">
        <w:t xml:space="preserve"> </w:t>
      </w:r>
      <w:r w:rsidR="006414B4">
        <w:t xml:space="preserve">or the mother country </w:t>
      </w:r>
      <w:r w:rsidR="00BE4E6B" w:rsidRPr="00BE4E6B">
        <w:t>will be turned into a desolate w</w:t>
      </w:r>
      <w:r>
        <w:t>ilderness</w:t>
      </w:r>
      <w:r w:rsidR="00BE4E6B" w:rsidRPr="00BE4E6B">
        <w:t xml:space="preserve">. </w:t>
      </w:r>
    </w:p>
    <w:p w:rsidR="003D0B7A" w:rsidRDefault="003D0B7A" w:rsidP="00D2749B"/>
    <w:p w:rsidR="00FB0009" w:rsidRDefault="00DA1BEF" w:rsidP="00D2749B">
      <w:r w:rsidRPr="00DA1BEF">
        <w:rPr>
          <w:b/>
        </w:rPr>
        <w:t>Hosea</w:t>
      </w:r>
      <w:r w:rsidRPr="00DA1BEF">
        <w:t xml:space="preserve"> </w:t>
      </w:r>
      <w:r w:rsidR="0081383F">
        <w:rPr>
          <w:b/>
        </w:rPr>
        <w:t>2:4-5</w:t>
      </w:r>
      <w:r w:rsidR="004E4A76">
        <w:rPr>
          <w:b/>
        </w:rPr>
        <w:t xml:space="preserve"> [6-7]</w:t>
      </w:r>
      <w:r w:rsidR="003D0B7A" w:rsidRPr="00DA1BEF">
        <w:rPr>
          <w:b/>
        </w:rPr>
        <w:t>.</w:t>
      </w:r>
      <w:r w:rsidR="003D0B7A">
        <w:t xml:space="preserve"> The second </w:t>
      </w:r>
      <w:r w:rsidR="00166EC8">
        <w:t>sub</w:t>
      </w:r>
      <w:r w:rsidR="003D0B7A">
        <w:t>section moves from speaking to the c</w:t>
      </w:r>
      <w:r w:rsidR="00D769F8">
        <w:t>hildren to speaking about them, w</w:t>
      </w:r>
      <w:r w:rsidR="002C43CE">
        <w:t>ithout reducing the discomfort</w:t>
      </w:r>
      <w:r w:rsidR="009B4A38">
        <w:t>.</w:t>
      </w:r>
    </w:p>
    <w:p w:rsidR="00046263" w:rsidRDefault="009B4A38" w:rsidP="00D2749B">
      <w:r>
        <w:t xml:space="preserve"> Hosea continues </w:t>
      </w:r>
      <w:r w:rsidR="00FB0009" w:rsidRPr="00FB0009">
        <w:t>(v. 4 [6])</w:t>
      </w:r>
      <w:r w:rsidR="00FB0009">
        <w:t xml:space="preserve"> </w:t>
      </w:r>
      <w:r>
        <w:t>to work resolutely with the image of a husband sounding off about his family</w:t>
      </w:r>
      <w:r w:rsidR="00FB0009">
        <w:t xml:space="preserve">. </w:t>
      </w:r>
      <w:r>
        <w:t>While people reading the scroll will be able to perceive that</w:t>
      </w:r>
      <w:r w:rsidRPr="009B4A38">
        <w:t xml:space="preserve"> the prophecy </w:t>
      </w:r>
      <w:r>
        <w:t>is applying to the listeners</w:t>
      </w:r>
      <w:r w:rsidR="00050423">
        <w:t xml:space="preserve"> the earlier talk </w:t>
      </w:r>
      <w:r w:rsidRPr="009B4A38">
        <w:t xml:space="preserve">about not being </w:t>
      </w:r>
      <w:r w:rsidR="00050423">
        <w:t>shown compassion</w:t>
      </w:r>
      <w:r w:rsidR="0034264E">
        <w:t>,</w:t>
      </w:r>
      <w:r>
        <w:t xml:space="preserve"> nothing in the subsection </w:t>
      </w:r>
      <w:r w:rsidR="00046263">
        <w:t xml:space="preserve">itself explicitly refers to </w:t>
      </w:r>
      <w:r w:rsidR="0034264E">
        <w:t xml:space="preserve">Yahweh and </w:t>
      </w:r>
      <w:r w:rsidR="00B009A7">
        <w:t>Samaria/</w:t>
      </w:r>
      <w:r w:rsidR="0034264E">
        <w:t>Ephraim. The children</w:t>
      </w:r>
      <w:r w:rsidR="00146A19">
        <w:t xml:space="preserve"> </w:t>
      </w:r>
      <w:r w:rsidR="001062BA">
        <w:t xml:space="preserve">now </w:t>
      </w:r>
      <w:r w:rsidR="00146A19">
        <w:t>hear themselves being talked about in the third person</w:t>
      </w:r>
      <w:r w:rsidR="00046263">
        <w:t>. T</w:t>
      </w:r>
      <w:r w:rsidR="005E39E6" w:rsidRPr="005E39E6">
        <w:t xml:space="preserve">hey </w:t>
      </w:r>
      <w:r w:rsidR="002C43CE">
        <w:t xml:space="preserve">thus </w:t>
      </w:r>
      <w:r w:rsidR="005E39E6" w:rsidRPr="005E39E6">
        <w:t>have to look at themselves from a distance</w:t>
      </w:r>
      <w:r w:rsidR="005E39E6">
        <w:t xml:space="preserve">. </w:t>
      </w:r>
      <w:r w:rsidR="00046263">
        <w:t>T</w:t>
      </w:r>
      <w:r w:rsidR="00BD439E">
        <w:t>hey are themselves now accused rather tha</w:t>
      </w:r>
      <w:r w:rsidR="00046263">
        <w:t>n simply summoned to accuse</w:t>
      </w:r>
      <w:r w:rsidR="00BD439E">
        <w:t xml:space="preserve"> their mother. There is thus some heightening in the subsection. </w:t>
      </w:r>
    </w:p>
    <w:p w:rsidR="003D0B7A" w:rsidRDefault="00046263" w:rsidP="00D2749B">
      <w:r>
        <w:t>P</w:t>
      </w:r>
      <w:r w:rsidR="005E39E6">
        <w:t xml:space="preserve">arallelism </w:t>
      </w:r>
      <w:r>
        <w:t xml:space="preserve">again </w:t>
      </w:r>
      <w:r w:rsidR="005E39E6">
        <w:t>adds a term to “</w:t>
      </w:r>
      <w:r>
        <w:t>whoring</w:t>
      </w:r>
      <w:r w:rsidR="005E39E6">
        <w:t xml:space="preserve">” </w:t>
      </w:r>
      <w:r w:rsidRPr="00046263">
        <w:t>(v. 5</w:t>
      </w:r>
      <w:r w:rsidR="004E4A76">
        <w:t xml:space="preserve"> [7]</w:t>
      </w:r>
      <w:r>
        <w:t xml:space="preserve">). </w:t>
      </w:r>
      <w:r w:rsidR="002671C1">
        <w:t>T</w:t>
      </w:r>
      <w:r>
        <w:t xml:space="preserve">his time it moves </w:t>
      </w:r>
      <w:r w:rsidR="0034264E">
        <w:t xml:space="preserve">to </w:t>
      </w:r>
      <w:r w:rsidR="001062BA">
        <w:t>whoring</w:t>
      </w:r>
      <w:r>
        <w:t xml:space="preserve"> as</w:t>
      </w:r>
      <w:r w:rsidR="001062BA">
        <w:t xml:space="preserve"> a shameful act, </w:t>
      </w:r>
      <w:r>
        <w:t>which is linked to</w:t>
      </w:r>
      <w:r w:rsidR="005E39E6">
        <w:t xml:space="preserve"> the idea of taking </w:t>
      </w:r>
      <w:r w:rsidR="00E01D87">
        <w:t>a case to the elders at the town</w:t>
      </w:r>
      <w:r>
        <w:t xml:space="preserve"> gate. </w:t>
      </w:r>
      <w:r w:rsidR="00910B00">
        <w:t xml:space="preserve">When you are accused there, and the accusation is true, you are publicly shamed. </w:t>
      </w:r>
      <w:r>
        <w:t>There are actions that a community</w:t>
      </w:r>
      <w:r w:rsidR="005E39E6">
        <w:t xml:space="preserve"> regards as honorable and actions it regar</w:t>
      </w:r>
      <w:r w:rsidR="00556C5B">
        <w:t xml:space="preserve">ds as shameful. These are tied up </w:t>
      </w:r>
      <w:r w:rsidR="005E39E6">
        <w:t>with safeguarding the community’s stability</w:t>
      </w:r>
      <w:r w:rsidR="00556C5B">
        <w:t>, though they</w:t>
      </w:r>
      <w:r w:rsidR="00556C5B" w:rsidRPr="00556C5B">
        <w:t xml:space="preserve"> </w:t>
      </w:r>
      <w:r w:rsidR="0034264E">
        <w:t>may also be associated</w:t>
      </w:r>
      <w:r w:rsidR="00556C5B">
        <w:t xml:space="preserve"> with moral</w:t>
      </w:r>
      <w:r w:rsidR="001062BA">
        <w:t xml:space="preserve"> questions</w:t>
      </w:r>
      <w:r w:rsidR="005E39E6">
        <w:t xml:space="preserve">. Whoring </w:t>
      </w:r>
      <w:r>
        <w:t>is</w:t>
      </w:r>
      <w:r w:rsidR="0034264E">
        <w:t xml:space="preserve"> linked with morality and with</w:t>
      </w:r>
      <w:r w:rsidR="00556C5B">
        <w:t xml:space="preserve"> community stability—</w:t>
      </w:r>
      <w:r w:rsidR="005E39E6">
        <w:t xml:space="preserve">less </w:t>
      </w:r>
      <w:r w:rsidR="00556C5B">
        <w:t xml:space="preserve">so than adultery, but it </w:t>
      </w:r>
      <w:r w:rsidR="005E39E6">
        <w:t>so</w:t>
      </w:r>
      <w:r w:rsidR="00556C5B">
        <w:t xml:space="preserve"> tied</w:t>
      </w:r>
      <w:r w:rsidR="005E39E6">
        <w:t>.</w:t>
      </w:r>
      <w:r w:rsidR="00556C5B">
        <w:t xml:space="preserve"> Like adultery, </w:t>
      </w:r>
      <w:r w:rsidR="00910B00">
        <w:t>no</w:t>
      </w:r>
      <w:r w:rsidR="0034264E">
        <w:t xml:space="preserve"> </w:t>
      </w:r>
      <w:r w:rsidR="00556C5B">
        <w:t>sexual a</w:t>
      </w:r>
      <w:r w:rsidR="00910B00">
        <w:t xml:space="preserve">ctivity outside marriage is </w:t>
      </w:r>
      <w:r w:rsidR="00556C5B">
        <w:t>simply a private act between two consenting adults.</w:t>
      </w:r>
      <w:r w:rsidR="005E39E6">
        <w:t xml:space="preserve"> </w:t>
      </w:r>
    </w:p>
    <w:p w:rsidR="00C44EBB" w:rsidRDefault="00046263" w:rsidP="00D2749B">
      <w:r>
        <w:t>A husband is responsible for making</w:t>
      </w:r>
      <w:r w:rsidR="002F307C" w:rsidRPr="002F307C">
        <w:t xml:space="preserve"> sure his wife has food, drink, and clothing. This wife looks else</w:t>
      </w:r>
      <w:r>
        <w:t>where for them. S</w:t>
      </w:r>
      <w:r w:rsidR="002F307C" w:rsidRPr="002F307C">
        <w:t>he</w:t>
      </w:r>
      <w:r>
        <w:t xml:space="preserve"> “went after” her lovers;</w:t>
      </w:r>
      <w:r w:rsidR="002F307C">
        <w:t xml:space="preserve"> Hosea</w:t>
      </w:r>
      <w:r>
        <w:t xml:space="preserve"> picks up the </w:t>
      </w:r>
      <w:r w:rsidR="002F307C" w:rsidRPr="002F307C">
        <w:t>reference to the country “whoring fr</w:t>
      </w:r>
      <w:r w:rsidR="002F307C">
        <w:t>om [going]</w:t>
      </w:r>
      <w:r>
        <w:t xml:space="preserve"> after Yahweh” (1:2). “L</w:t>
      </w:r>
      <w:r w:rsidR="00556C5B">
        <w:t xml:space="preserve">overs” suggests promiscuity (several partners) rather than simply one sexual relationship outside marriage. </w:t>
      </w:r>
      <w:r w:rsidR="002F307C">
        <w:t>T</w:t>
      </w:r>
      <w:r w:rsidR="0034264E">
        <w:t>he plural also links with the implicit allegory</w:t>
      </w:r>
      <w:r>
        <w:t>. The lovers</w:t>
      </w:r>
      <w:r w:rsidR="00556C5B">
        <w:t xml:space="preserve"> are</w:t>
      </w:r>
      <w:r w:rsidR="002F307C">
        <w:t xml:space="preserve"> the entities</w:t>
      </w:r>
      <w:r>
        <w:t xml:space="preserve"> </w:t>
      </w:r>
      <w:r w:rsidR="00556C5B">
        <w:t>the chil</w:t>
      </w:r>
      <w:r>
        <w:t xml:space="preserve">dren’s mother believed were </w:t>
      </w:r>
      <w:r w:rsidR="00556C5B">
        <w:t xml:space="preserve">givers of </w:t>
      </w:r>
      <w:r w:rsidR="00C44EBB">
        <w:t>h</w:t>
      </w:r>
      <w:r>
        <w:t xml:space="preserve">er everyday physical needs, </w:t>
      </w:r>
      <w:r w:rsidR="00C44EBB" w:rsidRPr="00C44EBB">
        <w:t xml:space="preserve">bread and water, wool and flax (for making linen), olive oil and </w:t>
      </w:r>
      <w:r>
        <w:t>drink (in the context, “drink”</w:t>
      </w:r>
      <w:r w:rsidR="00C44EBB" w:rsidRPr="00C44EBB">
        <w:t xml:space="preserve"> will carry the s</w:t>
      </w:r>
      <w:r>
        <w:t xml:space="preserve">ame connotations as the </w:t>
      </w:r>
      <w:r w:rsidR="00C44EBB" w:rsidRPr="00C44EBB">
        <w:t>word</w:t>
      </w:r>
      <w:r>
        <w:t xml:space="preserve"> does in English</w:t>
      </w:r>
      <w:r w:rsidR="00C44EBB" w:rsidRPr="00C44EBB">
        <w:t>)</w:t>
      </w:r>
      <w:r w:rsidR="00C44EBB">
        <w:t>.</w:t>
      </w:r>
    </w:p>
    <w:p w:rsidR="00267003" w:rsidRDefault="00756904" w:rsidP="00D2749B">
      <w:r w:rsidRPr="00756904">
        <w:t xml:space="preserve">On the assumption that the lovers are the Masters, the </w:t>
      </w:r>
      <w:r w:rsidRPr="00756904">
        <w:rPr>
          <w:i/>
        </w:rPr>
        <w:t>bə‘ālîm</w:t>
      </w:r>
      <w:r w:rsidR="00910B00">
        <w:t xml:space="preserve">, it is noteworthy that they </w:t>
      </w:r>
      <w:r w:rsidRPr="00756904">
        <w:t xml:space="preserve">are connected with fertility not </w:t>
      </w:r>
      <w:r w:rsidR="004E4A76">
        <w:t xml:space="preserve">with </w:t>
      </w:r>
      <w:r w:rsidRPr="00756904">
        <w:t>storm or war.</w:t>
      </w:r>
      <w:r w:rsidRPr="00756904">
        <w:rPr>
          <w:vertAlign w:val="superscript"/>
        </w:rPr>
        <w:footnoteReference w:id="112"/>
      </w:r>
      <w:r>
        <w:t xml:space="preserve"> But </w:t>
      </w:r>
      <w:r w:rsidR="002F307C">
        <w:t>Tg interprets</w:t>
      </w:r>
      <w:r w:rsidR="00046263">
        <w:t xml:space="preserve"> the</w:t>
      </w:r>
      <w:r w:rsidR="002F307C">
        <w:t xml:space="preserve"> </w:t>
      </w:r>
      <w:r w:rsidR="0018567E">
        <w:t>lovers as the nations, with which indeed Ephraim</w:t>
      </w:r>
      <w:r w:rsidR="00751FDE">
        <w:t xml:space="preserve"> (and </w:t>
      </w:r>
      <w:r w:rsidR="0018567E">
        <w:t xml:space="preserve">Judah) went astray, </w:t>
      </w:r>
      <w:r w:rsidR="00D95869">
        <w:t xml:space="preserve">and </w:t>
      </w:r>
      <w:r w:rsidR="00175BE4">
        <w:t>political moves</w:t>
      </w:r>
      <w:r>
        <w:t xml:space="preserve"> can be desc</w:t>
      </w:r>
      <w:r w:rsidR="00175BE4">
        <w:t xml:space="preserve">ribed in terms of love and </w:t>
      </w:r>
      <w:r w:rsidR="00D95869">
        <w:t>adultery (7:3-4</w:t>
      </w:r>
      <w:r>
        <w:t>; 8:9-10</w:t>
      </w:r>
      <w:r w:rsidR="00D95869">
        <w:t>).</w:t>
      </w:r>
      <w:r w:rsidR="0015265F">
        <w:rPr>
          <w:rStyle w:val="FootnoteReference"/>
        </w:rPr>
        <w:footnoteReference w:id="113"/>
      </w:r>
      <w:r>
        <w:t xml:space="preserve"> Alliances with other nations would </w:t>
      </w:r>
      <w:r w:rsidR="00F841E8">
        <w:t>mean</w:t>
      </w:r>
      <w:r>
        <w:t xml:space="preserve"> compromising Ephraim’s relationship with Yahweh both in ceasing to rely on Yahweh and in engaging in religious rites that </w:t>
      </w:r>
      <w:r w:rsidR="00F841E8">
        <w:t>involved sharing in the other nations</w:t>
      </w:r>
      <w:r w:rsidR="00175BE4">
        <w:t>’</w:t>
      </w:r>
      <w:r w:rsidR="00F841E8">
        <w:t xml:space="preserve"> worship.</w:t>
      </w:r>
      <w:r w:rsidR="00150F36">
        <w:t xml:space="preserve"> Whoring might also be a way of categorizing trading relations with other nations</w:t>
      </w:r>
      <w:r w:rsidR="00175BE4">
        <w:t>,</w:t>
      </w:r>
      <w:r w:rsidR="00150F36">
        <w:t xml:space="preserve"> with the oppression that nascent globalization could bring to ordinary people.</w:t>
      </w:r>
      <w:r w:rsidR="00150F36">
        <w:rPr>
          <w:rStyle w:val="FootnoteReference"/>
        </w:rPr>
        <w:footnoteReference w:id="114"/>
      </w:r>
    </w:p>
    <w:p w:rsidR="00070EEB" w:rsidRDefault="00070EEB" w:rsidP="00D2749B"/>
    <w:p w:rsidR="00FB0009" w:rsidRDefault="00DA1BEF" w:rsidP="00D2749B">
      <w:r w:rsidRPr="00DA1BEF">
        <w:rPr>
          <w:b/>
        </w:rPr>
        <w:t>Hosea</w:t>
      </w:r>
      <w:r w:rsidRPr="00DA1BEF">
        <w:t xml:space="preserve"> </w:t>
      </w:r>
      <w:r w:rsidR="0081383F">
        <w:rPr>
          <w:b/>
        </w:rPr>
        <w:t>2:6-8</w:t>
      </w:r>
      <w:r w:rsidR="00FB0009">
        <w:rPr>
          <w:b/>
        </w:rPr>
        <w:t xml:space="preserve"> [8-10</w:t>
      </w:r>
      <w:r w:rsidR="004E4A76">
        <w:rPr>
          <w:b/>
        </w:rPr>
        <w:t>]</w:t>
      </w:r>
      <w:r w:rsidR="00070EEB" w:rsidRPr="00DA1BEF">
        <w:rPr>
          <w:b/>
        </w:rPr>
        <w:t>.</w:t>
      </w:r>
      <w:r w:rsidR="00070EEB">
        <w:t xml:space="preserve"> The </w:t>
      </w:r>
      <w:r w:rsidR="004E4A76">
        <w:t>first of three therefore</w:t>
      </w:r>
      <w:r w:rsidR="00070EEB">
        <w:t>s</w:t>
      </w:r>
      <w:r w:rsidR="006E2D98">
        <w:t xml:space="preserve"> introduces the third subsection</w:t>
      </w:r>
      <w:r w:rsidR="00070EEB">
        <w:t xml:space="preserve">. </w:t>
      </w:r>
      <w:r w:rsidR="00427203">
        <w:t>Though the</w:t>
      </w:r>
      <w:r w:rsidR="002D19D8">
        <w:t xml:space="preserve"> language may reflect</w:t>
      </w:r>
      <w:r w:rsidR="00F841E8">
        <w:t xml:space="preserve"> that of the </w:t>
      </w:r>
      <w:r w:rsidR="00427203">
        <w:t xml:space="preserve">administration at the gate, </w:t>
      </w:r>
      <w:r w:rsidR="00F841E8">
        <w:t>it leads into measures that are</w:t>
      </w:r>
      <w:r w:rsidR="00175BE4">
        <w:t xml:space="preserve"> </w:t>
      </w:r>
      <w:r w:rsidR="004E4A76">
        <w:t xml:space="preserve">not </w:t>
      </w:r>
      <w:r w:rsidR="00175BE4">
        <w:t>punitive but</w:t>
      </w:r>
      <w:r w:rsidR="000E7176">
        <w:t xml:space="preserve"> </w:t>
      </w:r>
      <w:r w:rsidR="00175BE4">
        <w:t>constraining and</w:t>
      </w:r>
      <w:r w:rsidR="00A52DA3">
        <w:t xml:space="preserve"> </w:t>
      </w:r>
      <w:r w:rsidR="000E7176">
        <w:t xml:space="preserve">reformatory. </w:t>
      </w:r>
    </w:p>
    <w:p w:rsidR="00CB086F" w:rsidRDefault="00553D24" w:rsidP="00D2749B">
      <w:r>
        <w:t xml:space="preserve">Obstructing the woman’s paths </w:t>
      </w:r>
      <w:r w:rsidR="00FB0009">
        <w:t>(v. 6 [8])</w:t>
      </w:r>
      <w:r>
        <w:t>may be a general figure for constraining her life</w:t>
      </w:r>
      <w:r w:rsidR="00CB086F">
        <w:t xml:space="preserve"> and in particular her moral path</w:t>
      </w:r>
      <w:r w:rsidR="00175BE4">
        <w:t>, but the object signified may have</w:t>
      </w:r>
      <w:r>
        <w:t xml:space="preserve"> pass</w:t>
      </w:r>
      <w:r w:rsidR="00175BE4">
        <w:t xml:space="preserve">ed over into the signifier: the woman </w:t>
      </w:r>
      <w:r>
        <w:t>is in the habit of going to the shri</w:t>
      </w:r>
      <w:r w:rsidR="00BE5FF2">
        <w:t xml:space="preserve">nes to pay homage to </w:t>
      </w:r>
      <w:r w:rsidR="00146FEB">
        <w:t>her “lovers”</w:t>
      </w:r>
      <w:r>
        <w:t>; Y</w:t>
      </w:r>
      <w:r w:rsidR="00146FEB">
        <w:t>ahweh intend</w:t>
      </w:r>
      <w:r w:rsidR="00F841E8">
        <w:t>s to make it impossible for her</w:t>
      </w:r>
      <w:r w:rsidR="00146FEB">
        <w:t xml:space="preserve"> to get there. </w:t>
      </w:r>
    </w:p>
    <w:p w:rsidR="00105067" w:rsidRDefault="00175BE4" w:rsidP="00105067">
      <w:r>
        <w:t>“S</w:t>
      </w:r>
      <w:r w:rsidR="00CB086F">
        <w:t>eeking</w:t>
      </w:r>
      <w:r w:rsidR="00ED375F">
        <w:t xml:space="preserve"> help</w:t>
      </w:r>
      <w:r w:rsidR="00CB086F">
        <w:t>”</w:t>
      </w:r>
      <w:r w:rsidR="00ED375F">
        <w:t xml:space="preserve"> (v. 7</w:t>
      </w:r>
      <w:r w:rsidR="00427203">
        <w:t xml:space="preserve"> [9]</w:t>
      </w:r>
      <w:r w:rsidR="00ED375F">
        <w:t xml:space="preserve">) </w:t>
      </w:r>
      <w:r>
        <w:t>anticipates</w:t>
      </w:r>
      <w:r w:rsidR="00CB086F">
        <w:t xml:space="preserve"> t</w:t>
      </w:r>
      <w:r>
        <w:t>he use of this verb in connection with</w:t>
      </w:r>
      <w:r w:rsidR="00ED375F">
        <w:t xml:space="preserve"> </w:t>
      </w:r>
      <w:r w:rsidR="00CB086F">
        <w:t>Yahweh</w:t>
      </w:r>
      <w:r>
        <w:t>, which will soon come</w:t>
      </w:r>
      <w:r w:rsidR="00855236">
        <w:t xml:space="preserve"> in its proper connection (3:5; cf. 5:6, 15; 7:10).</w:t>
      </w:r>
      <w:r w:rsidR="00CB086F">
        <w:t xml:space="preserve"> </w:t>
      </w:r>
      <w:r w:rsidR="00427203">
        <w:t>“</w:t>
      </w:r>
      <w:r w:rsidR="00855236">
        <w:t>Seeking</w:t>
      </w:r>
      <w:r w:rsidR="00427203">
        <w:t>”</w:t>
      </w:r>
      <w:r w:rsidR="00855236">
        <w:t xml:space="preserve"> implies having recourse</w:t>
      </w:r>
      <w:r w:rsidR="00427203">
        <w:t xml:space="preserve"> in order to ask for something</w:t>
      </w:r>
      <w:r w:rsidR="00146FEB">
        <w:t xml:space="preserve">. The language </w:t>
      </w:r>
      <w:r w:rsidR="00855236">
        <w:t xml:space="preserve">of seeking and not finding </w:t>
      </w:r>
      <w:r w:rsidR="00146FEB">
        <w:t xml:space="preserve">is ironically </w:t>
      </w:r>
      <w:r w:rsidR="00F947B4">
        <w:t xml:space="preserve">and poignantly </w:t>
      </w:r>
      <w:r w:rsidR="00146FEB">
        <w:t xml:space="preserve">similar to the girl’s language in the Song of Songs. </w:t>
      </w:r>
      <w:r w:rsidR="00667164">
        <w:t xml:space="preserve">While the Song </w:t>
      </w:r>
      <w:r w:rsidR="00146FEB">
        <w:t>would not</w:t>
      </w:r>
      <w:r w:rsidR="005D5541">
        <w:t xml:space="preserve"> </w:t>
      </w:r>
      <w:r w:rsidR="00146FEB">
        <w:t>have been in</w:t>
      </w:r>
      <w:r w:rsidR="00667164">
        <w:t xml:space="preserve"> existence in Hosea’s time, its parallels with</w:t>
      </w:r>
      <w:r w:rsidR="00146FEB">
        <w:t xml:space="preserve"> Egyptian love poetry indicate that it represents a longstanding tradition</w:t>
      </w:r>
      <w:r w:rsidR="00667164">
        <w:t xml:space="preserve">. Hosea and his </w:t>
      </w:r>
      <w:r w:rsidR="00667164">
        <w:lastRenderedPageBreak/>
        <w:t>audience c</w:t>
      </w:r>
      <w:r w:rsidR="00F947B4">
        <w:t xml:space="preserve">ould be familiar with poetry using </w:t>
      </w:r>
      <w:r w:rsidR="00667164">
        <w:t>figures like the ones that come here</w:t>
      </w:r>
      <w:r w:rsidR="00F947B4">
        <w:t>.</w:t>
      </w:r>
      <w:r w:rsidR="0078193D">
        <w:t xml:space="preserve"> </w:t>
      </w:r>
      <w:r w:rsidR="00427203" w:rsidRPr="00427203">
        <w:t>This woman feels the freedom assumed in the Song to take an initiat</w:t>
      </w:r>
      <w:r w:rsidR="00427203">
        <w:t>ive in relation to a man,</w:t>
      </w:r>
      <w:r w:rsidR="00427203" w:rsidRPr="00427203">
        <w:t xml:space="preserve"> an aspect of the egalitarian relationship between the sexes. But as a married woman she’s not entitled to that assumption in relating to other men.</w:t>
      </w:r>
    </w:p>
    <w:p w:rsidR="00105067" w:rsidRDefault="00105067" w:rsidP="00105067"/>
    <w:p w:rsidR="00105067" w:rsidRPr="00105067" w:rsidRDefault="00105067" w:rsidP="00DD3A10">
      <w:pPr>
        <w:pStyle w:val="Quote"/>
      </w:pPr>
      <w:r w:rsidRPr="00105067">
        <w:rPr>
          <w:rStyle w:val="st"/>
        </w:rPr>
        <w:t xml:space="preserve">In Song 1.13, </w:t>
      </w:r>
      <w:r w:rsidRPr="00105067">
        <w:rPr>
          <w:rStyle w:val="Emphasis"/>
          <w:i w:val="0"/>
        </w:rPr>
        <w:t>the woman's lover lies between</w:t>
      </w:r>
      <w:r w:rsidRPr="00105067">
        <w:rPr>
          <w:rStyle w:val="st"/>
        </w:rPr>
        <w:t xml:space="preserve"> her breasts like a </w:t>
      </w:r>
      <w:r w:rsidR="00F841E8">
        <w:rPr>
          <w:rStyle w:val="st"/>
        </w:rPr>
        <w:t>sachet of myrrh; in Hosea…</w:t>
      </w:r>
      <w:r w:rsidRPr="00105067">
        <w:rPr>
          <w:rStyle w:val="st"/>
        </w:rPr>
        <w:t xml:space="preserve"> this is replaced by the signs of her adultery. In the Song </w:t>
      </w:r>
      <w:r w:rsidRPr="00105067">
        <w:rPr>
          <w:rStyle w:val="Emphasis"/>
          <w:i w:val="0"/>
        </w:rPr>
        <w:t>the birth of the lovers</w:t>
      </w:r>
      <w:r w:rsidRPr="00105067">
        <w:rPr>
          <w:rStyle w:val="st"/>
          <w:i/>
        </w:rPr>
        <w:t xml:space="preserve"> </w:t>
      </w:r>
      <w:r w:rsidRPr="00F841E8">
        <w:rPr>
          <w:rStyle w:val="st"/>
        </w:rPr>
        <w:t>is</w:t>
      </w:r>
      <w:r w:rsidR="00F841E8">
        <w:rPr>
          <w:rStyle w:val="st"/>
        </w:rPr>
        <w:t xml:space="preserve"> an epiphany: the woman was “</w:t>
      </w:r>
      <w:r w:rsidRPr="00105067">
        <w:rPr>
          <w:rStyle w:val="st"/>
        </w:rPr>
        <w:t>splendid to the one who gave her birth</w:t>
      </w:r>
      <w:r w:rsidR="00F841E8">
        <w:rPr>
          <w:rStyle w:val="st"/>
        </w:rPr>
        <w:t>”</w:t>
      </w:r>
      <w:r w:rsidRPr="00105067">
        <w:rPr>
          <w:rStyle w:val="st"/>
        </w:rPr>
        <w:t xml:space="preserve"> (6.9), the man is awakened to love and to </w:t>
      </w:r>
      <w:r w:rsidRPr="00F841E8">
        <w:rPr>
          <w:rStyle w:val="st"/>
        </w:rPr>
        <w:t>life</w:t>
      </w:r>
      <w:r w:rsidRPr="00105067">
        <w:rPr>
          <w:rStyle w:val="st"/>
          <w:i/>
        </w:rPr>
        <w:t xml:space="preserve"> </w:t>
      </w:r>
      <w:r w:rsidRPr="00105067">
        <w:rPr>
          <w:rStyle w:val="Emphasis"/>
          <w:i w:val="0"/>
        </w:rPr>
        <w:t xml:space="preserve">in a birth scene </w:t>
      </w:r>
      <w:r w:rsidRPr="00F841E8">
        <w:rPr>
          <w:rStyle w:val="Emphasis"/>
          <w:i w:val="0"/>
        </w:rPr>
        <w:t>under</w:t>
      </w:r>
      <w:r w:rsidRPr="00F841E8">
        <w:rPr>
          <w:rStyle w:val="st"/>
        </w:rPr>
        <w:t xml:space="preserve"> an apple tree</w:t>
      </w:r>
      <w:r w:rsidRPr="00105067">
        <w:rPr>
          <w:rStyle w:val="st"/>
        </w:rPr>
        <w:t xml:space="preserve">, full of cosmic significance (8.5). </w:t>
      </w:r>
      <w:r w:rsidRPr="00105067">
        <w:rPr>
          <w:rStyle w:val="Emphasis"/>
          <w:i w:val="0"/>
        </w:rPr>
        <w:t>In Hosea, being reduced</w:t>
      </w:r>
      <w:r w:rsidRPr="00105067">
        <w:rPr>
          <w:rStyle w:val="st"/>
          <w:i/>
        </w:rPr>
        <w:t xml:space="preserve"> </w:t>
      </w:r>
      <w:r w:rsidRPr="00CE033D">
        <w:rPr>
          <w:rStyle w:val="st"/>
        </w:rPr>
        <w:t>to</w:t>
      </w:r>
      <w:r w:rsidRPr="00105067">
        <w:rPr>
          <w:rStyle w:val="st"/>
        </w:rPr>
        <w:t xml:space="preserve"> one's birth state is evidence of utter dehumanization; nakedness is the subject of shame instead of celebration, as in the Song. </w:t>
      </w:r>
      <w:r w:rsidRPr="00105067">
        <w:rPr>
          <w:rStyle w:val="Emphasis"/>
          <w:i w:val="0"/>
        </w:rPr>
        <w:t>The wilderness, in Hosea</w:t>
      </w:r>
      <w:r w:rsidRPr="00105067">
        <w:rPr>
          <w:rStyle w:val="st"/>
          <w:i/>
        </w:rPr>
        <w:t xml:space="preserve">, </w:t>
      </w:r>
      <w:r w:rsidRPr="00CE033D">
        <w:rPr>
          <w:rStyle w:val="st"/>
        </w:rPr>
        <w:t>is</w:t>
      </w:r>
      <w:r w:rsidRPr="00105067">
        <w:rPr>
          <w:rStyle w:val="st"/>
        </w:rPr>
        <w:t xml:space="preserve"> a sign of the woman's desolation and death by thirst; in the Song</w:t>
      </w:r>
      <w:r w:rsidR="00CE033D">
        <w:rPr>
          <w:rStyle w:val="st"/>
        </w:rPr>
        <w:t>, it is the place of the lovers’</w:t>
      </w:r>
      <w:r w:rsidRPr="00105067">
        <w:rPr>
          <w:rStyle w:val="st"/>
        </w:rPr>
        <w:t xml:space="preserve"> tryst, associated with exotic spices and sights (1.14; 3.6; 8.5). In the Song 4.8 </w:t>
      </w:r>
      <w:r w:rsidRPr="00105067">
        <w:rPr>
          <w:rStyle w:val="Emphasis"/>
          <w:i w:val="0"/>
        </w:rPr>
        <w:t>the woman is invited to</w:t>
      </w:r>
      <w:r w:rsidRPr="00105067">
        <w:rPr>
          <w:rStyle w:val="Emphasis"/>
        </w:rPr>
        <w:t xml:space="preserve"> </w:t>
      </w:r>
      <w:r w:rsidRPr="00CE033D">
        <w:rPr>
          <w:rStyle w:val="Emphasis"/>
          <w:i w:val="0"/>
        </w:rPr>
        <w:t>come down</w:t>
      </w:r>
      <w:r w:rsidRPr="00105067">
        <w:rPr>
          <w:rStyle w:val="st"/>
        </w:rPr>
        <w:t xml:space="preserve"> from Lebanon, the home of wild beasts; here, wi</w:t>
      </w:r>
      <w:r w:rsidR="00427203">
        <w:rPr>
          <w:rStyle w:val="st"/>
        </w:rPr>
        <w:t>ld beasts threaten devastation.</w:t>
      </w:r>
      <w:r w:rsidRPr="00105067">
        <w:rPr>
          <w:rStyle w:val="FootnoteReference"/>
        </w:rPr>
        <w:footnoteReference w:id="115"/>
      </w:r>
    </w:p>
    <w:p w:rsidR="00105067" w:rsidRDefault="00105067" w:rsidP="00842A08"/>
    <w:p w:rsidR="008B6959" w:rsidRDefault="00F947B4" w:rsidP="00842A08">
      <w:r>
        <w:t>H</w:t>
      </w:r>
      <w:r w:rsidR="00CB086F">
        <w:t>opefully, h</w:t>
      </w:r>
      <w:r>
        <w:t xml:space="preserve">er frustration leads her to return to her </w:t>
      </w:r>
      <w:r w:rsidR="00ED375F">
        <w:t>husband, her first “man</w:t>
      </w:r>
      <w:r w:rsidR="00842A08">
        <w:t>”</w:t>
      </w:r>
      <w:r w:rsidR="0081383F">
        <w:t xml:space="preserve"> (v. 7b</w:t>
      </w:r>
      <w:r w:rsidR="00427203">
        <w:t xml:space="preserve"> [9b]</w:t>
      </w:r>
      <w:r w:rsidR="00ED375F">
        <w:t>).</w:t>
      </w:r>
      <w:r w:rsidR="00842A08">
        <w:t xml:space="preserve"> </w:t>
      </w:r>
      <w:r w:rsidR="00667164">
        <w:t>“T</w:t>
      </w:r>
      <w:r w:rsidR="00D77D9C">
        <w:t>urn</w:t>
      </w:r>
      <w:r w:rsidR="00667164">
        <w:t xml:space="preserve"> back</w:t>
      </w:r>
      <w:r w:rsidR="00D77D9C">
        <w:t>” (</w:t>
      </w:r>
      <w:r w:rsidR="00D77D9C">
        <w:rPr>
          <w:i/>
        </w:rPr>
        <w:t>šûb</w:t>
      </w:r>
      <w:r w:rsidR="00D77D9C">
        <w:t>)</w:t>
      </w:r>
      <w:r w:rsidR="00D77D9C">
        <w:rPr>
          <w:i/>
        </w:rPr>
        <w:t xml:space="preserve"> </w:t>
      </w:r>
      <w:r w:rsidR="00D77D9C">
        <w:t xml:space="preserve">would be the </w:t>
      </w:r>
      <w:r w:rsidR="00CE033D">
        <w:t xml:space="preserve">appropriate </w:t>
      </w:r>
      <w:r w:rsidR="00D77D9C">
        <w:t>word if</w:t>
      </w:r>
      <w:r w:rsidR="00855236">
        <w:t xml:space="preserve"> Hosea were to </w:t>
      </w:r>
      <w:r w:rsidR="00D77D9C">
        <w:t>speak</w:t>
      </w:r>
      <w:r w:rsidR="00855236">
        <w:t xml:space="preserve"> </w:t>
      </w:r>
      <w:r w:rsidR="001614BB">
        <w:t xml:space="preserve">directly </w:t>
      </w:r>
      <w:r w:rsidR="00855236">
        <w:t xml:space="preserve">of Ephraim repenting, </w:t>
      </w:r>
      <w:r w:rsidR="00D77D9C">
        <w:t>but the link is ironic. The woman</w:t>
      </w:r>
      <w:r w:rsidR="00667164">
        <w:t>’s words signify</w:t>
      </w:r>
      <w:r w:rsidR="00CE033D">
        <w:t xml:space="preserve"> </w:t>
      </w:r>
      <w:r w:rsidR="00D77D9C">
        <w:t xml:space="preserve">no </w:t>
      </w:r>
      <w:r w:rsidR="00667164">
        <w:t>such turning</w:t>
      </w:r>
      <w:r w:rsidR="00D77D9C">
        <w:t xml:space="preserve">. </w:t>
      </w:r>
      <w:r w:rsidR="00667164">
        <w:t>P</w:t>
      </w:r>
      <w:r w:rsidR="00230144">
        <w:t>eeping from behind the allegory is an awareness that Ephraim was be</w:t>
      </w:r>
      <w:r w:rsidR="00667164">
        <w:t>tter off in the time of Moses,</w:t>
      </w:r>
      <w:r w:rsidR="00230144">
        <w:t xml:space="preserve"> Joshua</w:t>
      </w:r>
      <w:r w:rsidR="00667164">
        <w:t>,</w:t>
      </w:r>
      <w:r w:rsidR="00230144">
        <w:t xml:space="preserve"> or David. </w:t>
      </w:r>
      <w:r w:rsidR="008B6959">
        <w:t>S</w:t>
      </w:r>
      <w:r w:rsidR="00CC6E01">
        <w:t>uch a return</w:t>
      </w:r>
      <w:r w:rsidR="008B6959">
        <w:t xml:space="preserve"> might </w:t>
      </w:r>
      <w:r w:rsidR="00CE033D">
        <w:t>issue from the husband’s action, b</w:t>
      </w:r>
      <w:r w:rsidR="00842A08">
        <w:t xml:space="preserve">ut it hasn’t happened yet. </w:t>
      </w:r>
    </w:p>
    <w:p w:rsidR="00842A08" w:rsidRPr="0049060A" w:rsidRDefault="00842A08" w:rsidP="00842A08">
      <w:r>
        <w:t xml:space="preserve">Up until now she has not </w:t>
      </w:r>
      <w:r w:rsidR="00CE033D">
        <w:t>“</w:t>
      </w:r>
      <w:r>
        <w:t>acknowledged</w:t>
      </w:r>
      <w:r w:rsidR="00CE033D">
        <w:t>” who was her provider</w:t>
      </w:r>
      <w:r w:rsidR="00FE28D5">
        <w:t xml:space="preserve"> (v. </w:t>
      </w:r>
      <w:r w:rsidR="0081383F">
        <w:t>8</w:t>
      </w:r>
      <w:r w:rsidR="00704FB2">
        <w:t>a</w:t>
      </w:r>
      <w:r w:rsidR="00FC7603">
        <w:t xml:space="preserve"> [10a]</w:t>
      </w:r>
      <w:r w:rsidR="008B6959">
        <w:t>)</w:t>
      </w:r>
      <w:r w:rsidR="00667164">
        <w:t>. It’</w:t>
      </w:r>
      <w:r>
        <w:t xml:space="preserve">s the first occurrence of </w:t>
      </w:r>
      <w:r w:rsidR="0049060A">
        <w:rPr>
          <w:i/>
        </w:rPr>
        <w:t>yā</w:t>
      </w:r>
      <w:r w:rsidRPr="00842A08">
        <w:rPr>
          <w:i/>
        </w:rPr>
        <w:t>da</w:t>
      </w:r>
      <w:r>
        <w:rPr>
          <w:i/>
        </w:rPr>
        <w:t>‘</w:t>
      </w:r>
      <w:r>
        <w:t>,</w:t>
      </w:r>
      <w:r>
        <w:rPr>
          <w:i/>
        </w:rPr>
        <w:t xml:space="preserve"> </w:t>
      </w:r>
      <w:r>
        <w:t xml:space="preserve">a key verb in Hosea. </w:t>
      </w:r>
      <w:r w:rsidR="00B621FE">
        <w:t xml:space="preserve">The </w:t>
      </w:r>
      <w:r w:rsidR="00427203">
        <w:t>regular translation</w:t>
      </w:r>
      <w:r w:rsidR="00CE033D">
        <w:t xml:space="preserve"> of </w:t>
      </w:r>
      <w:r w:rsidR="00CE033D" w:rsidRPr="00CE033D">
        <w:rPr>
          <w:i/>
        </w:rPr>
        <w:t xml:space="preserve">yāda‘ </w:t>
      </w:r>
      <w:r w:rsidR="00B621FE">
        <w:t xml:space="preserve"> is “know,” and it often has that meaning. But it commonly denotes not mer</w:t>
      </w:r>
      <w:r w:rsidR="00667164">
        <w:t>ely awareness but recognition, for which E</w:t>
      </w:r>
      <w:r w:rsidR="00B621FE">
        <w:t xml:space="preserve">nglish conveniently has </w:t>
      </w:r>
      <w:r w:rsidR="00427203">
        <w:t>the verb “acknowledge</w:t>
      </w:r>
      <w:r w:rsidR="00667164">
        <w:t xml:space="preserve">” </w:t>
      </w:r>
      <w:r w:rsidR="00427203">
        <w:t xml:space="preserve">which is </w:t>
      </w:r>
      <w:r w:rsidR="00B621FE">
        <w:t>related to the ver</w:t>
      </w:r>
      <w:r w:rsidR="00CE033D">
        <w:t>b “know.” The issue with the wife</w:t>
      </w:r>
      <w:r w:rsidR="00B621FE">
        <w:t xml:space="preserve"> is not t</w:t>
      </w:r>
      <w:r w:rsidR="00667164">
        <w:t xml:space="preserve">hat </w:t>
      </w:r>
      <w:r w:rsidR="00CE033D">
        <w:t>she doesn’t know who her husband is, but that she</w:t>
      </w:r>
      <w:r w:rsidR="00B621FE">
        <w:t xml:space="preserve"> do</w:t>
      </w:r>
      <w:r w:rsidR="00CE033D">
        <w:t>es</w:t>
      </w:r>
      <w:r w:rsidR="00B621FE">
        <w:t>n’t acknowledge it.</w:t>
      </w:r>
      <w:r w:rsidR="00CE033D">
        <w:t xml:space="preserve"> </w:t>
      </w:r>
      <w:r w:rsidR="0049060A">
        <w:t xml:space="preserve">In some contexts </w:t>
      </w:r>
      <w:r w:rsidR="0049060A" w:rsidRPr="0049060A">
        <w:rPr>
          <w:i/>
        </w:rPr>
        <w:t>yāda‘</w:t>
      </w:r>
      <w:r w:rsidR="0049060A">
        <w:t xml:space="preserve"> suggests personal intimacy, but that is not the point here. In other contexts </w:t>
      </w:r>
      <w:r w:rsidR="0049060A">
        <w:rPr>
          <w:i/>
        </w:rPr>
        <w:t>yāda‘</w:t>
      </w:r>
      <w:r w:rsidR="00CE033D">
        <w:t xml:space="preserve"> denotes having sex,</w:t>
      </w:r>
      <w:r w:rsidR="0049060A">
        <w:t xml:space="preserve"> but in such contexts it do</w:t>
      </w:r>
      <w:r w:rsidR="00270C8A">
        <w:t>es not imply personal intimacy, and this connotation is also not the point here</w:t>
      </w:r>
      <w:r w:rsidR="00427203">
        <w:t xml:space="preserve">, </w:t>
      </w:r>
      <w:r w:rsidR="00DF11AF">
        <w:t>though one</w:t>
      </w:r>
      <w:r w:rsidR="00FC7603">
        <w:t xml:space="preserve"> might note the irony in the fact that the lovers’</w:t>
      </w:r>
      <w:r w:rsidR="00DF11AF">
        <w:t xml:space="preserve"> superficial, even qua</w:t>
      </w:r>
      <w:r w:rsidR="00FC7603">
        <w:t>si-sexual knowing</w:t>
      </w:r>
      <w:r w:rsidR="00DF11AF">
        <w:t xml:space="preserve"> is </w:t>
      </w:r>
      <w:r w:rsidR="00CE033D">
        <w:t>to give</w:t>
      </w:r>
      <w:r w:rsidR="00DF11AF">
        <w:t xml:space="preserve"> way to a deep committed acknowledgment of Yahweh</w:t>
      </w:r>
      <w:r w:rsidR="00CE033D">
        <w:t xml:space="preserve"> </w:t>
      </w:r>
      <w:r w:rsidR="00427203">
        <w:t>(</w:t>
      </w:r>
      <w:r w:rsidR="00CE033D">
        <w:t>v. 20</w:t>
      </w:r>
      <w:r w:rsidR="00427203">
        <w:t xml:space="preserve"> [22]</w:t>
      </w:r>
      <w:r w:rsidR="00270C8A">
        <w:t>)</w:t>
      </w:r>
      <w:r w:rsidR="00427203">
        <w:t>.</w:t>
      </w:r>
    </w:p>
    <w:p w:rsidR="002C468F" w:rsidRPr="009B3786" w:rsidRDefault="009441E6" w:rsidP="00842A08">
      <w:r>
        <w:t>Combinations such as wheat</w:t>
      </w:r>
      <w:r w:rsidR="002C468F">
        <w:t>, new wine, and fresh oil appear frequently in the First T</w:t>
      </w:r>
      <w:r w:rsidR="009B3786">
        <w:t>estament to summarize the fundamental</w:t>
      </w:r>
      <w:r w:rsidR="002C468F">
        <w:t xml:space="preserve"> </w:t>
      </w:r>
      <w:r w:rsidR="009B3786">
        <w:t>gifts of the soil that are basic to human life</w:t>
      </w:r>
      <w:r w:rsidR="00CE2078">
        <w:t xml:space="preserve"> (e.g., Deut</w:t>
      </w:r>
      <w:r w:rsidR="00667164">
        <w:t>.</w:t>
      </w:r>
      <w:r w:rsidR="00CE2078">
        <w:t xml:space="preserve"> 7:13; 11:14)</w:t>
      </w:r>
      <w:r w:rsidR="002C468F">
        <w:t xml:space="preserve">. </w:t>
      </w:r>
      <w:r w:rsidR="00FC7603">
        <w:t xml:space="preserve">The combination </w:t>
      </w:r>
      <w:r w:rsidR="00D42F47">
        <w:t>might also be significant beca</w:t>
      </w:r>
      <w:r w:rsidR="00FC7603">
        <w:t>use they are equivalent of c</w:t>
      </w:r>
      <w:r w:rsidR="00D42F47">
        <w:t xml:space="preserve">ash crops that can </w:t>
      </w:r>
      <w:r w:rsidR="00667164">
        <w:t>be a medium of taxation and consequently</w:t>
      </w:r>
      <w:r w:rsidR="00D42F47">
        <w:t xml:space="preserve"> of tribute and international trade (e.g., 2 Chron</w:t>
      </w:r>
      <w:r w:rsidR="00667164">
        <w:t>.</w:t>
      </w:r>
      <w:r w:rsidR="00D42F47">
        <w:t xml:space="preserve"> 2:10), and thus be symbols of prosperity.</w:t>
      </w:r>
      <w:r w:rsidR="00D42F47">
        <w:rPr>
          <w:rStyle w:val="FootnoteReference"/>
        </w:rPr>
        <w:footnoteReference w:id="116"/>
      </w:r>
      <w:r w:rsidR="00D42F47">
        <w:t xml:space="preserve"> </w:t>
      </w:r>
      <w:r w:rsidR="00667164">
        <w:t>N</w:t>
      </w:r>
      <w:r w:rsidR="002C468F">
        <w:t>ew wine and fresh oil (</w:t>
      </w:r>
      <w:r w:rsidR="002C468F" w:rsidRPr="002C468F">
        <w:rPr>
          <w:i/>
        </w:rPr>
        <w:t>tîrôš</w:t>
      </w:r>
      <w:r w:rsidR="002C468F">
        <w:t xml:space="preserve">, </w:t>
      </w:r>
      <w:r w:rsidR="002C468F">
        <w:rPr>
          <w:i/>
        </w:rPr>
        <w:t>yiṣ</w:t>
      </w:r>
      <w:r w:rsidR="009B3786">
        <w:rPr>
          <w:i/>
        </w:rPr>
        <w:t>hār</w:t>
      </w:r>
      <w:r w:rsidR="009B3786">
        <w:t>)</w:t>
      </w:r>
      <w:r w:rsidR="002C468F">
        <w:t xml:space="preserve"> </w:t>
      </w:r>
      <w:r w:rsidR="002C468F" w:rsidRPr="002C468F">
        <w:t>are</w:t>
      </w:r>
      <w:r w:rsidR="00667164">
        <w:t xml:space="preserve"> different from </w:t>
      </w:r>
      <w:r w:rsidR="002C468F">
        <w:t>regular wine and oil</w:t>
      </w:r>
      <w:r w:rsidR="009B3786">
        <w:t xml:space="preserve"> (</w:t>
      </w:r>
      <w:r w:rsidR="009B3786">
        <w:rPr>
          <w:i/>
        </w:rPr>
        <w:t>yayin, šemen</w:t>
      </w:r>
      <w:r w:rsidR="00FC7603">
        <w:t>); they</w:t>
      </w:r>
      <w:r w:rsidR="009B3786">
        <w:t xml:space="preserve"> suggest the first fruit</w:t>
      </w:r>
      <w:r>
        <w:t>s of the harvest. Wheat</w:t>
      </w:r>
      <w:r w:rsidR="009B3786">
        <w:t xml:space="preserve"> (</w:t>
      </w:r>
      <w:r w:rsidR="009B3786">
        <w:rPr>
          <w:i/>
        </w:rPr>
        <w:t>dāgān</w:t>
      </w:r>
      <w:r w:rsidR="009B3786">
        <w:t xml:space="preserve">, over against </w:t>
      </w:r>
      <w:r w:rsidR="009B3786">
        <w:rPr>
          <w:i/>
        </w:rPr>
        <w:t>šeber</w:t>
      </w:r>
      <w:r w:rsidR="009B3786">
        <w:t xml:space="preserve">) hints at the </w:t>
      </w:r>
      <w:r w:rsidR="00667164">
        <w:t>same implication</w:t>
      </w:r>
      <w:r w:rsidR="009B3786">
        <w:t>.</w:t>
      </w:r>
      <w:r w:rsidR="00667164">
        <w:t xml:space="preserve"> T</w:t>
      </w:r>
      <w:r w:rsidR="00C44EBB">
        <w:t>he husband</w:t>
      </w:r>
      <w:r w:rsidR="00311F0A">
        <w:t xml:space="preserve"> imagines his wife a</w:t>
      </w:r>
      <w:r w:rsidR="00667164">
        <w:t>cknowledging that hi</w:t>
      </w:r>
      <w:r w:rsidR="00311F0A">
        <w:t>s provision was superior to what she got from her lovers.</w:t>
      </w:r>
      <w:r w:rsidR="00CE2078">
        <w:t xml:space="preserve"> </w:t>
      </w:r>
    </w:p>
    <w:p w:rsidR="00DE51EB" w:rsidRDefault="00C44EBB" w:rsidP="00842A08">
      <w:r>
        <w:t>He then</w:t>
      </w:r>
      <w:r w:rsidR="00B621FE">
        <w:t xml:space="preserve"> extends the area of their non-acknowledgment </w:t>
      </w:r>
      <w:r w:rsidR="00667164">
        <w:t>(v. 8b</w:t>
      </w:r>
      <w:r w:rsidR="00FC7603">
        <w:t xml:space="preserve"> [10b]</w:t>
      </w:r>
      <w:r w:rsidR="00667164">
        <w:t xml:space="preserve">) </w:t>
      </w:r>
      <w:r w:rsidR="00B621FE">
        <w:t xml:space="preserve">from food and clothing to silver and gold. </w:t>
      </w:r>
      <w:r w:rsidR="00DE51EB" w:rsidRPr="00DE51EB">
        <w:t>There’s no impli</w:t>
      </w:r>
      <w:r w:rsidR="00704FB2">
        <w:t xml:space="preserve">cation </w:t>
      </w:r>
      <w:r w:rsidR="00DE51EB">
        <w:t>of remarkable prosperity in the time to which the prophecy belongs, and no such reference in the account in 2 Kings, though Jeroboam’s rei</w:t>
      </w:r>
      <w:r w:rsidR="00FC7603">
        <w:t>gn was one of stability which would imply prosperity</w:t>
      </w:r>
      <w:r w:rsidR="00DE51EB">
        <w:t xml:space="preserve">. </w:t>
      </w:r>
      <w:r w:rsidR="004807E3">
        <w:t>While silver is a medium of exchange in a non-monetary society, t</w:t>
      </w:r>
      <w:r w:rsidR="00B621FE">
        <w:t xml:space="preserve">he main point of silver and gold is </w:t>
      </w:r>
      <w:r w:rsidR="004807E3">
        <w:t>ornamental rather than</w:t>
      </w:r>
      <w:r w:rsidR="00704FB2">
        <w:t xml:space="preserve"> functional. </w:t>
      </w:r>
      <w:r>
        <w:t>T</w:t>
      </w:r>
      <w:r w:rsidR="004807E3">
        <w:t xml:space="preserve">hey are used for jewelry, but also for beautifying sanctuaries. </w:t>
      </w:r>
      <w:r>
        <w:t>At the climax of the subsection H</w:t>
      </w:r>
      <w:r w:rsidR="00704FB2">
        <w:t xml:space="preserve">osea thus makes the first </w:t>
      </w:r>
      <w:r>
        <w:t>explicit reference to the real</w:t>
      </w:r>
      <w:r w:rsidR="00704FB2">
        <w:t xml:space="preserve">ity behind the allegory. </w:t>
      </w:r>
      <w:r w:rsidR="00B009A7">
        <w:t>Samaria/Ephraim</w:t>
      </w:r>
      <w:r w:rsidR="004807E3">
        <w:t xml:space="preserve"> compo</w:t>
      </w:r>
      <w:r w:rsidR="00704FB2">
        <w:t>unds its insulting of Yahweh</w:t>
      </w:r>
      <w:r w:rsidR="00DE51EB">
        <w:t xml:space="preserve">: it not only fails to </w:t>
      </w:r>
      <w:r w:rsidR="004807E3">
        <w:lastRenderedPageBreak/>
        <w:t xml:space="preserve">acknowledge where </w:t>
      </w:r>
      <w:r w:rsidR="00DE51EB">
        <w:t>its silver and gold came from, but</w:t>
      </w:r>
      <w:r w:rsidR="004807E3">
        <w:t xml:space="preserve"> it uses it</w:t>
      </w:r>
      <w:r w:rsidR="0071730A">
        <w:t xml:space="preserve"> to beautify the Master’s sanctuary</w:t>
      </w:r>
      <w:r w:rsidR="006630AC">
        <w:t xml:space="preserve"> or to plate an image for the Master (cf. Isa</w:t>
      </w:r>
      <w:r w:rsidR="00704FB2">
        <w:t>.</w:t>
      </w:r>
      <w:r w:rsidR="006630AC">
        <w:t xml:space="preserve"> 40:19</w:t>
      </w:r>
      <w:r w:rsidR="007F327D">
        <w:t>)</w:t>
      </w:r>
      <w:r w:rsidR="004807E3">
        <w:t xml:space="preserve">. </w:t>
      </w:r>
      <w:r w:rsidR="00704FB2">
        <w:t>To return to the allegory</w:t>
      </w:r>
      <w:r w:rsidR="00311F0A">
        <w:t xml:space="preserve">, perhaps </w:t>
      </w:r>
      <w:r w:rsidR="00311F0A" w:rsidRPr="00311F0A">
        <w:t xml:space="preserve">the silver and gold were </w:t>
      </w:r>
      <w:r w:rsidR="006E464F">
        <w:t xml:space="preserve">his </w:t>
      </w:r>
      <w:r w:rsidR="00FC7603">
        <w:t>marriage gift to</w:t>
      </w:r>
      <w:r w:rsidR="00311F0A" w:rsidRPr="00311F0A">
        <w:t xml:space="preserve"> her</w:t>
      </w:r>
      <w:r w:rsidR="00704FB2">
        <w:t>, so</w:t>
      </w:r>
      <w:r w:rsidR="00311F0A" w:rsidRPr="00311F0A">
        <w:t xml:space="preserve"> </w:t>
      </w:r>
      <w:r w:rsidR="00311F0A">
        <w:t>t</w:t>
      </w:r>
      <w:r w:rsidR="00704FB2">
        <w:t xml:space="preserve">he scandal is </w:t>
      </w:r>
      <w:r w:rsidR="00DE51EB">
        <w:t>the greater</w:t>
      </w:r>
      <w:r w:rsidR="00311F0A">
        <w:t>.</w:t>
      </w:r>
      <w:r w:rsidR="00311F0A" w:rsidRPr="00311F0A">
        <w:t xml:space="preserve"> </w:t>
      </w:r>
      <w:r w:rsidR="006E464F">
        <w:t>The point is the closing shot</w:t>
      </w:r>
      <w:r w:rsidR="009534AF">
        <w:t xml:space="preserve"> in the third colon. </w:t>
      </w:r>
    </w:p>
    <w:p w:rsidR="003D4BB6" w:rsidRDefault="003D4BB6" w:rsidP="00842A08"/>
    <w:p w:rsidR="00FB0009" w:rsidRDefault="00DA1BEF" w:rsidP="00842A08">
      <w:r w:rsidRPr="00DA1BEF">
        <w:rPr>
          <w:b/>
        </w:rPr>
        <w:t>Hosea</w:t>
      </w:r>
      <w:r w:rsidRPr="00DA1BEF">
        <w:t xml:space="preserve"> </w:t>
      </w:r>
      <w:r w:rsidR="0081383F">
        <w:rPr>
          <w:b/>
        </w:rPr>
        <w:t>2:9-13</w:t>
      </w:r>
      <w:r w:rsidR="006E2D98">
        <w:rPr>
          <w:b/>
        </w:rPr>
        <w:t xml:space="preserve"> [11-15]</w:t>
      </w:r>
      <w:r w:rsidR="009534AF" w:rsidRPr="00DA1BEF">
        <w:rPr>
          <w:b/>
        </w:rPr>
        <w:t>.</w:t>
      </w:r>
      <w:r w:rsidR="009534AF">
        <w:t xml:space="preserve"> </w:t>
      </w:r>
      <w:r w:rsidR="006E2D98">
        <w:t>Another “therefore” opens t</w:t>
      </w:r>
      <w:r w:rsidR="006E2D98" w:rsidRPr="006E2D98">
        <w:t>h</w:t>
      </w:r>
      <w:r w:rsidR="006E2D98">
        <w:t xml:space="preserve">e fourth subsection, introducing </w:t>
      </w:r>
      <w:r w:rsidR="00DE51EB">
        <w:t>a further stage in the husband’s response to his wife’s</w:t>
      </w:r>
      <w:r w:rsidR="009534AF">
        <w:t xml:space="preserve"> whoring.</w:t>
      </w:r>
      <w:r w:rsidR="00704FB2">
        <w:t xml:space="preserve"> It follows logically from her regarding</w:t>
      </w:r>
      <w:r w:rsidR="00B272BA">
        <w:t xml:space="preserve"> </w:t>
      </w:r>
      <w:r w:rsidR="00B009A7">
        <w:t xml:space="preserve">someone else as </w:t>
      </w:r>
      <w:r w:rsidR="00B272BA">
        <w:t xml:space="preserve">the supplier of her needs. </w:t>
      </w:r>
    </w:p>
    <w:p w:rsidR="009534AF" w:rsidRPr="00D2231B" w:rsidRDefault="00B272BA" w:rsidP="00842A08">
      <w:r>
        <w:t>The</w:t>
      </w:r>
      <w:r w:rsidR="00B009A7">
        <w:t xml:space="preserve">ir actual supplier </w:t>
      </w:r>
      <w:r w:rsidR="00805D49">
        <w:t xml:space="preserve">(“my” </w:t>
      </w:r>
      <w:r w:rsidR="00FB0009">
        <w:t xml:space="preserve">comes </w:t>
      </w:r>
      <w:r w:rsidR="00805D49">
        <w:t xml:space="preserve">four times) </w:t>
      </w:r>
      <w:r>
        <w:t>will therefore withdraw them</w:t>
      </w:r>
      <w:r w:rsidR="00E03BBC">
        <w:t xml:space="preserve"> (v. 9 [11])</w:t>
      </w:r>
      <w:r>
        <w:t>.</w:t>
      </w:r>
      <w:r w:rsidR="00D2231B">
        <w:t xml:space="preserve"> </w:t>
      </w:r>
      <w:r w:rsidR="00B009A7">
        <w:t>The wife</w:t>
      </w:r>
      <w:r w:rsidR="00592A0A">
        <w:t xml:space="preserve"> may b</w:t>
      </w:r>
      <w:r w:rsidR="00704FB2">
        <w:t xml:space="preserve">e thinking about returning; </w:t>
      </w:r>
      <w:r w:rsidR="00B009A7">
        <w:t>meanwhile the husband</w:t>
      </w:r>
      <w:r w:rsidR="00592A0A">
        <w:t xml:space="preserve"> is going to insist o</w:t>
      </w:r>
      <w:r w:rsidR="00805D49">
        <w:t xml:space="preserve">n the return of </w:t>
      </w:r>
      <w:r w:rsidR="00B009A7">
        <w:t xml:space="preserve">the </w:t>
      </w:r>
      <w:r w:rsidR="00805D49">
        <w:t>things that derived</w:t>
      </w:r>
      <w:r w:rsidR="00592A0A">
        <w:t xml:space="preserve"> from him. </w:t>
      </w:r>
      <w:r w:rsidR="00B009A7">
        <w:t>Harvest will come, the time when</w:t>
      </w:r>
      <w:r w:rsidR="00A30233">
        <w:t xml:space="preserve"> crops come to fullness, </w:t>
      </w:r>
      <w:r w:rsidR="00704FB2">
        <w:t>but it won’t do her any good. T</w:t>
      </w:r>
      <w:r w:rsidR="00B009A7">
        <w:t>he implication may be that Ephraim’s harvest will fail: things will not ripen when they should</w:t>
      </w:r>
      <w:r w:rsidR="00805D49">
        <w:t>, presumably because the rains haven’t come when needed</w:t>
      </w:r>
      <w:r w:rsidR="00A30233">
        <w:t xml:space="preserve">. </w:t>
      </w:r>
      <w:r w:rsidR="00B009A7">
        <w:t>The husband</w:t>
      </w:r>
      <w:r w:rsidR="00D2231B">
        <w:t xml:space="preserve"> will </w:t>
      </w:r>
      <w:r w:rsidR="00B009A7">
        <w:t xml:space="preserve">also </w:t>
      </w:r>
      <w:r w:rsidR="00D2231B">
        <w:t>snatch away her clothes and thus expose her sexua</w:t>
      </w:r>
      <w:r w:rsidR="00B009A7">
        <w:t>lly. Nakedness (</w:t>
      </w:r>
      <w:r w:rsidR="00D2231B">
        <w:rPr>
          <w:i/>
        </w:rPr>
        <w:t>‘ervah</w:t>
      </w:r>
      <w:r w:rsidR="00B009A7">
        <w:t>)</w:t>
      </w:r>
      <w:r w:rsidR="0067038B">
        <w:t xml:space="preserve"> denotes</w:t>
      </w:r>
      <w:r w:rsidR="00D2231B">
        <w:t xml:space="preserve"> parts of the body one would cover. It’s a paradoxical threat, because a whorish woman is one who doesn’t mind exposing herself in that way.</w:t>
      </w:r>
    </w:p>
    <w:p w:rsidR="00704FB2" w:rsidRDefault="006E2D98" w:rsidP="00842A08">
      <w:r>
        <w:t>She will also experience another exposure (v. 10a</w:t>
      </w:r>
      <w:r w:rsidR="00D0115B">
        <w:t xml:space="preserve"> [12a]</w:t>
      </w:r>
      <w:r>
        <w:t>). A</w:t>
      </w:r>
      <w:r w:rsidR="00B009A7">
        <w:t>s she thinks that</w:t>
      </w:r>
      <w:r w:rsidR="00B272BA">
        <w:t xml:space="preserve"> the prov</w:t>
      </w:r>
      <w:r w:rsidR="003D4BB6">
        <w:t>i</w:t>
      </w:r>
      <w:r w:rsidR="00B009A7">
        <w:t>sion of food and clothing comes</w:t>
      </w:r>
      <w:r w:rsidR="00B272BA">
        <w:t xml:space="preserve"> throu</w:t>
      </w:r>
      <w:r w:rsidR="00704FB2">
        <w:t xml:space="preserve">gh </w:t>
      </w:r>
      <w:r w:rsidR="00B009A7">
        <w:t>having recourse to her lovers</w:t>
      </w:r>
      <w:r>
        <w:t xml:space="preserve">, this </w:t>
      </w:r>
      <w:r w:rsidR="00D2231B">
        <w:t>other</w:t>
      </w:r>
      <w:r w:rsidR="00B272BA">
        <w:t xml:space="preserve"> exposure</w:t>
      </w:r>
      <w:r w:rsidR="003D4BB6">
        <w:t xml:space="preserve"> </w:t>
      </w:r>
      <w:r w:rsidR="00D2231B">
        <w:t xml:space="preserve">that </w:t>
      </w:r>
      <w:r w:rsidR="003D4BB6">
        <w:t>will come in the context of that seeking</w:t>
      </w:r>
      <w:r>
        <w:t>: h</w:t>
      </w:r>
      <w:r w:rsidR="00B009A7">
        <w:t>er husband</w:t>
      </w:r>
      <w:r w:rsidR="003D4BB6">
        <w:t xml:space="preserve"> will uncover her “mindlessness,” her </w:t>
      </w:r>
      <w:r w:rsidR="00B009A7">
        <w:rPr>
          <w:i/>
        </w:rPr>
        <w:t>nəbālā</w:t>
      </w:r>
      <w:r w:rsidR="003D4BB6">
        <w:rPr>
          <w:i/>
        </w:rPr>
        <w:t>h</w:t>
      </w:r>
      <w:r w:rsidR="000218CC">
        <w:t>. T</w:t>
      </w:r>
      <w:r w:rsidR="003D4BB6">
        <w:t xml:space="preserve">he </w:t>
      </w:r>
      <w:r w:rsidR="000218CC">
        <w:t xml:space="preserve">word recalls </w:t>
      </w:r>
      <w:r w:rsidR="00B009A7">
        <w:t xml:space="preserve">the </w:t>
      </w:r>
      <w:r w:rsidR="00592A0A">
        <w:t xml:space="preserve">moral </w:t>
      </w:r>
      <w:r w:rsidR="003D4BB6">
        <w:t>stupidity embodied in Nabal (1 Sam</w:t>
      </w:r>
      <w:r w:rsidR="00704FB2">
        <w:t>.</w:t>
      </w:r>
      <w:r w:rsidR="003D4BB6">
        <w:t xml:space="preserve"> 25)</w:t>
      </w:r>
      <w:r w:rsidR="000218CC">
        <w:t>, but it can carry the connotation of specifically sexual immorality (cf. BDB), which fits here</w:t>
      </w:r>
      <w:r w:rsidR="003D4BB6">
        <w:t>.</w:t>
      </w:r>
      <w:r w:rsidR="00531495">
        <w:rPr>
          <w:rStyle w:val="FootnoteReference"/>
        </w:rPr>
        <w:footnoteReference w:id="117"/>
      </w:r>
      <w:r w:rsidR="00751FDE">
        <w:t xml:space="preserve"> She will appear before her lovers</w:t>
      </w:r>
      <w:r w:rsidR="003D4BB6">
        <w:t xml:space="preserve"> at the </w:t>
      </w:r>
      <w:r w:rsidR="00704FB2">
        <w:t>shrine without the grain,</w:t>
      </w:r>
      <w:r w:rsidR="003D4BB6">
        <w:t xml:space="preserve"> wine</w:t>
      </w:r>
      <w:r w:rsidR="00704FB2">
        <w:t>,</w:t>
      </w:r>
      <w:r w:rsidR="003D4BB6">
        <w:t xml:space="preserve"> </w:t>
      </w:r>
      <w:r w:rsidR="00704FB2">
        <w:t xml:space="preserve">and </w:t>
      </w:r>
      <w:r w:rsidR="003D4BB6" w:rsidRPr="003D4BB6">
        <w:t xml:space="preserve">decent clothes </w:t>
      </w:r>
      <w:r w:rsidR="003D4BB6">
        <w:t>one needs for worship</w:t>
      </w:r>
      <w:r w:rsidR="007F327D">
        <w:t>, and</w:t>
      </w:r>
      <w:r w:rsidR="00B009A7">
        <w:t xml:space="preserve"> she will</w:t>
      </w:r>
      <w:r w:rsidR="007F327D">
        <w:t xml:space="preserve"> look stupid.  </w:t>
      </w:r>
    </w:p>
    <w:p w:rsidR="005612E9" w:rsidRDefault="00704FB2" w:rsidP="00842A08">
      <w:r>
        <w:t>I</w:t>
      </w:r>
      <w:r w:rsidR="00D2231B">
        <w:t>t will also mean their exp</w:t>
      </w:r>
      <w:r>
        <w:t>osure</w:t>
      </w:r>
      <w:r w:rsidR="00D0115B">
        <w:t xml:space="preserve"> (vv. 10b-11 [12b-13])</w:t>
      </w:r>
      <w:r>
        <w:t>, because they won’t</w:t>
      </w:r>
      <w:r w:rsidR="00D2231B">
        <w:t xml:space="preserve"> be </w:t>
      </w:r>
      <w:r w:rsidR="00B009A7">
        <w:t>able to rescue her from her husband’s</w:t>
      </w:r>
      <w:r w:rsidR="00D2231B">
        <w:t xml:space="preserve"> action</w:t>
      </w:r>
      <w:r>
        <w:t>. O</w:t>
      </w:r>
      <w:r w:rsidR="00BE5FF2">
        <w:t xml:space="preserve">utside the allegory, </w:t>
      </w:r>
      <w:r w:rsidR="007F327D">
        <w:t xml:space="preserve">the potential rescuer is </w:t>
      </w:r>
      <w:r w:rsidR="00BE5FF2">
        <w:t xml:space="preserve">perhaps </w:t>
      </w:r>
      <w:r>
        <w:t xml:space="preserve">a </w:t>
      </w:r>
      <w:r w:rsidR="007F327D">
        <w:t>political power such as Assyria (cf. 5:12-14; 7:11-12).</w:t>
      </w:r>
      <w:r w:rsidR="007F327D">
        <w:rPr>
          <w:rStyle w:val="FootnoteReference"/>
        </w:rPr>
        <w:footnoteReference w:id="118"/>
      </w:r>
      <w:r w:rsidR="007F327D">
        <w:t xml:space="preserve"> </w:t>
      </w:r>
      <w:r w:rsidR="00D2231B">
        <w:t xml:space="preserve">The forcefulness of the action </w:t>
      </w:r>
      <w:r w:rsidR="00BE5FF2">
        <w:t xml:space="preserve">that would be required </w:t>
      </w:r>
      <w:r w:rsidR="00D2231B">
        <w:t xml:space="preserve">has already been signaled in the reference to </w:t>
      </w:r>
      <w:r w:rsidR="00BE5FF2">
        <w:t>rescuing or snatching</w:t>
      </w:r>
      <w:r w:rsidR="00D0115B">
        <w:t xml:space="preserve"> in </w:t>
      </w:r>
      <w:r w:rsidR="00D2231B">
        <w:t>v. 9</w:t>
      </w:r>
      <w:r w:rsidR="00D0115B">
        <w:t xml:space="preserve"> [11]</w:t>
      </w:r>
      <w:r w:rsidR="00BE5FF2">
        <w:t>. The husband’s forcibly tak</w:t>
      </w:r>
      <w:r w:rsidR="00D32DFF">
        <w:t>ing e</w:t>
      </w:r>
      <w:r w:rsidR="00BE5FF2">
        <w:t>verything away and the lovers’</w:t>
      </w:r>
      <w:r w:rsidR="007F327D">
        <w:t xml:space="preserve"> </w:t>
      </w:r>
      <w:r w:rsidR="00D32DFF">
        <w:t>inability</w:t>
      </w:r>
      <w:r w:rsidR="00BE5FF2">
        <w:t xml:space="preserve"> to do anything about it mean</w:t>
      </w:r>
      <w:r w:rsidR="00D32DFF">
        <w:t xml:space="preserve"> that there will be nothing to c</w:t>
      </w:r>
      <w:r>
        <w:t>elebrate at the shrines</w:t>
      </w:r>
      <w:r w:rsidR="00BE5FF2">
        <w:t>, o</w:t>
      </w:r>
      <w:r w:rsidR="001C37E1">
        <w:t>r celebration will have to become fasting and lament.</w:t>
      </w:r>
      <w:r w:rsidR="001C37E1" w:rsidRPr="001C37E1">
        <w:rPr>
          <w:vertAlign w:val="superscript"/>
        </w:rPr>
        <w:footnoteReference w:id="119"/>
      </w:r>
      <w:r w:rsidR="00D0115B">
        <w:t xml:space="preserve"> </w:t>
      </w:r>
      <w:r w:rsidR="00AD1F89">
        <w:t>The loss is explicated</w:t>
      </w:r>
      <w:r w:rsidR="00D32DFF">
        <w:t xml:space="preserve"> in terms of the annual festivals, the celebrations at the beginning of each lunar mont</w:t>
      </w:r>
      <w:r w:rsidR="00BE5FF2">
        <w:t xml:space="preserve">h, </w:t>
      </w:r>
      <w:r w:rsidR="00D0115B">
        <w:t>and the weekly Sabbath. Mentioning only</w:t>
      </w:r>
      <w:r w:rsidR="00417499">
        <w:t xml:space="preserve"> the first two</w:t>
      </w:r>
      <w:r w:rsidR="00D32DFF">
        <w:t xml:space="preserve"> could simply i</w:t>
      </w:r>
      <w:r w:rsidR="00BE5FF2">
        <w:t xml:space="preserve">mply reference to </w:t>
      </w:r>
      <w:r w:rsidR="00417499">
        <w:t xml:space="preserve">the </w:t>
      </w:r>
      <w:r w:rsidR="00D32DFF">
        <w:t>Cana</w:t>
      </w:r>
      <w:r w:rsidR="00D0115B">
        <w:t>anite cycle of worship, b</w:t>
      </w:r>
      <w:r w:rsidR="00417499">
        <w:t xml:space="preserve">ut adding reference to </w:t>
      </w:r>
      <w:r w:rsidR="00D32DFF">
        <w:t>Sabbath points</w:t>
      </w:r>
      <w:r w:rsidR="00BE5FF2">
        <w:t xml:space="preserve"> in another direction. O</w:t>
      </w:r>
      <w:r w:rsidR="00D32DFF">
        <w:t>nly Israe</w:t>
      </w:r>
      <w:r w:rsidR="00417499">
        <w:t xml:space="preserve">lites observed the Sabbath. The worship </w:t>
      </w:r>
      <w:r w:rsidR="00BE5FF2">
        <w:t>the husband</w:t>
      </w:r>
      <w:r w:rsidR="003232EA">
        <w:t xml:space="preserve"> will terminate is not simply w</w:t>
      </w:r>
      <w:r w:rsidR="00BE5FF2">
        <w:t>orship of the lovers</w:t>
      </w:r>
      <w:r w:rsidR="003232EA">
        <w:t xml:space="preserve"> as if people were Canaanites but worship of Yahweh that preserves the form</w:t>
      </w:r>
      <w:r w:rsidR="00D0115B">
        <w:t xml:space="preserve"> of Israelite worship but fills</w:t>
      </w:r>
      <w:r w:rsidR="00BE5FF2">
        <w:t xml:space="preserve"> it with Canaanite content. </w:t>
      </w:r>
      <w:r w:rsidR="00417499">
        <w:t xml:space="preserve">“Stop” is </w:t>
      </w:r>
      <w:r w:rsidR="005612E9" w:rsidRPr="005612E9">
        <w:rPr>
          <w:i/>
        </w:rPr>
        <w:t>šābat</w:t>
      </w:r>
      <w:r w:rsidR="00BE5FF2">
        <w:t>, so the declaration implies</w:t>
      </w:r>
      <w:r w:rsidR="005612E9" w:rsidRPr="005612E9">
        <w:t xml:space="preserve"> “I will stop her stopping day” </w:t>
      </w:r>
      <w:r w:rsidR="005612E9">
        <w:t>(</w:t>
      </w:r>
      <w:r w:rsidR="005612E9" w:rsidRPr="005612E9">
        <w:t>the</w:t>
      </w:r>
      <w:r w:rsidR="005612E9">
        <w:t>y are the</w:t>
      </w:r>
      <w:r w:rsidR="005612E9" w:rsidRPr="005612E9">
        <w:t xml:space="preserve"> first and last words in the line</w:t>
      </w:r>
      <w:r w:rsidR="00AA1FD4">
        <w:t>) or even</w:t>
      </w:r>
      <w:r w:rsidR="005612E9">
        <w:t xml:space="preserve"> “I will impose a sabbath on </w:t>
      </w:r>
      <w:r w:rsidR="00AA1FD4">
        <w:t>her observances and her Sabbath.”</w:t>
      </w:r>
      <w:r w:rsidR="00AA1FD4">
        <w:rPr>
          <w:rStyle w:val="FootnoteReference"/>
        </w:rPr>
        <w:footnoteReference w:id="120"/>
      </w:r>
    </w:p>
    <w:p w:rsidR="003232EA" w:rsidRDefault="00BE5FF2" w:rsidP="00842A08">
      <w:r>
        <w:t>The husband</w:t>
      </w:r>
      <w:r w:rsidR="003232EA">
        <w:t xml:space="preserve"> spells </w:t>
      </w:r>
      <w:r w:rsidR="00AD1F89">
        <w:t>out further the action h</w:t>
      </w:r>
      <w:r w:rsidR="00DD4E69">
        <w:t>e intends</w:t>
      </w:r>
      <w:r w:rsidR="003232EA">
        <w:t>. Vin</w:t>
      </w:r>
      <w:r w:rsidR="00887D2F">
        <w:t>e and fig tree</w:t>
      </w:r>
      <w:r w:rsidR="00DD4E69">
        <w:t xml:space="preserve"> (v. 12</w:t>
      </w:r>
      <w:r w:rsidR="00D0115B">
        <w:t xml:space="preserve"> [14]</w:t>
      </w:r>
      <w:r w:rsidR="00DD4E69">
        <w:t>)</w:t>
      </w:r>
      <w:r w:rsidR="00417499">
        <w:t xml:space="preserve"> are </w:t>
      </w:r>
      <w:r w:rsidR="003232EA">
        <w:t xml:space="preserve">key fruit trees (the olive is the third). The vine </w:t>
      </w:r>
      <w:r w:rsidR="00887D2F">
        <w:t>means wine; the fig is</w:t>
      </w:r>
      <w:r w:rsidR="00417499">
        <w:t xml:space="preserve"> the chief source of sweetness</w:t>
      </w:r>
      <w:r w:rsidR="00887D2F">
        <w:t xml:space="preserve">. </w:t>
      </w:r>
      <w:r w:rsidR="00417499">
        <w:t>The</w:t>
      </w:r>
      <w:r w:rsidR="00B561B9">
        <w:t xml:space="preserve"> collocation of these two </w:t>
      </w:r>
      <w:r>
        <w:t xml:space="preserve">also </w:t>
      </w:r>
      <w:r w:rsidR="00B561B9">
        <w:t>recalls the image of an ideal secure and happy life as sitting under one’s vine and fig tree.</w:t>
      </w:r>
      <w:r w:rsidR="00B561B9" w:rsidRPr="00B561B9">
        <w:rPr>
          <w:vertAlign w:val="superscript"/>
        </w:rPr>
        <w:footnoteReference w:id="121"/>
      </w:r>
      <w:r>
        <w:t xml:space="preserve"> </w:t>
      </w:r>
      <w:r w:rsidR="00417499">
        <w:t>Wasting them</w:t>
      </w:r>
      <w:r w:rsidR="000218CC">
        <w:t xml:space="preserve"> restates th</w:t>
      </w:r>
      <w:r w:rsidR="00E01D87">
        <w:t>e warning about turning the town</w:t>
      </w:r>
      <w:r w:rsidR="00D0115B">
        <w:t xml:space="preserve"> into a wilderness in </w:t>
      </w:r>
      <w:r w:rsidR="000218CC">
        <w:t>v. 3</w:t>
      </w:r>
      <w:r w:rsidR="00D0115B">
        <w:t xml:space="preserve"> [5]</w:t>
      </w:r>
      <w:r w:rsidR="000218CC">
        <w:t xml:space="preserve">. </w:t>
      </w:r>
      <w:r>
        <w:t>The woman sees them as her lovers’</w:t>
      </w:r>
      <w:r w:rsidR="00417499">
        <w:t xml:space="preserve"> provision, so they resemble</w:t>
      </w:r>
      <w:r w:rsidR="00C75E9D">
        <w:t xml:space="preserve"> a</w:t>
      </w:r>
      <w:r w:rsidR="0081383F">
        <w:t xml:space="preserve"> </w:t>
      </w:r>
      <w:r w:rsidR="002D370D">
        <w:t xml:space="preserve">“gift” </w:t>
      </w:r>
      <w:r w:rsidR="00887D2F">
        <w:t>given to a whore</w:t>
      </w:r>
      <w:r w:rsidR="00417499">
        <w:t xml:space="preserve"> (it’s </w:t>
      </w:r>
      <w:r w:rsidR="00C75E9D">
        <w:t>payment for services rendered, but it’s nicer to think of it as a gift)</w:t>
      </w:r>
      <w:r w:rsidR="00887D2F">
        <w:t>. Here Hosea d</w:t>
      </w:r>
      <w:r w:rsidR="00E01D87">
        <w:t>oes speak in terms of the town</w:t>
      </w:r>
      <w:r w:rsidR="00887D2F">
        <w:t xml:space="preserve"> as a prostitu</w:t>
      </w:r>
      <w:r w:rsidR="00751FDE">
        <w:t>te, though his use of the word for “</w:t>
      </w:r>
      <w:r w:rsidR="00417499">
        <w:t>lovers” may suggest a</w:t>
      </w:r>
      <w:r w:rsidR="00887D2F">
        <w:t xml:space="preserve"> relationship where the </w:t>
      </w:r>
      <w:r w:rsidR="00887D2F">
        <w:lastRenderedPageBreak/>
        <w:t xml:space="preserve">man is not merely paying for occasional </w:t>
      </w:r>
      <w:r w:rsidR="00417499">
        <w:t>sex but maintaining a relationship and</w:t>
      </w:r>
      <w:r w:rsidR="00887D2F">
        <w:t xml:space="preserve"> giving the woman financial support.</w:t>
      </w:r>
    </w:p>
    <w:p w:rsidR="00417499" w:rsidRDefault="005D2741" w:rsidP="00842A08">
      <w:r>
        <w:t>The</w:t>
      </w:r>
      <w:r w:rsidR="00DD4E69">
        <w:t xml:space="preserve"> </w:t>
      </w:r>
      <w:r w:rsidR="00166EC8">
        <w:t>sub</w:t>
      </w:r>
      <w:r>
        <w:t>section</w:t>
      </w:r>
      <w:r w:rsidR="008C2402">
        <w:t xml:space="preserve"> </w:t>
      </w:r>
      <w:r w:rsidR="00DD4E69">
        <w:t>ends (v. 13</w:t>
      </w:r>
      <w:r w:rsidR="00E03BBC">
        <w:t>a</w:t>
      </w:r>
      <w:r w:rsidR="00D0115B">
        <w:t xml:space="preserve"> [15</w:t>
      </w:r>
      <w:r w:rsidR="00E03BBC">
        <w:t>a])</w:t>
      </w:r>
      <w:r w:rsidR="00BE5FF2">
        <w:t xml:space="preserve"> </w:t>
      </w:r>
      <w:r w:rsidR="00DD4E69">
        <w:t>by restating the reasons for Yah</w:t>
      </w:r>
      <w:r w:rsidR="008C2402">
        <w:t>w</w:t>
      </w:r>
      <w:r w:rsidR="00DD4E69">
        <w:t>eh’s action</w:t>
      </w:r>
      <w:r w:rsidR="00417499">
        <w:t xml:space="preserve"> and</w:t>
      </w:r>
      <w:r w:rsidR="005D1605">
        <w:t xml:space="preserve"> </w:t>
      </w:r>
      <w:r w:rsidR="00D0115B">
        <w:t>making</w:t>
      </w:r>
      <w:r>
        <w:t xml:space="preserve"> </w:t>
      </w:r>
      <w:r w:rsidR="00417499">
        <w:t>more</w:t>
      </w:r>
      <w:r w:rsidR="005D1605">
        <w:t xml:space="preserve"> </w:t>
      </w:r>
      <w:r>
        <w:t xml:space="preserve">explicit what </w:t>
      </w:r>
      <w:r w:rsidR="00417499">
        <w:t>the allegory refers to.</w:t>
      </w:r>
      <w:r w:rsidR="005D1605">
        <w:rPr>
          <w:rStyle w:val="FootnoteReference"/>
        </w:rPr>
        <w:footnoteReference w:id="122"/>
      </w:r>
      <w:r w:rsidR="00417499">
        <w:t xml:space="preserve"> T</w:t>
      </w:r>
      <w:r w:rsidR="00DD4E69">
        <w:t xml:space="preserve">he </w:t>
      </w:r>
      <w:r w:rsidR="008B6D17">
        <w:t>sub</w:t>
      </w:r>
      <w:r>
        <w:t xml:space="preserve">section as a whole </w:t>
      </w:r>
      <w:r w:rsidR="00417499">
        <w:t xml:space="preserve">thus </w:t>
      </w:r>
      <w:r>
        <w:t>par</w:t>
      </w:r>
      <w:r w:rsidR="00417499">
        <w:t>allels the previous one, but</w:t>
      </w:r>
      <w:r>
        <w:t xml:space="preserve"> also take</w:t>
      </w:r>
      <w:r w:rsidR="00D0115B">
        <w:t>s</w:t>
      </w:r>
      <w:r w:rsidR="00DD4E69">
        <w:t xml:space="preserve"> it furth</w:t>
      </w:r>
      <w:r w:rsidR="00417499">
        <w:t>er</w:t>
      </w:r>
      <w:r w:rsidR="00DD4E69">
        <w:t xml:space="preserve">. </w:t>
      </w:r>
      <w:r w:rsidR="003D1825">
        <w:t>Yahweh intends to take action</w:t>
      </w:r>
      <w:r w:rsidR="00417499">
        <w:t xml:space="preserve"> because of</w:t>
      </w:r>
      <w:r w:rsidR="008C2402">
        <w:t xml:space="preserve"> “the days of the Masters”—that is, t</w:t>
      </w:r>
      <w:r w:rsidR="00417499">
        <w:t>hose occasions</w:t>
      </w:r>
      <w:r w:rsidR="00D0115B">
        <w:t xml:space="preserve"> </w:t>
      </w:r>
      <w:r w:rsidR="008C2402">
        <w:t xml:space="preserve">that are really observed in honor of the Masters, even if Yahweh features on peoples’ lips. </w:t>
      </w:r>
      <w:r w:rsidRPr="005D2741">
        <w:t>Hosea can move artless</w:t>
      </w:r>
      <w:r w:rsidR="00417499">
        <w:t>ly between</w:t>
      </w:r>
      <w:r>
        <w:t xml:space="preserve"> speaking of “the Master</w:t>
      </w:r>
      <w:r w:rsidRPr="005D2741">
        <w:t>” and of “the Master</w:t>
      </w:r>
      <w:r>
        <w:t>s</w:t>
      </w:r>
      <w:r w:rsidR="00417499">
        <w:t>.” D</w:t>
      </w:r>
      <w:r w:rsidRPr="005D2741">
        <w:t>ifferent expressions of the Master</w:t>
      </w:r>
      <w:r w:rsidR="00417499">
        <w:t xml:space="preserve"> such as “Master of Pe’or” (9:10) were understood as</w:t>
      </w:r>
      <w:r w:rsidRPr="005D2741">
        <w:t xml:space="preserve"> different expressions of the same deit</w:t>
      </w:r>
      <w:r w:rsidR="00417499">
        <w:t xml:space="preserve">y, but “Master” was also </w:t>
      </w:r>
      <w:r w:rsidRPr="005D2741">
        <w:t xml:space="preserve">a general-purpose word for gods. </w:t>
      </w:r>
      <w:r>
        <w:t xml:space="preserve">The </w:t>
      </w:r>
      <w:r w:rsidR="008C2402">
        <w:t xml:space="preserve">occasions </w:t>
      </w:r>
      <w:r>
        <w:t xml:space="preserve">are ones </w:t>
      </w:r>
      <w:r w:rsidR="008C2402">
        <w:t>on which people offer incense, a synecdoche for offering sacrifice</w:t>
      </w:r>
      <w:r w:rsidR="00D0115B">
        <w:t>. O</w:t>
      </w:r>
      <w:r w:rsidR="00B13450">
        <w:t>r perhaps we should translate “burn things in sacrifice</w:t>
      </w:r>
      <w:r w:rsidR="007C3CFD">
        <w:t>,” though the attractive nature of the occasion is still in mind: compare our enjoyment of the smell of barbecue</w:t>
      </w:r>
      <w:r w:rsidR="008C2402">
        <w:t>.</w:t>
      </w:r>
      <w:r w:rsidR="00522831">
        <w:t xml:space="preserve"> </w:t>
      </w:r>
    </w:p>
    <w:p w:rsidR="008B6D17" w:rsidRDefault="00417499" w:rsidP="00842A08">
      <w:r>
        <w:t>To revert to the metaphor of lovers (v. 13b</w:t>
      </w:r>
      <w:r w:rsidR="00D0115B">
        <w:t xml:space="preserve"> [15b]</w:t>
      </w:r>
      <w:r>
        <w:t>),</w:t>
      </w:r>
      <w:r w:rsidR="00522831">
        <w:t xml:space="preserve"> the people have been like a woman decking herself in her finery </w:t>
      </w:r>
      <w:r>
        <w:t xml:space="preserve">(it might include </w:t>
      </w:r>
      <w:r w:rsidR="0048335E">
        <w:t>a</w:t>
      </w:r>
      <w:r>
        <w:t xml:space="preserve"> </w:t>
      </w:r>
      <w:r w:rsidR="0048335E">
        <w:t xml:space="preserve">nose ring or an earring) </w:t>
      </w:r>
      <w:r w:rsidR="00522831">
        <w:t>for her lovers in order to “go after” them (cf. 1:2; 2:5</w:t>
      </w:r>
      <w:r w:rsidR="00D0115B">
        <w:t xml:space="preserve"> [7]</w:t>
      </w:r>
      <w:r w:rsidR="00522831">
        <w:t>)</w:t>
      </w:r>
      <w:r w:rsidR="008B6D17">
        <w:t>, which involves “di</w:t>
      </w:r>
      <w:r w:rsidR="00D0115B">
        <w:t>sregarding” Yahweh.  The verb</w:t>
      </w:r>
      <w:r w:rsidR="008B6D17">
        <w:t xml:space="preserve"> </w:t>
      </w:r>
      <w:r w:rsidR="00D0115B">
        <w:t>(</w:t>
      </w:r>
      <w:r w:rsidR="00D0115B">
        <w:rPr>
          <w:i/>
        </w:rPr>
        <w:t>š</w:t>
      </w:r>
      <w:r w:rsidR="008B6D17">
        <w:rPr>
          <w:i/>
        </w:rPr>
        <w:t>akaḥ</w:t>
      </w:r>
      <w:r w:rsidR="00D0115B">
        <w:t>) is</w:t>
      </w:r>
      <w:r w:rsidR="008B6D17">
        <w:t xml:space="preserve"> conventionally “forget</w:t>
      </w:r>
      <w:r w:rsidR="00D0115B">
        <w:t>,”</w:t>
      </w:r>
      <w:r w:rsidR="008B6D17">
        <w:t xml:space="preserve"> but it denotes a deliberate putting out of mind, as “remembering” involves a deliberate keeping in mind</w:t>
      </w:r>
      <w:r w:rsidR="0081383F">
        <w:t xml:space="preserve"> (cf. v. 17</w:t>
      </w:r>
      <w:r w:rsidR="00D0115B">
        <w:t xml:space="preserve"> [19]</w:t>
      </w:r>
      <w:r w:rsidR="006116E8">
        <w:t>,</w:t>
      </w:r>
      <w:r w:rsidR="00B260C9">
        <w:t xml:space="preserve"> </w:t>
      </w:r>
      <w:r w:rsidR="006A71B3">
        <w:t>of the Masters)</w:t>
      </w:r>
      <w:r w:rsidR="008B6D17">
        <w:t>.</w:t>
      </w:r>
      <w:r w:rsidR="004C610F">
        <w:t xml:space="preserve"> Wit</w:t>
      </w:r>
      <w:r w:rsidR="00D0115B">
        <w:t>h this word Yahweh’s indictment</w:t>
      </w:r>
      <w:r w:rsidR="004C610F">
        <w:t xml:space="preserve"> comes to a “grievous” conclusion.</w:t>
      </w:r>
      <w:r w:rsidR="004C610F">
        <w:rPr>
          <w:rStyle w:val="FootnoteReference"/>
        </w:rPr>
        <w:footnoteReference w:id="123"/>
      </w:r>
      <w:r w:rsidR="005D2741">
        <w:t xml:space="preserve"> </w:t>
      </w:r>
      <w:r w:rsidR="008B6D17">
        <w:t xml:space="preserve">The subsection </w:t>
      </w:r>
      <w:r w:rsidR="00D0115B">
        <w:t xml:space="preserve">actually </w:t>
      </w:r>
      <w:r w:rsidR="008B6D17">
        <w:t xml:space="preserve">closes with the affirmation that this is </w:t>
      </w:r>
      <w:r w:rsidR="005D2741">
        <w:t>inde</w:t>
      </w:r>
      <w:r w:rsidR="006116E8">
        <w:t xml:space="preserve">ed “Yahweh’s </w:t>
      </w:r>
      <w:r w:rsidR="00C73987">
        <w:t>proclamation</w:t>
      </w:r>
      <w:r w:rsidR="006116E8">
        <w:t>,”</w:t>
      </w:r>
      <w:r w:rsidR="005D2741">
        <w:t xml:space="preserve"> t</w:t>
      </w:r>
      <w:r w:rsidR="008B6D17">
        <w:t>he first of three such affirmations in the section which underline the point. Ephraim really needs to take this message seriously. Yahweh is behind it.</w:t>
      </w:r>
    </w:p>
    <w:p w:rsidR="00166EC8" w:rsidRDefault="00166EC8" w:rsidP="00842A08"/>
    <w:p w:rsidR="00326005" w:rsidRPr="00326005" w:rsidRDefault="00DA1BEF" w:rsidP="00326005">
      <w:r w:rsidRPr="00DA1BEF">
        <w:rPr>
          <w:b/>
        </w:rPr>
        <w:t xml:space="preserve">Hosea </w:t>
      </w:r>
      <w:r w:rsidR="0081383F">
        <w:rPr>
          <w:b/>
        </w:rPr>
        <w:t>2:14-18</w:t>
      </w:r>
      <w:r w:rsidR="00075489">
        <w:rPr>
          <w:b/>
        </w:rPr>
        <w:t xml:space="preserve"> [16-20]</w:t>
      </w:r>
      <w:r w:rsidR="00166EC8" w:rsidRPr="00DA1BEF">
        <w:rPr>
          <w:b/>
        </w:rPr>
        <w:t>.</w:t>
      </w:r>
      <w:r w:rsidR="006116E8">
        <w:t xml:space="preserve"> N</w:t>
      </w:r>
      <w:r w:rsidR="00166EC8">
        <w:t>ot surprising</w:t>
      </w:r>
      <w:r w:rsidR="006116E8">
        <w:t xml:space="preserve">ly </w:t>
      </w:r>
      <w:r w:rsidR="00166EC8">
        <w:t xml:space="preserve">the fifth </w:t>
      </w:r>
      <w:r w:rsidR="00A760E0">
        <w:t>sub</w:t>
      </w:r>
      <w:r w:rsidR="00166EC8">
        <w:t xml:space="preserve">section begins with another “therefore,” but </w:t>
      </w:r>
      <w:r w:rsidR="00570C42">
        <w:t>the logic in</w:t>
      </w:r>
      <w:r w:rsidR="006116E8">
        <w:t xml:space="preserve"> Hosea’s</w:t>
      </w:r>
      <w:r w:rsidR="00DC17DC">
        <w:t xml:space="preserve"> words</w:t>
      </w:r>
      <w:r w:rsidR="00A760E0">
        <w:t xml:space="preserve">, </w:t>
      </w:r>
      <w:r w:rsidR="00570C42">
        <w:t>after what has gone before,</w:t>
      </w:r>
      <w:r w:rsidR="00A760E0">
        <w:t xml:space="preserve"> </w:t>
      </w:r>
      <w:r w:rsidR="00DC17DC">
        <w:t>is surprising</w:t>
      </w:r>
      <w:r w:rsidR="00A760E0">
        <w:t xml:space="preserve">, though the movement matches </w:t>
      </w:r>
      <w:r w:rsidR="00DC17DC">
        <w:t>that</w:t>
      </w:r>
      <w:r w:rsidR="0081383F">
        <w:t xml:space="preserve"> within 1:2b—2:1</w:t>
      </w:r>
      <w:r w:rsidR="00075489">
        <w:t xml:space="preserve"> [3]</w:t>
      </w:r>
      <w:r w:rsidR="00A760E0">
        <w:t xml:space="preserve">. </w:t>
      </w:r>
      <w:r w:rsidR="00DC17DC">
        <w:t>This</w:t>
      </w:r>
      <w:r w:rsidR="00FF586D">
        <w:t xml:space="preserve"> comparison would suggest that the positive action in this subsection follows on the punitive action i</w:t>
      </w:r>
      <w:r w:rsidR="005D2741">
        <w:t>n what preceded, but there are other possibilities</w:t>
      </w:r>
      <w:r w:rsidR="00DC17DC">
        <w:t xml:space="preserve">. </w:t>
      </w:r>
      <w:r w:rsidR="00FF586D">
        <w:t>Yahweh’s w</w:t>
      </w:r>
      <w:r w:rsidR="00DC17DC">
        <w:t>arnings are designed</w:t>
      </w:r>
      <w:r w:rsidR="005D2741">
        <w:t xml:space="preserve"> to get </w:t>
      </w:r>
      <w:r w:rsidR="00FF586D">
        <w:t>peop</w:t>
      </w:r>
      <w:r w:rsidR="00DC17DC">
        <w:t>le to respond and</w:t>
      </w:r>
      <w:r w:rsidR="00FF586D">
        <w:t xml:space="preserve"> </w:t>
      </w:r>
      <w:r w:rsidR="00075489">
        <w:t>to make their implementation</w:t>
      </w:r>
      <w:r w:rsidR="00FF586D">
        <w:t xml:space="preserve"> </w:t>
      </w:r>
      <w:r w:rsidR="005D2741">
        <w:t>unnece</w:t>
      </w:r>
      <w:r w:rsidR="00075489">
        <w:t>ssary</w:t>
      </w:r>
      <w:r w:rsidR="00DC17DC">
        <w:t xml:space="preserve">. </w:t>
      </w:r>
      <w:r w:rsidR="00FF586D">
        <w:t xml:space="preserve">A community that listens though this </w:t>
      </w:r>
      <w:r w:rsidR="00DC17DC">
        <w:t>entire section</w:t>
      </w:r>
      <w:r w:rsidR="00FF586D">
        <w:t>, then, is i</w:t>
      </w:r>
      <w:r w:rsidR="00DC17DC">
        <w:t>nvited to choose between</w:t>
      </w:r>
      <w:r w:rsidR="00326005">
        <w:t xml:space="preserve"> </w:t>
      </w:r>
      <w:r w:rsidR="00075489">
        <w:t xml:space="preserve">the </w:t>
      </w:r>
      <w:r w:rsidR="00326005">
        <w:t>vv. 2-1</w:t>
      </w:r>
      <w:r w:rsidR="0081383F">
        <w:t>3</w:t>
      </w:r>
      <w:r w:rsidR="00A27F96">
        <w:t xml:space="preserve"> </w:t>
      </w:r>
      <w:r w:rsidR="00075489">
        <w:t xml:space="preserve">[4-15] </w:t>
      </w:r>
      <w:r w:rsidR="00DC17DC">
        <w:t>and</w:t>
      </w:r>
      <w:r w:rsidR="00075489">
        <w:t xml:space="preserve"> vv. 14-23 [16-25]</w:t>
      </w:r>
      <w:r w:rsidR="00FF586D">
        <w:t>.</w:t>
      </w:r>
      <w:r w:rsidR="00DC17DC">
        <w:t xml:space="preserve"> Ye</w:t>
      </w:r>
      <w:r w:rsidR="00326005">
        <w:t>t another w</w:t>
      </w:r>
      <w:r w:rsidR="00075489">
        <w:t>ay of</w:t>
      </w:r>
      <w:r w:rsidR="00DC17DC">
        <w:t xml:space="preserve"> reading the “therefore” </w:t>
      </w:r>
      <w:r w:rsidR="00326005">
        <w:t>take</w:t>
      </w:r>
      <w:r w:rsidR="00DC17DC">
        <w:t>s</w:t>
      </w:r>
      <w:r w:rsidR="00326005">
        <w:t xml:space="preserve"> it to imply</w:t>
      </w:r>
      <w:r w:rsidR="00BF172B">
        <w:t xml:space="preserve">, “given what I </w:t>
      </w:r>
      <w:r w:rsidR="001C19DD">
        <w:t>will</w:t>
      </w:r>
      <w:r w:rsidR="00BF172B">
        <w:t xml:space="preserve"> do if</w:t>
      </w:r>
      <w:r w:rsidR="00DC17DC">
        <w:t xml:space="preserve"> things continue as they are, I’</w:t>
      </w:r>
      <w:r w:rsidR="001C19DD">
        <w:t>ll</w:t>
      </w:r>
      <w:r w:rsidR="00BF172B">
        <w:t xml:space="preserve"> undertake an alternati</w:t>
      </w:r>
      <w:r w:rsidR="00DC17DC">
        <w:t>ve form of action to try to make it unnecessary to do what I’</w:t>
      </w:r>
      <w:r w:rsidR="00BF172B">
        <w:t>ve been threatening.</w:t>
      </w:r>
      <w:r w:rsidR="00F332AD">
        <w:t>”</w:t>
      </w:r>
      <w:r w:rsidR="00326005">
        <w:t xml:space="preserve"> Or </w:t>
      </w:r>
      <w:r w:rsidR="00DC17DC">
        <w:t xml:space="preserve">perhaps </w:t>
      </w:r>
      <w:r w:rsidR="00751B55">
        <w:t>Yahweh hi</w:t>
      </w:r>
      <w:r w:rsidR="00DC17DC">
        <w:t>mself has been</w:t>
      </w:r>
      <w:r w:rsidR="00751B55">
        <w:t xml:space="preserve"> facing different option</w:t>
      </w:r>
      <w:r w:rsidR="00DC17DC">
        <w:t>s</w:t>
      </w:r>
      <w:r w:rsidR="00326005">
        <w:t xml:space="preserve"> but </w:t>
      </w:r>
      <w:r w:rsidR="005D2741">
        <w:t xml:space="preserve">is </w:t>
      </w:r>
      <w:r w:rsidR="00751B55">
        <w:t>eventually deciding on this one (cf. 6:4; 11:8).</w:t>
      </w:r>
      <w:r w:rsidR="00751B55">
        <w:rPr>
          <w:rStyle w:val="FootnoteReference"/>
        </w:rPr>
        <w:footnoteReference w:id="124"/>
      </w:r>
      <w:r w:rsidR="00075489">
        <w:t xml:space="preserve"> He</w:t>
      </w:r>
      <w:r w:rsidR="00326005" w:rsidRPr="00326005">
        <w:t xml:space="preserve"> </w:t>
      </w:r>
      <w:r w:rsidR="00326005">
        <w:t xml:space="preserve">has been </w:t>
      </w:r>
      <w:r w:rsidR="00326005" w:rsidRPr="00326005">
        <w:t>cha</w:t>
      </w:r>
      <w:r w:rsidR="00326005">
        <w:t>llenging</w:t>
      </w:r>
      <w:r w:rsidR="00DC17DC">
        <w:t xml:space="preserve"> people to change</w:t>
      </w:r>
      <w:r w:rsidR="00075489">
        <w:t>,</w:t>
      </w:r>
      <w:r w:rsidR="00DC17DC">
        <w:t xml:space="preserve"> with the implication that he</w:t>
      </w:r>
      <w:r w:rsidR="00326005" w:rsidRPr="00326005">
        <w:t xml:space="preserve"> will then re</w:t>
      </w:r>
      <w:r w:rsidR="00075489">
        <w:t>spond. He</w:t>
      </w:r>
      <w:r w:rsidR="00326005" w:rsidRPr="00326005">
        <w:t xml:space="preserve"> </w:t>
      </w:r>
      <w:r w:rsidR="00DC17DC">
        <w:t xml:space="preserve">is </w:t>
      </w:r>
      <w:r w:rsidR="00326005" w:rsidRPr="00326005">
        <w:t>reaching out to people</w:t>
      </w:r>
      <w:r w:rsidR="00DC17DC">
        <w:t>, coaxing and acting,</w:t>
      </w:r>
      <w:r w:rsidR="00326005" w:rsidRPr="00326005">
        <w:t xml:space="preserve"> in the conviction or expectation or hope that they </w:t>
      </w:r>
      <w:r w:rsidR="00DC17DC">
        <w:t>will then respond</w:t>
      </w:r>
      <w:r w:rsidR="00326005" w:rsidRPr="00326005">
        <w:t>. Surely they will? It’s more a hope than a prediction, because the response has to come from them. God can’t predetermine it. If God did so, it wouldn’t be their respon</w:t>
      </w:r>
      <w:r w:rsidR="00075489">
        <w:t>se. But surely they will give that response</w:t>
      </w:r>
      <w:r w:rsidR="00326005" w:rsidRPr="00326005">
        <w:t>?</w:t>
      </w:r>
    </w:p>
    <w:p w:rsidR="00190A9B" w:rsidRDefault="00DC17DC" w:rsidP="00326005">
      <w:r>
        <w:t>Yahweh’s</w:t>
      </w:r>
      <w:r w:rsidR="00A760E0">
        <w:t xml:space="preserve"> </w:t>
      </w:r>
      <w:r>
        <w:t>language (</w:t>
      </w:r>
      <w:r w:rsidR="0081383F">
        <w:t>v. 14</w:t>
      </w:r>
      <w:r w:rsidR="00075489">
        <w:t xml:space="preserve"> [16]</w:t>
      </w:r>
      <w:r>
        <w:t>)</w:t>
      </w:r>
      <w:r w:rsidR="00A27F96">
        <w:t xml:space="preserve"> </w:t>
      </w:r>
      <w:r>
        <w:t>doesn’</w:t>
      </w:r>
      <w:r w:rsidR="00A760E0">
        <w:t>t especially parallel the So</w:t>
      </w:r>
      <w:r>
        <w:t>ng of Songs, but the picture is</w:t>
      </w:r>
      <w:r w:rsidR="005D2741">
        <w:t xml:space="preserve"> </w:t>
      </w:r>
      <w:r>
        <w:t>similar. A</w:t>
      </w:r>
      <w:r w:rsidR="00A760E0">
        <w:t xml:space="preserve"> man </w:t>
      </w:r>
      <w:r>
        <w:t xml:space="preserve">is </w:t>
      </w:r>
      <w:r w:rsidR="00A760E0">
        <w:t>trying to win the affection of a girl</w:t>
      </w:r>
      <w:r w:rsidR="00540938">
        <w:t xml:space="preserve"> or seduce her</w:t>
      </w:r>
      <w:r w:rsidR="005D2741">
        <w:t xml:space="preserve">. </w:t>
      </w:r>
      <w:r w:rsidR="00190A9B">
        <w:t>But</w:t>
      </w:r>
      <w:r w:rsidR="00413E63" w:rsidRPr="00413E63">
        <w:t xml:space="preserve"> the time in the wilderness is to be a time of talking st</w:t>
      </w:r>
      <w:r w:rsidR="00075489">
        <w:t>raight, not simply of lovey dove</w:t>
      </w:r>
      <w:r w:rsidR="00413E63" w:rsidRPr="00413E63">
        <w:t xml:space="preserve">y talk. In its own wilderness context </w:t>
      </w:r>
      <w:r w:rsidR="00075489" w:rsidRPr="00075489">
        <w:t xml:space="preserve">in Isaiah 40:2 </w:t>
      </w:r>
      <w:r w:rsidR="00413E63" w:rsidRPr="00413E63">
        <w:t xml:space="preserve">the recurrence of the phrase </w:t>
      </w:r>
      <w:r w:rsidR="00075489">
        <w:t xml:space="preserve">about speaking to her inner self carries both </w:t>
      </w:r>
      <w:r w:rsidR="00413E63" w:rsidRPr="00413E63">
        <w:t>the encouraging and the</w:t>
      </w:r>
      <w:r w:rsidR="00190A9B">
        <w:t xml:space="preserve"> straight-talking implications. </w:t>
      </w:r>
      <w:r w:rsidR="00413E63">
        <w:t>Once more</w:t>
      </w:r>
      <w:r w:rsidR="00A760E0">
        <w:t>, the language move</w:t>
      </w:r>
      <w:r w:rsidR="00561CDE">
        <w:t>s</w:t>
      </w:r>
      <w:r w:rsidR="00A760E0">
        <w:t xml:space="preserve"> easily between the metaphor and </w:t>
      </w:r>
      <w:r w:rsidR="00190A9B">
        <w:t>its referent</w:t>
      </w:r>
      <w:r w:rsidR="00561CDE">
        <w:t>—or rather between the metaphor and another figure for that referent. That is, the wilderness is a figure for the place where things were good between Yahweh and Israel. There was no p</w:t>
      </w:r>
      <w:r w:rsidR="00842666">
        <w:t xml:space="preserve">roblem with the Masters </w:t>
      </w:r>
      <w:r w:rsidR="00842666">
        <w:lastRenderedPageBreak/>
        <w:t xml:space="preserve">there. </w:t>
      </w:r>
      <w:r w:rsidR="005D2741">
        <w:t>It’s an idealization</w:t>
      </w:r>
      <w:r w:rsidR="00561CDE">
        <w:t>, given the story about the Master of Pe’or</w:t>
      </w:r>
      <w:r w:rsidR="00842666">
        <w:t xml:space="preserve"> (to whom Hosea alludes in 9:10)</w:t>
      </w:r>
      <w:r w:rsidR="005D2741">
        <w:t>;</w:t>
      </w:r>
      <w:r w:rsidR="00047C0C">
        <w:rPr>
          <w:rStyle w:val="FootnoteReference"/>
        </w:rPr>
        <w:footnoteReference w:id="125"/>
      </w:r>
      <w:r w:rsidR="005D2741">
        <w:t xml:space="preserve"> </w:t>
      </w:r>
      <w:r w:rsidR="00190A9B">
        <w:t>it’</w:t>
      </w:r>
      <w:r w:rsidR="00561CDE">
        <w:t xml:space="preserve">s </w:t>
      </w:r>
      <w:r w:rsidR="00842666">
        <w:t>another figure of speech.</w:t>
      </w:r>
      <w:r w:rsidR="00BF172B">
        <w:t xml:space="preserve"> </w:t>
      </w:r>
    </w:p>
    <w:p w:rsidR="00190A9B" w:rsidRPr="00190A9B" w:rsidRDefault="00561CDE" w:rsidP="00190A9B">
      <w:r>
        <w:t>The speaking will be accompanied by action</w:t>
      </w:r>
      <w:r w:rsidR="00E03BBC">
        <w:t xml:space="preserve"> </w:t>
      </w:r>
      <w:r w:rsidR="00E03BBC" w:rsidRPr="00E03BBC">
        <w:t>(v. 15 [17]</w:t>
      </w:r>
      <w:r w:rsidR="00E03BBC">
        <w:t>)</w:t>
      </w:r>
      <w:r>
        <w:t xml:space="preserve"> that contrasts with the action threatened in</w:t>
      </w:r>
      <w:r w:rsidR="00190A9B">
        <w:t xml:space="preserve"> the previous subsection</w:t>
      </w:r>
      <w:r w:rsidR="00E03BBC">
        <w:t>.</w:t>
      </w:r>
      <w:r w:rsidR="00190A9B">
        <w:t xml:space="preserve"> </w:t>
      </w:r>
      <w:r w:rsidR="00F332AD">
        <w:t xml:space="preserve">Concretely put, Yahweh will give her (back) her vineyards “from the </w:t>
      </w:r>
      <w:r w:rsidR="00266260">
        <w:t xml:space="preserve">(the change that will come about) there.” </w:t>
      </w:r>
      <w:r w:rsidR="00842666">
        <w:t xml:space="preserve">Trouble Vale </w:t>
      </w:r>
      <w:r w:rsidR="00266260">
        <w:t xml:space="preserve">in the strict sense </w:t>
      </w:r>
      <w:r w:rsidR="00842666">
        <w:t>is one of the valleys leading into the m</w:t>
      </w:r>
      <w:r w:rsidR="00266260">
        <w:t>ountains of Canaan from Jericho;</w:t>
      </w:r>
      <w:r w:rsidR="00842666">
        <w:t xml:space="preserve"> Joshua 7 explains why it’s calle</w:t>
      </w:r>
      <w:r w:rsidR="00190A9B">
        <w:t xml:space="preserve">d Trouble Vale. The </w:t>
      </w:r>
      <w:r w:rsidR="00842666">
        <w:t>move into Canaan from the wildernes</w:t>
      </w:r>
      <w:r w:rsidR="005D2741">
        <w:t>s had indeed involved trouble in that valley</w:t>
      </w:r>
      <w:r w:rsidR="00190A9B">
        <w:t>. The</w:t>
      </w:r>
      <w:r w:rsidR="00842666">
        <w:t xml:space="preserve"> new move back into Canaan f</w:t>
      </w:r>
      <w:r w:rsidR="00190A9B">
        <w:t>rom the wilderness will mean go</w:t>
      </w:r>
      <w:r w:rsidR="00842666">
        <w:t>ing the same way, but it won’t be spoiled as the first one was. The same valley will beco</w:t>
      </w:r>
      <w:r w:rsidR="006D76D2">
        <w:t xml:space="preserve">me an entrance into the land </w:t>
      </w:r>
      <w:r w:rsidR="00842666">
        <w:t>through which Israel can walk with confident expectation—it will be H</w:t>
      </w:r>
      <w:r w:rsidR="006D76D2">
        <w:t>ope’s Entrance</w:t>
      </w:r>
      <w:r w:rsidR="00413E63">
        <w:t xml:space="preserve"> (Petaḥ Tiqvā</w:t>
      </w:r>
      <w:r w:rsidR="00BE140E">
        <w:t>h, the name of an Israeli city on the coastal plain)</w:t>
      </w:r>
      <w:r w:rsidR="006D76D2">
        <w:t>.</w:t>
      </w:r>
      <w:r w:rsidR="00190A9B">
        <w:t xml:space="preserve"> </w:t>
      </w:r>
      <w:r w:rsidR="00190A9B" w:rsidRPr="00190A9B">
        <w:t xml:space="preserve">Yes, it will be like the day they came up from Egypt (the name </w:t>
      </w:r>
      <w:r w:rsidR="00075489">
        <w:t xml:space="preserve">“Egypt” </w:t>
      </w:r>
      <w:r w:rsidR="00190A9B" w:rsidRPr="00190A9B">
        <w:t>comes from the Greek equivalent of Miṣrayim). Yahweh will have to choose his day carefully. The day of the deliverance from the Reed Sea is really the only one to which this recollection can refer (see Exod. 14:31). Arguably, Hosea’s talk about Israel’s beginnings deconstructs.</w:t>
      </w:r>
      <w:r w:rsidR="00190A9B" w:rsidRPr="00190A9B">
        <w:rPr>
          <w:vertAlign w:val="superscript"/>
        </w:rPr>
        <w:footnoteReference w:id="126"/>
      </w:r>
    </w:p>
    <w:p w:rsidR="00540E4C" w:rsidRDefault="00BF20F1" w:rsidP="00842A08">
      <w:r>
        <w:t xml:space="preserve">Now </w:t>
      </w:r>
      <w:r w:rsidR="00326005">
        <w:t>(v. 16</w:t>
      </w:r>
      <w:r w:rsidR="00075489">
        <w:t xml:space="preserve"> [18]</w:t>
      </w:r>
      <w:r w:rsidR="00326005">
        <w:t xml:space="preserve">) </w:t>
      </w:r>
      <w:r>
        <w:t>for only the second</w:t>
      </w:r>
      <w:r w:rsidR="001616E4">
        <w:t xml:space="preserve"> time in the entire section Yahweh directly addresses his “wife”</w:t>
      </w:r>
      <w:r w:rsidR="001616E4">
        <w:rPr>
          <w:rStyle w:val="FootnoteReference"/>
        </w:rPr>
        <w:footnoteReference w:id="127"/>
      </w:r>
      <w:r w:rsidR="001616E4">
        <w:t xml:space="preserve"> and declares that she herself </w:t>
      </w:r>
      <w:r w:rsidR="00AA4282">
        <w:t>will</w:t>
      </w:r>
      <w:r w:rsidR="005B2DA0">
        <w:t xml:space="preserve"> now move from proclaiming “My m</w:t>
      </w:r>
      <w:r w:rsidR="00AA4282">
        <w:t xml:space="preserve">aster” to proclaiming “My </w:t>
      </w:r>
      <w:r w:rsidR="005B2DA0">
        <w:t>man/husband.</w:t>
      </w:r>
      <w:r w:rsidR="00AA4282">
        <w:t>”</w:t>
      </w:r>
      <w:r w:rsidR="005B2DA0">
        <w:t xml:space="preserve"> </w:t>
      </w:r>
      <w:r w:rsidR="00540E4C">
        <w:t xml:space="preserve">It is </w:t>
      </w:r>
      <w:r w:rsidR="00492380">
        <w:t xml:space="preserve">apposite that this move by both parties is attributed to “that day,” a day belonging to a whole new age (see </w:t>
      </w:r>
      <w:r w:rsidR="00075489">
        <w:t xml:space="preserve">the </w:t>
      </w:r>
      <w:r w:rsidR="00F14F90">
        <w:t>comments</w:t>
      </w:r>
      <w:r w:rsidR="00075489">
        <w:t xml:space="preserve"> </w:t>
      </w:r>
      <w:r w:rsidR="00492380">
        <w:t xml:space="preserve">on 1:5). </w:t>
      </w:r>
      <w:r w:rsidR="0081383F">
        <w:t>If Yahweh’s declaration in v. 2</w:t>
      </w:r>
      <w:r w:rsidR="00B260C9">
        <w:t xml:space="preserve"> </w:t>
      </w:r>
      <w:r w:rsidR="001D75A0">
        <w:t>was tantamount to a threat about divorc</w:t>
      </w:r>
      <w:r w:rsidR="00540E4C">
        <w:t xml:space="preserve">e, the woman’s declaration </w:t>
      </w:r>
      <w:r w:rsidR="001D75A0">
        <w:t>is tantamount to another s</w:t>
      </w:r>
      <w:r w:rsidR="00756F36">
        <w:t>peech-act, like “you’</w:t>
      </w:r>
      <w:r w:rsidR="00413E63">
        <w:t>re my son.</w:t>
      </w:r>
      <w:r w:rsidR="001D75A0">
        <w:t xml:space="preserve">” </w:t>
      </w:r>
      <w:r w:rsidR="00075489">
        <w:t>It’</w:t>
      </w:r>
      <w:r w:rsidR="00413E63">
        <w:t xml:space="preserve">s </w:t>
      </w:r>
      <w:r w:rsidR="001D75A0">
        <w:t>a commitment to marriage.</w:t>
      </w:r>
      <w:r w:rsidR="001D75A0">
        <w:rPr>
          <w:rStyle w:val="FootnoteReference"/>
        </w:rPr>
        <w:footnoteReference w:id="128"/>
      </w:r>
      <w:r w:rsidR="001D75A0">
        <w:t xml:space="preserve"> </w:t>
      </w:r>
      <w:r w:rsidR="00540E4C">
        <w:t>Apparently</w:t>
      </w:r>
      <w:r w:rsidR="00413E63">
        <w:t xml:space="preserve"> people</w:t>
      </w:r>
      <w:r w:rsidR="00AA4282">
        <w:t xml:space="preserve"> are used t</w:t>
      </w:r>
      <w:r w:rsidR="00075489">
        <w:t>o addressing Yahweh himself as Master</w:t>
      </w:r>
      <w:r w:rsidR="00BC2C5D">
        <w:t xml:space="preserve"> (</w:t>
      </w:r>
      <w:r w:rsidR="00BC2C5D">
        <w:rPr>
          <w:i/>
        </w:rPr>
        <w:t>ba‘al</w:t>
      </w:r>
      <w:r w:rsidR="00413E63">
        <w:t>). It</w:t>
      </w:r>
      <w:r w:rsidR="00540E4C">
        <w:t>’</w:t>
      </w:r>
      <w:r w:rsidR="00BC2C5D">
        <w:t xml:space="preserve">s another indication that the problem with </w:t>
      </w:r>
      <w:r w:rsidR="00540E4C">
        <w:t xml:space="preserve">Ephraim is not that they </w:t>
      </w:r>
      <w:r w:rsidR="00BC2C5D">
        <w:t xml:space="preserve">see themselves as having stopped worshiping Yahweh in order to turn </w:t>
      </w:r>
      <w:r w:rsidR="00540E4C">
        <w:t xml:space="preserve">to other deities but that they </w:t>
      </w:r>
      <w:r w:rsidR="00BC2C5D">
        <w:t>worship Yahweh am</w:t>
      </w:r>
      <w:r w:rsidR="00540E4C">
        <w:t xml:space="preserve">ong other deities and </w:t>
      </w:r>
      <w:r w:rsidR="00BC2C5D">
        <w:t>worship Yahweh as if he were like those other deities.</w:t>
      </w:r>
      <w:r w:rsidR="00053518">
        <w:rPr>
          <w:rStyle w:val="FootnoteReference"/>
        </w:rPr>
        <w:footnoteReference w:id="129"/>
      </w:r>
      <w:r w:rsidR="00BC2C5D">
        <w:t xml:space="preserve"> </w:t>
      </w:r>
      <w:r w:rsidR="006D76D2">
        <w:t>In theory there would be nothing wrong with wo</w:t>
      </w:r>
      <w:r w:rsidR="00540E4C">
        <w:t>rshiping Yahweh as their Master;</w:t>
      </w:r>
      <w:r w:rsidR="006D76D2">
        <w:t xml:space="preserve"> Israelite names with the word </w:t>
      </w:r>
      <w:r w:rsidR="006D76D2" w:rsidRPr="006D76D2">
        <w:rPr>
          <w:i/>
        </w:rPr>
        <w:t>ba‘al</w:t>
      </w:r>
      <w:r w:rsidR="00714C79">
        <w:t xml:space="preserve"> in them (e.g., Saul’s son Esh</w:t>
      </w:r>
      <w:r w:rsidR="006D76D2">
        <w:t>ba‘al) don</w:t>
      </w:r>
      <w:r w:rsidR="007861DC">
        <w:t>’t have to indicate worship of t</w:t>
      </w:r>
      <w:r w:rsidR="006D76D2">
        <w:t>he Master as op</w:t>
      </w:r>
      <w:r w:rsidR="00075489">
        <w:t>posed to Yahweh. But the title Master</w:t>
      </w:r>
      <w:r w:rsidR="006D76D2">
        <w:t xml:space="preserve"> has beco</w:t>
      </w:r>
      <w:r w:rsidR="00413E63">
        <w:t xml:space="preserve">me tainted through its </w:t>
      </w:r>
      <w:r w:rsidR="006D76D2">
        <w:t xml:space="preserve">association with </w:t>
      </w:r>
      <w:r w:rsidR="006D76D2" w:rsidRPr="006D76D2">
        <w:rPr>
          <w:i/>
        </w:rPr>
        <w:t>ba‘al</w:t>
      </w:r>
      <w:r w:rsidR="006D76D2">
        <w:t>.</w:t>
      </w:r>
      <w:r w:rsidR="00540E4C">
        <w:t xml:space="preserve"> </w:t>
      </w:r>
    </w:p>
    <w:p w:rsidR="00413E63" w:rsidRDefault="00540E4C" w:rsidP="00842A08">
      <w:r>
        <w:t>So t</w:t>
      </w:r>
      <w:r w:rsidR="00714C79">
        <w:t>he name will no longer be used</w:t>
      </w:r>
      <w:r>
        <w:t xml:space="preserve"> (v.</w:t>
      </w:r>
      <w:r w:rsidR="0043555C">
        <w:t xml:space="preserve"> 17</w:t>
      </w:r>
      <w:r w:rsidR="00075489">
        <w:t xml:space="preserve"> [19]</w:t>
      </w:r>
      <w:r w:rsidR="0043555C">
        <w:t>)</w:t>
      </w:r>
      <w:r w:rsidR="00714C79">
        <w:t>.</w:t>
      </w:r>
      <w:r w:rsidR="00585A1A">
        <w:t xml:space="preserve"> The </w:t>
      </w:r>
      <w:r w:rsidR="00A905CE">
        <w:t xml:space="preserve">bringing to mind or </w:t>
      </w:r>
      <w:r w:rsidR="00585A1A">
        <w:t>mentioning will apply in worship, but also in contexts such as oaths and contracts.</w:t>
      </w:r>
      <w:r w:rsidR="00413E63">
        <w:t xml:space="preserve"> T</w:t>
      </w:r>
      <w:r>
        <w:t>hey will</w:t>
      </w:r>
      <w:r w:rsidR="00BC2C5D">
        <w:t xml:space="preserve"> worship Yahweh as their man, their husband, the only one to whom they commit themselves and on whom they rely.</w:t>
      </w:r>
      <w:r w:rsidR="00413E63">
        <w:t xml:space="preserve"> </w:t>
      </w:r>
      <w:r w:rsidR="00BC2C5D">
        <w:t>It will</w:t>
      </w:r>
      <w:r w:rsidR="00A905CE">
        <w:t xml:space="preserve"> be their action, their change, vv. 15b-16 [17b-18] have declared</w:t>
      </w:r>
      <w:r w:rsidR="00BC2C5D">
        <w:t>, but it will be a response to Yahweh’s coaxing and giving</w:t>
      </w:r>
      <w:r w:rsidR="00A905CE">
        <w:t xml:space="preserve">, promised in </w:t>
      </w:r>
      <w:r w:rsidR="00BC2C5D">
        <w:t>vv. 14-15a</w:t>
      </w:r>
      <w:r w:rsidR="00A905CE">
        <w:t xml:space="preserve"> [16-17a]; t</w:t>
      </w:r>
      <w:r w:rsidR="00BC2C5D">
        <w:t>hus Yahweh can revert to speaking of the change as something he brings about</w:t>
      </w:r>
      <w:r w:rsidR="00991900">
        <w:t>.</w:t>
      </w:r>
    </w:p>
    <w:p w:rsidR="00991900" w:rsidRDefault="00991900" w:rsidP="00842A08">
      <w:r>
        <w:t>The further promises in this subsection (v. 18</w:t>
      </w:r>
      <w:r w:rsidR="00E03BBC">
        <w:t>a</w:t>
      </w:r>
      <w:r w:rsidR="00A905CE">
        <w:t xml:space="preserve"> [20</w:t>
      </w:r>
      <w:r w:rsidR="00E03BBC">
        <w:t>a</w:t>
      </w:r>
      <w:r w:rsidR="00A905CE">
        <w:t>]</w:t>
      </w:r>
      <w:r>
        <w:t xml:space="preserve">) bring it </w:t>
      </w:r>
      <w:r w:rsidR="00413E63">
        <w:t xml:space="preserve">to a climax and </w:t>
      </w:r>
      <w:r>
        <w:t>take Yahweh’s restoring action further. They will be fu</w:t>
      </w:r>
      <w:r w:rsidR="0043555C">
        <w:t xml:space="preserve">lfilled “on that day,” </w:t>
      </w:r>
      <w:r>
        <w:t>the day when Ephraim h</w:t>
      </w:r>
      <w:r w:rsidR="00413E63">
        <w:t>as re</w:t>
      </w:r>
      <w:r w:rsidR="0043555C">
        <w:t>newed her commitment. The repeated</w:t>
      </w:r>
      <w:r w:rsidR="00413E63">
        <w:t xml:space="preserve"> </w:t>
      </w:r>
      <w:r>
        <w:t xml:space="preserve">occurrence of the expression is a good example of its dynamic. Yahweh is not talking </w:t>
      </w:r>
      <w:r w:rsidR="0043555C">
        <w:t>about something eschatological</w:t>
      </w:r>
      <w:r>
        <w:t xml:space="preserve"> in the sense </w:t>
      </w:r>
      <w:r w:rsidR="0043555C">
        <w:t xml:space="preserve">of belonging to the end of history or </w:t>
      </w:r>
      <w:r w:rsidR="00413E63">
        <w:t>bound to come only in the far-off future</w:t>
      </w:r>
      <w:r w:rsidR="0043555C">
        <w:t>,</w:t>
      </w:r>
      <w:r w:rsidR="00413E63">
        <w:t xml:space="preserve"> but it is esc</w:t>
      </w:r>
      <w:r w:rsidR="0043555C">
        <w:t>hatological in the sense</w:t>
      </w:r>
      <w:r w:rsidR="00A905CE">
        <w:t xml:space="preserve"> of be</w:t>
      </w:r>
      <w:r w:rsidR="0043555C">
        <w:t>ing</w:t>
      </w:r>
      <w:r w:rsidR="00413E63">
        <w:t xml:space="preserve"> something profoundly </w:t>
      </w:r>
      <w:r w:rsidR="0043555C">
        <w:t>new, which</w:t>
      </w:r>
      <w:r w:rsidR="00413E63">
        <w:t xml:space="preserve"> changes things </w:t>
      </w:r>
      <w:r w:rsidR="0043555C">
        <w:t xml:space="preserve">radically and brings in a </w:t>
      </w:r>
      <w:r w:rsidR="002F78D9">
        <w:t>new age that brings to fulfillment the purpose that Yahweh always had.</w:t>
      </w:r>
    </w:p>
    <w:p w:rsidR="00BF20F1" w:rsidRDefault="00991900" w:rsidP="00842A08">
      <w:r>
        <w:lastRenderedPageBreak/>
        <w:t xml:space="preserve">It will involve the </w:t>
      </w:r>
      <w:r w:rsidR="0043555C">
        <w:t>solemnizing of a pact</w:t>
      </w:r>
      <w:r>
        <w:t xml:space="preserve"> </w:t>
      </w:r>
      <w:r w:rsidR="0043555C">
        <w:t>(</w:t>
      </w:r>
      <w:r w:rsidR="0043555C">
        <w:rPr>
          <w:i/>
        </w:rPr>
        <w:t>bə</w:t>
      </w:r>
      <w:r>
        <w:rPr>
          <w:i/>
        </w:rPr>
        <w:t>rit</w:t>
      </w:r>
      <w:r w:rsidR="0043555C">
        <w:t>)</w:t>
      </w:r>
      <w:r>
        <w:t>; I avoid the conventional translation “covenant” because</w:t>
      </w:r>
      <w:r w:rsidR="0043555C">
        <w:t xml:space="preserve"> it has many overtones (“pact” has </w:t>
      </w:r>
      <w:r w:rsidR="005908B5">
        <w:t xml:space="preserve">overtones, but not so complex). A </w:t>
      </w:r>
      <w:r w:rsidR="0043555C">
        <w:t xml:space="preserve">pact </w:t>
      </w:r>
      <w:r w:rsidR="005908B5">
        <w:t xml:space="preserve">is a formal commitment </w:t>
      </w:r>
      <w:r w:rsidR="0043555C">
        <w:t>with practical implications, which</w:t>
      </w:r>
      <w:r w:rsidR="004F11E0">
        <w:t xml:space="preserve"> one</w:t>
      </w:r>
      <w:r w:rsidR="0043555C">
        <w:t xml:space="preserve"> party makes to another or </w:t>
      </w:r>
      <w:r w:rsidR="004F11E0">
        <w:t xml:space="preserve">two parties make to </w:t>
      </w:r>
      <w:r w:rsidR="00F130B6">
        <w:t xml:space="preserve">each other, such as </w:t>
      </w:r>
      <w:r w:rsidR="00A905CE">
        <w:t xml:space="preserve">a contract </w:t>
      </w:r>
      <w:r w:rsidR="004F11E0">
        <w:t>or a treaty</w:t>
      </w:r>
      <w:r w:rsidR="00F130B6">
        <w:t>—or a covenant</w:t>
      </w:r>
      <w:r w:rsidR="004F11E0">
        <w:t xml:space="preserve">. Its seriousness as a commitment is signaled by its being “solemnized,” literally “cut,” by a ceremony that implies a self-curse on </w:t>
      </w:r>
      <w:r w:rsidR="00F130B6">
        <w:t>some</w:t>
      </w:r>
      <w:r w:rsidR="004F11E0">
        <w:t>one who makes the commitment and breaks it (see Gen</w:t>
      </w:r>
      <w:r w:rsidR="00A905CE">
        <w:t>.</w:t>
      </w:r>
      <w:r w:rsidR="004F11E0">
        <w:t xml:space="preserve"> 15; Jer</w:t>
      </w:r>
      <w:r w:rsidR="00A905CE">
        <w:t>.</w:t>
      </w:r>
      <w:r w:rsidR="004F11E0">
        <w:t xml:space="preserve"> 34:18). </w:t>
      </w:r>
      <w:r w:rsidR="00F130B6">
        <w:t xml:space="preserve">In substance </w:t>
      </w:r>
      <w:r w:rsidR="00714C79">
        <w:t xml:space="preserve">this pact is a reaffirmation </w:t>
      </w:r>
      <w:r w:rsidR="00F130B6">
        <w:t>or</w:t>
      </w:r>
      <w:r w:rsidR="00714C79">
        <w:t xml:space="preserve"> remaking of the pact in the Torah, especially as it relates to provision from nature (e.g., Deut</w:t>
      </w:r>
      <w:r w:rsidR="00F130B6">
        <w:t>. 28). But there’</w:t>
      </w:r>
      <w:r w:rsidR="00714C79">
        <w:t xml:space="preserve">s no need to attempt to relate all the </w:t>
      </w:r>
      <w:r w:rsidR="002F78D9">
        <w:t>“</w:t>
      </w:r>
      <w:r w:rsidR="00714C79">
        <w:t>covenants</w:t>
      </w:r>
      <w:r w:rsidR="002F78D9">
        <w:t>”</w:t>
      </w:r>
      <w:r w:rsidR="00714C79">
        <w:t xml:space="preserve"> in the Scriptures to one another. God makes lots of commitment</w:t>
      </w:r>
      <w:r w:rsidR="00F130B6">
        <w:t>s to his people. T</w:t>
      </w:r>
      <w:r w:rsidR="00A905CE">
        <w:t xml:space="preserve">he </w:t>
      </w:r>
      <w:r w:rsidR="00714C79">
        <w:t xml:space="preserve">promises </w:t>
      </w:r>
      <w:r w:rsidR="00A905CE">
        <w:t xml:space="preserve">here </w:t>
      </w:r>
      <w:r w:rsidR="00714C79">
        <w:t>link more signifi</w:t>
      </w:r>
      <w:r w:rsidR="0027488A">
        <w:t>cantly with Genesis 1</w:t>
      </w:r>
      <w:r w:rsidR="001C23B9">
        <w:t>—3</w:t>
      </w:r>
      <w:r w:rsidR="00714C79">
        <w:t xml:space="preserve">. There </w:t>
      </w:r>
      <w:r w:rsidR="0027488A">
        <w:t>humanity is commissioned to rule over the animal world</w:t>
      </w:r>
      <w:r w:rsidR="001C23B9">
        <w:t xml:space="preserve"> but </w:t>
      </w:r>
      <w:r w:rsidR="00A905CE">
        <w:t xml:space="preserve">it </w:t>
      </w:r>
      <w:r w:rsidR="001C23B9">
        <w:t xml:space="preserve">then submits to its rule and finds its relation with </w:t>
      </w:r>
      <w:r w:rsidR="00A905CE">
        <w:t>it disrupted. God doesn’</w:t>
      </w:r>
      <w:r w:rsidR="002F78D9">
        <w:t>t speak there in terms of a pact, though</w:t>
      </w:r>
      <w:r w:rsidR="0027488A">
        <w:t xml:space="preserve"> he does so after almost destroying the earth (Gen</w:t>
      </w:r>
      <w:r w:rsidR="00F130B6">
        <w:t>. 9:8-10). I</w:t>
      </w:r>
      <w:r w:rsidR="0027488A">
        <w:t>n effect Ephraim</w:t>
      </w:r>
      <w:r w:rsidR="00714C79">
        <w:t xml:space="preserve"> </w:t>
      </w:r>
      <w:r w:rsidR="0027488A">
        <w:t>is promised that it will b</w:t>
      </w:r>
      <w:r w:rsidR="00F130B6">
        <w:t>e able to rule the animal world instead of its</w:t>
      </w:r>
      <w:r w:rsidR="00A905CE">
        <w:t xml:space="preserve"> creatures being in rebellion as they were in </w:t>
      </w:r>
      <w:r w:rsidR="0027488A">
        <w:t>v. 12</w:t>
      </w:r>
      <w:r w:rsidR="00A905CE">
        <w:t xml:space="preserve"> and as the Torah threatened</w:t>
      </w:r>
      <w:r w:rsidR="00F130B6">
        <w:t>; one might also contrast</w:t>
      </w:r>
      <w:r w:rsidR="00D733C0">
        <w:t xml:space="preserve"> Amos 5:19</w:t>
      </w:r>
      <w:r w:rsidR="004F11E0">
        <w:t>.</w:t>
      </w:r>
      <w:r w:rsidR="00D733C0">
        <w:rPr>
          <w:rStyle w:val="FootnoteReference"/>
        </w:rPr>
        <w:footnoteReference w:id="130"/>
      </w:r>
      <w:r w:rsidR="004F11E0">
        <w:t xml:space="preserve"> </w:t>
      </w:r>
      <w:r w:rsidR="00BF20F1">
        <w:t>Yahweh is not making a pact between him</w:t>
      </w:r>
      <w:r w:rsidR="00A905CE">
        <w:t xml:space="preserve">self </w:t>
      </w:r>
      <w:r w:rsidR="00BF20F1">
        <w:t>and the animals</w:t>
      </w:r>
      <w:r w:rsidR="00585A1A">
        <w:t xml:space="preserve"> (there is no need for one)</w:t>
      </w:r>
      <w:r w:rsidR="00F130B6">
        <w:t xml:space="preserve"> but</w:t>
      </w:r>
      <w:r w:rsidR="00BF20F1">
        <w:t xml:space="preserve"> m</w:t>
      </w:r>
      <w:r w:rsidR="00585A1A">
        <w:t>ediating a pact between Ephraim</w:t>
      </w:r>
      <w:r w:rsidR="00BF20F1">
        <w:t xml:space="preserve"> and the animals</w:t>
      </w:r>
      <w:r w:rsidR="00585A1A">
        <w:t xml:space="preserve"> on Ephraim</w:t>
      </w:r>
      <w:r w:rsidR="004577BF">
        <w:t>’s behalf</w:t>
      </w:r>
      <w:r w:rsidR="00C73BEF">
        <w:t xml:space="preserve"> </w:t>
      </w:r>
      <w:r w:rsidR="00585A1A">
        <w:t>(</w:t>
      </w:r>
      <w:r w:rsidR="00C73BEF">
        <w:t>the humanity Hosea speaks of is Ephraim not the world</w:t>
      </w:r>
      <w:r w:rsidR="00585A1A">
        <w:t>)</w:t>
      </w:r>
      <w:r w:rsidR="00C73BEF">
        <w:t>.</w:t>
      </w:r>
    </w:p>
    <w:p w:rsidR="004F11E0" w:rsidRDefault="00F130B6" w:rsidP="00842A08">
      <w:r>
        <w:t xml:space="preserve">Yahweh’s commitment </w:t>
      </w:r>
      <w:r w:rsidR="002F78D9">
        <w:t>has a</w:t>
      </w:r>
      <w:r w:rsidR="004F11E0">
        <w:t xml:space="preserve"> second </w:t>
      </w:r>
      <w:r w:rsidR="002F78D9">
        <w:t>element</w:t>
      </w:r>
      <w:r w:rsidR="00A905CE">
        <w:t xml:space="preserve"> </w:t>
      </w:r>
      <w:r w:rsidR="00A905CE" w:rsidRPr="00A905CE">
        <w:t>(v. 18b [20b])</w:t>
      </w:r>
      <w:r w:rsidR="002F78D9">
        <w:t>, relating</w:t>
      </w:r>
      <w:r w:rsidR="004F11E0">
        <w:t xml:space="preserve"> to the nation’s political needs</w:t>
      </w:r>
      <w:r w:rsidR="00A905CE">
        <w:t>. Its</w:t>
      </w:r>
      <w:r w:rsidR="004F11E0">
        <w:t xml:space="preserve"> terms recall the earlier promise about deliverance (1:7).</w:t>
      </w:r>
      <w:r w:rsidR="0057636D">
        <w:t xml:space="preserve"> </w:t>
      </w:r>
      <w:r w:rsidR="00C73BEF">
        <w:t>T</w:t>
      </w:r>
      <w:r>
        <w:t>he reference to war</w:t>
      </w:r>
      <w:r w:rsidR="00C73BEF">
        <w:t xml:space="preserve"> suggest</w:t>
      </w:r>
      <w:r>
        <w:t>s the time long</w:t>
      </w:r>
      <w:r w:rsidR="00C73BEF">
        <w:t xml:space="preserve"> after Jeroboam’s death when Ass</w:t>
      </w:r>
      <w:r w:rsidR="00301E10">
        <w:t xml:space="preserve">yria started behaving more aggressively </w:t>
      </w:r>
      <w:r w:rsidR="009B42E1">
        <w:t xml:space="preserve">towards </w:t>
      </w:r>
      <w:r w:rsidR="00301E10">
        <w:t>Ephraim</w:t>
      </w:r>
      <w:r w:rsidR="00C73BEF">
        <w:t xml:space="preserve"> </w:t>
      </w:r>
      <w:r w:rsidR="00F45C5F">
        <w:t xml:space="preserve">(see 2 </w:t>
      </w:r>
      <w:r w:rsidR="00D06435">
        <w:t>Kings</w:t>
      </w:r>
      <w:r w:rsidR="00F45C5F">
        <w:t xml:space="preserve"> 15).</w:t>
      </w:r>
    </w:p>
    <w:p w:rsidR="00BD439E" w:rsidRDefault="00BD439E" w:rsidP="00842A08"/>
    <w:p w:rsidR="006E464F" w:rsidRDefault="00DA1BEF" w:rsidP="00842A08">
      <w:r w:rsidRPr="00DA1BEF">
        <w:rPr>
          <w:b/>
        </w:rPr>
        <w:t>Hosea</w:t>
      </w:r>
      <w:r w:rsidRPr="00DA1BEF">
        <w:t xml:space="preserve"> </w:t>
      </w:r>
      <w:r w:rsidR="0081383F">
        <w:rPr>
          <w:b/>
        </w:rPr>
        <w:t>2:19-23</w:t>
      </w:r>
      <w:r w:rsidR="006E464F">
        <w:rPr>
          <w:b/>
        </w:rPr>
        <w:t xml:space="preserve"> [21-25]</w:t>
      </w:r>
      <w:r w:rsidR="004F11E0" w:rsidRPr="00DA1BEF">
        <w:rPr>
          <w:b/>
        </w:rPr>
        <w:t>.</w:t>
      </w:r>
      <w:r w:rsidR="00F915BE">
        <w:t xml:space="preserve"> The final subsecti</w:t>
      </w:r>
      <w:r w:rsidR="00BD439E">
        <w:t>on restates the penultimate one</w:t>
      </w:r>
      <w:r w:rsidR="002F78D9">
        <w:t>, but again</w:t>
      </w:r>
      <w:r w:rsidR="00BD439E">
        <w:t xml:space="preserve"> goes beyond it in </w:t>
      </w:r>
      <w:r w:rsidR="000F6D36">
        <w:t>the</w:t>
      </w:r>
      <w:r w:rsidR="00F130B6">
        <w:t xml:space="preserve"> manner of parallelism. </w:t>
      </w:r>
    </w:p>
    <w:p w:rsidR="000F6D36" w:rsidRDefault="00E03BBC" w:rsidP="00842A08">
      <w:r>
        <w:t>T</w:t>
      </w:r>
      <w:r w:rsidR="000F6D36">
        <w:t>he restoration of the personal relationship becomes a “betrot</w:t>
      </w:r>
      <w:r w:rsidR="006E464F">
        <w:t>hal</w:t>
      </w:r>
      <w:r w:rsidR="00C74627">
        <w:t>”</w:t>
      </w:r>
      <w:r w:rsidR="00F130B6">
        <w:t xml:space="preserve"> </w:t>
      </w:r>
      <w:r w:rsidR="006E464F">
        <w:t>(v. 19</w:t>
      </w:r>
      <w:r>
        <w:t>a</w:t>
      </w:r>
      <w:r w:rsidR="006E464F">
        <w:t xml:space="preserve"> [21</w:t>
      </w:r>
      <w:r>
        <w:t>a</w:t>
      </w:r>
      <w:r w:rsidR="006E464F">
        <w:t xml:space="preserve">]), </w:t>
      </w:r>
      <w:r w:rsidR="00F130B6">
        <w:t>which</w:t>
      </w:r>
      <w:r w:rsidR="000F6D36">
        <w:t xml:space="preserve"> is something in between engagement</w:t>
      </w:r>
      <w:r w:rsidR="00F130B6">
        <w:t xml:space="preserve"> and marriage. T</w:t>
      </w:r>
      <w:r w:rsidR="000F6D36">
        <w:t xml:space="preserve">he couple have not yet left their parents, set up home together, </w:t>
      </w:r>
      <w:r w:rsidR="00F130B6">
        <w:t>and united sexually, but</w:t>
      </w:r>
      <w:r w:rsidR="000F6D36">
        <w:t xml:space="preserve"> they</w:t>
      </w:r>
      <w:r w:rsidR="00F130B6">
        <w:t xml:space="preserve"> have made a commitment </w:t>
      </w:r>
      <w:r w:rsidR="000F6D36">
        <w:t>as serious and binding as marriage</w:t>
      </w:r>
      <w:r w:rsidR="00F130B6">
        <w:t>,</w:t>
      </w:r>
      <w:r w:rsidR="002F78D9">
        <w:t xml:space="preserve"> and </w:t>
      </w:r>
      <w:r w:rsidR="00F130B6">
        <w:t xml:space="preserve">they have </w:t>
      </w:r>
      <w:r w:rsidR="002F78D9">
        <w:t>exchanged marriage gifts</w:t>
      </w:r>
      <w:r w:rsidR="000F6D36">
        <w:t>, so that breaking a betrothal  implies divorce (cf. Matt</w:t>
      </w:r>
      <w:r w:rsidR="00F130B6">
        <w:t>.</w:t>
      </w:r>
      <w:r w:rsidR="000F6D36">
        <w:t xml:space="preserve"> 1:19). But this betrothal will be permanent—in other words, it will be a marriage.</w:t>
      </w:r>
      <w:r w:rsidR="004577BF">
        <w:rPr>
          <w:rStyle w:val="FootnoteReference"/>
        </w:rPr>
        <w:footnoteReference w:id="131"/>
      </w:r>
      <w:r w:rsidR="000F6D36">
        <w:t xml:space="preserve"> </w:t>
      </w:r>
    </w:p>
    <w:p w:rsidR="000E6078" w:rsidRDefault="000F6D36" w:rsidP="007456E4">
      <w:r>
        <w:t xml:space="preserve">In spelling </w:t>
      </w:r>
      <w:r w:rsidR="00F130B6">
        <w:t xml:space="preserve">out </w:t>
      </w:r>
      <w:r>
        <w:t xml:space="preserve">the implications of </w:t>
      </w:r>
      <w:r w:rsidR="002F78D9">
        <w:t>the betrothal</w:t>
      </w:r>
      <w:r w:rsidR="00E03BBC">
        <w:t xml:space="preserve"> </w:t>
      </w:r>
      <w:r w:rsidR="00E03BBC" w:rsidRPr="00E03BBC">
        <w:t>(v. 19</w:t>
      </w:r>
      <w:r w:rsidR="00E03BBC">
        <w:t>b</w:t>
      </w:r>
      <w:r w:rsidR="00E03BBC" w:rsidRPr="00E03BBC">
        <w:t xml:space="preserve"> [21</w:t>
      </w:r>
      <w:r w:rsidR="00E03BBC">
        <w:t>b])</w:t>
      </w:r>
      <w:r w:rsidR="002F78D9">
        <w:t xml:space="preserve">, the prophet </w:t>
      </w:r>
      <w:r>
        <w:t>again moves between language that works with the marriage metaphor and language that refers more strictly to the reality the metaphor refers to</w:t>
      </w:r>
      <w:r w:rsidR="00CB315A">
        <w:t xml:space="preserve">. </w:t>
      </w:r>
      <w:r w:rsidR="007456E4">
        <w:t>“</w:t>
      </w:r>
      <w:r w:rsidR="007456E4">
        <w:rPr>
          <w:rFonts w:eastAsiaTheme="minorHAnsi" w:cs="Times New Roman"/>
        </w:rPr>
        <w:t>T</w:t>
      </w:r>
      <w:r w:rsidR="007456E4" w:rsidRPr="007456E4">
        <w:rPr>
          <w:rFonts w:eastAsiaTheme="minorHAnsi" w:cs="Times New Roman"/>
        </w:rPr>
        <w:t>he borders between signifier and signified are</w:t>
      </w:r>
      <w:r w:rsidR="007456E4">
        <w:rPr>
          <w:rFonts w:eastAsiaTheme="minorHAnsi" w:cs="Times New Roman"/>
        </w:rPr>
        <w:t xml:space="preserve"> </w:t>
      </w:r>
      <w:r w:rsidR="007456E4" w:rsidRPr="007456E4">
        <w:rPr>
          <w:rFonts w:eastAsiaTheme="minorHAnsi" w:cs="Times New Roman"/>
        </w:rPr>
        <w:t>blurred. The focus of the text shifts from Hosea-Gomer to Yahweh-Israel in a</w:t>
      </w:r>
      <w:r w:rsidR="007456E4">
        <w:rPr>
          <w:rFonts w:eastAsiaTheme="minorHAnsi" w:cs="Times New Roman"/>
        </w:rPr>
        <w:t xml:space="preserve"> </w:t>
      </w:r>
      <w:r w:rsidR="007456E4" w:rsidRPr="007456E4">
        <w:rPr>
          <w:rFonts w:eastAsiaTheme="minorHAnsi" w:cs="Times New Roman"/>
        </w:rPr>
        <w:t>way so that it is impossible to mark the points of transition.</w:t>
      </w:r>
      <w:r w:rsidR="007456E4">
        <w:rPr>
          <w:rFonts w:eastAsiaTheme="minorHAnsi" w:cs="Times New Roman"/>
        </w:rPr>
        <w:t>”</w:t>
      </w:r>
      <w:r w:rsidR="007456E4">
        <w:rPr>
          <w:rStyle w:val="FootnoteReference"/>
          <w:rFonts w:eastAsiaTheme="minorHAnsi" w:cs="Times New Roman"/>
        </w:rPr>
        <w:footnoteReference w:id="132"/>
      </w:r>
      <w:r w:rsidR="007456E4" w:rsidRPr="007456E4">
        <w:t xml:space="preserve"> </w:t>
      </w:r>
      <w:r w:rsidR="00F130B6" w:rsidRPr="007456E4">
        <w:t>“</w:t>
      </w:r>
      <w:r w:rsidR="00F130B6">
        <w:t>W</w:t>
      </w:r>
      <w:r w:rsidR="00CE3649">
        <w:t xml:space="preserve">ith” could denote the marriage gift that a groom or his family makes to a bride or her family. </w:t>
      </w:r>
      <w:r w:rsidR="00CB315A">
        <w:t>The hendiadys “f</w:t>
      </w:r>
      <w:r>
        <w:t>aithfuln</w:t>
      </w:r>
      <w:r w:rsidR="007D3A25">
        <w:t>ess in the making of decisions</w:t>
      </w:r>
      <w:r w:rsidR="00CB315A">
        <w:t>” (</w:t>
      </w:r>
      <w:r w:rsidR="00CB315A">
        <w:rPr>
          <w:i/>
        </w:rPr>
        <w:t xml:space="preserve">bəṣedeq </w:t>
      </w:r>
      <w:r w:rsidR="00CB315A" w:rsidRPr="00CB315A">
        <w:rPr>
          <w:i/>
        </w:rPr>
        <w:t>ûbəmišpāt</w:t>
      </w:r>
      <w:r w:rsidR="00CB315A">
        <w:t>)</w:t>
      </w:r>
      <w:r>
        <w:t xml:space="preserve"> </w:t>
      </w:r>
      <w:r w:rsidR="00CB315A">
        <w:t>is a key characteristic of Yahweh in Deuteronomy, the Psalms, Proverb</w:t>
      </w:r>
      <w:r w:rsidR="00FE46F0">
        <w:t>s, and the Prophets. The</w:t>
      </w:r>
      <w:r w:rsidR="00F130B6">
        <w:t xml:space="preserve"> common translation of</w:t>
      </w:r>
      <w:r w:rsidR="00FE46F0">
        <w:t xml:space="preserve"> </w:t>
      </w:r>
      <w:r w:rsidR="00F130B6">
        <w:t>this expression as</w:t>
      </w:r>
      <w:r w:rsidR="00FE46F0">
        <w:t xml:space="preserve"> “righteousness </w:t>
      </w:r>
      <w:r w:rsidR="00F130B6">
        <w:t>and justice</w:t>
      </w:r>
      <w:r w:rsidR="00FE46F0">
        <w:t xml:space="preserve">” gives a </w:t>
      </w:r>
      <w:r w:rsidR="00F130B6">
        <w:t xml:space="preserve">doubly </w:t>
      </w:r>
      <w:r w:rsidR="00FE46F0">
        <w:t>misleading impressi</w:t>
      </w:r>
      <w:r w:rsidR="00F130B6">
        <w:t>on</w:t>
      </w:r>
      <w:r w:rsidR="00FE46F0">
        <w:t xml:space="preserve">. The first </w:t>
      </w:r>
      <w:r w:rsidR="00F130B6">
        <w:t xml:space="preserve">word </w:t>
      </w:r>
      <w:r w:rsidR="00FE46F0">
        <w:t>denotes doing right by the people with whom one is in a committed relationship—one’s community. The second denotes the exercise of legitimate power or government. The First Testament uses the particular form of the first (</w:t>
      </w:r>
      <w:r w:rsidR="00FE46F0" w:rsidRPr="00FE46F0">
        <w:rPr>
          <w:i/>
        </w:rPr>
        <w:t>ṣedeq</w:t>
      </w:r>
      <w:r w:rsidR="00FE46F0">
        <w:t xml:space="preserve"> as opposed to </w:t>
      </w:r>
      <w:r w:rsidR="00FE46F0" w:rsidRPr="00FE46F0">
        <w:rPr>
          <w:i/>
        </w:rPr>
        <w:t>ṣ</w:t>
      </w:r>
      <w:r w:rsidR="00FE46F0">
        <w:rPr>
          <w:i/>
        </w:rPr>
        <w:t>ədā</w:t>
      </w:r>
      <w:r w:rsidR="00FE46F0" w:rsidRPr="00FE46F0">
        <w:rPr>
          <w:i/>
        </w:rPr>
        <w:t>q</w:t>
      </w:r>
      <w:r w:rsidR="00FE46F0">
        <w:rPr>
          <w:i/>
        </w:rPr>
        <w:t>āh</w:t>
      </w:r>
      <w:r w:rsidR="00FE46F0">
        <w:t xml:space="preserve">) </w:t>
      </w:r>
      <w:r w:rsidR="000E6078">
        <w:t xml:space="preserve">especially </w:t>
      </w:r>
      <w:r w:rsidR="00FE46F0">
        <w:t xml:space="preserve">to denote this quality when exercised by God, as here. </w:t>
      </w:r>
      <w:r w:rsidR="005D1963">
        <w:t>Yahweh’s</w:t>
      </w:r>
      <w:r w:rsidR="00F130B6">
        <w:t xml:space="preserve"> use</w:t>
      </w:r>
      <w:r w:rsidR="000E6078">
        <w:t xml:space="preserve"> of the words here</w:t>
      </w:r>
      <w:r w:rsidR="00C43798">
        <w:t xml:space="preserve"> recognize</w:t>
      </w:r>
      <w:r w:rsidR="000E6078">
        <w:t>s</w:t>
      </w:r>
      <w:r w:rsidR="00F130B6">
        <w:t xml:space="preserve"> that </w:t>
      </w:r>
      <w:r w:rsidR="00C43798">
        <w:t>having entered into a relationship with Israel</w:t>
      </w:r>
      <w:r w:rsidR="005D1963">
        <w:t>, he</w:t>
      </w:r>
      <w:r w:rsidR="00F130B6">
        <w:t xml:space="preserve"> </w:t>
      </w:r>
      <w:r w:rsidR="00C43798">
        <w:t>cannot finally cast Israel off;</w:t>
      </w:r>
      <w:r w:rsidR="005D1963">
        <w:t xml:space="preserve"> it</w:t>
      </w:r>
      <w:r w:rsidR="000E6078">
        <w:t xml:space="preserve"> </w:t>
      </w:r>
      <w:r w:rsidR="00C43798">
        <w:t xml:space="preserve">anticipates a use that will recur in Isaiah 40—55. </w:t>
      </w:r>
    </w:p>
    <w:p w:rsidR="004F11E0" w:rsidRDefault="00FE46F0" w:rsidP="00842A08">
      <w:r>
        <w:t>The second pair of words</w:t>
      </w:r>
      <w:r w:rsidR="000F6D36">
        <w:t>,</w:t>
      </w:r>
      <w:r>
        <w:t xml:space="preserve"> commitment and </w:t>
      </w:r>
      <w:r w:rsidR="000F6D36">
        <w:t>com</w:t>
      </w:r>
      <w:r>
        <w:t>passion (</w:t>
      </w:r>
      <w:r w:rsidR="000E6078">
        <w:rPr>
          <w:i/>
        </w:rPr>
        <w:t>bə</w:t>
      </w:r>
      <w:r w:rsidR="000E6078" w:rsidRPr="000E6078">
        <w:rPr>
          <w:i/>
        </w:rPr>
        <w:t>ḥesed</w:t>
      </w:r>
      <w:r w:rsidR="000E6078">
        <w:t xml:space="preserve"> </w:t>
      </w:r>
      <w:r>
        <w:rPr>
          <w:i/>
        </w:rPr>
        <w:t>ûbəraḥămîm</w:t>
      </w:r>
      <w:r>
        <w:t>) do not form a regula</w:t>
      </w:r>
      <w:r w:rsidR="003F44D5">
        <w:t>r pair like t</w:t>
      </w:r>
      <w:r w:rsidR="000E6078">
        <w:t xml:space="preserve">he first two, but </w:t>
      </w:r>
      <w:r w:rsidR="003F44D5">
        <w:t xml:space="preserve">both come in the list of qualities that </w:t>
      </w:r>
      <w:r>
        <w:t>Yahweh claims in his self-</w:t>
      </w:r>
      <w:r>
        <w:lastRenderedPageBreak/>
        <w:t xml:space="preserve">revelation </w:t>
      </w:r>
      <w:r w:rsidR="003F44D5">
        <w:t xml:space="preserve">at Sinai following on his taking action against Israel </w:t>
      </w:r>
      <w:r w:rsidR="00C43798">
        <w:t>for a deed</w:t>
      </w:r>
      <w:r w:rsidR="003F44D5">
        <w:t xml:space="preserve"> that Ephraim’</w:t>
      </w:r>
      <w:r w:rsidR="00C43798">
        <w:t>s deeds dangerously resemble</w:t>
      </w:r>
      <w:r w:rsidR="00375987">
        <w:t xml:space="preserve"> (Exod</w:t>
      </w:r>
      <w:r w:rsidR="005D1963">
        <w:t>.</w:t>
      </w:r>
      <w:r w:rsidR="00375987">
        <w:t xml:space="preserve"> 34:6-7)</w:t>
      </w:r>
      <w:r w:rsidR="003F44D5">
        <w:t xml:space="preserve">. </w:t>
      </w:r>
      <w:r w:rsidR="005D1963">
        <w:t>From</w:t>
      </w:r>
      <w:r w:rsidR="00C43798">
        <w:t xml:space="preserve"> that self-revelation Yahweh </w:t>
      </w:r>
      <w:r w:rsidR="005D1963">
        <w:t xml:space="preserve">first </w:t>
      </w:r>
      <w:r w:rsidR="00C43798">
        <w:t>use</w:t>
      </w:r>
      <w:r w:rsidR="005D1963">
        <w:t>s</w:t>
      </w:r>
      <w:r w:rsidR="00C43798">
        <w:t xml:space="preserve"> the word “commitment” (conventionally “steadfast</w:t>
      </w:r>
      <w:r w:rsidR="000E6078">
        <w:t xml:space="preserve"> love” or the like). It</w:t>
      </w:r>
      <w:r w:rsidR="00C43798">
        <w:t xml:space="preserve"> </w:t>
      </w:r>
      <w:r w:rsidR="000E6078">
        <w:t>indicates the kind of unconditional steadfastness</w:t>
      </w:r>
      <w:r w:rsidR="00C43798">
        <w:t xml:space="preserve"> that goes beyond any regular loyalty or faithfulness in that it continues even when the other party has forfeited any right t</w:t>
      </w:r>
      <w:r w:rsidR="005D1963">
        <w:t xml:space="preserve">o its being maintained. </w:t>
      </w:r>
      <w:r w:rsidR="000E6078">
        <w:t>Yahweh further</w:t>
      </w:r>
      <w:r w:rsidR="005D1963">
        <w:t xml:space="preserve"> </w:t>
      </w:r>
      <w:r w:rsidR="00C43798">
        <w:t>us</w:t>
      </w:r>
      <w:r w:rsidR="000E6078">
        <w:t>e</w:t>
      </w:r>
      <w:r w:rsidR="005D1963">
        <w:t>s</w:t>
      </w:r>
      <w:r w:rsidR="000E6078">
        <w:t xml:space="preserve"> the word “compassion,” whose </w:t>
      </w:r>
      <w:r w:rsidR="00375987">
        <w:t>related verb</w:t>
      </w:r>
      <w:r w:rsidR="00C43798">
        <w:t xml:space="preserve"> </w:t>
      </w:r>
      <w:r w:rsidR="005D1963">
        <w:t>came</w:t>
      </w:r>
      <w:r w:rsidR="000E6078">
        <w:t xml:space="preserve"> </w:t>
      </w:r>
      <w:r w:rsidR="00C43798">
        <w:t>with a n</w:t>
      </w:r>
      <w:r w:rsidR="006E464F">
        <w:t>egative earlier in the section, in v. 4 [6]</w:t>
      </w:r>
      <w:r w:rsidR="00C43798">
        <w:t>.</w:t>
      </w:r>
      <w:r w:rsidR="000E6078">
        <w:t xml:space="preserve"> This occurrence of course gains extra </w:t>
      </w:r>
      <w:r w:rsidR="00C43798">
        <w:t xml:space="preserve">significance </w:t>
      </w:r>
      <w:r w:rsidR="005D1963">
        <w:t xml:space="preserve">through the section’s </w:t>
      </w:r>
      <w:r w:rsidR="000E6078">
        <w:t>follow</w:t>
      </w:r>
      <w:r w:rsidR="005D1963">
        <w:t>ing</w:t>
      </w:r>
      <w:r w:rsidR="000E6078">
        <w:t xml:space="preserve"> </w:t>
      </w:r>
      <w:r w:rsidR="00C43798">
        <w:t>1:2b—2:</w:t>
      </w:r>
      <w:r w:rsidR="0081383F">
        <w:t>1</w:t>
      </w:r>
      <w:r w:rsidR="005D1963">
        <w:t xml:space="preserve"> [3]</w:t>
      </w:r>
      <w:r w:rsidR="00375987">
        <w:t xml:space="preserve"> where the verb comes several times.</w:t>
      </w:r>
    </w:p>
    <w:p w:rsidR="00D733C0" w:rsidRDefault="00375987" w:rsidP="00842A08">
      <w:r>
        <w:t>Yahweh takes the s</w:t>
      </w:r>
      <w:r w:rsidR="005D1963">
        <w:t>equence of nouns further (v. 20</w:t>
      </w:r>
      <w:r w:rsidR="006E464F">
        <w:t xml:space="preserve"> [22]</w:t>
      </w:r>
      <w:r w:rsidR="005D1963">
        <w:t>) in speaking</w:t>
      </w:r>
      <w:r>
        <w:t xml:space="preserve"> of truth in the sense of truthfulness and steadfastness (</w:t>
      </w:r>
      <w:r>
        <w:rPr>
          <w:i/>
        </w:rPr>
        <w:t>’ĕmûnāh</w:t>
      </w:r>
      <w:r>
        <w:t>: again compare Exod</w:t>
      </w:r>
      <w:r w:rsidR="005D1963">
        <w:t>.</w:t>
      </w:r>
      <w:r>
        <w:t xml:space="preserve"> 34:6-7, where </w:t>
      </w:r>
      <w:r w:rsidRPr="00375987">
        <w:rPr>
          <w:i/>
        </w:rPr>
        <w:t>ḥesed</w:t>
      </w:r>
      <w:r>
        <w:t xml:space="preserve"> pairs with the related noun ’</w:t>
      </w:r>
      <w:r w:rsidRPr="00375987">
        <w:rPr>
          <w:i/>
        </w:rPr>
        <w:t>ĕm</w:t>
      </w:r>
      <w:r>
        <w:rPr>
          <w:i/>
        </w:rPr>
        <w:t>et</w:t>
      </w:r>
      <w:r w:rsidR="005D1963">
        <w:t>)</w:t>
      </w:r>
      <w:r>
        <w:t>. One could summarize Yahweh’s</w:t>
      </w:r>
      <w:r w:rsidR="005D1963">
        <w:t xml:space="preserve"> stance in relation to Ephraim in vv. 19-20a</w:t>
      </w:r>
      <w:r>
        <w:t xml:space="preserve"> </w:t>
      </w:r>
      <w:r w:rsidR="006E464F">
        <w:t xml:space="preserve">[21-22a] </w:t>
      </w:r>
      <w:r>
        <w:t xml:space="preserve">as </w:t>
      </w:r>
      <w:r w:rsidR="006E464F">
        <w:t>“</w:t>
      </w:r>
      <w:r>
        <w:t>acknowledging Ephraim</w:t>
      </w:r>
      <w:r w:rsidR="006E464F">
        <w:t>”</w:t>
      </w:r>
      <w:r w:rsidR="003645C1">
        <w:t xml:space="preserve">; v. 20b </w:t>
      </w:r>
      <w:r w:rsidR="006E464F">
        <w:t xml:space="preserve">[22b] </w:t>
      </w:r>
      <w:r w:rsidR="003645C1">
        <w:t>i</w:t>
      </w:r>
      <w:r w:rsidR="00630EE5">
        <w:t>s then the final stroke</w:t>
      </w:r>
      <w:r w:rsidR="003645C1">
        <w:t xml:space="preserve"> summarizing the </w:t>
      </w:r>
      <w:r w:rsidR="00630EE5">
        <w:t xml:space="preserve">correlative </w:t>
      </w:r>
      <w:r w:rsidR="003645C1">
        <w:t>implicat</w:t>
      </w:r>
      <w:r w:rsidR="005D1963">
        <w:t>ions of the two verses. O</w:t>
      </w:r>
      <w:r w:rsidR="003645C1">
        <w:t>ne could conversely</w:t>
      </w:r>
      <w:r w:rsidR="003A1DF0">
        <w:t xml:space="preserve"> spell out the implications of Eph</w:t>
      </w:r>
      <w:r w:rsidR="003645C1">
        <w:t>raim’s acknowledg</w:t>
      </w:r>
      <w:r w:rsidR="006E464F">
        <w:t>ing</w:t>
      </w:r>
      <w:r w:rsidR="003A1DF0">
        <w:t xml:space="preserve"> Yahweh as involving </w:t>
      </w:r>
      <w:r w:rsidR="003A1DF0" w:rsidRPr="003A1DF0">
        <w:t>faithfulness in the exercise of authority</w:t>
      </w:r>
      <w:r w:rsidR="003A1DF0">
        <w:t>, commitment, an</w:t>
      </w:r>
      <w:r w:rsidR="00F54F3A">
        <w:t>d compassion</w:t>
      </w:r>
      <w:r w:rsidR="003A1DF0">
        <w:t xml:space="preserve">. </w:t>
      </w:r>
      <w:r w:rsidR="005D1963">
        <w:t>T</w:t>
      </w:r>
      <w:r w:rsidR="00D733C0">
        <w:t xml:space="preserve">he qualities </w:t>
      </w:r>
      <w:r w:rsidR="006E464F">
        <w:t xml:space="preserve">in the two verses </w:t>
      </w:r>
      <w:r w:rsidR="00D733C0">
        <w:t>will characterize both parties in the renewed relation</w:t>
      </w:r>
      <w:r w:rsidR="00630EE5">
        <w:t>ship</w:t>
      </w:r>
      <w:r w:rsidR="00D733C0">
        <w:t>.</w:t>
      </w:r>
      <w:r w:rsidR="00D733C0">
        <w:rPr>
          <w:rStyle w:val="FootnoteReference"/>
        </w:rPr>
        <w:footnoteReference w:id="133"/>
      </w:r>
      <w:r w:rsidR="005D1963">
        <w:t xml:space="preserve"> The two verses are </w:t>
      </w:r>
      <w:r w:rsidR="00AA1FD4">
        <w:t>prescribe</w:t>
      </w:r>
      <w:r w:rsidR="000E6078">
        <w:t xml:space="preserve">d for reciting each morning as </w:t>
      </w:r>
      <w:r w:rsidR="00AA1FD4">
        <w:t>Jews put on tefillin (phylacteries).</w:t>
      </w:r>
      <w:r w:rsidR="00AA1FD4">
        <w:rPr>
          <w:rStyle w:val="FootnoteReference"/>
        </w:rPr>
        <w:footnoteReference w:id="134"/>
      </w:r>
    </w:p>
    <w:p w:rsidR="005D1963" w:rsidRDefault="00B73975" w:rsidP="00842A08">
      <w:r>
        <w:t xml:space="preserve">Yahweh’s promise leads </w:t>
      </w:r>
      <w:r w:rsidR="00E03BBC">
        <w:t xml:space="preserve">yet </w:t>
      </w:r>
      <w:r>
        <w:t xml:space="preserve">further into some more averring (vv. 21-23aα [23-25aα]). </w:t>
      </w:r>
      <w:r w:rsidR="00E13799">
        <w:t>Once again,</w:t>
      </w:r>
      <w:r w:rsidR="003A1DF0">
        <w:t xml:space="preserve"> “on that day” (</w:t>
      </w:r>
      <w:r>
        <w:t xml:space="preserve">cf. </w:t>
      </w:r>
      <w:r w:rsidR="003A1DF0">
        <w:t>vv. 16, 18</w:t>
      </w:r>
      <w:r w:rsidR="00630EE5">
        <w:t xml:space="preserve"> [18, 20]</w:t>
      </w:r>
      <w:r w:rsidR="000E6078">
        <w:t>) marks not a new subsection</w:t>
      </w:r>
      <w:r w:rsidR="003A1DF0">
        <w:t xml:space="preserve"> but a taking of the point </w:t>
      </w:r>
      <w:r w:rsidR="00630EE5">
        <w:t>further, suggesting</w:t>
      </w:r>
      <w:r w:rsidR="005D1963">
        <w:t xml:space="preserve"> </w:t>
      </w:r>
      <w:r w:rsidR="003A1DF0">
        <w:t>a day within people’s experience and history when Yahwe</w:t>
      </w:r>
      <w:r w:rsidR="005D1963">
        <w:t xml:space="preserve">h’s creation purpose is </w:t>
      </w:r>
      <w:r w:rsidR="003A1DF0">
        <w:t>fulfilled.</w:t>
      </w:r>
      <w:r>
        <w:t xml:space="preserve"> Averring</w:t>
      </w:r>
      <w:r w:rsidR="0037404B">
        <w:t xml:space="preserve"> or solemnly declaring fits in the marital context. Yahweh describes a several-fold chain of </w:t>
      </w:r>
      <w:r w:rsidR="000E6078">
        <w:t xml:space="preserve">such </w:t>
      </w:r>
      <w:r w:rsidR="0037404B">
        <w:t xml:space="preserve">avowel: by him to the heavens, by the heavens to the earth, </w:t>
      </w:r>
      <w:r w:rsidR="000E6078">
        <w:t xml:space="preserve">and </w:t>
      </w:r>
      <w:r w:rsidR="0037404B">
        <w:t>by the earth to Jezreel</w:t>
      </w:r>
      <w:r w:rsidR="004577BF">
        <w:t xml:space="preserve"> in particular, though it is nev</w:t>
      </w:r>
      <w:r w:rsidR="0037404B">
        <w:t>e</w:t>
      </w:r>
      <w:r w:rsidR="004577BF">
        <w:t>r</w:t>
      </w:r>
      <w:r w:rsidR="0037404B">
        <w:t xml:space="preserve">theless to be seen as his </w:t>
      </w:r>
      <w:r>
        <w:t>own sowing there</w:t>
      </w:r>
      <w:r w:rsidR="0037404B">
        <w:t>. The result will be</w:t>
      </w:r>
      <w:r w:rsidR="005D1963">
        <w:t xml:space="preserve"> the restoration of those </w:t>
      </w:r>
      <w:r w:rsidR="0037404B">
        <w:t>key natural gifts of grain, new wine, and fresh oil (cf. vv. 4-5</w:t>
      </w:r>
      <w:r>
        <w:t xml:space="preserve"> [6-7]</w:t>
      </w:r>
      <w:r w:rsidR="0037404B">
        <w:t>)</w:t>
      </w:r>
      <w:r w:rsidR="000E6078">
        <w:t>,</w:t>
      </w:r>
      <w:r w:rsidR="004E7EFF">
        <w:t xml:space="preserve"> and the reversal of the Torah’s warnings about the penalty for unfaith</w:t>
      </w:r>
      <w:r w:rsidR="00D733C0">
        <w:t>f</w:t>
      </w:r>
      <w:r w:rsidR="004E7EFF">
        <w:t>ulness</w:t>
      </w:r>
      <w:r w:rsidR="0037404B">
        <w:t>. The reference to Jezreel once again indicates a link betwe</w:t>
      </w:r>
      <w:r w:rsidR="0081383F">
        <w:t>en this section and 1:2b—2:1</w:t>
      </w:r>
      <w:r w:rsidR="005D1963">
        <w:t xml:space="preserve"> [3]</w:t>
      </w:r>
      <w:r w:rsidR="001C7128">
        <w:t xml:space="preserve">, </w:t>
      </w:r>
      <w:r w:rsidR="005D1963">
        <w:t xml:space="preserve">specifically with the promises </w:t>
      </w:r>
      <w:r w:rsidR="00D908DB">
        <w:t>at the e</w:t>
      </w:r>
      <w:r w:rsidR="000E6078">
        <w:t xml:space="preserve">nd of that section. </w:t>
      </w:r>
    </w:p>
    <w:p w:rsidR="003A1DF0" w:rsidRDefault="00D908DB" w:rsidP="00842A08">
      <w:r>
        <w:t>The link continues in the final tricolon (v. 23aβb</w:t>
      </w:r>
      <w:r w:rsidR="00B73975">
        <w:t xml:space="preserve"> [25aβb]</w:t>
      </w:r>
      <w:r>
        <w:t>) which rounds off the section with a reformulation o</w:t>
      </w:r>
      <w:r w:rsidR="001C7128">
        <w:t>f 2:1</w:t>
      </w:r>
      <w:r w:rsidR="0045289E">
        <w:t xml:space="preserve"> </w:t>
      </w:r>
      <w:r w:rsidR="005D1963">
        <w:t xml:space="preserve">[3]. It </w:t>
      </w:r>
      <w:r w:rsidR="0045289E">
        <w:t xml:space="preserve">also a makes explicit </w:t>
      </w:r>
      <w:r>
        <w:t>Ephraim’s response which did not feature there</w:t>
      </w:r>
      <w:r w:rsidR="0045289E">
        <w:t>,</w:t>
      </w:r>
      <w:r>
        <w:t xml:space="preserve"> though it is equivalent to statements in 2:</w:t>
      </w:r>
      <w:r w:rsidR="001C7128">
        <w:t>16</w:t>
      </w:r>
      <w:r w:rsidR="00B73975">
        <w:t xml:space="preserve"> [18]</w:t>
      </w:r>
      <w:r w:rsidR="00827FBE">
        <w:t>. Thus on the maxi-scale, 2:2-23</w:t>
      </w:r>
      <w:r w:rsidR="001C7128">
        <w:t xml:space="preserve"> </w:t>
      </w:r>
      <w:r w:rsidR="00B73975">
        <w:t xml:space="preserve">[4-25] </w:t>
      </w:r>
      <w:r w:rsidR="001C7128">
        <w:t>parallels 1:2b—2:1</w:t>
      </w:r>
      <w:r w:rsidR="005D1963">
        <w:t xml:space="preserve"> [3]</w:t>
      </w:r>
      <w:r w:rsidR="0045289E">
        <w:t>. B</w:t>
      </w:r>
      <w:r w:rsidR="00827FBE">
        <w:t xml:space="preserve">ut </w:t>
      </w:r>
      <w:r w:rsidR="0045289E">
        <w:t xml:space="preserve">it </w:t>
      </w:r>
      <w:r w:rsidR="00B73975">
        <w:t>also heightens it</w:t>
      </w:r>
      <w:r w:rsidR="002F2301">
        <w:t xml:space="preserve">; </w:t>
      </w:r>
      <w:r w:rsidR="00827FBE">
        <w:t>Yahweh</w:t>
      </w:r>
      <w:r w:rsidR="002F2301">
        <w:t xml:space="preserve"> hardly every repeats himself so</w:t>
      </w:r>
      <w:r w:rsidR="00B73975">
        <w:t xml:space="preserve"> y</w:t>
      </w:r>
      <w:r w:rsidR="00827FBE">
        <w:t>ou have to stay alert until the very end of the line or subsection or section.</w:t>
      </w:r>
    </w:p>
    <w:p w:rsidR="00CA706B" w:rsidRDefault="00CA706B" w:rsidP="001D3546">
      <w:pPr>
        <w:pStyle w:val="Heading2"/>
      </w:pPr>
      <w:r>
        <w:t>Theological Implications</w:t>
      </w:r>
    </w:p>
    <w:p w:rsidR="00D45EE7" w:rsidRDefault="00D45EE7" w:rsidP="009652A7">
      <w:pPr>
        <w:pStyle w:val="ListParagraph"/>
        <w:numPr>
          <w:ilvl w:val="0"/>
          <w:numId w:val="5"/>
        </w:numPr>
        <w:ind w:left="360"/>
      </w:pPr>
      <w:r>
        <w:t>God has a corporate relationship with his people as well as a relationship with individuals. The people of God engage in unfaithfulness, God judges his people and does so now and not just at the End, the people of God as a body needs to turn back to God, and there is hope for the people of God as a body.</w:t>
      </w:r>
      <w:r>
        <w:rPr>
          <w:rStyle w:val="FootnoteReference"/>
        </w:rPr>
        <w:footnoteReference w:id="135"/>
      </w:r>
    </w:p>
    <w:p w:rsidR="001F1C72" w:rsidRDefault="001F1C72" w:rsidP="009652A7">
      <w:pPr>
        <w:pStyle w:val="ListParagraph"/>
        <w:numPr>
          <w:ilvl w:val="0"/>
          <w:numId w:val="5"/>
        </w:numPr>
        <w:ind w:left="360"/>
      </w:pPr>
      <w:r>
        <w:t>God acts against his people for several reasons. One is</w:t>
      </w:r>
      <w:r w:rsidR="002F2301">
        <w:t xml:space="preserve"> that he feels strongly, as a husband or wife doe</w:t>
      </w:r>
      <w:r>
        <w:t>s about their spouse’s unfaithfulness.</w:t>
      </w:r>
      <w:r w:rsidR="00AA5BB8">
        <w:t xml:space="preserve"> While God is objective and rational, God is also involved and passionate.</w:t>
      </w:r>
      <w:r w:rsidR="002F2301">
        <w:t xml:space="preserve"> God is loving and merciful</w:t>
      </w:r>
      <w:r w:rsidR="00AA5BB8">
        <w:t>, and also jealous and wrathful. God has the entire range of emotions that belong to being a person, though of course he has them with a maturity and appropriateness that is often lacking in human beings who also have that range of emotions because they are made in his image.</w:t>
      </w:r>
    </w:p>
    <w:p w:rsidR="00EC3323" w:rsidRDefault="001F1C72" w:rsidP="009652A7">
      <w:pPr>
        <w:pStyle w:val="ListParagraph"/>
        <w:numPr>
          <w:ilvl w:val="0"/>
          <w:numId w:val="5"/>
        </w:numPr>
        <w:ind w:left="360"/>
      </w:pPr>
      <w:r>
        <w:t xml:space="preserve">In relating to </w:t>
      </w:r>
      <w:r w:rsidR="002F2301">
        <w:t xml:space="preserve">humanity </w:t>
      </w:r>
      <w:r w:rsidR="00F37F98">
        <w:t>at times when he must</w:t>
      </w:r>
      <w:r w:rsidR="00AA5BB8">
        <w:t xml:space="preserve"> act against them</w:t>
      </w:r>
      <w:r>
        <w:t>, God</w:t>
      </w:r>
      <w:r w:rsidR="00CA706B">
        <w:t xml:space="preserve"> uses both lo</w:t>
      </w:r>
      <w:r w:rsidR="00AA5BB8">
        <w:t>gic and rhetoric. T</w:t>
      </w:r>
      <w:r w:rsidR="002F2301">
        <w:t>he therefore</w:t>
      </w:r>
      <w:r w:rsidR="00CA706B">
        <w:t>s in this section</w:t>
      </w:r>
      <w:r w:rsidR="00AA5BB8">
        <w:t xml:space="preserve"> draw attent</w:t>
      </w:r>
      <w:r w:rsidR="00F37F98">
        <w:t>ion to the role of</w:t>
      </w:r>
      <w:r w:rsidR="002F2301">
        <w:t xml:space="preserve"> logic</w:t>
      </w:r>
      <w:r w:rsidR="00CA706B">
        <w:t xml:space="preserve">. </w:t>
      </w:r>
      <w:r w:rsidR="006044B7" w:rsidRPr="006044B7">
        <w:t xml:space="preserve">God wants people to understand </w:t>
      </w:r>
      <w:r w:rsidR="006044B7" w:rsidRPr="006044B7">
        <w:lastRenderedPageBreak/>
        <w:t xml:space="preserve">his logic and to live in light of it. </w:t>
      </w:r>
      <w:r w:rsidR="00F37F98">
        <w:t>He</w:t>
      </w:r>
      <w:r w:rsidR="00CA706B">
        <w:t xml:space="preserve"> acts </w:t>
      </w:r>
      <w:r w:rsidR="00CA706B" w:rsidRPr="001F1C72">
        <w:t>on the basis of logic</w:t>
      </w:r>
      <w:r w:rsidR="00CA706B">
        <w:t xml:space="preserve"> in </w:t>
      </w:r>
      <w:r w:rsidR="00AA5BB8">
        <w:t>seeking forcefully to halt his people’s</w:t>
      </w:r>
      <w:r w:rsidR="00CA706B">
        <w:t xml:space="preserve"> wrong</w:t>
      </w:r>
      <w:r w:rsidR="00F37F98">
        <w:t xml:space="preserve">doing, because of </w:t>
      </w:r>
      <w:r w:rsidR="002F2301" w:rsidRPr="002F2301">
        <w:t xml:space="preserve">his commitment to shaping his people in the direction he wishes for them in relation to him. </w:t>
      </w:r>
      <w:r w:rsidR="00F37F98">
        <w:t>He</w:t>
      </w:r>
      <w:r w:rsidR="002F2301" w:rsidRPr="002F2301">
        <w:t xml:space="preserve"> acts on the basis of logic </w:t>
      </w:r>
      <w:r w:rsidR="00F37F98">
        <w:t>in initiating action</w:t>
      </w:r>
      <w:r w:rsidR="00CA706B">
        <w:t xml:space="preserve"> against them for their wrongdoing (cf. </w:t>
      </w:r>
      <w:r w:rsidR="0081702C">
        <w:t xml:space="preserve">Jesus’s </w:t>
      </w:r>
      <w:r w:rsidR="00CA706B">
        <w:t xml:space="preserve">parables in Matt 21—25; Rev </w:t>
      </w:r>
      <w:r w:rsidR="00F37F98">
        <w:t>2—3); he is committed</w:t>
      </w:r>
      <w:r w:rsidR="00F37F98" w:rsidRPr="00F37F98">
        <w:t xml:space="preserve"> to acting against </w:t>
      </w:r>
      <w:r w:rsidR="00F37F98">
        <w:t xml:space="preserve">the </w:t>
      </w:r>
      <w:r w:rsidR="00F37F98" w:rsidRPr="00F37F98">
        <w:t>wrongdoing</w:t>
      </w:r>
      <w:r w:rsidR="00F37F98">
        <w:t xml:space="preserve"> of</w:t>
      </w:r>
      <w:r w:rsidR="00F37F98" w:rsidRPr="00F37F98">
        <w:t xml:space="preserve"> his people </w:t>
      </w:r>
      <w:r w:rsidR="00F37F98">
        <w:t>as against that of</w:t>
      </w:r>
      <w:r w:rsidR="00F37F98" w:rsidRPr="00F37F98">
        <w:t xml:space="preserve"> others (maybe more so). God acts on the basis of logic </w:t>
      </w:r>
      <w:r>
        <w:t>in restoring</w:t>
      </w:r>
      <w:r w:rsidR="00EC3323">
        <w:t xml:space="preserve"> his people</w:t>
      </w:r>
      <w:r w:rsidR="00F37F98">
        <w:t xml:space="preserve"> because of</w:t>
      </w:r>
      <w:r w:rsidR="00CA706B">
        <w:t xml:space="preserve"> his commitment to being faithful no matter what happens, especially </w:t>
      </w:r>
      <w:r w:rsidR="00CA706B" w:rsidRPr="00F41996">
        <w:t>to his people</w:t>
      </w:r>
      <w:r w:rsidR="00CA706B">
        <w:t xml:space="preserve">. </w:t>
      </w:r>
      <w:r w:rsidR="00EC3323">
        <w:t>God</w:t>
      </w:r>
      <w:r w:rsidR="00EC3323" w:rsidRPr="0010098F">
        <w:t xml:space="preserve"> </w:t>
      </w:r>
      <w:r w:rsidR="00EC3323">
        <w:t>“</w:t>
      </w:r>
      <w:r w:rsidR="00EC3323" w:rsidRPr="0010098F">
        <w:t>combines the sentence of punishment with the change for the better, as is the custom with the prophets, following the example in this of blessed David, who frequently in the Psalms both spoke of</w:t>
      </w:r>
      <w:r w:rsidR="00EC3323">
        <w:t xml:space="preserve"> calamities and promised relief,… </w:t>
      </w:r>
      <w:r w:rsidR="00EC3323" w:rsidRPr="00F42051">
        <w:t>the purpose being to raise hope though the promise of good things as to instil</w:t>
      </w:r>
      <w:r w:rsidR="00EC3323">
        <w:t xml:space="preserve"> fear through words of calamity” (e.g., Ps. 31).</w:t>
      </w:r>
      <w:r w:rsidR="00EC3323">
        <w:rPr>
          <w:rStyle w:val="FootnoteReference"/>
        </w:rPr>
        <w:footnoteReference w:id="136"/>
      </w:r>
    </w:p>
    <w:p w:rsidR="00F13519" w:rsidRDefault="00F13519" w:rsidP="00F13519">
      <w:pPr>
        <w:pStyle w:val="ListParagraph"/>
        <w:ind w:left="360" w:firstLine="0"/>
      </w:pPr>
    </w:p>
    <w:p w:rsidR="00F13519" w:rsidRDefault="00F13519" w:rsidP="00F13519">
      <w:pPr>
        <w:pStyle w:val="Quote"/>
      </w:pPr>
      <w:r w:rsidRPr="00B027F6">
        <w:t>So far as the written records go, Hosea was the first to declare expressly that the action of Yahweh in His covenant with Israel is in every respect and form the action of His love. He did so very graphically by using the picture of a marriage between Yahweh and His people; and his presentation is all the more impressive because it is set in contrast and connexion with the severest proclamation of judgment. God's action is that of love at the beginning of this relationship: "When Israel was a child, then I loved him, and called my son out of Egypt" (11</w:t>
      </w:r>
      <w:r w:rsidRPr="00B027F6">
        <w:rPr>
          <w:vertAlign w:val="superscript"/>
        </w:rPr>
        <w:t>1</w:t>
      </w:r>
      <w:r w:rsidRPr="00B027F6">
        <w:t>). But it is also that of love in the present which is so seriously jeopardised by its disobedience: "And I will betroth thee unto me for ever; yea, I will betroth thee unto me in righteousness, and in judgment, and in lovingkindness, and in mercies. I will even betroth thee unto me in faithfulness: and thou shalt know the Lord" (2</w:t>
      </w:r>
      <w:r w:rsidRPr="00B027F6">
        <w:rPr>
          <w:vertAlign w:val="superscript"/>
        </w:rPr>
        <w:t>19f.</w:t>
      </w:r>
      <w:r w:rsidRPr="00B027F6">
        <w:t>). It is also that of love in relation to the future: "I will heal their backsliding, I will love them freely: for mine anger is turned away from him" (14</w:t>
      </w:r>
      <w:r w:rsidRPr="00B027F6">
        <w:rPr>
          <w:vertAlign w:val="superscript"/>
        </w:rPr>
        <w:t>4</w:t>
      </w:r>
      <w:r w:rsidRPr="00B027F6">
        <w:t xml:space="preserve">); and "Therefore, behold, I will allure her, and bring her into the wilderness, and speak to her heart. And I will give her her vineyards from thence, and the valley of Achor (woe) for a door of hope: and she </w:t>
      </w:r>
      <w:r>
        <w:t>will</w:t>
      </w:r>
      <w:r w:rsidRPr="00B027F6">
        <w:t xml:space="preserve"> sing there, as in the days of her youth, and as in the day when she came up out of the land of Egypt. And it </w:t>
      </w:r>
      <w:r>
        <w:t>will</w:t>
      </w:r>
      <w:r w:rsidRPr="00B027F6">
        <w:t xml:space="preserve"> be at that day, saith the Lord, that thou shalt call me "My husband"; and thou shalt call me no more "My Baal" (2</w:t>
      </w:r>
      <w:r w:rsidRPr="00B027F6">
        <w:rPr>
          <w:vertAlign w:val="superscript"/>
        </w:rPr>
        <w:t>14f.</w:t>
      </w:r>
      <w:r w:rsidRPr="00B027F6">
        <w:t>).</w:t>
      </w:r>
      <w:r>
        <w:rPr>
          <w:rStyle w:val="FootnoteReference"/>
        </w:rPr>
        <w:footnoteReference w:id="137"/>
      </w:r>
    </w:p>
    <w:p w:rsidR="00F13519" w:rsidRPr="00F13519" w:rsidRDefault="00F13519" w:rsidP="00F13519">
      <w:pPr>
        <w:rPr>
          <w:lang w:bidi="he-IL"/>
        </w:rPr>
      </w:pPr>
    </w:p>
    <w:p w:rsidR="001F1C72" w:rsidRDefault="00CA706B" w:rsidP="009652A7">
      <w:pPr>
        <w:pStyle w:val="ListParagraph"/>
        <w:numPr>
          <w:ilvl w:val="0"/>
          <w:numId w:val="5"/>
        </w:numPr>
        <w:ind w:left="360"/>
        <w:rPr>
          <w:rStyle w:val="st"/>
        </w:rPr>
      </w:pPr>
      <w:r>
        <w:t xml:space="preserve">God </w:t>
      </w:r>
      <w:r w:rsidR="001F1C72">
        <w:t xml:space="preserve">also </w:t>
      </w:r>
      <w:r>
        <w:t>uses rhetoric. He knows that people are mysteriously resistant to mere logic. Something else is needed t</w:t>
      </w:r>
      <w:r w:rsidR="00EC3323">
        <w:t xml:space="preserve">o break through to them (one may again </w:t>
      </w:r>
      <w:r>
        <w:t xml:space="preserve">compare </w:t>
      </w:r>
      <w:r w:rsidR="0081702C">
        <w:t xml:space="preserve">Jesus’s </w:t>
      </w:r>
      <w:r>
        <w:t>parables).</w:t>
      </w:r>
      <w:r w:rsidR="00191217">
        <w:t xml:space="preserve"> “</w:t>
      </w:r>
      <w:r w:rsidR="00191217" w:rsidRPr="001F1C72">
        <w:rPr>
          <w:rStyle w:val="Emphasis"/>
          <w:i w:val="0"/>
        </w:rPr>
        <w:t>The overt messages of Hosea</w:t>
      </w:r>
      <w:r w:rsidR="00191217" w:rsidRPr="001F1C72">
        <w:rPr>
          <w:rStyle w:val="st"/>
          <w:i/>
        </w:rPr>
        <w:t xml:space="preserve"> </w:t>
      </w:r>
      <w:r w:rsidR="00191217" w:rsidRPr="00191217">
        <w:rPr>
          <w:rStyle w:val="st"/>
        </w:rPr>
        <w:t>are those of a baffled deity</w:t>
      </w:r>
      <w:r w:rsidR="00191217">
        <w:rPr>
          <w:rStyle w:val="st"/>
        </w:rPr>
        <w:t>.”</w:t>
      </w:r>
      <w:r w:rsidR="00191217" w:rsidRPr="00191217">
        <w:rPr>
          <w:vertAlign w:val="superscript"/>
        </w:rPr>
        <w:footnoteReference w:id="138"/>
      </w:r>
    </w:p>
    <w:p w:rsidR="001F1C72" w:rsidRDefault="00EC3323" w:rsidP="009652A7">
      <w:pPr>
        <w:pStyle w:val="ListParagraph"/>
        <w:numPr>
          <w:ilvl w:val="0"/>
          <w:numId w:val="5"/>
        </w:numPr>
        <w:ind w:left="360"/>
      </w:pPr>
      <w:r>
        <w:t>C</w:t>
      </w:r>
      <w:r w:rsidR="00CA706B">
        <w:t xml:space="preserve">hange </w:t>
      </w:r>
      <w:r w:rsidR="001F1C72">
        <w:t xml:space="preserve">in God’s people </w:t>
      </w:r>
      <w:r w:rsidR="00CA706B">
        <w:t>will come about through his acti</w:t>
      </w:r>
      <w:r w:rsidR="001F1C72">
        <w:t xml:space="preserve">on and though their action. </w:t>
      </w:r>
      <w:r w:rsidR="00C935A4" w:rsidRPr="00C935A4">
        <w:t xml:space="preserve">God </w:t>
      </w:r>
      <w:r>
        <w:t>takes the initiative, b</w:t>
      </w:r>
      <w:r w:rsidR="00C935A4">
        <w:t xml:space="preserve">ut their action is also required. </w:t>
      </w:r>
      <w:r w:rsidR="001F1C72">
        <w:t>The relation between these two actions is a mystery, like the development in the relationship between two human beings.</w:t>
      </w:r>
    </w:p>
    <w:p w:rsidR="001F1C72" w:rsidRDefault="00976476" w:rsidP="009652A7">
      <w:pPr>
        <w:pStyle w:val="ListParagraph"/>
        <w:numPr>
          <w:ilvl w:val="0"/>
          <w:numId w:val="5"/>
        </w:numPr>
        <w:ind w:left="360"/>
      </w:pPr>
      <w:r>
        <w:t xml:space="preserve">God </w:t>
      </w:r>
      <w:r w:rsidR="00CA706B">
        <w:t>take</w:t>
      </w:r>
      <w:r>
        <w:t>s</w:t>
      </w:r>
      <w:r w:rsidR="00CA706B">
        <w:t xml:space="preserve"> risks in the way he inspires his servant</w:t>
      </w:r>
      <w:r w:rsidR="001F1C72">
        <w:t>s to communicate. T</w:t>
      </w:r>
      <w:r w:rsidR="00CA706B">
        <w:t xml:space="preserve">here is </w:t>
      </w:r>
      <w:r w:rsidR="00EC3323">
        <w:t>the general risk involved in using</w:t>
      </w:r>
      <w:r w:rsidR="00CA706B">
        <w:t xml:space="preserve"> metaphor. </w:t>
      </w:r>
      <w:r w:rsidR="00EC3323">
        <w:t>A</w:t>
      </w:r>
      <w:r w:rsidR="00F843C7">
        <w:t>ny singl</w:t>
      </w:r>
      <w:r w:rsidR="00B067FE">
        <w:t>e metaphor is bo</w:t>
      </w:r>
      <w:r>
        <w:t xml:space="preserve">und to be narrow and can be seriously misleading, </w:t>
      </w:r>
      <w:r w:rsidR="00EC3323">
        <w:t xml:space="preserve">so God </w:t>
      </w:r>
      <w:r>
        <w:t>use</w:t>
      </w:r>
      <w:r w:rsidR="00EC3323">
        <w:t>s</w:t>
      </w:r>
      <w:r>
        <w:t xml:space="preserve"> a variety </w:t>
      </w:r>
      <w:r>
        <w:rPr>
          <w:bCs/>
          <w:iCs/>
        </w:rPr>
        <w:t xml:space="preserve">of </w:t>
      </w:r>
      <w:r>
        <w:rPr>
          <w:bCs/>
        </w:rPr>
        <w:t xml:space="preserve">images and metaphors </w:t>
      </w:r>
      <w:r w:rsidRPr="00976476">
        <w:rPr>
          <w:bCs/>
        </w:rPr>
        <w:t>to do justice to "the complexity and richness of</w:t>
      </w:r>
      <w:r>
        <w:rPr>
          <w:bCs/>
        </w:rPr>
        <w:t xml:space="preserve"> the divine-human relationship.” </w:t>
      </w:r>
      <w:r w:rsidRPr="00976476">
        <w:rPr>
          <w:bCs/>
        </w:rPr>
        <w:t xml:space="preserve">We </w:t>
      </w:r>
      <w:r w:rsidRPr="00976476">
        <w:rPr>
          <w:bCs/>
          <w:iCs/>
        </w:rPr>
        <w:t xml:space="preserve">also must maintain this diversity of </w:t>
      </w:r>
      <w:r w:rsidR="0076743B">
        <w:rPr>
          <w:bCs/>
          <w:iCs/>
        </w:rPr>
        <w:t>metaphors in order to realize the potentials in</w:t>
      </w:r>
      <w:r w:rsidRPr="00976476">
        <w:rPr>
          <w:bCs/>
          <w:iCs/>
        </w:rPr>
        <w:t xml:space="preserve"> the richness of human experience.</w:t>
      </w:r>
      <w:r w:rsidRPr="00976476">
        <w:rPr>
          <w:bCs/>
          <w:vertAlign w:val="superscript"/>
        </w:rPr>
        <w:t xml:space="preserve"> </w:t>
      </w:r>
      <w:r w:rsidRPr="00976476">
        <w:rPr>
          <w:bCs/>
          <w:iCs/>
          <w:vertAlign w:val="superscript"/>
        </w:rPr>
        <w:footnoteReference w:id="139"/>
      </w:r>
    </w:p>
    <w:p w:rsidR="00976476" w:rsidRDefault="00EC3323" w:rsidP="009652A7">
      <w:pPr>
        <w:pStyle w:val="ListParagraph"/>
        <w:numPr>
          <w:ilvl w:val="0"/>
          <w:numId w:val="5"/>
        </w:numPr>
        <w:ind w:left="360"/>
      </w:pPr>
      <w:r>
        <w:t xml:space="preserve">“Who would not reasonably be astonished at the loving kindness of God, who though God and Maker and Lord calls himself </w:t>
      </w:r>
      <w:r>
        <w:rPr>
          <w:i/>
        </w:rPr>
        <w:t>husband</w:t>
      </w:r>
      <w:r>
        <w:t xml:space="preserve"> and not master?”</w:t>
      </w:r>
      <w:r w:rsidRPr="006D025E">
        <w:rPr>
          <w:vertAlign w:val="superscript"/>
        </w:rPr>
        <w:footnoteReference w:id="140"/>
      </w:r>
      <w:r>
        <w:t xml:space="preserve"> Yet</w:t>
      </w:r>
      <w:r w:rsidR="00976476">
        <w:t xml:space="preserve"> </w:t>
      </w:r>
      <w:r w:rsidR="00976476" w:rsidRPr="00976476">
        <w:t>“</w:t>
      </w:r>
      <w:r w:rsidR="00976476">
        <w:t>t</w:t>
      </w:r>
      <w:r w:rsidR="00CA706B" w:rsidRPr="00976476">
        <w:t xml:space="preserve">alk about sex and sexuality tends to </w:t>
      </w:r>
      <w:r w:rsidR="00CA706B" w:rsidRPr="00976476">
        <w:lastRenderedPageBreak/>
        <w:t>provoke, rouse, humiliate, and captivate people.”</w:t>
      </w:r>
      <w:r w:rsidR="00CA706B" w:rsidRPr="00976476">
        <w:rPr>
          <w:vertAlign w:val="superscript"/>
        </w:rPr>
        <w:footnoteReference w:id="141"/>
      </w:r>
      <w:r w:rsidR="00976476" w:rsidRPr="00976476">
        <w:t xml:space="preserve"> And comparing God to a cuckolded husband is risky. </w:t>
      </w:r>
      <w:r w:rsidR="00CA706B">
        <w:t>No metaphor perfectly corresponds to the thing it is designed to illuminate.</w:t>
      </w:r>
      <w:r>
        <w:t xml:space="preserve"> I</w:t>
      </w:r>
      <w:r w:rsidR="001F1C72">
        <w:t>n the case of this metaphor, f</w:t>
      </w:r>
      <w:r w:rsidR="00CA706B" w:rsidRPr="00EC3323">
        <w:rPr>
          <w:bCs/>
        </w:rPr>
        <w:t>or women who have been the victims of domestic and sexual violence, the image of God as ravaging husband may be intolerable.</w:t>
      </w:r>
      <w:r w:rsidR="00CA706B" w:rsidRPr="00D44182">
        <w:rPr>
          <w:vertAlign w:val="superscript"/>
        </w:rPr>
        <w:footnoteReference w:id="142"/>
      </w:r>
      <w:r w:rsidR="001F1C72" w:rsidRPr="00EC3323">
        <w:rPr>
          <w:bCs/>
        </w:rPr>
        <w:t xml:space="preserve"> </w:t>
      </w:r>
      <w:r w:rsidR="00CA706B">
        <w:t>Even if there is a renewal of the marriage, there is still a problem in a husband’s seeing himself as God.</w:t>
      </w:r>
      <w:r w:rsidR="00CA706B">
        <w:rPr>
          <w:rStyle w:val="FootnoteReference"/>
        </w:rPr>
        <w:footnoteReference w:id="143"/>
      </w:r>
    </w:p>
    <w:p w:rsidR="00C935A4" w:rsidRDefault="00CA706B" w:rsidP="009652A7">
      <w:pPr>
        <w:pStyle w:val="ListParagraph"/>
        <w:numPr>
          <w:ilvl w:val="0"/>
          <w:numId w:val="5"/>
        </w:numPr>
        <w:ind w:left="360"/>
      </w:pPr>
      <w:r>
        <w:t xml:space="preserve">Knowledge of God is not merely a matter of </w:t>
      </w:r>
      <w:r w:rsidR="00EC3323">
        <w:t xml:space="preserve">insight or </w:t>
      </w:r>
      <w:r>
        <w:t xml:space="preserve">awareness </w:t>
      </w:r>
      <w:r w:rsidR="00EC3323">
        <w:t xml:space="preserve">or </w:t>
      </w:r>
      <w:r w:rsidR="00976476">
        <w:t xml:space="preserve">intimate relationship </w:t>
      </w:r>
      <w:r>
        <w:t xml:space="preserve">but of acknowledgment. </w:t>
      </w:r>
    </w:p>
    <w:p w:rsidR="00C935A4" w:rsidRDefault="00C935A4" w:rsidP="009652A7">
      <w:pPr>
        <w:pStyle w:val="ListParagraph"/>
        <w:numPr>
          <w:ilvl w:val="0"/>
          <w:numId w:val="5"/>
        </w:numPr>
        <w:ind w:left="360"/>
      </w:pPr>
      <w:r>
        <w:t>It’s possible for worship to be formally given to the scriptural God but to be substantially pagan.</w:t>
      </w:r>
    </w:p>
    <w:p w:rsidR="00CA706B" w:rsidRDefault="00CA706B" w:rsidP="009652A7">
      <w:pPr>
        <w:pStyle w:val="ListParagraph"/>
        <w:numPr>
          <w:ilvl w:val="0"/>
          <w:numId w:val="5"/>
        </w:numPr>
        <w:ind w:left="360"/>
      </w:pPr>
      <w:r>
        <w:t>God is the giver</w:t>
      </w:r>
      <w:r w:rsidR="00976476">
        <w:t xml:space="preserve"> of the crops. </w:t>
      </w:r>
      <w:r w:rsidR="006044B7">
        <w:t>He</w:t>
      </w:r>
      <w:r w:rsidR="00976476" w:rsidRPr="00976476">
        <w:t xml:space="preserve"> </w:t>
      </w:r>
      <w:r w:rsidR="006044B7">
        <w:t>“</w:t>
      </w:r>
      <w:r w:rsidR="00976476" w:rsidRPr="00976476">
        <w:t>plainly shows that the whole order of nature… is in his hand.”</w:t>
      </w:r>
      <w:r w:rsidR="00976476" w:rsidRPr="00976476">
        <w:rPr>
          <w:vertAlign w:val="superscript"/>
        </w:rPr>
        <w:footnoteReference w:id="144"/>
      </w:r>
      <w:r w:rsidR="00976476">
        <w:t xml:space="preserve"> If God does not make things grow, we have nothing to eat. Churches therefore properly ce</w:t>
      </w:r>
      <w:r w:rsidR="006044B7">
        <w:t>lebrate harvest festivals. I</w:t>
      </w:r>
      <w:r w:rsidR="00976476">
        <w:t>n addition, r</w:t>
      </w:r>
      <w:r>
        <w:t>elationship with God and material provision are interrelated</w:t>
      </w:r>
      <w:r w:rsidR="00976476">
        <w:t>. The Scriptures do not assume that every famine issues from wrong</w:t>
      </w:r>
      <w:r w:rsidR="006044B7">
        <w:t>doing, but when famine happens,</w:t>
      </w:r>
      <w:r w:rsidR="00976476">
        <w:t xml:space="preserve"> the</w:t>
      </w:r>
      <w:r w:rsidR="006044B7">
        <w:t xml:space="preserve">y invite us to ask </w:t>
      </w:r>
      <w:r w:rsidR="00976476">
        <w:t>whether we are guilty of wrongdoing.</w:t>
      </w:r>
    </w:p>
    <w:p w:rsidR="006044B7" w:rsidRDefault="00C935A4" w:rsidP="009652A7">
      <w:pPr>
        <w:pStyle w:val="ListParagraph"/>
        <w:numPr>
          <w:ilvl w:val="0"/>
          <w:numId w:val="5"/>
        </w:numPr>
        <w:ind w:left="360"/>
      </w:pPr>
      <w:r>
        <w:t>The Day of Yahweh or “that day” is the ultimate day when God’s fina</w:t>
      </w:r>
      <w:r w:rsidR="006044B7">
        <w:t>l purpose is achieved. I</w:t>
      </w:r>
      <w:r>
        <w:t>t also happens periodically in an interim realization of what it stands for.</w:t>
      </w:r>
    </w:p>
    <w:p w:rsidR="004E4290" w:rsidRDefault="004E4290" w:rsidP="009652A7">
      <w:pPr>
        <w:pStyle w:val="ListParagraph"/>
        <w:numPr>
          <w:ilvl w:val="0"/>
          <w:numId w:val="5"/>
        </w:numPr>
        <w:ind w:left="360"/>
      </w:pPr>
      <w:r>
        <w:t>God promises a day when tension or conflict between the human world and the animal world will come to an end, in a reversal of the situation anticipated in Genesis 9:2.</w:t>
      </w:r>
      <w:r>
        <w:rPr>
          <w:rStyle w:val="FootnoteReference"/>
        </w:rPr>
        <w:footnoteReference w:id="145"/>
      </w:r>
    </w:p>
    <w:p w:rsidR="00F13519" w:rsidRDefault="006044B7" w:rsidP="009652A7">
      <w:pPr>
        <w:pStyle w:val="ListParagraph"/>
        <w:numPr>
          <w:ilvl w:val="0"/>
          <w:numId w:val="5"/>
        </w:numPr>
        <w:ind w:left="360"/>
      </w:pPr>
      <w:r>
        <w:t xml:space="preserve">Hosea has little interest in God’s relationship with the world beyond Israel. Paul quotes 2:23 as well as 1:10 </w:t>
      </w:r>
      <w:r w:rsidRPr="006044B7">
        <w:t>in connection with God’s intention to bring into being a great people of</w:t>
      </w:r>
      <w:r>
        <w:t xml:space="preserve"> God from all the nations (Rom. 9:25-26; </w:t>
      </w:r>
      <w:r w:rsidRPr="006044B7">
        <w:t>cf. 1 Peter 2:9-10</w:t>
      </w:r>
      <w:r w:rsidR="00F843C7">
        <w:t>), but</w:t>
      </w:r>
      <w:r>
        <w:t xml:space="preserve"> in these passages Hosea </w:t>
      </w:r>
      <w:r w:rsidR="00F843C7">
        <w:t>is referring</w:t>
      </w:r>
      <w:r>
        <w:t xml:space="preserve"> to reestablishing Ephraim as his people. The quotations compare with the paradoxical nature of many </w:t>
      </w:r>
      <w:r w:rsidR="00F843C7">
        <w:t xml:space="preserve">other </w:t>
      </w:r>
      <w:r>
        <w:t>New Testament quotations. The F</w:t>
      </w:r>
      <w:r w:rsidR="00B75873">
        <w:t>irst Testament knows that God</w:t>
      </w:r>
      <w:r>
        <w:t xml:space="preserve"> intends to bless all the nations by means of Israel, so Paul’s argument coheres with the First Testament, and Paul knows that God is still committed to Israel, a</w:t>
      </w:r>
      <w:r w:rsidR="00F843C7">
        <w:t xml:space="preserve">s the texts he quotes say, </w:t>
      </w:r>
      <w:r>
        <w:t>though he ignores this fact. The principle enunciated in 2 Timothy 3:14-17 declares that the involvement of the Holy Spirit in the process whereby the Scriptures came into being makes it possible for passages to be significant in a way that has little or nothing to do with their contextual meaning.</w:t>
      </w:r>
    </w:p>
    <w:p w:rsidR="006044B7" w:rsidRDefault="006044B7" w:rsidP="009652A7">
      <w:pPr>
        <w:pStyle w:val="ListParagraph"/>
        <w:numPr>
          <w:ilvl w:val="0"/>
          <w:numId w:val="5"/>
        </w:numPr>
        <w:ind w:left="360"/>
      </w:pPr>
      <w:r>
        <w:t>Hosea and Paul do have a principle in common: “Scripture proves that those who were not God’s people can by God’s gracious act become his people.”</w:t>
      </w:r>
      <w:r>
        <w:rPr>
          <w:rStyle w:val="FootnoteReference"/>
        </w:rPr>
        <w:footnoteReference w:id="146"/>
      </w:r>
      <w:r>
        <w:t xml:space="preserve"> One might put the point the opposite way:</w:t>
      </w:r>
    </w:p>
    <w:p w:rsidR="006044B7" w:rsidRDefault="006044B7" w:rsidP="006044B7">
      <w:pPr>
        <w:pStyle w:val="ListParagraph"/>
        <w:ind w:left="360" w:firstLine="0"/>
      </w:pPr>
    </w:p>
    <w:p w:rsidR="006044B7" w:rsidRDefault="006044B7" w:rsidP="006044B7">
      <w:pPr>
        <w:pStyle w:val="Quote"/>
        <w:rPr>
          <w:rFonts w:eastAsia="Times New Roman"/>
        </w:rPr>
      </w:pPr>
      <w:r w:rsidRPr="00822415">
        <w:rPr>
          <w:rFonts w:eastAsia="Times New Roman"/>
        </w:rPr>
        <w:t>When Paul states that he sees the prophecy concerning Northern Israel fulfilled in the calling of the Gentiles we have to do with</w:t>
      </w:r>
      <w:r>
        <w:rPr>
          <w:rFonts w:eastAsia="Times New Roman"/>
        </w:rPr>
        <w:t xml:space="preserve"> a conclusion a maiori ad minus.</w:t>
      </w:r>
      <w:r>
        <w:rPr>
          <w:rStyle w:val="FootnoteReference"/>
          <w:rFonts w:eastAsia="Times New Roman"/>
        </w:rPr>
        <w:footnoteReference w:id="147"/>
      </w:r>
      <w:r w:rsidRPr="00822415">
        <w:rPr>
          <w:rFonts w:eastAsia="Times New Roman"/>
        </w:rPr>
        <w:t xml:space="preserve"> If God's mercy is so rich and powerful even upon Gentiles who were standing wholly under His curse and sentence of rejection, how much more so upon those to whom He has already promised it! Indeed we must even read and understand the Hosea quotations quite simply as a repetition of the prophecy originally</w:t>
      </w:r>
      <w:r>
        <w:rPr>
          <w:rFonts w:eastAsia="Times New Roman"/>
        </w:rPr>
        <w:t>—</w:t>
      </w:r>
      <w:r w:rsidRPr="00822415">
        <w:rPr>
          <w:rFonts w:eastAsia="Times New Roman"/>
        </w:rPr>
        <w:t>and as established by its comprehensive fulfilment, definitively</w:t>
      </w:r>
      <w:r>
        <w:rPr>
          <w:rFonts w:eastAsia="Times New Roman"/>
        </w:rPr>
        <w:t>—</w:t>
      </w:r>
      <w:r w:rsidRPr="00822415">
        <w:rPr>
          <w:rFonts w:eastAsia="Times New Roman"/>
        </w:rPr>
        <w:t xml:space="preserve">addressed to Israel, namely to that other, rejected Israel. In the course of speaking of the calling of the Gentiles they </w:t>
      </w:r>
      <w:r w:rsidRPr="00822415">
        <w:rPr>
          <w:rFonts w:eastAsia="Times New Roman"/>
        </w:rPr>
        <w:lastRenderedPageBreak/>
        <w:t>speak</w:t>
      </w:r>
      <w:r>
        <w:rPr>
          <w:rFonts w:eastAsia="Times New Roman"/>
        </w:rPr>
        <w:t>—</w:t>
      </w:r>
      <w:r w:rsidRPr="00822415">
        <w:rPr>
          <w:rFonts w:eastAsia="Times New Roman"/>
        </w:rPr>
        <w:t>and now that this has become event, they speak no less but all the more strictly</w:t>
      </w:r>
      <w:r>
        <w:rPr>
          <w:rFonts w:eastAsia="Times New Roman"/>
        </w:rPr>
        <w:t>—</w:t>
      </w:r>
      <w:r w:rsidRPr="00822415">
        <w:rPr>
          <w:rFonts w:eastAsia="Times New Roman"/>
        </w:rPr>
        <w:t>of the future of this rejected Israel. Admittedly the</w:t>
      </w:r>
      <w:r>
        <w:rPr>
          <w:rFonts w:eastAsia="Times New Roman"/>
        </w:rPr>
        <w:t xml:space="preserve">y too… </w:t>
      </w:r>
      <w:r w:rsidRPr="00822415">
        <w:rPr>
          <w:rFonts w:eastAsia="Times New Roman"/>
        </w:rPr>
        <w:t>speak of the vessels of wrath and dishonour in which the history of Israel is uncannily rich. Of the twelve tribes, ten are in Hosea already assigned quite summarily to this side. So they, too, speak of the riddle of the Synagogue, of the elected people which can only be called Lo' Ru'ama, Lo' 'Ammi. They speak of it, however, in such a way as to keep before it as such the word of grace which applies to it, too, and in it to promise a future that will not be the work of God's wrath but of His mercy which applies to Israel also. This future of the lost people Israel already become present in the calling of the Gentiles justifies the God of Israel even as the God of Ishmael and Esau, even as the God of Pharaoh. The God who has given this promise precisely to the rejected among His elected people, and who has fulfilled this promise in the ten times rejected who had never been His elected people, cannot possibly be accused, but in view of the miracle of His mercy can only be praised, for His faithfulness and wisdom. Israel has only to recognise this miracle and hold to it as the consolation given to it, as the picture of its own future, and it will have no more occasion for complaints about the unrighteousness of God.</w:t>
      </w:r>
      <w:r>
        <w:rPr>
          <w:rStyle w:val="FootnoteReference"/>
          <w:rFonts w:eastAsia="Times New Roman"/>
        </w:rPr>
        <w:footnoteReference w:id="148"/>
      </w:r>
    </w:p>
    <w:p w:rsidR="00D27BAB" w:rsidRPr="00A03E78" w:rsidRDefault="00D27BAB" w:rsidP="00EF7B98">
      <w:pPr>
        <w:pStyle w:val="Heading1"/>
      </w:pPr>
      <w:r w:rsidRPr="00A03E78">
        <w:t xml:space="preserve">Hosea </w:t>
      </w:r>
      <w:r>
        <w:t xml:space="preserve">3:1-5: </w:t>
      </w:r>
      <w:r w:rsidR="00CA4AAF">
        <w:t>Hosea and Gomer (ii)</w:t>
      </w:r>
    </w:p>
    <w:p w:rsidR="00D27BAB" w:rsidRDefault="00D27BAB" w:rsidP="001D3546">
      <w:pPr>
        <w:pStyle w:val="Heading2"/>
      </w:pPr>
      <w:r>
        <w:t>Translation</w:t>
      </w:r>
    </w:p>
    <w:p w:rsidR="00EE4A8B" w:rsidRDefault="00D27BAB" w:rsidP="00842A08">
      <w:r>
        <w:softHyphen/>
      </w:r>
      <w:r>
        <w:rPr>
          <w:vertAlign w:val="superscript"/>
        </w:rPr>
        <w:t>1</w:t>
      </w:r>
      <w:r w:rsidR="00EE4A8B">
        <w:t>Yahweh said to me further,</w:t>
      </w:r>
      <w:r w:rsidR="00214176">
        <w:rPr>
          <w:rStyle w:val="FootnoteReference"/>
        </w:rPr>
        <w:footnoteReference w:id="149"/>
      </w:r>
      <w:r w:rsidR="00EE4A8B">
        <w:t xml:space="preserve"> </w:t>
      </w:r>
    </w:p>
    <w:p w:rsidR="00EE4A8B" w:rsidRDefault="00EE4A8B" w:rsidP="00842A08"/>
    <w:p w:rsidR="00EE4A8B" w:rsidRDefault="00D27BAB" w:rsidP="00842A08">
      <w:r>
        <w:t xml:space="preserve">Go love a woman </w:t>
      </w:r>
    </w:p>
    <w:p w:rsidR="00EE4A8B" w:rsidRDefault="00EE4A8B" w:rsidP="00842A08">
      <w:r>
        <w:tab/>
      </w:r>
      <w:r w:rsidR="00D27BAB">
        <w:t>loved by</w:t>
      </w:r>
      <w:r w:rsidR="00A84030">
        <w:rPr>
          <w:rStyle w:val="FootnoteReference"/>
        </w:rPr>
        <w:footnoteReference w:id="150"/>
      </w:r>
      <w:r w:rsidR="00D27BAB">
        <w:t xml:space="preserve"> a neighbor</w:t>
      </w:r>
      <w:r w:rsidR="00C06A46">
        <w:rPr>
          <w:rStyle w:val="FootnoteReference"/>
        </w:rPr>
        <w:footnoteReference w:id="151"/>
      </w:r>
      <w:r w:rsidR="00D27BAB">
        <w:t xml:space="preserve"> and committing adultery, </w:t>
      </w:r>
    </w:p>
    <w:p w:rsidR="00EE4A8B" w:rsidRDefault="00EE4A8B" w:rsidP="00842A08">
      <w:r>
        <w:t>L</w:t>
      </w:r>
      <w:r w:rsidR="008B13C4">
        <w:t xml:space="preserve">ike Yahweh’s love for the </w:t>
      </w:r>
      <w:r w:rsidR="008B13C4" w:rsidRPr="008B13C4">
        <w:t>Yiśrā’ēl</w:t>
      </w:r>
      <w:r w:rsidR="00D27BAB">
        <w:t xml:space="preserve">ites </w:t>
      </w:r>
    </w:p>
    <w:p w:rsidR="00EE4A8B" w:rsidRDefault="00EE4A8B" w:rsidP="00842A08">
      <w:r>
        <w:tab/>
      </w:r>
      <w:r w:rsidR="00EB36D2">
        <w:t>though</w:t>
      </w:r>
      <w:r w:rsidR="00EB36D2">
        <w:rPr>
          <w:rStyle w:val="FootnoteReference"/>
        </w:rPr>
        <w:footnoteReference w:id="152"/>
      </w:r>
      <w:r w:rsidR="00EB36D2">
        <w:t xml:space="preserve"> they turn</w:t>
      </w:r>
      <w:r w:rsidR="00D27BAB">
        <w:t xml:space="preserve"> their face </w:t>
      </w:r>
      <w:r w:rsidR="000E0765">
        <w:t>to oth</w:t>
      </w:r>
      <w:r w:rsidR="00BF4E50">
        <w:t>er</w:t>
      </w:r>
      <w:r w:rsidR="007F5DCA">
        <w:t xml:space="preserve"> gods </w:t>
      </w:r>
    </w:p>
    <w:p w:rsidR="00EE4A8B" w:rsidRDefault="00EE4A8B" w:rsidP="00842A08">
      <w:r>
        <w:tab/>
      </w:r>
      <w:r w:rsidR="007F5DCA">
        <w:t xml:space="preserve">and love pressings of </w:t>
      </w:r>
      <w:r w:rsidR="00BF4E50">
        <w:t>grape</w:t>
      </w:r>
      <w:r w:rsidR="007F5DCA">
        <w:t>s</w:t>
      </w:r>
      <w:r w:rsidR="00EB36D2">
        <w:t>.</w:t>
      </w:r>
      <w:r w:rsidR="00667439" w:rsidRPr="00667439">
        <w:rPr>
          <w:vertAlign w:val="superscript"/>
        </w:rPr>
        <w:footnoteReference w:id="153"/>
      </w:r>
      <w:r w:rsidR="00667439" w:rsidRPr="00667439">
        <w:t xml:space="preserve"> </w:t>
      </w:r>
      <w:r w:rsidR="000E0765">
        <w:t xml:space="preserve"> </w:t>
      </w:r>
    </w:p>
    <w:p w:rsidR="00EE4A8B" w:rsidRDefault="00EE4A8B" w:rsidP="00842A08"/>
    <w:p w:rsidR="00EE4A8B" w:rsidRDefault="00D43748" w:rsidP="00EE4A8B">
      <w:pPr>
        <w:pStyle w:val="NoSpacing"/>
      </w:pPr>
      <w:r>
        <w:rPr>
          <w:vertAlign w:val="superscript"/>
        </w:rPr>
        <w:t>2</w:t>
      </w:r>
      <w:r w:rsidR="004235B7">
        <w:t>I negotiated for</w:t>
      </w:r>
      <w:r w:rsidR="0081315A">
        <w:t xml:space="preserve"> her</w:t>
      </w:r>
      <w:r w:rsidR="00183264">
        <w:rPr>
          <w:rStyle w:val="FootnoteReference"/>
        </w:rPr>
        <w:footnoteReference w:id="154"/>
      </w:r>
      <w:r w:rsidR="0081315A">
        <w:t xml:space="preserve"> to be</w:t>
      </w:r>
      <w:r w:rsidR="007F5DCA">
        <w:t xml:space="preserve"> mine</w:t>
      </w:r>
      <w:r>
        <w:t xml:space="preserve"> for fifteen silver pieces, a barrel of barley, and a </w:t>
      </w:r>
      <w:r w:rsidR="00EE4A8B">
        <w:t>half-barrel of barley,</w:t>
      </w:r>
      <w:r w:rsidR="00D04AF5">
        <w:rPr>
          <w:rStyle w:val="FootnoteReference"/>
        </w:rPr>
        <w:footnoteReference w:id="155"/>
      </w:r>
      <w:r>
        <w:t xml:space="preserve"> </w:t>
      </w:r>
      <w:r>
        <w:rPr>
          <w:vertAlign w:val="superscript"/>
        </w:rPr>
        <w:t>3</w:t>
      </w:r>
      <w:r w:rsidR="00EE4A8B">
        <w:t>and I</w:t>
      </w:r>
      <w:r>
        <w:t xml:space="preserve"> </w:t>
      </w:r>
      <w:r w:rsidR="0085763F">
        <w:t xml:space="preserve">said to </w:t>
      </w:r>
      <w:r w:rsidR="00EE4A8B">
        <w:t xml:space="preserve">her, </w:t>
      </w:r>
    </w:p>
    <w:p w:rsidR="00EE4A8B" w:rsidRDefault="00EE4A8B" w:rsidP="00EE4A8B">
      <w:pPr>
        <w:pStyle w:val="NoSpacing"/>
      </w:pPr>
    </w:p>
    <w:p w:rsidR="00EE4A8B" w:rsidRDefault="00EE4A8B" w:rsidP="00EE4A8B">
      <w:pPr>
        <w:pStyle w:val="NoSpacing"/>
      </w:pPr>
      <w:r>
        <w:tab/>
      </w:r>
      <w:r w:rsidR="0085763F">
        <w:t>You’re to stay</w:t>
      </w:r>
      <w:r w:rsidR="00D43748">
        <w:t xml:space="preserve"> </w:t>
      </w:r>
      <w:r w:rsidR="006A724D">
        <w:t>mine</w:t>
      </w:r>
      <w:r w:rsidR="005066A1">
        <w:rPr>
          <w:rStyle w:val="FootnoteReference"/>
        </w:rPr>
        <w:footnoteReference w:id="156"/>
      </w:r>
      <w:r>
        <w:t xml:space="preserve"> for a long time;</w:t>
      </w:r>
    </w:p>
    <w:p w:rsidR="00EB36D2" w:rsidRDefault="00EE4A8B" w:rsidP="00EE4A8B">
      <w:pPr>
        <w:pStyle w:val="NoSpacing"/>
      </w:pPr>
      <w:r>
        <w:tab/>
      </w:r>
      <w:r>
        <w:tab/>
        <w:t>y</w:t>
      </w:r>
      <w:r w:rsidR="00EB36D2">
        <w:t>ou’re not to whore.</w:t>
      </w:r>
    </w:p>
    <w:p w:rsidR="00EB36D2" w:rsidRDefault="00EB36D2" w:rsidP="00EE4A8B">
      <w:pPr>
        <w:pStyle w:val="NoSpacing"/>
      </w:pPr>
      <w:r>
        <w:tab/>
        <w:t>You’re not to be a man’s,</w:t>
      </w:r>
      <w:r w:rsidR="00376246">
        <w:t xml:space="preserve"> </w:t>
      </w:r>
    </w:p>
    <w:p w:rsidR="00C74287" w:rsidRDefault="00EB36D2" w:rsidP="00EE4A8B">
      <w:pPr>
        <w:pStyle w:val="NoSpacing"/>
      </w:pPr>
      <w:r>
        <w:lastRenderedPageBreak/>
        <w:tab/>
      </w:r>
      <w:r>
        <w:tab/>
      </w:r>
      <w:r w:rsidR="00376246">
        <w:t>and so I too will be toward</w:t>
      </w:r>
      <w:r w:rsidR="000525C8">
        <w:t>s</w:t>
      </w:r>
      <w:r>
        <w:t xml:space="preserve"> you.</w:t>
      </w:r>
      <w:r w:rsidR="006E0BCE">
        <w:rPr>
          <w:rStyle w:val="FootnoteReference"/>
        </w:rPr>
        <w:footnoteReference w:id="157"/>
      </w:r>
    </w:p>
    <w:p w:rsidR="00EB36D2" w:rsidRDefault="00EB36D2" w:rsidP="00842A08">
      <w:pPr>
        <w:rPr>
          <w:vertAlign w:val="superscript"/>
        </w:rPr>
      </w:pPr>
    </w:p>
    <w:p w:rsidR="00D27BAB" w:rsidRDefault="00180741" w:rsidP="00EB36D2">
      <w:pPr>
        <w:pStyle w:val="NoSpacing"/>
      </w:pPr>
      <w:r>
        <w:rPr>
          <w:vertAlign w:val="superscript"/>
        </w:rPr>
        <w:t>4</w:t>
      </w:r>
      <w:r w:rsidR="0085763F">
        <w:t>Because the Israelites will stay</w:t>
      </w:r>
      <w:r w:rsidR="00D43748">
        <w:t xml:space="preserve"> </w:t>
      </w:r>
      <w:r w:rsidR="00D60AA8">
        <w:t xml:space="preserve">for </w:t>
      </w:r>
      <w:r w:rsidR="00D43748">
        <w:t>a long time without king, without official, without sacrifice</w:t>
      </w:r>
      <w:r w:rsidR="007B68A6">
        <w:t>, without pillar</w:t>
      </w:r>
      <w:r w:rsidR="00D43748">
        <w:t>,</w:t>
      </w:r>
      <w:r w:rsidR="00A84030">
        <w:rPr>
          <w:rStyle w:val="FootnoteReference"/>
        </w:rPr>
        <w:footnoteReference w:id="158"/>
      </w:r>
      <w:r w:rsidR="00D43748">
        <w:t xml:space="preserve"> and without chasuble or effigies.</w:t>
      </w:r>
      <w:r w:rsidR="009D542F">
        <w:rPr>
          <w:rStyle w:val="FootnoteReference"/>
        </w:rPr>
        <w:footnoteReference w:id="159"/>
      </w:r>
      <w:r w:rsidR="00D43748">
        <w:t xml:space="preserve"> </w:t>
      </w:r>
      <w:r>
        <w:rPr>
          <w:vertAlign w:val="superscript"/>
        </w:rPr>
        <w:t>5</w:t>
      </w:r>
      <w:r>
        <w:t>Afterwards, the Israelites will turn back</w:t>
      </w:r>
      <w:r w:rsidR="00C5556C" w:rsidRPr="00C5556C">
        <w:rPr>
          <w:vertAlign w:val="superscript"/>
        </w:rPr>
        <w:footnoteReference w:id="160"/>
      </w:r>
      <w:r>
        <w:t xml:space="preserve"> and</w:t>
      </w:r>
      <w:r w:rsidR="00EC0992">
        <w:t xml:space="preserve"> seek help from</w:t>
      </w:r>
      <w:r>
        <w:t xml:space="preserve"> Yahweh their God and </w:t>
      </w:r>
      <w:r w:rsidR="00EC0992">
        <w:t>from</w:t>
      </w:r>
      <w:r w:rsidR="003B277D">
        <w:t xml:space="preserve"> </w:t>
      </w:r>
      <w:r>
        <w:t>David their kin</w:t>
      </w:r>
      <w:r w:rsidR="009319C8">
        <w:t xml:space="preserve">g. They will be </w:t>
      </w:r>
      <w:r>
        <w:t>awe</w:t>
      </w:r>
      <w:r w:rsidR="009319C8">
        <w:t>struck</w:t>
      </w:r>
      <w:r w:rsidR="00AF5264">
        <w:rPr>
          <w:rStyle w:val="FootnoteReference"/>
        </w:rPr>
        <w:footnoteReference w:id="161"/>
      </w:r>
      <w:r w:rsidR="005846E9">
        <w:t xml:space="preserve"> </w:t>
      </w:r>
      <w:r w:rsidR="000525C8">
        <w:t>towards</w:t>
      </w:r>
      <w:r w:rsidR="005846E9">
        <w:t xml:space="preserve"> Yahweh and </w:t>
      </w:r>
      <w:r w:rsidR="000525C8">
        <w:t>towards</w:t>
      </w:r>
      <w:r w:rsidR="005846E9">
        <w:t xml:space="preserve"> </w:t>
      </w:r>
      <w:r>
        <w:t>his goodness at the end of the time.</w:t>
      </w:r>
    </w:p>
    <w:p w:rsidR="00B33264" w:rsidRDefault="00B33264" w:rsidP="001D3546">
      <w:pPr>
        <w:pStyle w:val="Heading2"/>
      </w:pPr>
      <w:r w:rsidRPr="00EF1ED8">
        <w:t>Interpretation</w:t>
      </w:r>
    </w:p>
    <w:p w:rsidR="00B33264" w:rsidRDefault="00851751" w:rsidP="00842A08">
      <w:r>
        <w:t>Broadly, t</w:t>
      </w:r>
      <w:r w:rsidR="00B33264">
        <w:t>he sequence of c</w:t>
      </w:r>
      <w:r w:rsidR="001314C9">
        <w:t>ha</w:t>
      </w:r>
      <w:r>
        <w:t>pters 1, 2, and 3 tell a story, or rather two stories (Hosea’s and God’s), though the episodes overlap. Chapter 1</w:t>
      </w:r>
      <w:r w:rsidR="00442938">
        <w:t xml:space="preserve"> tells of the beginning of the marriage(s) and their breakdown, and look</w:t>
      </w:r>
      <w:r w:rsidR="00802976">
        <w:t>s</w:t>
      </w:r>
      <w:r w:rsidR="00442938">
        <w:t xml:space="preserve"> forward to their healing. Chapter 2 starts from the breakdown and promises t</w:t>
      </w:r>
      <w:r w:rsidR="00460668">
        <w:t>he healing. Chapter 3</w:t>
      </w:r>
      <w:r w:rsidR="00442938">
        <w:t xml:space="preserve"> presupposes the breakdown and initiates the hea</w:t>
      </w:r>
      <w:r w:rsidR="00802976">
        <w:t>ling. C</w:t>
      </w:r>
      <w:r w:rsidR="00442938">
        <w:t>hapter 1 could stand on its own, but chapter 2 requires chapter 1</w:t>
      </w:r>
      <w:r w:rsidR="00460668">
        <w:t xml:space="preserve"> (see especially 2:23 [25]). C</w:t>
      </w:r>
      <w:r w:rsidR="00442938">
        <w:t xml:space="preserve">hapter 3 </w:t>
      </w:r>
      <w:r w:rsidR="00460668">
        <w:t xml:space="preserve">also requires chapter 1: </w:t>
      </w:r>
      <w:r w:rsidR="00442938">
        <w:t>see the “further”</w:t>
      </w:r>
      <w:r w:rsidR="00460668">
        <w:t xml:space="preserve"> in v. </w:t>
      </w:r>
      <w:r w:rsidR="00442938">
        <w:t>1</w:t>
      </w:r>
      <w:r w:rsidR="00460668">
        <w:t xml:space="preserve">, while v. 3 is a </w:t>
      </w:r>
      <w:r w:rsidR="00460668" w:rsidRPr="00460668">
        <w:t>distinctive restatement of the declaration in 2:23 [25].</w:t>
      </w:r>
      <w:r w:rsidR="00442938">
        <w:t xml:space="preserve"> O</w:t>
      </w:r>
      <w:r w:rsidR="00442938" w:rsidRPr="00442938">
        <w:t>ne might see 3:1-5 as the prophet’s “seal” or “confirmation” or summary or conclusion to chapter 2.</w:t>
      </w:r>
      <w:r w:rsidR="00442938" w:rsidRPr="00442938">
        <w:rPr>
          <w:vertAlign w:val="superscript"/>
        </w:rPr>
        <w:footnoteReference w:id="162"/>
      </w:r>
      <w:r w:rsidR="00442938">
        <w:t xml:space="preserve"> </w:t>
      </w:r>
      <w:r w:rsidR="00802976">
        <w:t>Thu</w:t>
      </w:r>
      <w:r w:rsidR="00460668">
        <w:t>s in chapters 1—3 “r</w:t>
      </w:r>
      <w:r w:rsidR="00442938" w:rsidRPr="00442938">
        <w:t>eaders face a kind of ‘loop’ in which themes addressed before are revisited and developed.”</w:t>
      </w:r>
      <w:r w:rsidR="00442938" w:rsidRPr="00442938">
        <w:rPr>
          <w:vertAlign w:val="superscript"/>
        </w:rPr>
        <w:footnoteReference w:id="163"/>
      </w:r>
      <w:r w:rsidR="00442938">
        <w:t xml:space="preserve"> Yet </w:t>
      </w:r>
      <w:r w:rsidR="00B33264">
        <w:t>th</w:t>
      </w:r>
      <w:r w:rsidR="00E0592E">
        <w:t xml:space="preserve">e three parts are </w:t>
      </w:r>
      <w:r w:rsidR="00442938">
        <w:t>formally distinct:</w:t>
      </w:r>
      <w:r w:rsidR="00B33264">
        <w:t xml:space="preserve"> a thir</w:t>
      </w:r>
      <w:r w:rsidR="00442938">
        <w:t xml:space="preserve">d-person narrative, a prophetic message, and </w:t>
      </w:r>
      <w:r w:rsidR="00AE427C">
        <w:t>a first-person testimony</w:t>
      </w:r>
      <w:r w:rsidR="00B33264">
        <w:t>.</w:t>
      </w:r>
      <w:r w:rsidR="00442938">
        <w:t xml:space="preserve"> </w:t>
      </w:r>
      <w:r w:rsidR="00460668">
        <w:t>Did Hosea’s testimony come first, inspiring disciples to wri</w:t>
      </w:r>
      <w:r w:rsidR="00460668" w:rsidRPr="00460668">
        <w:t xml:space="preserve">te the third-person testimony </w:t>
      </w:r>
      <w:r w:rsidR="00460668">
        <w:t>and to</w:t>
      </w:r>
      <w:r w:rsidR="00460668" w:rsidRPr="00460668">
        <w:t xml:space="preserve"> generate the prophecy in chapter 2?</w:t>
      </w:r>
    </w:p>
    <w:p w:rsidR="009F1241" w:rsidRPr="009F1241" w:rsidRDefault="006311A4" w:rsidP="009F1241">
      <w:r>
        <w:t>Strictly, it is simply vv. 1-3 that are the first-person accoun</w:t>
      </w:r>
      <w:r w:rsidR="00460668">
        <w:t xml:space="preserve">t, coming to their climax </w:t>
      </w:r>
      <w:r w:rsidR="00802976">
        <w:t xml:space="preserve">in v. 3 </w:t>
      </w:r>
      <w:r w:rsidR="00460668">
        <w:t>with that</w:t>
      </w:r>
      <w:r>
        <w:t xml:space="preserve"> distinctive restat</w:t>
      </w:r>
      <w:r w:rsidR="00460668">
        <w:t>ement of the declaration in 2:23 [25</w:t>
      </w:r>
      <w:r>
        <w:t xml:space="preserve">]. </w:t>
      </w:r>
      <w:r w:rsidR="00460668">
        <w:t>T</w:t>
      </w:r>
      <w:r w:rsidR="0012362F">
        <w:t>hey are</w:t>
      </w:r>
      <w:r w:rsidR="009D2FBF" w:rsidRPr="009D2FBF">
        <w:t xml:space="preserve"> </w:t>
      </w:r>
      <w:r w:rsidR="009D2FBF">
        <w:t xml:space="preserve">lines of verse </w:t>
      </w:r>
      <w:r w:rsidR="009D2FBF" w:rsidRPr="009D2FBF">
        <w:t>set in a prose context (cf. Jeremiah’s testimony in Jer. 1:4-10).</w:t>
      </w:r>
      <w:r w:rsidR="0012362F">
        <w:t xml:space="preserve"> Verses 4-5 </w:t>
      </w:r>
      <w:r>
        <w:t xml:space="preserve">spell out the allegory more prosaically. </w:t>
      </w:r>
      <w:r w:rsidR="0012362F">
        <w:t>T</w:t>
      </w:r>
      <w:r w:rsidR="00B65CF4">
        <w:t>he “be</w:t>
      </w:r>
      <w:r w:rsidR="0012362F">
        <w:t>cause” make a link with vv. 1-3, and</w:t>
      </w:r>
      <w:r w:rsidR="00B65CF4">
        <w:t xml:space="preserve"> </w:t>
      </w:r>
      <w:r w:rsidR="0085763F">
        <w:t>“for a long time” and “will stay</w:t>
      </w:r>
      <w:r w:rsidR="00D60AA8">
        <w:t xml:space="preserve">” </w:t>
      </w:r>
      <w:r w:rsidR="0012362F">
        <w:t>pick up phrases from v. 3 (</w:t>
      </w:r>
      <w:r w:rsidR="00B65CF4" w:rsidRPr="00B65CF4">
        <w:t>“the Israelites”</w:t>
      </w:r>
      <w:r w:rsidR="0012362F">
        <w:t xml:space="preserve"> also </w:t>
      </w:r>
      <w:r w:rsidR="00B65CF4">
        <w:t>recurs from v. 1</w:t>
      </w:r>
      <w:r w:rsidR="0012362F">
        <w:t>)</w:t>
      </w:r>
      <w:r w:rsidR="00B65CF4">
        <w:t>. So vv. 4-5 are designed to follow vv. 1</w:t>
      </w:r>
      <w:r w:rsidR="009D2FBF">
        <w:t>-3 and to interpret it. But th</w:t>
      </w:r>
      <w:r w:rsidR="00B65CF4">
        <w:t xml:space="preserve">e two expressions </w:t>
      </w:r>
      <w:r w:rsidR="009D2FBF">
        <w:t xml:space="preserve">just noted </w:t>
      </w:r>
      <w:r w:rsidR="00B65CF4">
        <w:t>have different meanings from the ones they had in v. 3</w:t>
      </w:r>
      <w:r w:rsidR="009D2FBF">
        <w:t>, which might indicate that they are pieces of later inspired comment</w:t>
      </w:r>
      <w:r w:rsidR="0085763F">
        <w:t xml:space="preserve">. </w:t>
      </w:r>
      <w:r>
        <w:t xml:space="preserve">It would </w:t>
      </w:r>
      <w:r w:rsidR="009D2FBF">
        <w:t xml:space="preserve">then </w:t>
      </w:r>
      <w:r>
        <w:t>not be surprising i</w:t>
      </w:r>
      <w:r w:rsidR="009D2FBF">
        <w:t xml:space="preserve">f the David reference marks them </w:t>
      </w:r>
      <w:r w:rsidR="004E1B71">
        <w:t>as part of a Judahite redaction which envisages th</w:t>
      </w:r>
      <w:r w:rsidR="009D2FBF">
        <w:t>e collapse of Ephraim (v. 4),</w:t>
      </w:r>
      <w:r w:rsidR="004E1B71">
        <w:t xml:space="preserve"> an eventual turning to </w:t>
      </w:r>
      <w:r w:rsidR="009D2FBF">
        <w:t xml:space="preserve">Yahweh and to </w:t>
      </w:r>
      <w:r w:rsidR="004E1B71">
        <w:t>Judah (v. 5</w:t>
      </w:r>
      <w:r w:rsidR="009D2FBF">
        <w:t>a</w:t>
      </w:r>
      <w:r w:rsidR="004E1B71">
        <w:t>)</w:t>
      </w:r>
      <w:r w:rsidR="009D2FBF">
        <w:t>, and a restoration of Ephraim (v. 5b)</w:t>
      </w:r>
      <w:r w:rsidR="004E1B71">
        <w:t>.</w:t>
      </w:r>
      <w:r w:rsidR="0012362F">
        <w:t xml:space="preserve"> The section thus encourages Ephraim and Judah with the promise that Yahweh has not finished with Ephraim. </w:t>
      </w:r>
    </w:p>
    <w:p w:rsidR="00F573A3" w:rsidRDefault="00F573A3" w:rsidP="00842A08"/>
    <w:p w:rsidR="00F63834" w:rsidRDefault="00B924B1" w:rsidP="00842A08">
      <w:r>
        <w:rPr>
          <w:b/>
        </w:rPr>
        <w:t xml:space="preserve">Hosea 3:1. </w:t>
      </w:r>
      <w:r>
        <w:t>Hosea thus provides his</w:t>
      </w:r>
      <w:r w:rsidR="00F573A3">
        <w:t xml:space="preserve"> own formulation of </w:t>
      </w:r>
      <w:r w:rsidR="00DF4BC2">
        <w:t xml:space="preserve">the commission related in 1:2, </w:t>
      </w:r>
      <w:r w:rsidR="0012362F">
        <w:t>though the “further” links</w:t>
      </w:r>
      <w:r w:rsidR="00962F00">
        <w:t xml:space="preserve"> back to </w:t>
      </w:r>
      <w:r w:rsidR="00B027EF">
        <w:t xml:space="preserve">Yahweh’s speaking in </w:t>
      </w:r>
      <w:r w:rsidR="0012362F">
        <w:t>chapter 2 as much as to that in</w:t>
      </w:r>
      <w:r w:rsidR="00B027EF">
        <w:t xml:space="preserve"> </w:t>
      </w:r>
      <w:r w:rsidR="00962F00">
        <w:t xml:space="preserve">chapter 1. </w:t>
      </w:r>
      <w:r w:rsidR="00A23598">
        <w:t>T</w:t>
      </w:r>
      <w:r w:rsidR="00B027EF">
        <w:t xml:space="preserve">he woman </w:t>
      </w:r>
      <w:r w:rsidR="00DF4BC2">
        <w:t>is characterized in the sharper fashion of chapter 2: s</w:t>
      </w:r>
      <w:r w:rsidR="00A23598">
        <w:t>he is not merely whorish but adulterous</w:t>
      </w:r>
      <w:r w:rsidR="00F573A3">
        <w:t xml:space="preserve">. </w:t>
      </w:r>
      <w:r w:rsidR="00A23598" w:rsidRPr="00A23598">
        <w:t xml:space="preserve">Presumably </w:t>
      </w:r>
      <w:r w:rsidR="0012362F">
        <w:lastRenderedPageBreak/>
        <w:t>she</w:t>
      </w:r>
      <w:r w:rsidR="00B027EF">
        <w:t xml:space="preserve"> is again Gomer</w:t>
      </w:r>
      <w:r w:rsidR="00A23598" w:rsidRPr="00A23598">
        <w:t>: the message Hosea brings by talking about his marital relationship would not work if Hosea and Yahweh gave up on one spouse and sought out another.</w:t>
      </w:r>
    </w:p>
    <w:p w:rsidR="00EE4A8B" w:rsidRDefault="00E1673C" w:rsidP="00842A08">
      <w:r>
        <w:t xml:space="preserve">The valuable </w:t>
      </w:r>
      <w:r w:rsidR="007364CA">
        <w:t>aspect to u</w:t>
      </w:r>
      <w:r w:rsidR="00AE427C">
        <w:t>nderstanding</w:t>
      </w:r>
      <w:r w:rsidR="0012362F">
        <w:t xml:space="preserve"> Hosea’s story as an allegory or vision</w:t>
      </w:r>
      <w:r w:rsidR="007364CA">
        <w:rPr>
          <w:rStyle w:val="FootnoteReference"/>
        </w:rPr>
        <w:footnoteReference w:id="164"/>
      </w:r>
      <w:r w:rsidR="0012362F">
        <w:t xml:space="preserve"> </w:t>
      </w:r>
      <w:r w:rsidR="007364CA">
        <w:t>is that hi</w:t>
      </w:r>
      <w:r>
        <w:t>s</w:t>
      </w:r>
      <w:r w:rsidR="00AE427C">
        <w:t xml:space="preserve"> testimony is not directly concerned </w:t>
      </w:r>
      <w:r w:rsidR="007364CA">
        <w:t xml:space="preserve">with </w:t>
      </w:r>
      <w:r>
        <w:t>hi</w:t>
      </w:r>
      <w:r w:rsidR="00AE427C">
        <w:t>s marri</w:t>
      </w:r>
      <w:r>
        <w:t>age</w:t>
      </w:r>
      <w:r w:rsidR="00894467">
        <w:t>, and we cannot with certainty infer what was going on in that marriage. His aim is to get</w:t>
      </w:r>
      <w:r>
        <w:t xml:space="preserve"> his hearers to imagine a symbolic act that he undertook. </w:t>
      </w:r>
      <w:r w:rsidR="00894467">
        <w:t>D</w:t>
      </w:r>
      <w:r>
        <w:t xml:space="preserve">esignating the woman as adulterous signifies that she represents Ephraim’s </w:t>
      </w:r>
      <w:r w:rsidR="00DF4BC2">
        <w:t>adulterous relationship with the Masters</w:t>
      </w:r>
      <w:r w:rsidR="00366F37">
        <w:t>. Ephraim engages in this relationship by</w:t>
      </w:r>
      <w:r>
        <w:t xml:space="preserve"> </w:t>
      </w:r>
      <w:r w:rsidR="00DF4BC2">
        <w:t>following the patterns of the traditional r</w:t>
      </w:r>
      <w:r w:rsidR="00366F37">
        <w:t>eligion of Canaan and/or by</w:t>
      </w:r>
      <w:r w:rsidR="00DF4BC2">
        <w:t xml:space="preserve"> its political involvement with its neighbors a</w:t>
      </w:r>
      <w:r w:rsidR="007364CA">
        <w:t>nd allies which implies</w:t>
      </w:r>
      <w:r>
        <w:t xml:space="preserve"> it</w:t>
      </w:r>
      <w:r w:rsidR="007364CA">
        <w:t>s</w:t>
      </w:r>
      <w:r w:rsidR="00DF4BC2">
        <w:t xml:space="preserve"> trusting in such involvement rather than in Yahweh and/or </w:t>
      </w:r>
      <w:r w:rsidR="00366F37">
        <w:t xml:space="preserve">by </w:t>
      </w:r>
      <w:r>
        <w:t>it</w:t>
      </w:r>
      <w:r w:rsidR="007364CA">
        <w:t>s engaging</w:t>
      </w:r>
      <w:r>
        <w:t xml:space="preserve"> </w:t>
      </w:r>
      <w:r w:rsidR="00DF4BC2">
        <w:t xml:space="preserve">in religious </w:t>
      </w:r>
      <w:r w:rsidR="00BE5A04">
        <w:t xml:space="preserve">observances associated with the making of treaties that </w:t>
      </w:r>
      <w:r>
        <w:t>entailed the recognition of these</w:t>
      </w:r>
      <w:r w:rsidR="00BE5A04">
        <w:t xml:space="preserve"> neighbors’ deities. </w:t>
      </w:r>
    </w:p>
    <w:p w:rsidR="00894467" w:rsidRDefault="00EE4A8B" w:rsidP="00842A08">
      <w:r>
        <w:t>Yahweh refers four times to love</w:t>
      </w:r>
      <w:r w:rsidR="00894467">
        <w:t xml:space="preserve"> </w:t>
      </w:r>
      <w:r w:rsidR="00894467" w:rsidRPr="00894467">
        <w:t>(</w:t>
      </w:r>
      <w:r w:rsidR="00894467">
        <w:rPr>
          <w:i/>
        </w:rPr>
        <w:t>’āhēb</w:t>
      </w:r>
      <w:r w:rsidR="00894467" w:rsidRPr="00894467">
        <w:t>)</w:t>
      </w:r>
      <w:r>
        <w:t>.</w:t>
      </w:r>
      <w:r w:rsidR="00E84834">
        <w:t xml:space="preserve"> He</w:t>
      </w:r>
      <w:r w:rsidR="00E1673C">
        <w:t xml:space="preserve"> presupposes </w:t>
      </w:r>
      <w:r w:rsidR="007364CA">
        <w:t>a</w:t>
      </w:r>
      <w:r w:rsidR="00894467">
        <w:t xml:space="preserve"> love</w:t>
      </w:r>
      <w:r w:rsidR="00962F00">
        <w:t xml:space="preserve"> that can be c</w:t>
      </w:r>
      <w:r w:rsidR="00E84834">
        <w:t>ommanded, a</w:t>
      </w:r>
      <w:r w:rsidR="007364CA">
        <w:t>nd thus one denoting</w:t>
      </w:r>
      <w:r w:rsidR="00E84834">
        <w:t xml:space="preserve"> </w:t>
      </w:r>
      <w:r w:rsidR="00962F00">
        <w:t xml:space="preserve">commitment </w:t>
      </w:r>
      <w:r w:rsidR="00E84834">
        <w:t xml:space="preserve">and action at least as much as </w:t>
      </w:r>
      <w:r w:rsidR="007364CA">
        <w:t>emotion. Such</w:t>
      </w:r>
      <w:r w:rsidR="00894467">
        <w:t xml:space="preserve"> love </w:t>
      </w:r>
      <w:r w:rsidR="00E1673C">
        <w:t>can have</w:t>
      </w:r>
      <w:r w:rsidR="00BE5A04">
        <w:t xml:space="preserve"> political as well as personal referenc</w:t>
      </w:r>
      <w:r w:rsidR="00E84834">
        <w:t>e;</w:t>
      </w:r>
      <w:r w:rsidR="00BE5A04">
        <w:t xml:space="preserve"> </w:t>
      </w:r>
      <w:r w:rsidR="00F05AA8">
        <w:t xml:space="preserve">the verb </w:t>
      </w:r>
      <w:r w:rsidR="00BE5A04">
        <w:t xml:space="preserve">can be a </w:t>
      </w:r>
      <w:r w:rsidR="00B0275F">
        <w:t xml:space="preserve">social and </w:t>
      </w:r>
      <w:r w:rsidR="00BE5A04">
        <w:t>political t</w:t>
      </w:r>
      <w:r w:rsidR="007364CA">
        <w:t xml:space="preserve">erm for loyalty </w:t>
      </w:r>
      <w:r w:rsidR="00B0275F">
        <w:t>(e.g.,</w:t>
      </w:r>
      <w:r w:rsidR="00F05AA8">
        <w:t xml:space="preserve"> Exod. 21:</w:t>
      </w:r>
      <w:r w:rsidR="00B0275F">
        <w:t>5</w:t>
      </w:r>
      <w:r w:rsidR="00F05AA8">
        <w:t>; 2 Sam</w:t>
      </w:r>
      <w:r w:rsidR="007364CA">
        <w:t>.</w:t>
      </w:r>
      <w:r w:rsidR="00F05AA8">
        <w:t xml:space="preserve"> 19:6 [7]; 1 Kings 5:1 [15]</w:t>
      </w:r>
      <w:r w:rsidR="00E84834">
        <w:t>)</w:t>
      </w:r>
      <w:r w:rsidR="007364CA">
        <w:t>; cf. 8:9-10</w:t>
      </w:r>
      <w:r w:rsidR="00E84834">
        <w:t>. The neighb</w:t>
      </w:r>
      <w:r w:rsidR="00E84834" w:rsidRPr="00E84834">
        <w:t>or</w:t>
      </w:r>
      <w:r w:rsidR="007364CA">
        <w:t xml:space="preserve"> can</w:t>
      </w:r>
      <w:r w:rsidR="00894467">
        <w:t xml:space="preserve"> likewise then stand for a neighbor</w:t>
      </w:r>
      <w:r w:rsidR="00E84834">
        <w:t xml:space="preserve"> people with whom one has friendly relations.</w:t>
      </w:r>
      <w:r w:rsidR="00894467">
        <w:t xml:space="preserve"> </w:t>
      </w:r>
    </w:p>
    <w:p w:rsidR="00D456F8" w:rsidRDefault="00D456F8" w:rsidP="00842A08">
      <w:r>
        <w:t>The third-person re</w:t>
      </w:r>
      <w:r w:rsidR="003D61EE">
        <w:t xml:space="preserve">ference to Yahweh </w:t>
      </w:r>
      <w:r>
        <w:t>reflects</w:t>
      </w:r>
      <w:r w:rsidR="00020D76">
        <w:t xml:space="preserve"> both </w:t>
      </w:r>
      <w:r>
        <w:t xml:space="preserve">the ambiguity of the prophet’s position </w:t>
      </w:r>
      <w:r w:rsidR="00020D76">
        <w:t>(he is</w:t>
      </w:r>
      <w:r>
        <w:t xml:space="preserve"> himself and </w:t>
      </w:r>
      <w:r w:rsidR="00020D76">
        <w:t xml:space="preserve">he is also </w:t>
      </w:r>
      <w:r>
        <w:t>Yahweh’s mouthpiece</w:t>
      </w:r>
      <w:r w:rsidR="00020D76">
        <w:t xml:space="preserve">) and </w:t>
      </w:r>
      <w:r>
        <w:t>the ambig</w:t>
      </w:r>
      <w:r w:rsidR="00366F37">
        <w:t>uity of his audience’s identity</w:t>
      </w:r>
      <w:r>
        <w:t xml:space="preserve"> </w:t>
      </w:r>
      <w:r w:rsidR="00366F37">
        <w:t>(</w:t>
      </w:r>
      <w:r>
        <w:t>since formally Yahweh is addressing the prophet but substantially the proph</w:t>
      </w:r>
      <w:r w:rsidR="003D61EE">
        <w:t>et is addressing his people and</w:t>
      </w:r>
      <w:r w:rsidR="00020D76">
        <w:t xml:space="preserve"> </w:t>
      </w:r>
      <w:r>
        <w:t>thus talking about their God’s relationship with them</w:t>
      </w:r>
      <w:r w:rsidR="00366F37">
        <w:t>)</w:t>
      </w:r>
      <w:r>
        <w:t xml:space="preserve">. </w:t>
      </w:r>
      <w:r w:rsidR="00020D76">
        <w:t>The “Masters” of 2:13, 17 [15, 19]</w:t>
      </w:r>
      <w:r w:rsidR="00A71D62">
        <w:t xml:space="preserve"> he</w:t>
      </w:r>
      <w:r w:rsidR="003D61EE">
        <w:t xml:space="preserve">re become </w:t>
      </w:r>
      <w:r w:rsidR="00A71D62" w:rsidRPr="00A71D62">
        <w:t>“other gods</w:t>
      </w:r>
      <w:r w:rsidR="00A71D62">
        <w:t>.” Among the Prophets, this</w:t>
      </w:r>
      <w:r>
        <w:t xml:space="preserve"> expression comes only in Jeremiah; it is frequent th</w:t>
      </w:r>
      <w:r w:rsidR="00366F37">
        <w:t>ere and in Deuteronomy. Elsewhere, i</w:t>
      </w:r>
      <w:r w:rsidR="00A71D62">
        <w:t xml:space="preserve">ts occurrence in the Decalogue </w:t>
      </w:r>
      <w:r>
        <w:t xml:space="preserve">(Exod. 20:3; </w:t>
      </w:r>
      <w:r w:rsidR="00A71D62">
        <w:t>see also 23:13) is noteworthy, especially in lig</w:t>
      </w:r>
      <w:r w:rsidR="003D61EE">
        <w:t>ht of Hosea’s other parallels with the Decalogue (</w:t>
      </w:r>
      <w:r w:rsidR="00366F37">
        <w:t xml:space="preserve">see </w:t>
      </w:r>
      <w:r w:rsidR="003D61EE">
        <w:t xml:space="preserve">e.g., </w:t>
      </w:r>
      <w:r w:rsidR="00A71D62">
        <w:t>4:2).</w:t>
      </w:r>
      <w:r w:rsidR="0059764D">
        <w:t xml:space="preserve"> </w:t>
      </w:r>
      <w:r w:rsidR="00020D76">
        <w:t xml:space="preserve">Hosea is accusing Ephraim of flouting one of the basic elements in its relationship with God. Deuteronomy 31:18 and 20 also </w:t>
      </w:r>
      <w:r w:rsidR="00020D76" w:rsidRPr="00020D76">
        <w:t xml:space="preserve">speak </w:t>
      </w:r>
      <w:r w:rsidR="00020D76">
        <w:t>explicitly of “turning one’s face” to other gods:</w:t>
      </w:r>
      <w:r w:rsidR="00020D76" w:rsidRPr="00020D76">
        <w:t xml:space="preserve"> </w:t>
      </w:r>
      <w:r w:rsidR="00020D76">
        <w:t>o</w:t>
      </w:r>
      <w:r w:rsidR="0059764D">
        <w:t xml:space="preserve">ne turns the face towards someone </w:t>
      </w:r>
      <w:r w:rsidR="004235B7">
        <w:t>as a deliberate act</w:t>
      </w:r>
      <w:r w:rsidR="0059764D">
        <w:t xml:space="preserve"> </w:t>
      </w:r>
      <w:r w:rsidR="003D61EE">
        <w:t>expressing</w:t>
      </w:r>
      <w:r w:rsidR="0059764D">
        <w:t xml:space="preserve"> trust and confidence when one is in need (e.g., Psa. 40:4 [5]</w:t>
      </w:r>
      <w:r w:rsidR="004235B7">
        <w:t>).</w:t>
      </w:r>
      <w:r w:rsidR="004235B7">
        <w:rPr>
          <w:rStyle w:val="FootnoteReference"/>
        </w:rPr>
        <w:footnoteReference w:id="165"/>
      </w:r>
      <w:r w:rsidR="00020D76">
        <w:t xml:space="preserve"> That connotation further underscores Yahweh’s critique.</w:t>
      </w:r>
    </w:p>
    <w:p w:rsidR="00DF4BC2" w:rsidRDefault="00667439" w:rsidP="00842A08">
      <w:r>
        <w:t>“P</w:t>
      </w:r>
      <w:r w:rsidR="00BF4E50">
        <w:t>ressings of grape</w:t>
      </w:r>
      <w:r w:rsidR="003A6922">
        <w:t>s</w:t>
      </w:r>
      <w:r w:rsidR="00BF4E50">
        <w:t xml:space="preserve">” </w:t>
      </w:r>
      <w:r>
        <w:t>appear</w:t>
      </w:r>
      <w:r w:rsidR="00D15690">
        <w:t xml:space="preserve"> </w:t>
      </w:r>
      <w:r w:rsidR="003A6922">
        <w:t xml:space="preserve">elsewhere </w:t>
      </w:r>
      <w:r w:rsidR="00D15690">
        <w:t>in connection with love</w:t>
      </w:r>
      <w:r w:rsidR="0065189A">
        <w:t>,</w:t>
      </w:r>
      <w:r w:rsidR="00D15690">
        <w:t xml:space="preserve"> and with a great worship occasion</w:t>
      </w:r>
      <w:r w:rsidR="00020D76">
        <w:t xml:space="preserve"> </w:t>
      </w:r>
      <w:r w:rsidR="00366F37">
        <w:t xml:space="preserve">(Song </w:t>
      </w:r>
      <w:r w:rsidR="00020D76" w:rsidRPr="00020D76">
        <w:t>2:4-5; 2 Sam. 6:19</w:t>
      </w:r>
      <w:r w:rsidR="00020D76">
        <w:t>)</w:t>
      </w:r>
      <w:r w:rsidR="001F3E1E">
        <w:t xml:space="preserve">; </w:t>
      </w:r>
      <w:r w:rsidR="00D15690">
        <w:t>perhaps t</w:t>
      </w:r>
      <w:r w:rsidR="00D15690" w:rsidRPr="00D15690">
        <w:t xml:space="preserve">hey </w:t>
      </w:r>
      <w:r w:rsidR="00D15690">
        <w:t>were</w:t>
      </w:r>
      <w:r>
        <w:t xml:space="preserve"> a</w:t>
      </w:r>
      <w:r w:rsidR="0065189A">
        <w:t xml:space="preserve"> sacramental food </w:t>
      </w:r>
      <w:r w:rsidR="00D15690" w:rsidRPr="00D15690">
        <w:t>like the bread and wine of the Eucharist</w:t>
      </w:r>
      <w:r>
        <w:t xml:space="preserve">. </w:t>
      </w:r>
    </w:p>
    <w:p w:rsidR="00F573A3" w:rsidRDefault="00F573A3" w:rsidP="00842A08"/>
    <w:p w:rsidR="00F573A3" w:rsidRDefault="00B924B1" w:rsidP="00842A08">
      <w:r>
        <w:rPr>
          <w:b/>
        </w:rPr>
        <w:t xml:space="preserve">Hosea 3:2-3. </w:t>
      </w:r>
      <w:r w:rsidR="0065189A">
        <w:t>N</w:t>
      </w:r>
      <w:r w:rsidR="00020D76">
        <w:t>egotiat</w:t>
      </w:r>
      <w:r w:rsidR="00BE5A04">
        <w:t xml:space="preserve">ing a price </w:t>
      </w:r>
      <w:r w:rsidR="00E03BBC">
        <w:t xml:space="preserve">(v. 2) </w:t>
      </w:r>
      <w:r w:rsidR="00BE5A04">
        <w:t>may imply that the wo</w:t>
      </w:r>
      <w:r w:rsidR="0065189A">
        <w:t>man has become</w:t>
      </w:r>
      <w:r w:rsidR="00020D76">
        <w:t xml:space="preserve"> </w:t>
      </w:r>
      <w:r w:rsidR="008A13D4">
        <w:t xml:space="preserve">a bondservant, which might </w:t>
      </w:r>
      <w:r w:rsidR="00366F37">
        <w:t>mean an</w:t>
      </w:r>
      <w:r w:rsidR="0065189A">
        <w:t xml:space="preserve"> unclear</w:t>
      </w:r>
      <w:r w:rsidR="00020D76">
        <w:t xml:space="preserve"> marital status</w:t>
      </w:r>
      <w:r w:rsidR="00366F37">
        <w:t xml:space="preserve"> in her n</w:t>
      </w:r>
      <w:r w:rsidR="0065189A">
        <w:t>ew relationship</w:t>
      </w:r>
      <w:r w:rsidR="00020D76">
        <w:t xml:space="preserve">. Perhaps </w:t>
      </w:r>
      <w:r w:rsidR="0065189A">
        <w:t xml:space="preserve">she had gone back to </w:t>
      </w:r>
      <w:r w:rsidR="00020D76">
        <w:t>h</w:t>
      </w:r>
      <w:r w:rsidR="00BE5A04">
        <w:t xml:space="preserve">er </w:t>
      </w:r>
      <w:r w:rsidR="0065189A">
        <w:t xml:space="preserve">former </w:t>
      </w:r>
      <w:r w:rsidR="008A13D4">
        <w:t xml:space="preserve">family and her father had </w:t>
      </w:r>
      <w:r w:rsidR="00BE5A04">
        <w:t>let her become the bondservant of another family with the</w:t>
      </w:r>
      <w:r w:rsidR="0082405D">
        <w:t xml:space="preserve"> likelihood that she would become the wife or secondary wife of the head of the household or his son (see e.g., Exod. 21:1-11). In return the head of this household would make some provision for the indigent family as it sought to get back on its feet. </w:t>
      </w:r>
      <w:r w:rsidR="00020D76">
        <w:t xml:space="preserve">The price </w:t>
      </w:r>
      <w:r w:rsidR="0082405D">
        <w:t xml:space="preserve">Hosea </w:t>
      </w:r>
      <w:r w:rsidR="00020D76">
        <w:t xml:space="preserve">refers to </w:t>
      </w:r>
      <w:r w:rsidR="006401E9">
        <w:t>will then be the payment</w:t>
      </w:r>
      <w:r w:rsidR="0082405D">
        <w:t xml:space="preserve"> for this provision. </w:t>
      </w:r>
      <w:r w:rsidR="006401E9">
        <w:t xml:space="preserve">Or </w:t>
      </w:r>
      <w:r w:rsidR="008A13D4">
        <w:t>perhaps the price Hosea pays is</w:t>
      </w:r>
      <w:r w:rsidR="0082405D">
        <w:t xml:space="preserve"> </w:t>
      </w:r>
      <w:r w:rsidR="00BE5A04">
        <w:t xml:space="preserve">the </w:t>
      </w:r>
      <w:r w:rsidR="00216325">
        <w:t>dowry</w:t>
      </w:r>
      <w:r w:rsidR="006401E9">
        <w:t xml:space="preserve"> involved in</w:t>
      </w:r>
      <w:r w:rsidR="008A13D4">
        <w:t xml:space="preserve"> that</w:t>
      </w:r>
      <w:r w:rsidR="0082405D">
        <w:t xml:space="preserve"> marriage</w:t>
      </w:r>
      <w:r w:rsidR="00777E63">
        <w:t xml:space="preserve">, </w:t>
      </w:r>
      <w:r w:rsidR="006401E9">
        <w:t xml:space="preserve">whose giving and receiving is </w:t>
      </w:r>
      <w:r w:rsidR="00777E63">
        <w:t xml:space="preserve">a way of sealing the relationship </w:t>
      </w:r>
      <w:r w:rsidR="006401E9">
        <w:t xml:space="preserve">between the couple </w:t>
      </w:r>
      <w:r w:rsidR="00366F37">
        <w:t xml:space="preserve">and </w:t>
      </w:r>
      <w:r w:rsidR="00777E63">
        <w:t>between the families and their communities</w:t>
      </w:r>
      <w:r w:rsidR="0082405D">
        <w:t xml:space="preserve">. </w:t>
      </w:r>
      <w:r w:rsidR="00C74287">
        <w:t xml:space="preserve">In either connection, the silver would be a medium of exchange for the family to whom Hosea gave it, while barley was an important staple in connection with the making of bread (itself key to Israelite diet) and perhaps of beer. </w:t>
      </w:r>
    </w:p>
    <w:p w:rsidR="00FF164B" w:rsidRDefault="006401E9" w:rsidP="00FF164B">
      <w:r w:rsidRPr="006401E9">
        <w:t>“</w:t>
      </w:r>
      <w:r>
        <w:t>You’re to s</w:t>
      </w:r>
      <w:r w:rsidRPr="006401E9">
        <w:t>tay mine” (</w:t>
      </w:r>
      <w:r w:rsidRPr="006401E9">
        <w:rPr>
          <w:i/>
        </w:rPr>
        <w:t>yāšab lî</w:t>
      </w:r>
      <w:r w:rsidRPr="006401E9">
        <w:t xml:space="preserve">) </w:t>
      </w:r>
      <w:r>
        <w:t xml:space="preserve">(v. 3) </w:t>
      </w:r>
      <w:r w:rsidRPr="006401E9">
        <w:t>takes up the term “mine” from v. 2, which has already played an import</w:t>
      </w:r>
      <w:r w:rsidR="00893F63">
        <w:t xml:space="preserve">ant role earlier in the scroll: </w:t>
      </w:r>
      <w:r w:rsidRPr="006401E9">
        <w:t>see 2:19a, 19b, 20, 23 [21a, 2</w:t>
      </w:r>
      <w:r w:rsidR="00893F63">
        <w:t>1b, 22, 25]</w:t>
      </w:r>
      <w:r>
        <w:t>.</w:t>
      </w:r>
      <w:r w:rsidRPr="006401E9">
        <w:t xml:space="preserve"> </w:t>
      </w:r>
      <w:r>
        <w:t xml:space="preserve">In other words, the relationship is properly reestablished. </w:t>
      </w:r>
      <w:r w:rsidR="008A13D4">
        <w:t>While “a</w:t>
      </w:r>
      <w:r>
        <w:t xml:space="preserve"> long time” </w:t>
      </w:r>
      <w:r w:rsidR="00372985">
        <w:t xml:space="preserve">could signify an extended but limited time </w:t>
      </w:r>
      <w:r>
        <w:t>(</w:t>
      </w:r>
      <w:r w:rsidRPr="006401E9">
        <w:t>perhaps a period of discipline</w:t>
      </w:r>
      <w:r>
        <w:t>)</w:t>
      </w:r>
      <w:r w:rsidRPr="006401E9">
        <w:t xml:space="preserve"> </w:t>
      </w:r>
      <w:r w:rsidR="00372985">
        <w:t xml:space="preserve">after </w:t>
      </w:r>
      <w:r>
        <w:t>which something else would happen</w:t>
      </w:r>
      <w:r w:rsidR="008A13D4">
        <w:t xml:space="preserve"> (which</w:t>
      </w:r>
      <w:r w:rsidR="00372985">
        <w:t xml:space="preserve"> fit</w:t>
      </w:r>
      <w:r w:rsidR="008A13D4">
        <w:t xml:space="preserve">s with what follows </w:t>
      </w:r>
      <w:r w:rsidR="008A13D4">
        <w:lastRenderedPageBreak/>
        <w:t>in v. 4),</w:t>
      </w:r>
      <w:r w:rsidR="00372985">
        <w:t xml:space="preserve"> </w:t>
      </w:r>
      <w:r>
        <w:t>in the immediate</w:t>
      </w:r>
      <w:r w:rsidR="0081315A">
        <w:t xml:space="preserve"> context </w:t>
      </w:r>
      <w:r w:rsidR="00372985">
        <w:t xml:space="preserve">more straightforwardly </w:t>
      </w:r>
      <w:r>
        <w:t xml:space="preserve">“a </w:t>
      </w:r>
      <w:r w:rsidRPr="006401E9">
        <w:t xml:space="preserve">long time” </w:t>
      </w:r>
      <w:r w:rsidR="00372985">
        <w:t>simply indicates that</w:t>
      </w:r>
      <w:r w:rsidR="00C74287">
        <w:t xml:space="preserve"> t</w:t>
      </w:r>
      <w:r w:rsidR="00F73452">
        <w:t>he relationship Hose</w:t>
      </w:r>
      <w:r w:rsidR="00893F63">
        <w:t>a is establishing</w:t>
      </w:r>
      <w:r w:rsidR="00C74287">
        <w:t xml:space="preserve"> is to be a long-</w:t>
      </w:r>
      <w:r w:rsidR="00F73452">
        <w:t>term one</w:t>
      </w:r>
      <w:r w:rsidR="008A13D4">
        <w:t>. It has no</w:t>
      </w:r>
      <w:r w:rsidR="002C2793">
        <w:t xml:space="preserve"> temporal limit</w:t>
      </w:r>
      <w:r w:rsidR="00F73452">
        <w:t xml:space="preserve"> </w:t>
      </w:r>
      <w:r w:rsidR="002C2793">
        <w:t>(</w:t>
      </w:r>
      <w:r w:rsidR="008A13D4">
        <w:t>cf.</w:t>
      </w:r>
      <w:r w:rsidR="002C2793">
        <w:t xml:space="preserve"> Jer. 35:7) </w:t>
      </w:r>
      <w:r w:rsidR="00F73452">
        <w:t>and it is to involve mutual faithfulness.</w:t>
      </w:r>
      <w:r w:rsidR="00C74287">
        <w:t xml:space="preserve"> </w:t>
      </w:r>
      <w:r w:rsidR="004D0039">
        <w:rPr>
          <w:rStyle w:val="FootnoteReference"/>
        </w:rPr>
        <w:footnoteReference w:id="166"/>
      </w:r>
      <w:r w:rsidR="00E03BBC">
        <w:t xml:space="preserve"> </w:t>
      </w:r>
      <w:r w:rsidR="00FF164B" w:rsidRPr="00FF164B">
        <w:t>There is o</w:t>
      </w:r>
      <w:r w:rsidR="00FF164B">
        <w:t>f course to be no more whoring; t</w:t>
      </w:r>
      <w:r w:rsidRPr="006401E9">
        <w:t xml:space="preserve">he preposition </w:t>
      </w:r>
      <w:r w:rsidR="00FF164B">
        <w:t xml:space="preserve">on “mine” </w:t>
      </w:r>
      <w:r w:rsidR="00893F63">
        <w:t>(</w:t>
      </w:r>
      <w:r w:rsidR="00893F63">
        <w:rPr>
          <w:i/>
        </w:rPr>
        <w:t>lə</w:t>
      </w:r>
      <w:r w:rsidR="00893F63">
        <w:t>)</w:t>
      </w:r>
      <w:r w:rsidR="00893F63">
        <w:rPr>
          <w:i/>
        </w:rPr>
        <w:t xml:space="preserve"> </w:t>
      </w:r>
      <w:r w:rsidR="00FF164B">
        <w:t>reappears in the next line in the</w:t>
      </w:r>
      <w:r w:rsidRPr="006401E9">
        <w:t xml:space="preserve"> contrasting statement, “You’re not to be a[nother] man’s.” </w:t>
      </w:r>
      <w:r w:rsidR="00376246">
        <w:t xml:space="preserve">The formulation </w:t>
      </w:r>
      <w:r w:rsidR="00FF164B">
        <w:t>“</w:t>
      </w:r>
      <w:r w:rsidR="00FF164B" w:rsidRPr="00FF164B">
        <w:t>You’re not to be a man’s, and so I too will be towards you</w:t>
      </w:r>
      <w:r w:rsidR="00FF164B">
        <w:t>”</w:t>
      </w:r>
      <w:r w:rsidR="00FF164B" w:rsidRPr="00FF164B">
        <w:t xml:space="preserve"> </w:t>
      </w:r>
      <w:r w:rsidR="00376246">
        <w:t>is equivalent to expressio</w:t>
      </w:r>
      <w:r w:rsidR="008A13D4">
        <w:t>ns that came to a climax in 2:23 [25</w:t>
      </w:r>
      <w:r w:rsidR="00376246">
        <w:t>].</w:t>
      </w:r>
      <w:r w:rsidR="00FF164B">
        <w:t xml:space="preserve"> I</w:t>
      </w:r>
      <w:r w:rsidR="008A13D4">
        <w:t>t indicates</w:t>
      </w:r>
      <w:r w:rsidR="00FF164B" w:rsidRPr="00FF164B">
        <w:t xml:space="preserve"> a long-term and mutually-faithful relationship between Yahweh and Ephraim. </w:t>
      </w:r>
      <w:r w:rsidR="00893F63">
        <w:t>The commitment</w:t>
      </w:r>
      <w:r w:rsidR="002C4EFF">
        <w:t xml:space="preserve"> completes an a</w:t>
      </w:r>
      <w:r w:rsidR="00893F63">
        <w:t>bb’a’ sequence: there are</w:t>
      </w:r>
      <w:r w:rsidR="002C4EFF">
        <w:t xml:space="preserve"> two posi</w:t>
      </w:r>
      <w:r w:rsidR="00893F63">
        <w:t>tive statements in the outer</w:t>
      </w:r>
      <w:r w:rsidR="002C4EFF">
        <w:t xml:space="preserve"> cola and two negative</w:t>
      </w:r>
      <w:r w:rsidR="00893F63">
        <w:t xml:space="preserve"> one</w:t>
      </w:r>
      <w:r w:rsidR="002C4EFF">
        <w:t>s in the inner cola.</w:t>
      </w:r>
    </w:p>
    <w:p w:rsidR="00B924B1" w:rsidRPr="00FF164B" w:rsidRDefault="00B924B1" w:rsidP="00FF164B"/>
    <w:p w:rsidR="00E03BBC" w:rsidRDefault="00B924B1" w:rsidP="00670021">
      <w:r>
        <w:rPr>
          <w:b/>
        </w:rPr>
        <w:t xml:space="preserve">Hosea 3:4-5. </w:t>
      </w:r>
      <w:r w:rsidR="00372985">
        <w:t>Hosea</w:t>
      </w:r>
      <w:r w:rsidR="008A13D4">
        <w:t xml:space="preserve">’s </w:t>
      </w:r>
      <w:r w:rsidR="00E03BBC">
        <w:t xml:space="preserve">moves </w:t>
      </w:r>
      <w:r w:rsidR="00372985">
        <w:t>fr</w:t>
      </w:r>
      <w:r w:rsidR="00E03BBC">
        <w:t>om speaking allegorically of a</w:t>
      </w:r>
      <w:r w:rsidR="00372985">
        <w:t xml:space="preserve"> religiously adulterous relationship to giving a</w:t>
      </w:r>
      <w:r w:rsidR="00F73452">
        <w:t xml:space="preserve"> </w:t>
      </w:r>
      <w:r w:rsidR="00372985">
        <w:t xml:space="preserve">literal account of the </w:t>
      </w:r>
      <w:r w:rsidR="00E90FC0">
        <w:t>deprivation that Yahweh intends to impose</w:t>
      </w:r>
      <w:r w:rsidR="00E700D0">
        <w:t xml:space="preserve"> on Ephraim. </w:t>
      </w:r>
    </w:p>
    <w:p w:rsidR="00670021" w:rsidRPr="00670021" w:rsidRDefault="00E03BBC" w:rsidP="00670021">
      <w:r w:rsidRPr="00E03BBC">
        <w:t xml:space="preserve">A “long time” </w:t>
      </w:r>
      <w:r>
        <w:t xml:space="preserve">(v. 4) </w:t>
      </w:r>
      <w:r w:rsidRPr="00E03BBC">
        <w:t>now has a different ref</w:t>
      </w:r>
      <w:r>
        <w:t>erence.</w:t>
      </w:r>
      <w:r w:rsidRPr="00E03BBC">
        <w:t xml:space="preserve"> </w:t>
      </w:r>
      <w:r>
        <w:t>Yahweh intends to</w:t>
      </w:r>
      <w:r w:rsidR="00FF164B">
        <w:t xml:space="preserve"> </w:t>
      </w:r>
      <w:r w:rsidR="00E90FC0">
        <w:t>remov</w:t>
      </w:r>
      <w:r>
        <w:t>e</w:t>
      </w:r>
      <w:r w:rsidR="00E90FC0">
        <w:t xml:space="preserve"> </w:t>
      </w:r>
      <w:r w:rsidR="00FF164B">
        <w:t xml:space="preserve">a series of </w:t>
      </w:r>
      <w:r w:rsidR="008A13D4">
        <w:t xml:space="preserve">things; </w:t>
      </w:r>
      <w:r w:rsidR="008A13D4" w:rsidRPr="008A13D4">
        <w:t xml:space="preserve">five times Hosea repeats the word “without.” </w:t>
      </w:r>
      <w:r w:rsidR="00E700D0">
        <w:t>The things</w:t>
      </w:r>
      <w:r w:rsidR="008A13D4">
        <w:t xml:space="preserve"> </w:t>
      </w:r>
      <w:r w:rsidR="00E90FC0">
        <w:t>are not in themselves wrong</w:t>
      </w:r>
      <w:r w:rsidR="008A13D4">
        <w:t>.</w:t>
      </w:r>
      <w:r w:rsidR="00FF164B">
        <w:t xml:space="preserve"> </w:t>
      </w:r>
      <w:r w:rsidR="008A13D4">
        <w:t>Ephraim is to lose its</w:t>
      </w:r>
      <w:r w:rsidR="00F73452">
        <w:t xml:space="preserve"> kingship (cf. 1:4) and not </w:t>
      </w:r>
      <w:r w:rsidR="006854D8">
        <w:t xml:space="preserve">to </w:t>
      </w:r>
      <w:r w:rsidR="00F73452">
        <w:t>have an</w:t>
      </w:r>
      <w:r w:rsidR="00FF164B">
        <w:t xml:space="preserve">y other form of administration or </w:t>
      </w:r>
      <w:r w:rsidR="00F73452">
        <w:t>“official”</w:t>
      </w:r>
      <w:r w:rsidR="00214176">
        <w:t>; k</w:t>
      </w:r>
      <w:r w:rsidR="000525C8">
        <w:t xml:space="preserve">ing and </w:t>
      </w:r>
      <w:r w:rsidR="00214176">
        <w:t>official[s] come together again in 7:3</w:t>
      </w:r>
      <w:r w:rsidR="000525C8">
        <w:t>, 5</w:t>
      </w:r>
      <w:r w:rsidR="00214176">
        <w:t>; 8:4, 10</w:t>
      </w:r>
      <w:r w:rsidR="000525C8">
        <w:t>; 13:10</w:t>
      </w:r>
      <w:r w:rsidR="00F73452">
        <w:t>.</w:t>
      </w:r>
      <w:r w:rsidR="00FF164B">
        <w:t xml:space="preserve"> The Ephraimites sanctuaries are</w:t>
      </w:r>
      <w:r w:rsidR="00474772">
        <w:t xml:space="preserve"> to be destroyed</w:t>
      </w:r>
      <w:r w:rsidR="009D542F">
        <w:t xml:space="preserve">, so </w:t>
      </w:r>
      <w:r w:rsidR="00474772">
        <w:t>t</w:t>
      </w:r>
      <w:r w:rsidR="006854D8">
        <w:t>h</w:t>
      </w:r>
      <w:r w:rsidR="00FF164B">
        <w:t>ere will be no more sacrifice. In the sanctuaries t</w:t>
      </w:r>
      <w:r w:rsidR="006854D8">
        <w:t xml:space="preserve">here will be </w:t>
      </w:r>
      <w:r w:rsidR="00474772">
        <w:t xml:space="preserve">no more </w:t>
      </w:r>
      <w:r w:rsidR="006854D8">
        <w:t>pillar</w:t>
      </w:r>
      <w:r w:rsidR="00FF164B">
        <w:t>s or</w:t>
      </w:r>
      <w:r w:rsidR="006854D8">
        <w:t xml:space="preserve"> commemorative stone columns; </w:t>
      </w:r>
      <w:r w:rsidR="00EF2CD9">
        <w:t xml:space="preserve">while </w:t>
      </w:r>
      <w:r w:rsidR="006854D8">
        <w:t xml:space="preserve">these could come </w:t>
      </w:r>
      <w:r w:rsidR="00EF2CD9">
        <w:t>to be viewed inappropriately,</w:t>
      </w:r>
      <w:r w:rsidR="006854D8">
        <w:t xml:space="preserve"> they </w:t>
      </w:r>
      <w:r w:rsidR="006854D8" w:rsidRPr="006854D8">
        <w:t>are not in themselves divine images</w:t>
      </w:r>
      <w:r w:rsidR="00EF2CD9">
        <w:t xml:space="preserve"> and </w:t>
      </w:r>
      <w:r w:rsidR="00FF164B">
        <w:t xml:space="preserve">they </w:t>
      </w:r>
      <w:r w:rsidR="00EF2CD9">
        <w:t xml:space="preserve">could be unobjectionable (e.g., </w:t>
      </w:r>
      <w:r w:rsidR="00EF2CD9" w:rsidRPr="00EF2CD9">
        <w:t>Gen</w:t>
      </w:r>
      <w:r w:rsidR="009D542F">
        <w:t>.</w:t>
      </w:r>
      <w:r w:rsidR="00EF2CD9" w:rsidRPr="00EF2CD9">
        <w:t xml:space="preserve"> 28:18; 35:14</w:t>
      </w:r>
      <w:r w:rsidR="00EF2CD9">
        <w:t>; Exod</w:t>
      </w:r>
      <w:r w:rsidR="009D542F">
        <w:t>.</w:t>
      </w:r>
      <w:r w:rsidR="00EF2CD9">
        <w:t xml:space="preserve"> 24:4)</w:t>
      </w:r>
      <w:r w:rsidR="00376246">
        <w:t xml:space="preserve">. There will be no more </w:t>
      </w:r>
      <w:r w:rsidR="00474772">
        <w:t>chasuble</w:t>
      </w:r>
      <w:r w:rsidR="009D542F">
        <w:t xml:space="preserve">, </w:t>
      </w:r>
      <w:r w:rsidR="009D542F" w:rsidRPr="009D542F">
        <w:t>the container for the Urim and Tummim</w:t>
      </w:r>
      <w:r w:rsidR="00E700D0">
        <w:t>. There will be</w:t>
      </w:r>
      <w:r w:rsidR="00474772">
        <w:t xml:space="preserve"> no</w:t>
      </w:r>
      <w:r w:rsidR="00376246">
        <w:t xml:space="preserve"> more effigies</w:t>
      </w:r>
      <w:r w:rsidR="009D542F">
        <w:t>,</w:t>
      </w:r>
      <w:r w:rsidR="00474772">
        <w:t xml:space="preserve"> images of family members who have passed whom people might consult on the assumption that they had information that the living might find helpful</w:t>
      </w:r>
      <w:r w:rsidR="009D542F">
        <w:t xml:space="preserve"> (c</w:t>
      </w:r>
      <w:r w:rsidR="003A6922">
        <w:t>hasuble and effigies come together in the story of Micah and the Levite in Ephraim</w:t>
      </w:r>
      <w:r w:rsidR="009D542F">
        <w:t xml:space="preserve">, in </w:t>
      </w:r>
      <w:r w:rsidR="003A6922">
        <w:t xml:space="preserve">Judg. 17:5; </w:t>
      </w:r>
      <w:r w:rsidR="003A6922" w:rsidRPr="003A6922">
        <w:t>18:14-18)</w:t>
      </w:r>
      <w:r w:rsidR="003A6922">
        <w:t>.</w:t>
      </w:r>
      <w:r w:rsidR="00157B26">
        <w:rPr>
          <w:rStyle w:val="FootnoteReference"/>
        </w:rPr>
        <w:footnoteReference w:id="167"/>
      </w:r>
      <w:r w:rsidR="002149C1">
        <w:t xml:space="preserve"> </w:t>
      </w:r>
      <w:r w:rsidR="00E700D0">
        <w:t>So t</w:t>
      </w:r>
      <w:r w:rsidR="009D542F">
        <w:t xml:space="preserve">here will be </w:t>
      </w:r>
      <w:r w:rsidR="009D542F" w:rsidRPr="009D542F">
        <w:t>no means of finding guidance</w:t>
      </w:r>
      <w:r w:rsidR="009D542F">
        <w:t>.</w:t>
      </w:r>
      <w:r w:rsidR="00670021">
        <w:t xml:space="preserve"> Hosea is </w:t>
      </w:r>
      <w:r w:rsidR="00670021" w:rsidRPr="00670021">
        <w:rPr>
          <w:rFonts w:eastAsiaTheme="minorHAnsi" w:cs="TimesNewRomanPSMT"/>
        </w:rPr>
        <w:t xml:space="preserve">portraying </w:t>
      </w:r>
      <w:r w:rsidR="00670021">
        <w:rPr>
          <w:rFonts w:eastAsiaTheme="minorHAnsi" w:cs="TimesNewRomanPSMT"/>
        </w:rPr>
        <w:t>“</w:t>
      </w:r>
      <w:r w:rsidR="00670021" w:rsidRPr="00670021">
        <w:rPr>
          <w:rFonts w:eastAsiaTheme="minorHAnsi" w:cs="TimesNewRomanPSMT"/>
        </w:rPr>
        <w:t>a society</w:t>
      </w:r>
      <w:r w:rsidR="00E700D0">
        <w:rPr>
          <w:rFonts w:eastAsiaTheme="minorHAnsi" w:cs="TimesNewRomanPSMT"/>
        </w:rPr>
        <w:t xml:space="preserve"> in disorder;…</w:t>
      </w:r>
      <w:r w:rsidR="00670021" w:rsidRPr="00670021">
        <w:rPr>
          <w:rFonts w:eastAsiaTheme="minorHAnsi" w:cs="TimesNewRomanPSMT"/>
        </w:rPr>
        <w:t xml:space="preserve"> deprived of everything crucial for meaningful political-religious</w:t>
      </w:r>
      <w:r w:rsidR="00670021">
        <w:t xml:space="preserve"> </w:t>
      </w:r>
      <w:r w:rsidR="00670021" w:rsidRPr="00670021">
        <w:rPr>
          <w:rFonts w:eastAsiaTheme="minorHAnsi" w:cs="TimesNewRomanPSMT"/>
        </w:rPr>
        <w:t>survival</w:t>
      </w:r>
      <w:r w:rsidR="00670021">
        <w:rPr>
          <w:rFonts w:eastAsiaTheme="minorHAnsi" w:cs="TimesNewRomanPSMT"/>
        </w:rPr>
        <w:t>.”</w:t>
      </w:r>
      <w:r w:rsidR="00670021">
        <w:rPr>
          <w:rStyle w:val="FootnoteReference"/>
          <w:rFonts w:eastAsiaTheme="minorHAnsi" w:cs="TimesNewRomanPSMT"/>
        </w:rPr>
        <w:footnoteReference w:id="168"/>
      </w:r>
    </w:p>
    <w:p w:rsidR="00EF2CD9" w:rsidRDefault="00B76FAC" w:rsidP="00EF2CD9">
      <w:r>
        <w:t>The Ephraimites h</w:t>
      </w:r>
      <w:r w:rsidR="00E700D0">
        <w:t xml:space="preserve">ave </w:t>
      </w:r>
      <w:r w:rsidR="00474772" w:rsidRPr="00474772">
        <w:t>turned a</w:t>
      </w:r>
      <w:r w:rsidR="00E700D0">
        <w:t xml:space="preserve">way from Yahweh and from David </w:t>
      </w:r>
      <w:r w:rsidR="00B924B1">
        <w:t>(v. 5</w:t>
      </w:r>
      <w:r w:rsidR="00E700D0">
        <w:t>a</w:t>
      </w:r>
      <w:r w:rsidR="00B924B1">
        <w:t>)</w:t>
      </w:r>
      <w:r w:rsidR="00E700D0">
        <w:t>;</w:t>
      </w:r>
      <w:r w:rsidR="00B924B1">
        <w:t xml:space="preserve"> </w:t>
      </w:r>
      <w:r w:rsidR="00E700D0">
        <w:t>“</w:t>
      </w:r>
      <w:r w:rsidR="00253517">
        <w:t>David</w:t>
      </w:r>
      <w:r w:rsidR="00E700D0">
        <w:t>” here means the Davidic line</w:t>
      </w:r>
      <w:r w:rsidR="00253517">
        <w:t xml:space="preserve"> </w:t>
      </w:r>
      <w:r w:rsidR="00E700D0">
        <w:t>(</w:t>
      </w:r>
      <w:r w:rsidR="00253517">
        <w:t xml:space="preserve">cf. </w:t>
      </w:r>
      <w:r w:rsidR="008F7B57">
        <w:t>Jer</w:t>
      </w:r>
      <w:r w:rsidR="007A5D8C">
        <w:t>.</w:t>
      </w:r>
      <w:r w:rsidR="008F7B57">
        <w:t xml:space="preserve"> 30:9</w:t>
      </w:r>
      <w:r w:rsidR="007A5D8C">
        <w:t>; Ezek. 34:23-24; 37:24-25</w:t>
      </w:r>
      <w:r w:rsidR="008F7B57">
        <w:t>).</w:t>
      </w:r>
      <w:r w:rsidR="00474772" w:rsidRPr="00474772">
        <w:t xml:space="preserve"> Hosea envisages </w:t>
      </w:r>
      <w:r w:rsidR="00474772">
        <w:t>them</w:t>
      </w:r>
      <w:r w:rsidR="00474772" w:rsidRPr="00474772">
        <w:t xml:space="preserve"> returning to both. </w:t>
      </w:r>
      <w:r w:rsidR="00452503">
        <w:t>To associate</w:t>
      </w:r>
      <w:r w:rsidR="00DA363B" w:rsidRPr="00DA363B">
        <w:t xml:space="preserve"> recourse </w:t>
      </w:r>
      <w:r w:rsidR="00452503">
        <w:t xml:space="preserve">to David with recourse to Yahweh </w:t>
      </w:r>
      <w:r w:rsidR="00DA363B" w:rsidRPr="00DA363B">
        <w:t>is to put the Davidic king in an exalted position, as “a messianic figure.”</w:t>
      </w:r>
      <w:r w:rsidR="00DA363B" w:rsidRPr="00DA363B">
        <w:rPr>
          <w:vertAlign w:val="superscript"/>
        </w:rPr>
        <w:footnoteReference w:id="169"/>
      </w:r>
      <w:r w:rsidR="00C5556C">
        <w:t xml:space="preserve"> </w:t>
      </w:r>
      <w:r w:rsidR="00E700D0">
        <w:t>While there wa</w:t>
      </w:r>
      <w:r w:rsidR="00FF164B">
        <w:t xml:space="preserve">s nothing wrong </w:t>
      </w:r>
      <w:r w:rsidR="00E700D0">
        <w:t>in themselves with the elements in Ephraim’s</w:t>
      </w:r>
      <w:r w:rsidR="00FF164B">
        <w:t xml:space="preserve"> national and</w:t>
      </w:r>
      <w:r w:rsidR="00C5556C">
        <w:t xml:space="preserve"> religious life that Hosea </w:t>
      </w:r>
      <w:r w:rsidR="00E700D0">
        <w:t>listed, they we</w:t>
      </w:r>
      <w:r w:rsidR="00FF164B">
        <w:t xml:space="preserve">re </w:t>
      </w:r>
      <w:r w:rsidR="00DA363B">
        <w:t>substitutes for the authentic thing th</w:t>
      </w:r>
      <w:r w:rsidR="00452503">
        <w:t xml:space="preserve">at Ephraim abandoned long ago. </w:t>
      </w:r>
      <w:r w:rsidR="00E700D0">
        <w:t>The question about kingship is</w:t>
      </w:r>
      <w:r w:rsidR="001D3546">
        <w:t xml:space="preserve"> whether it is subject to Yahweh’s will.</w:t>
      </w:r>
      <w:r w:rsidR="001D3546">
        <w:rPr>
          <w:rStyle w:val="FootnoteReference"/>
        </w:rPr>
        <w:footnoteReference w:id="170"/>
      </w:r>
      <w:r w:rsidR="001D3546">
        <w:t xml:space="preserve"> When Ephraim has</w:t>
      </w:r>
      <w:r w:rsidR="00474772">
        <w:t xml:space="preserve"> been w</w:t>
      </w:r>
      <w:r w:rsidR="00452503">
        <w:t>eaned from its</w:t>
      </w:r>
      <w:r w:rsidR="00DA363B">
        <w:t xml:space="preserve"> ersatz administration</w:t>
      </w:r>
      <w:r w:rsidR="00452503">
        <w:t xml:space="preserve"> and ersatz forms of religion it </w:t>
      </w:r>
      <w:r w:rsidR="00474772">
        <w:t xml:space="preserve">will see sense and turn back </w:t>
      </w:r>
      <w:r w:rsidR="00452503">
        <w:t xml:space="preserve">to seek the help of Yahweh its God and </w:t>
      </w:r>
      <w:r w:rsidR="00E700D0">
        <w:t xml:space="preserve">to </w:t>
      </w:r>
      <w:r w:rsidR="00474772">
        <w:t>acknowledge the Davi</w:t>
      </w:r>
      <w:r w:rsidR="00452503">
        <w:t>dic king in Jerusalem as its</w:t>
      </w:r>
      <w:r w:rsidR="00474772">
        <w:t xml:space="preserve"> king. </w:t>
      </w:r>
    </w:p>
    <w:p w:rsidR="00333842" w:rsidRDefault="00333842" w:rsidP="000B03D3">
      <w:r>
        <w:t xml:space="preserve">To put it another way (v. 5b), </w:t>
      </w:r>
      <w:r w:rsidR="00C5556C">
        <w:t>Ephraim</w:t>
      </w:r>
      <w:r w:rsidR="00474772">
        <w:t xml:space="preserve"> will come to respond with awe in Yahweh and in his goodness.</w:t>
      </w:r>
      <w:r w:rsidR="00DA363B">
        <w:t xml:space="preserve"> </w:t>
      </w:r>
      <w:r w:rsidR="00357DBA">
        <w:t xml:space="preserve">The unique </w:t>
      </w:r>
      <w:r w:rsidR="00DA363B" w:rsidRPr="00DA363B">
        <w:t>construction “be awe</w:t>
      </w:r>
      <w:r w:rsidR="00F05AA8">
        <w:t>struck towards Yahweh”</w:t>
      </w:r>
      <w:r w:rsidR="00DA363B" w:rsidRPr="00DA363B">
        <w:t xml:space="preserve"> takes up the</w:t>
      </w:r>
      <w:r w:rsidR="00DA363B">
        <w:t xml:space="preserve"> </w:t>
      </w:r>
      <w:r w:rsidR="00C5556C">
        <w:t xml:space="preserve">“towards” in v.  3, while </w:t>
      </w:r>
      <w:r w:rsidR="00DA363B">
        <w:t>“his goodness” makes one think of the things in chapter</w:t>
      </w:r>
      <w:r w:rsidR="00EF2CD9">
        <w:t xml:space="preserve"> 2</w:t>
      </w:r>
      <w:r w:rsidR="00DA363B">
        <w:t xml:space="preserve"> such as grain and wine and oil.</w:t>
      </w:r>
      <w:r w:rsidR="00C5556C">
        <w:t xml:space="preserve"> Ephraim’s</w:t>
      </w:r>
      <w:r w:rsidR="00DA363B">
        <w:t xml:space="preserve"> renewed enjoyment of these things will come </w:t>
      </w:r>
      <w:r w:rsidR="00474772">
        <w:t>“at the end of t</w:t>
      </w:r>
      <w:r w:rsidR="00C5556C">
        <w:t>he time,” literally “the days.</w:t>
      </w:r>
      <w:r w:rsidR="00474772">
        <w:t xml:space="preserve">” </w:t>
      </w:r>
      <w:r w:rsidR="00C5556C">
        <w:t>In English “t</w:t>
      </w:r>
      <w:r w:rsidR="00DA363B">
        <w:t>he end of the days” can sound like a</w:t>
      </w:r>
      <w:r w:rsidR="00C5556C">
        <w:t>n eschatological term</w:t>
      </w:r>
      <w:r w:rsidR="00DA363B">
        <w:t>, but in the First Testament it is not a t</w:t>
      </w:r>
      <w:r w:rsidR="00C5556C">
        <w:t>echnical expression. It alludes to</w:t>
      </w:r>
      <w:r w:rsidR="00DA363B">
        <w:t xml:space="preserve"> a </w:t>
      </w:r>
      <w:r w:rsidR="00474772">
        <w:t xml:space="preserve">period </w:t>
      </w:r>
      <w:r w:rsidR="00DA363B">
        <w:t>that lasts a long time but comes to</w:t>
      </w:r>
      <w:r w:rsidR="00D65704">
        <w:t xml:space="preserve"> an app</w:t>
      </w:r>
      <w:r w:rsidR="00C5556C">
        <w:t>ropriate end (</w:t>
      </w:r>
      <w:r w:rsidR="00D65704">
        <w:t>e.g., Gen</w:t>
      </w:r>
      <w:r w:rsidR="001C19DD">
        <w:t>.</w:t>
      </w:r>
      <w:r w:rsidR="00D65704">
        <w:t xml:space="preserve"> 49:1; Num</w:t>
      </w:r>
      <w:r w:rsidR="001C19DD">
        <w:t>.</w:t>
      </w:r>
      <w:r w:rsidR="00D65704">
        <w:t xml:space="preserve"> 24:14, 20; Deut</w:t>
      </w:r>
      <w:r w:rsidR="001C19DD">
        <w:t>.</w:t>
      </w:r>
      <w:r w:rsidR="00D65704">
        <w:t xml:space="preserve"> 31:29; Isa</w:t>
      </w:r>
      <w:r w:rsidR="001C19DD">
        <w:t>.</w:t>
      </w:r>
      <w:r w:rsidR="00D65704">
        <w:t xml:space="preserve"> 2:2; Jer</w:t>
      </w:r>
      <w:r w:rsidR="001C19DD">
        <w:t>.</w:t>
      </w:r>
      <w:r w:rsidR="00D65704">
        <w:t xml:space="preserve"> 23:20; </w:t>
      </w:r>
      <w:r w:rsidR="000B03D3">
        <w:t>30:24)</w:t>
      </w:r>
      <w:r w:rsidR="00474772">
        <w:t>. Here i</w:t>
      </w:r>
      <w:r w:rsidR="00C5556C">
        <w:t xml:space="preserve">t denotes however long </w:t>
      </w:r>
      <w:r w:rsidR="000B03D3">
        <w:lastRenderedPageBreak/>
        <w:t xml:space="preserve">Ephraim’s deprivation </w:t>
      </w:r>
      <w:r w:rsidR="00C5556C">
        <w:t>turns out to last</w:t>
      </w:r>
      <w:r w:rsidR="00474772">
        <w:t>.</w:t>
      </w:r>
      <w:r w:rsidR="00AF5264">
        <w:t xml:space="preserve"> </w:t>
      </w:r>
      <w:r w:rsidR="00C5556C">
        <w:t xml:space="preserve">In this context, the </w:t>
      </w:r>
      <w:r w:rsidR="00AF5264">
        <w:t>“the t</w:t>
      </w:r>
      <w:r w:rsidR="000B03D3">
        <w:t xml:space="preserve">ime” takes up the reference to </w:t>
      </w:r>
      <w:r w:rsidR="00AF5264">
        <w:t xml:space="preserve">the </w:t>
      </w:r>
      <w:r w:rsidR="000B03D3">
        <w:t>long “</w:t>
      </w:r>
      <w:r w:rsidR="00AF5264">
        <w:t xml:space="preserve">time” </w:t>
      </w:r>
      <w:r w:rsidR="000B03D3">
        <w:t xml:space="preserve">(literally, “many days”) </w:t>
      </w:r>
      <w:r w:rsidR="00AF5264">
        <w:t>in v. 4.</w:t>
      </w:r>
      <w:r w:rsidR="000B03D3">
        <w:t xml:space="preserve"> </w:t>
      </w:r>
    </w:p>
    <w:p w:rsidR="000B03D3" w:rsidRPr="00C5556C" w:rsidRDefault="00333842" w:rsidP="000B03D3">
      <w:r w:rsidRPr="00333842">
        <w:t xml:space="preserve">The sequence “turn back” and “seek help” suggests that </w:t>
      </w:r>
      <w:r w:rsidRPr="00333842">
        <w:rPr>
          <w:i/>
        </w:rPr>
        <w:t>šûb</w:t>
      </w:r>
      <w:r w:rsidRPr="00333842">
        <w:t xml:space="preserve"> denotes returning to Yahweh rather than returning from exile, which also fits the reference in v. 4 to removing features of nationhood and religious observance rather than to departing from the country. The motif of turning back is taken up from 2:7 [9]; it becomes a key term in Hosea (5:4; 6:1; 7:10; 11:5; 12:6; 14:1 [2]). </w:t>
      </w:r>
      <w:r w:rsidR="000B03D3">
        <w:t xml:space="preserve">But the verse as a whole </w:t>
      </w:r>
      <w:r>
        <w:t>does resonate</w:t>
      </w:r>
      <w:r w:rsidR="000B03D3">
        <w:t xml:space="preserve"> with Deuteronomy 4:29-30, which presupposes that Israel has been taken into exile: “</w:t>
      </w:r>
      <w:r>
        <w:rPr>
          <w:lang w:val="en-GB"/>
        </w:rPr>
        <w:t>You will seek help from</w:t>
      </w:r>
      <w:r w:rsidR="000B03D3" w:rsidRPr="000B03D3">
        <w:rPr>
          <w:lang w:val="en-GB"/>
        </w:rPr>
        <w:t xml:space="preserve"> Yahweh your God from there, and </w:t>
      </w:r>
      <w:r w:rsidR="000B03D3">
        <w:rPr>
          <w:lang w:val="en-GB"/>
        </w:rPr>
        <w:t>you will find….</w:t>
      </w:r>
      <w:r w:rsidR="000B03D3" w:rsidRPr="000B03D3">
        <w:rPr>
          <w:lang w:val="en-GB"/>
        </w:rPr>
        <w:t xml:space="preserve"> All these things will befall you in </w:t>
      </w:r>
      <w:r w:rsidR="000B03D3">
        <w:rPr>
          <w:lang w:val="en-GB"/>
        </w:rPr>
        <w:t>at the end of the</w:t>
      </w:r>
      <w:r w:rsidR="000B03D3" w:rsidRPr="000B03D3">
        <w:rPr>
          <w:lang w:val="en-GB"/>
        </w:rPr>
        <w:t xml:space="preserve"> time but you will turn back </w:t>
      </w:r>
      <w:r w:rsidR="000B03D3">
        <w:rPr>
          <w:lang w:val="en-GB"/>
        </w:rPr>
        <w:t>to Yahweh your God</w:t>
      </w:r>
      <w:r w:rsidR="000B03D3" w:rsidRPr="000B03D3">
        <w:rPr>
          <w:lang w:val="en-GB"/>
        </w:rPr>
        <w:t>.</w:t>
      </w:r>
      <w:r w:rsidR="000B03D3">
        <w:rPr>
          <w:lang w:val="en-GB"/>
        </w:rPr>
        <w:t>” Both Hosea and Deuteronomy make declarations about what w</w:t>
      </w:r>
      <w:r w:rsidR="00DB14F3">
        <w:rPr>
          <w:lang w:val="en-GB"/>
        </w:rPr>
        <w:t>ill happen that are based in Yahweh’s</w:t>
      </w:r>
      <w:r w:rsidR="000B03D3">
        <w:rPr>
          <w:lang w:val="en-GB"/>
        </w:rPr>
        <w:t xml:space="preserve"> </w:t>
      </w:r>
      <w:r w:rsidR="00DB14F3">
        <w:rPr>
          <w:lang w:val="en-GB"/>
        </w:rPr>
        <w:t>ongoing commitment to Israel, which Hosea has been commissioned to embody.</w:t>
      </w:r>
    </w:p>
    <w:p w:rsidR="00B33264" w:rsidRDefault="00B33264" w:rsidP="001D3546">
      <w:pPr>
        <w:pStyle w:val="Heading2"/>
      </w:pPr>
      <w:r>
        <w:t>Theological Implications</w:t>
      </w:r>
    </w:p>
    <w:p w:rsidR="00C05C0E" w:rsidRDefault="00494B87" w:rsidP="009652A7">
      <w:pPr>
        <w:pStyle w:val="ListParagraph"/>
        <w:numPr>
          <w:ilvl w:val="0"/>
          <w:numId w:val="6"/>
        </w:numPr>
        <w:ind w:left="360"/>
      </w:pPr>
      <w:r w:rsidRPr="00494B87">
        <w:t xml:space="preserve">The </w:t>
      </w:r>
      <w:r w:rsidR="00C05C0E">
        <w:t xml:space="preserve">embodiment or </w:t>
      </w:r>
      <w:r w:rsidRPr="00494B87">
        <w:t>re</w:t>
      </w:r>
      <w:r w:rsidR="00C05C0E">
        <w:t>presentation of the good news may be</w:t>
      </w:r>
      <w:r w:rsidRPr="00494B87">
        <w:t xml:space="preserve"> no less important than th</w:t>
      </w:r>
      <w:r>
        <w:t>e announcement of the good news</w:t>
      </w:r>
      <w:r w:rsidRPr="00494B87">
        <w:t>.</w:t>
      </w:r>
      <w:r w:rsidRPr="00494B87">
        <w:rPr>
          <w:vertAlign w:val="superscript"/>
        </w:rPr>
        <w:footnoteReference w:id="171"/>
      </w:r>
      <w:r w:rsidR="00C05C0E">
        <w:t xml:space="preserve"> </w:t>
      </w:r>
      <w:r w:rsidR="00ED7009" w:rsidRPr="00C05C0E">
        <w:t>Hosea’s testimony</w:t>
      </w:r>
      <w:r w:rsidR="00C05C0E">
        <w:t xml:space="preserve"> </w:t>
      </w:r>
      <w:r w:rsidR="00DB14F3" w:rsidRPr="00C05C0E">
        <w:t>seeks to build up the faith and hope of Ephraim (and Judah) by asking it to recall or imagine the extraordinary display of marital commitment to which Hosea was commissioned.</w:t>
      </w:r>
    </w:p>
    <w:p w:rsidR="00C05C0E" w:rsidRDefault="00494B87" w:rsidP="009652A7">
      <w:pPr>
        <w:pStyle w:val="ListParagraph"/>
        <w:numPr>
          <w:ilvl w:val="0"/>
          <w:numId w:val="6"/>
        </w:numPr>
        <w:ind w:left="360"/>
      </w:pPr>
      <w:r>
        <w:t>Hosea’s representation</w:t>
      </w:r>
      <w:r w:rsidR="00DB14F3">
        <w:t xml:space="preserve"> is expected to go beyond anything a husband could be imagine</w:t>
      </w:r>
      <w:r w:rsidR="00333842">
        <w:t>d doing and thus to point to the</w:t>
      </w:r>
      <w:r w:rsidR="00DB14F3">
        <w:t xml:space="preserve"> extraordinary </w:t>
      </w:r>
      <w:r w:rsidR="00333842">
        <w:t>nature of</w:t>
      </w:r>
      <w:r w:rsidR="006E05AB">
        <w:t xml:space="preserve"> that divine commitment. </w:t>
      </w:r>
      <w:r w:rsidR="00894467" w:rsidRPr="00894467">
        <w:t>Hosea’s</w:t>
      </w:r>
      <w:r w:rsidR="006E05AB">
        <w:t xml:space="preserve"> point is not that he knew</w:t>
      </w:r>
      <w:r w:rsidR="00333842">
        <w:t xml:space="preserve"> what it was like to continue</w:t>
      </w:r>
      <w:r w:rsidR="00894467" w:rsidRPr="00894467">
        <w:t xml:space="preserve"> loving when his wife had been unfaithful</w:t>
      </w:r>
      <w:r w:rsidR="006E05AB">
        <w:t xml:space="preserve"> and that this awareness helped</w:t>
      </w:r>
      <w:r w:rsidR="00DB14F3">
        <w:t xml:space="preserve"> him understand God’s love. On the contrary, perhaps</w:t>
      </w:r>
      <w:r w:rsidR="00894467" w:rsidRPr="00894467">
        <w:t xml:space="preserve"> he was </w:t>
      </w:r>
      <w:r w:rsidR="00DB14F3">
        <w:t xml:space="preserve">disinclined to have anything to do with Gomer or </w:t>
      </w:r>
      <w:r w:rsidR="00894467" w:rsidRPr="00894467">
        <w:t>i</w:t>
      </w:r>
      <w:r w:rsidR="00DB14F3">
        <w:t xml:space="preserve">nclined to let her go, and perhaps that feeling lies at the back of the </w:t>
      </w:r>
      <w:r w:rsidR="00894467" w:rsidRPr="00894467">
        <w:t>strength of the hostility ex</w:t>
      </w:r>
      <w:r w:rsidR="00DB14F3">
        <w:t>pressed in chapter 2. Rather Hosea’s</w:t>
      </w:r>
      <w:r w:rsidR="00894467" w:rsidRPr="00894467">
        <w:t xml:space="preserve"> point is that </w:t>
      </w:r>
      <w:r w:rsidR="00DB14F3">
        <w:t>God revealed to him what hi</w:t>
      </w:r>
      <w:r w:rsidR="00894467" w:rsidRPr="00894467">
        <w:t xml:space="preserve">s love was like, and </w:t>
      </w:r>
      <w:r w:rsidR="00DB14F3">
        <w:t>he realized that</w:t>
      </w:r>
      <w:r w:rsidR="00894467" w:rsidRPr="00894467">
        <w:t xml:space="preserve"> he was called to mirror and embody it in order that people should perceive it. </w:t>
      </w:r>
      <w:r w:rsidR="001E480E">
        <w:t>This dynamic lies behind the way Hosea’s account of his marriage deconstructs: “</w:t>
      </w:r>
      <w:r w:rsidR="001E480E" w:rsidRPr="001E480E">
        <w:t>The entire intention to teach about YHWH by telling a human story is undermined by the text's unwillingness really to tell that story. The story of Hosea and his wife is told in a very skimpy way; much of our sense of this story comes in fact from reading back YHWH's story into the human one. At a fundamental level, the text does not believe in its own project.</w:t>
      </w:r>
      <w:r w:rsidR="001E480E">
        <w:t>”</w:t>
      </w:r>
      <w:r w:rsidR="001E480E">
        <w:rPr>
          <w:rStyle w:val="FootnoteReference"/>
        </w:rPr>
        <w:footnoteReference w:id="172"/>
      </w:r>
      <w:r w:rsidR="001E480E" w:rsidRPr="001E480E">
        <w:t xml:space="preserve"> </w:t>
      </w:r>
      <w:r w:rsidR="001E480E">
        <w:t>Or rather, its project is the opposite to the one readers often assume.</w:t>
      </w:r>
    </w:p>
    <w:p w:rsidR="00C05C0E" w:rsidRDefault="00DB14F3" w:rsidP="009652A7">
      <w:pPr>
        <w:pStyle w:val="ListParagraph"/>
        <w:numPr>
          <w:ilvl w:val="0"/>
          <w:numId w:val="6"/>
        </w:numPr>
        <w:ind w:left="360"/>
      </w:pPr>
      <w:r>
        <w:t>The l</w:t>
      </w:r>
      <w:r w:rsidR="00962F00">
        <w:t>ove</w:t>
      </w:r>
      <w:r>
        <w:t xml:space="preserve"> God manifests and the love</w:t>
      </w:r>
      <w:r w:rsidR="00962F00">
        <w:t xml:space="preserve"> </w:t>
      </w:r>
      <w:r>
        <w:t xml:space="preserve">God looks for is a love that </w:t>
      </w:r>
      <w:r w:rsidR="00962F00">
        <w:t>can be commanded</w:t>
      </w:r>
      <w:r w:rsidR="006E05AB">
        <w:t>. It’</w:t>
      </w:r>
      <w:r>
        <w:t>s not primarily a feeling. Given that God is talking about love be</w:t>
      </w:r>
      <w:r w:rsidR="006E05AB">
        <w:t xml:space="preserve">tween a man and a woman, it would be odd if it had no </w:t>
      </w:r>
      <w:r>
        <w:t>emo</w:t>
      </w:r>
      <w:r w:rsidR="006E05AB">
        <w:t>tional element. But at least as significant an</w:t>
      </w:r>
      <w:r>
        <w:t xml:space="preserve"> aspect to God’s </w:t>
      </w:r>
      <w:r w:rsidR="00494B87">
        <w:t xml:space="preserve">love for us is </w:t>
      </w:r>
      <w:r w:rsidR="006E05AB">
        <w:t xml:space="preserve">that it is </w:t>
      </w:r>
      <w:r w:rsidR="00494B87">
        <w:t>effective</w:t>
      </w:r>
      <w:r w:rsidR="006E05AB">
        <w:t xml:space="preserve"> not just </w:t>
      </w:r>
      <w:r w:rsidR="00494B87">
        <w:t>affective</w:t>
      </w:r>
      <w:r w:rsidR="006E05AB">
        <w:t xml:space="preserve">. </w:t>
      </w:r>
      <w:r w:rsidR="00494B87">
        <w:t>God is co</w:t>
      </w:r>
      <w:r w:rsidR="006E05AB">
        <w:t xml:space="preserve">mmitted to us. And </w:t>
      </w:r>
      <w:r w:rsidR="006E05AB" w:rsidRPr="006E05AB">
        <w:t xml:space="preserve">at least as significant an </w:t>
      </w:r>
      <w:r w:rsidR="00494B87">
        <w:t xml:space="preserve">aspect </w:t>
      </w:r>
      <w:r w:rsidR="006E05AB">
        <w:t xml:space="preserve">to the love </w:t>
      </w:r>
      <w:r w:rsidR="00494B87">
        <w:t xml:space="preserve">God seeks from us </w:t>
      </w:r>
      <w:r w:rsidR="006E05AB">
        <w:t>that it is effective not just</w:t>
      </w:r>
      <w:r w:rsidR="00494B87">
        <w:t xml:space="preserve"> affective. God is not very interested in us telling him that we love him (people in the Bible hardly ever tell God that they love him). He is interested in our acting in a way that denotes commitment to him.</w:t>
      </w:r>
      <w:r w:rsidR="00066402">
        <w:t xml:space="preserve"> Because he has bought us, we are bound to honor him with our bodies.</w:t>
      </w:r>
      <w:r w:rsidR="00066402">
        <w:rPr>
          <w:rStyle w:val="FootnoteReference"/>
        </w:rPr>
        <w:footnoteReference w:id="173"/>
      </w:r>
    </w:p>
    <w:p w:rsidR="00446EAC" w:rsidRDefault="00446EAC" w:rsidP="009652A7">
      <w:pPr>
        <w:pStyle w:val="ListParagraph"/>
        <w:numPr>
          <w:ilvl w:val="0"/>
          <w:numId w:val="6"/>
        </w:numPr>
        <w:ind w:left="360"/>
      </w:pPr>
      <w:r>
        <w:t xml:space="preserve">In embracing the shame that comes through marrying a whorish </w:t>
      </w:r>
      <w:r w:rsidR="00B75873">
        <w:t>woman, Hosea embodies God</w:t>
      </w:r>
      <w:r>
        <w:t>’s embracing the shame that comes through associating himself with a</w:t>
      </w:r>
      <w:r w:rsidR="00B75873">
        <w:t xml:space="preserve"> whorish people. It makes God</w:t>
      </w:r>
      <w:r>
        <w:t xml:space="preserve"> look really stupid. But he accepts that experience in order to save Ephraim.</w:t>
      </w:r>
      <w:r>
        <w:rPr>
          <w:rStyle w:val="FootnoteReference"/>
        </w:rPr>
        <w:footnoteReference w:id="174"/>
      </w:r>
    </w:p>
    <w:p w:rsidR="00C05C0E" w:rsidRDefault="002C4EFF" w:rsidP="009652A7">
      <w:pPr>
        <w:pStyle w:val="ListParagraph"/>
        <w:numPr>
          <w:ilvl w:val="0"/>
          <w:numId w:val="6"/>
        </w:numPr>
        <w:ind w:left="360"/>
      </w:pPr>
      <w:r>
        <w:lastRenderedPageBreak/>
        <w:t>God will thus reach out to his people and will pay the cost for the repairing of the relationship with them, but the restoration of the relationship req</w:t>
      </w:r>
      <w:r w:rsidR="006E05AB">
        <w:t>uires their response. T</w:t>
      </w:r>
      <w:r>
        <w:t>o be a relationship, the commitment has to be mutual</w:t>
      </w:r>
      <w:r w:rsidR="006E05AB">
        <w:t>. Hosea reaches out to the woman</w:t>
      </w:r>
      <w:r>
        <w:t>, but t</w:t>
      </w:r>
      <w:r w:rsidR="006E05AB">
        <w:t xml:space="preserve">here’s no indication of </w:t>
      </w:r>
      <w:r w:rsidRPr="002C4EFF">
        <w:t>he</w:t>
      </w:r>
      <w:r w:rsidR="006E05AB">
        <w:t xml:space="preserve">r </w:t>
      </w:r>
      <w:r w:rsidRPr="002C4EFF">
        <w:t xml:space="preserve">response. </w:t>
      </w:r>
      <w:r w:rsidR="002149C1">
        <w:t>God</w:t>
      </w:r>
      <w:r>
        <w:t xml:space="preserve"> is</w:t>
      </w:r>
      <w:r w:rsidR="002149C1" w:rsidRPr="002149C1">
        <w:t xml:space="preserve"> reach</w:t>
      </w:r>
      <w:r>
        <w:t>ing</w:t>
      </w:r>
      <w:r w:rsidR="002149C1" w:rsidRPr="002149C1">
        <w:t xml:space="preserve"> out to Ephraim. Will Ephraim respond?</w:t>
      </w:r>
      <w:r w:rsidR="002149C1">
        <w:t xml:space="preserve"> </w:t>
      </w:r>
      <w:r w:rsidR="00A84D61">
        <w:t xml:space="preserve">Even the all-sovereign </w:t>
      </w:r>
      <w:r>
        <w:t xml:space="preserve">God cannot compel a response from his </w:t>
      </w:r>
      <w:r w:rsidR="00A84D61">
        <w:t>people.</w:t>
      </w:r>
    </w:p>
    <w:p w:rsidR="00C05C0E" w:rsidRDefault="00F71CE3" w:rsidP="009652A7">
      <w:pPr>
        <w:pStyle w:val="ListParagraph"/>
        <w:numPr>
          <w:ilvl w:val="0"/>
          <w:numId w:val="6"/>
        </w:numPr>
        <w:ind w:left="360"/>
      </w:pPr>
      <w:r>
        <w:t xml:space="preserve">When God acts in love, </w:t>
      </w:r>
      <w:r w:rsidR="00A84D61">
        <w:t xml:space="preserve">God also engages in </w:t>
      </w:r>
      <w:r>
        <w:t xml:space="preserve">a form of </w:t>
      </w:r>
      <w:r w:rsidR="00A84D61">
        <w:t>tough action that tak</w:t>
      </w:r>
      <w:r w:rsidR="00C05C0E">
        <w:t xml:space="preserve">es away the ordinances of the people’s </w:t>
      </w:r>
      <w:r w:rsidR="00A84D61">
        <w:t xml:space="preserve">everyday life and their religious life. </w:t>
      </w:r>
      <w:r w:rsidR="00A84D61" w:rsidRPr="00A84D61">
        <w:t>Ephraim is to experience “depressive asymbolia,”</w:t>
      </w:r>
      <w:r w:rsidR="00A84D61" w:rsidRPr="00A84D61">
        <w:rPr>
          <w:vertAlign w:val="superscript"/>
        </w:rPr>
        <w:footnoteReference w:id="175"/>
      </w:r>
      <w:r w:rsidR="00A84D61" w:rsidRPr="00A84D61">
        <w:t xml:space="preserve"> the incapacity to recognize signs</w:t>
      </w:r>
      <w:r w:rsidR="00A84D61">
        <w:t xml:space="preserve">; </w:t>
      </w:r>
      <w:r w:rsidR="00A84D61" w:rsidRPr="00A84D61">
        <w:t>the</w:t>
      </w:r>
      <w:r w:rsidR="00C05C0E">
        <w:t>y will</w:t>
      </w:r>
      <w:r w:rsidR="00A84D61" w:rsidRPr="00A84D61">
        <w:t xml:space="preserve"> </w:t>
      </w:r>
      <w:r w:rsidR="00C05C0E">
        <w:t xml:space="preserve">not be able to recognize them because the </w:t>
      </w:r>
      <w:r w:rsidR="00A84D61" w:rsidRPr="00A84D61">
        <w:t>signs are actually gone.</w:t>
      </w:r>
      <w:r w:rsidR="00A84D61">
        <w:t xml:space="preserve"> </w:t>
      </w:r>
    </w:p>
    <w:p w:rsidR="00C05C0E" w:rsidRDefault="00C05C0E" w:rsidP="009652A7">
      <w:pPr>
        <w:pStyle w:val="ListParagraph"/>
        <w:numPr>
          <w:ilvl w:val="0"/>
          <w:numId w:val="6"/>
        </w:numPr>
        <w:ind w:left="360"/>
      </w:pPr>
      <w:r>
        <w:t xml:space="preserve">Thus </w:t>
      </w:r>
      <w:r w:rsidR="00A84D61">
        <w:t>God is both good cop and bad cop. It follows from the fact that there is only one God. Roles cannot be divided between gods. Here, God first speaks tough, then acts loving, then acts tough. It seems plausible to see that sequence as God’s prefer</w:t>
      </w:r>
      <w:r w:rsidR="00A059EE">
        <w:t xml:space="preserve">red way of operating. God </w:t>
      </w:r>
      <w:r w:rsidR="00A84D61">
        <w:t xml:space="preserve">imagines his people coming to their senses </w:t>
      </w:r>
      <w:r w:rsidR="00A059EE">
        <w:t xml:space="preserve">first </w:t>
      </w:r>
      <w:r w:rsidR="00A84D61">
        <w:t>in response to the loving act</w:t>
      </w:r>
      <w:r w:rsidR="00A059EE">
        <w:t>ion</w:t>
      </w:r>
      <w:r w:rsidR="00A84D61">
        <w:t>, then in response to the tough action.</w:t>
      </w:r>
    </w:p>
    <w:p w:rsidR="00B33264" w:rsidRDefault="00494B87" w:rsidP="009652A7">
      <w:pPr>
        <w:pStyle w:val="ListParagraph"/>
        <w:numPr>
          <w:ilvl w:val="0"/>
          <w:numId w:val="6"/>
        </w:numPr>
        <w:ind w:left="360"/>
      </w:pPr>
      <w:r>
        <w:t>God imagines his people coming to their senses. L</w:t>
      </w:r>
      <w:r w:rsidR="00474772" w:rsidRPr="00474772">
        <w:t>i</w:t>
      </w:r>
      <w:r w:rsidR="00474772">
        <w:t>ke the Prodi</w:t>
      </w:r>
      <w:r w:rsidR="00474772" w:rsidRPr="00474772">
        <w:t>gal Son</w:t>
      </w:r>
      <w:r>
        <w:t xml:space="preserve"> (Luke 15:11-32), they will surely realize that they are dying</w:t>
      </w:r>
      <w:r w:rsidR="00C05C0E">
        <w:t xml:space="preserve"> of hunger because of their </w:t>
      </w:r>
      <w:r>
        <w:t>stupi</w:t>
      </w:r>
      <w:r w:rsidR="00A059EE">
        <w:t>dity and that they should</w:t>
      </w:r>
      <w:r>
        <w:t xml:space="preserve"> turn back and see if God will have them back. But did they</w:t>
      </w:r>
      <w:r w:rsidR="00C05C0E">
        <w:t xml:space="preserve"> ever do so? What is one to think</w:t>
      </w:r>
      <w:r>
        <w:t xml:space="preserve"> of the succeeding history</w:t>
      </w:r>
      <w:r w:rsidR="00C05C0E">
        <w:t xml:space="preserve"> of Ephraim,</w:t>
      </w:r>
      <w:r>
        <w:t xml:space="preserve"> of the nation’s fall and the exile of the bulk of</w:t>
      </w:r>
      <w:r w:rsidR="00C05C0E">
        <w:t xml:space="preserve"> its people,</w:t>
      </w:r>
      <w:r>
        <w:t xml:space="preserve"> of the fact that some Ephraimi</w:t>
      </w:r>
      <w:r w:rsidR="00F71CE3">
        <w:t>tes did move south to Jerusalem</w:t>
      </w:r>
      <w:r>
        <w:t xml:space="preserve"> </w:t>
      </w:r>
      <w:r w:rsidR="00A059EE">
        <w:t xml:space="preserve">(perhaps </w:t>
      </w:r>
      <w:r>
        <w:t>taking Hosea’s teachin</w:t>
      </w:r>
      <w:r w:rsidR="00C05C0E">
        <w:t>g with them</w:t>
      </w:r>
      <w:r w:rsidR="00A059EE">
        <w:t>)</w:t>
      </w:r>
      <w:r w:rsidR="00C05C0E">
        <w:t>,</w:t>
      </w:r>
      <w:r>
        <w:t xml:space="preserve"> of </w:t>
      </w:r>
      <w:r w:rsidR="002149C1">
        <w:t>the desire of people living in Ephraim (now called Samaria) to join with Judahites in rebuildin</w:t>
      </w:r>
      <w:r w:rsidR="00C05C0E">
        <w:t>g the temple</w:t>
      </w:r>
      <w:r w:rsidR="00F42051">
        <w:t xml:space="preserve"> (was Zerubbabel the David of whom Hosea speaks?)</w:t>
      </w:r>
      <w:r w:rsidR="00C05C0E">
        <w:t>,</w:t>
      </w:r>
      <w:r w:rsidR="00F42051">
        <w:rPr>
          <w:rStyle w:val="FootnoteReference"/>
        </w:rPr>
        <w:footnoteReference w:id="176"/>
      </w:r>
      <w:r>
        <w:t xml:space="preserve"> </w:t>
      </w:r>
      <w:r w:rsidR="002149C1">
        <w:t xml:space="preserve">of the history of the Samaritans and of the references to Samaria and Samaritans in the New </w:t>
      </w:r>
      <w:r w:rsidR="00C05C0E">
        <w:t>Testament,</w:t>
      </w:r>
      <w:r w:rsidR="002A642E">
        <w:t xml:space="preserve"> of Jesus growing</w:t>
      </w:r>
      <w:r w:rsidR="00C05C0E">
        <w:t xml:space="preserve"> up </w:t>
      </w:r>
      <w:r w:rsidR="002A642E">
        <w:t xml:space="preserve">and beginning his ministry </w:t>
      </w:r>
      <w:r w:rsidR="00C05C0E">
        <w:t>in Galilee</w:t>
      </w:r>
      <w:r w:rsidR="002149C1">
        <w:t xml:space="preserve"> </w:t>
      </w:r>
      <w:r w:rsidR="00C05C0E">
        <w:t>(once part of Ephraim), and</w:t>
      </w:r>
      <w:r w:rsidR="002149C1">
        <w:t xml:space="preserve"> of Paul’s declarations about the olive tree in Romans 9?</w:t>
      </w:r>
    </w:p>
    <w:p w:rsidR="001F52E7" w:rsidRDefault="008979C1" w:rsidP="00EF7B98">
      <w:pPr>
        <w:pStyle w:val="Heading1"/>
      </w:pPr>
      <w:r>
        <w:t>Part Two</w:t>
      </w:r>
      <w:r w:rsidR="0012002D">
        <w:t xml:space="preserve">: Hosea 4:1—9:9                                                                                 </w:t>
      </w:r>
      <w:r w:rsidR="001F52E7">
        <w:t>Biddings</w:t>
      </w:r>
    </w:p>
    <w:p w:rsidR="00A059EE" w:rsidRDefault="00A059EE" w:rsidP="00A059EE">
      <w:r w:rsidRPr="00A059EE">
        <w:t>While chapters 1—3 have been solemn, compared with what follows in the bulk of the scroll they have been positive and encouraging; their intention has been “to communicate hope to their readers.”</w:t>
      </w:r>
      <w:r w:rsidRPr="00A059EE">
        <w:rPr>
          <w:vertAlign w:val="superscript"/>
        </w:rPr>
        <w:footnoteReference w:id="177"/>
      </w:r>
      <w:r w:rsidRPr="00A059EE">
        <w:t xml:space="preserve"> It is against the background of that encouragement that readers are now </w:t>
      </w:r>
      <w:r w:rsidR="003D6827">
        <w:t>bidden</w:t>
      </w:r>
      <w:r w:rsidR="003D6827" w:rsidRPr="00A059EE">
        <w:t xml:space="preserve"> </w:t>
      </w:r>
      <w:r w:rsidRPr="00A059EE">
        <w:t>to study the chapters that follow, which are going to be really solemn.</w:t>
      </w:r>
      <w:r w:rsidR="003D6827">
        <w:t xml:space="preserve"> Each opens with a call to pay heed and follows up the call with a challenge.</w:t>
      </w:r>
    </w:p>
    <w:p w:rsidR="003D6827" w:rsidRDefault="003D6827" w:rsidP="00A059EE"/>
    <w:p w:rsidR="003D6827" w:rsidRPr="003D6827" w:rsidRDefault="003D6827" w:rsidP="003D6827">
      <w:r w:rsidRPr="003D6827">
        <w:t>4:</w:t>
      </w:r>
      <w:r>
        <w:t>1-</w:t>
      </w:r>
      <w:r w:rsidRPr="003D6827">
        <w:t>19</w:t>
      </w:r>
      <w:r w:rsidRPr="003D6827">
        <w:tab/>
      </w:r>
      <w:r>
        <w:tab/>
        <w:t>A</w:t>
      </w:r>
      <w:r w:rsidRPr="003D6827">
        <w:t xml:space="preserve"> confrontation about whoring</w:t>
      </w:r>
    </w:p>
    <w:p w:rsidR="003D6827" w:rsidRPr="003D6827" w:rsidRDefault="003D6827" w:rsidP="003D6827">
      <w:r>
        <w:t>5:1-7</w:t>
      </w:r>
      <w:r>
        <w:tab/>
      </w:r>
      <w:r>
        <w:tab/>
        <w:t>A</w:t>
      </w:r>
      <w:r w:rsidRPr="003D6827">
        <w:t xml:space="preserve"> confrontation about leadership</w:t>
      </w:r>
    </w:p>
    <w:p w:rsidR="003D6827" w:rsidRPr="003D6827" w:rsidRDefault="003D6827" w:rsidP="003D6827">
      <w:r w:rsidRPr="003D6827">
        <w:t>5:8—6:3</w:t>
      </w:r>
      <w:r w:rsidRPr="003D6827">
        <w:tab/>
      </w:r>
      <w:r>
        <w:t>A</w:t>
      </w:r>
      <w:r w:rsidRPr="003D6827">
        <w:t xml:space="preserve"> warning about invasion</w:t>
      </w:r>
    </w:p>
    <w:p w:rsidR="003D6827" w:rsidRPr="003D6827" w:rsidRDefault="003D6827" w:rsidP="003D6827">
      <w:r w:rsidRPr="003D6827">
        <w:t>6:4</w:t>
      </w:r>
      <w:r>
        <w:t>—7:16</w:t>
      </w:r>
      <w:r>
        <w:tab/>
        <w:t>A</w:t>
      </w:r>
      <w:r w:rsidRPr="003D6827">
        <w:t xml:space="preserve"> puzzled question</w:t>
      </w:r>
    </w:p>
    <w:p w:rsidR="003D6827" w:rsidRPr="003D6827" w:rsidRDefault="003D6827" w:rsidP="003D6827">
      <w:r w:rsidRPr="003D6827">
        <w:t>8:1-14</w:t>
      </w:r>
      <w:r w:rsidRPr="003D6827">
        <w:tab/>
      </w:r>
      <w:r w:rsidRPr="003D6827">
        <w:tab/>
      </w:r>
      <w:r>
        <w:t>A</w:t>
      </w:r>
      <w:r w:rsidRPr="003D6827">
        <w:t xml:space="preserve"> confrontation about political initiatives</w:t>
      </w:r>
    </w:p>
    <w:p w:rsidR="003D6827" w:rsidRPr="003D6827" w:rsidRDefault="003D6827" w:rsidP="003D6827">
      <w:r>
        <w:t>9:1-9</w:t>
      </w:r>
      <w:r>
        <w:tab/>
      </w:r>
      <w:r>
        <w:tab/>
        <w:t>A</w:t>
      </w:r>
      <w:r w:rsidRPr="003D6827">
        <w:t xml:space="preserve"> confrontation about worship</w:t>
      </w:r>
    </w:p>
    <w:p w:rsidR="00865C8A" w:rsidRDefault="00865C8A" w:rsidP="00EF7B98">
      <w:pPr>
        <w:pStyle w:val="Heading1"/>
      </w:pPr>
      <w:r>
        <w:lastRenderedPageBreak/>
        <w:t>Hos</w:t>
      </w:r>
      <w:r w:rsidR="00FF6A58">
        <w:t>ea 4:1</w:t>
      </w:r>
      <w:r w:rsidR="0096363D">
        <w:t>-19</w:t>
      </w:r>
      <w:r w:rsidR="00C93198">
        <w:t xml:space="preserve">: </w:t>
      </w:r>
      <w:r w:rsidR="002F7216">
        <w:t>L</w:t>
      </w:r>
      <w:r w:rsidR="00D02E8B">
        <w:t xml:space="preserve">isten (A </w:t>
      </w:r>
      <w:r w:rsidR="002F7216">
        <w:t>Confrontation about Whoring</w:t>
      </w:r>
      <w:r w:rsidR="00D02E8B">
        <w:t>)</w:t>
      </w:r>
    </w:p>
    <w:p w:rsidR="00865C8A" w:rsidRDefault="00865C8A" w:rsidP="001D3546">
      <w:pPr>
        <w:pStyle w:val="Heading2"/>
      </w:pPr>
      <w:r>
        <w:t xml:space="preserve">Translation </w:t>
      </w:r>
    </w:p>
    <w:p w:rsidR="00FF6A58" w:rsidRDefault="00FF6A58" w:rsidP="00FF6A58">
      <w:r>
        <w:rPr>
          <w:vertAlign w:val="superscript"/>
        </w:rPr>
        <w:t>1</w:t>
      </w:r>
      <w:r>
        <w:t xml:space="preserve">Listen to Yahweh’s word, </w:t>
      </w:r>
    </w:p>
    <w:p w:rsidR="00FF6A58" w:rsidRDefault="00FF6A58" w:rsidP="00FF6A58">
      <w:r>
        <w:tab/>
      </w:r>
      <w:r w:rsidRPr="008B13C4">
        <w:t>Yiśrā’ēl</w:t>
      </w:r>
      <w:r>
        <w:t>ites.</w:t>
      </w:r>
    </w:p>
    <w:p w:rsidR="00FF6A58" w:rsidRDefault="009D416B" w:rsidP="00FF6A58">
      <w:r>
        <w:t>Because Yahweh has a confrontation</w:t>
      </w:r>
    </w:p>
    <w:p w:rsidR="00FF6A58" w:rsidRDefault="00FF6A58" w:rsidP="00FF6A58">
      <w:r>
        <w:tab/>
        <w:t>with the people who live in the earth.</w:t>
      </w:r>
      <w:r>
        <w:rPr>
          <w:rStyle w:val="FootnoteReference"/>
        </w:rPr>
        <w:footnoteReference w:id="178"/>
      </w:r>
    </w:p>
    <w:p w:rsidR="00FF6A58" w:rsidRDefault="00FF6A58" w:rsidP="00FF6A58">
      <w:r>
        <w:t>Because there’s no truthfulness and no commitment,</w:t>
      </w:r>
    </w:p>
    <w:p w:rsidR="00FF6A58" w:rsidRDefault="00C91842" w:rsidP="00FF6A58">
      <w:r>
        <w:tab/>
        <w:t>and there’s no acknowledging</w:t>
      </w:r>
      <w:r w:rsidR="00FF6A58">
        <w:t xml:space="preserve"> of God in the earth. </w:t>
      </w:r>
    </w:p>
    <w:p w:rsidR="00FF6A58" w:rsidRDefault="00FF6A58" w:rsidP="00FF6A58">
      <w:r>
        <w:rPr>
          <w:vertAlign w:val="superscript"/>
        </w:rPr>
        <w:t>2</w:t>
      </w:r>
      <w:r w:rsidR="0096363D">
        <w:t>Oath-taking</w:t>
      </w:r>
      <w:r>
        <w:t>,</w:t>
      </w:r>
      <w:r w:rsidR="00095806">
        <w:t xml:space="preserve"> deception</w:t>
      </w:r>
      <w:r>
        <w:t>, murder,</w:t>
      </w:r>
    </w:p>
    <w:p w:rsidR="00FF6A58" w:rsidRDefault="00617C54" w:rsidP="00FF6A58">
      <w:r>
        <w:tab/>
        <w:t>theft</w:t>
      </w:r>
      <w:r w:rsidR="00EA4CA6">
        <w:t>, adultery—they’</w:t>
      </w:r>
      <w:r w:rsidR="00FF6A58">
        <w:t>ve spread out;</w:t>
      </w:r>
      <w:r w:rsidR="00FF6A58">
        <w:rPr>
          <w:rStyle w:val="FootnoteReference"/>
        </w:rPr>
        <w:footnoteReference w:id="179"/>
      </w:r>
    </w:p>
    <w:p w:rsidR="00FF6A58" w:rsidRDefault="00FF6A58" w:rsidP="00FF6A58">
      <w:r>
        <w:tab/>
        <w:t>bloodshed has followed hard on bloodshed.</w:t>
      </w:r>
    </w:p>
    <w:p w:rsidR="005C43AF" w:rsidRDefault="005C43AF" w:rsidP="00FF6A58">
      <w:pPr>
        <w:rPr>
          <w:vertAlign w:val="superscript"/>
        </w:rPr>
      </w:pPr>
    </w:p>
    <w:p w:rsidR="00FF6A58" w:rsidRDefault="00FF6A58" w:rsidP="00FF6A58">
      <w:r>
        <w:rPr>
          <w:vertAlign w:val="superscript"/>
        </w:rPr>
        <w:t>3</w:t>
      </w:r>
      <w:r>
        <w:t>Therefore the earth will wither</w:t>
      </w:r>
      <w:r>
        <w:rPr>
          <w:rStyle w:val="FootnoteReference"/>
        </w:rPr>
        <w:footnoteReference w:id="180"/>
      </w:r>
    </w:p>
    <w:p w:rsidR="00FF6A58" w:rsidRDefault="00FF6A58" w:rsidP="00FF6A58">
      <w:r>
        <w:tab/>
        <w:t>and everything</w:t>
      </w:r>
      <w:r>
        <w:rPr>
          <w:rStyle w:val="FootnoteReference"/>
        </w:rPr>
        <w:footnoteReference w:id="181"/>
      </w:r>
      <w:r>
        <w:t xml:space="preserve"> that lives in it will be wasted.</w:t>
      </w:r>
    </w:p>
    <w:p w:rsidR="00FF6A58" w:rsidRDefault="00FF6A58" w:rsidP="00FF6A58">
      <w:r>
        <w:t>With</w:t>
      </w:r>
      <w:r w:rsidR="001C19DD">
        <w:t xml:space="preserve"> the creature of</w:t>
      </w:r>
      <w:r>
        <w:t xml:space="preserve"> the wild</w:t>
      </w:r>
      <w:r>
        <w:rPr>
          <w:rStyle w:val="FootnoteReference"/>
        </w:rPr>
        <w:footnoteReference w:id="182"/>
      </w:r>
      <w:r w:rsidR="001C19DD">
        <w:t xml:space="preserve"> and with the bird of</w:t>
      </w:r>
      <w:r>
        <w:t xml:space="preserve"> the heavens, </w:t>
      </w:r>
    </w:p>
    <w:p w:rsidR="00FF6A58" w:rsidRDefault="001C19DD" w:rsidP="00FF6A58">
      <w:r>
        <w:tab/>
        <w:t>and also the fish of</w:t>
      </w:r>
      <w:r w:rsidR="00FF6A58">
        <w:t xml:space="preserve"> the sea—they will be gathered up.</w:t>
      </w:r>
    </w:p>
    <w:p w:rsidR="00FF6A58" w:rsidRPr="00ED7009" w:rsidRDefault="00FF6A58" w:rsidP="00FF6A58"/>
    <w:p w:rsidR="005931CA" w:rsidRDefault="005931CA" w:rsidP="00865C8A">
      <w:r>
        <w:rPr>
          <w:vertAlign w:val="superscript"/>
        </w:rPr>
        <w:t>4</w:t>
      </w:r>
      <w:r>
        <w:t xml:space="preserve">Yet </w:t>
      </w:r>
      <w:r w:rsidR="00550361">
        <w:t>“</w:t>
      </w:r>
      <w:r w:rsidR="0042707B">
        <w:t>N</w:t>
      </w:r>
      <w:r w:rsidR="009D416B">
        <w:t>o one is to confront</w:t>
      </w:r>
      <w:r>
        <w:t xml:space="preserve">, </w:t>
      </w:r>
    </w:p>
    <w:p w:rsidR="005931CA" w:rsidRDefault="00550361" w:rsidP="00865C8A">
      <w:r>
        <w:tab/>
        <w:t>and no one is to reprove</w:t>
      </w:r>
      <w:r w:rsidR="00C237D7">
        <w:t>.</w:t>
      </w:r>
    </w:p>
    <w:p w:rsidR="00865C8A" w:rsidRDefault="00015743" w:rsidP="00865C8A">
      <w:r>
        <w:t>Y</w:t>
      </w:r>
      <w:r w:rsidR="005931CA">
        <w:t xml:space="preserve">our </w:t>
      </w:r>
      <w:r w:rsidR="00B17F13">
        <w:t>[Hosea’s]</w:t>
      </w:r>
      <w:r w:rsidR="005107EF">
        <w:rPr>
          <w:rStyle w:val="FootnoteReference"/>
        </w:rPr>
        <w:footnoteReference w:id="183"/>
      </w:r>
      <w:r w:rsidR="00B17F13">
        <w:t xml:space="preserve"> </w:t>
      </w:r>
      <w:r w:rsidR="005931CA">
        <w:t>peop</w:t>
      </w:r>
      <w:r w:rsidR="00550361">
        <w:t xml:space="preserve">le </w:t>
      </w:r>
      <w:r>
        <w:t xml:space="preserve">being </w:t>
      </w:r>
      <w:r w:rsidR="00CB0274">
        <w:t>such as</w:t>
      </w:r>
      <w:r w:rsidR="00550361">
        <w:t xml:space="preserve"> </w:t>
      </w:r>
      <w:r w:rsidR="00CB0274">
        <w:t>do</w:t>
      </w:r>
      <w:r w:rsidRPr="00015743">
        <w:rPr>
          <w:vertAlign w:val="superscript"/>
        </w:rPr>
        <w:footnoteReference w:id="184"/>
      </w:r>
      <w:r>
        <w:t xml:space="preserve"> </w:t>
      </w:r>
      <w:r w:rsidR="009D416B">
        <w:t>confront</w:t>
      </w:r>
      <w:r w:rsidR="004E7614">
        <w:t xml:space="preserve"> a priest</w:t>
      </w:r>
      <w:r>
        <w:t>,</w:t>
      </w:r>
      <w:r w:rsidR="005E5677">
        <w:rPr>
          <w:rStyle w:val="FootnoteReference"/>
        </w:rPr>
        <w:footnoteReference w:id="185"/>
      </w:r>
    </w:p>
    <w:p w:rsidR="005931CA" w:rsidRDefault="00015743" w:rsidP="00865C8A">
      <w:r>
        <w:rPr>
          <w:vertAlign w:val="superscript"/>
        </w:rPr>
        <w:tab/>
      </w:r>
      <w:r w:rsidR="005931CA">
        <w:rPr>
          <w:vertAlign w:val="superscript"/>
        </w:rPr>
        <w:t>5</w:t>
      </w:r>
      <w:r>
        <w:t>you will collapse to</w:t>
      </w:r>
      <w:r w:rsidR="00550361">
        <w:t>day</w:t>
      </w:r>
      <w:r>
        <w:t>.</w:t>
      </w:r>
      <w:r w:rsidR="00EC02BA">
        <w:rPr>
          <w:rStyle w:val="FootnoteReference"/>
        </w:rPr>
        <w:footnoteReference w:id="186"/>
      </w:r>
    </w:p>
    <w:p w:rsidR="005931CA" w:rsidRDefault="00015743" w:rsidP="00865C8A">
      <w:r>
        <w:t>A</w:t>
      </w:r>
      <w:r w:rsidR="005931CA">
        <w:t xml:space="preserve"> prophet will </w:t>
      </w:r>
      <w:r w:rsidR="00C640DE">
        <w:t>also collapse</w:t>
      </w:r>
      <w:r w:rsidR="00AF00D8">
        <w:t xml:space="preserve"> with you by</w:t>
      </w:r>
      <w:r w:rsidR="00C237D7">
        <w:t xml:space="preserve"> night</w:t>
      </w:r>
      <w:r w:rsidR="00865B04">
        <w:rPr>
          <w:rStyle w:val="FootnoteReference"/>
        </w:rPr>
        <w:footnoteReference w:id="187"/>
      </w:r>
    </w:p>
    <w:p w:rsidR="0004544C" w:rsidRDefault="00015743" w:rsidP="00865C8A">
      <w:r>
        <w:tab/>
        <w:t>a</w:t>
      </w:r>
      <w:r w:rsidR="0004544C">
        <w:t xml:space="preserve">nd I </w:t>
      </w:r>
      <w:r w:rsidR="001C19DD">
        <w:t>will</w:t>
      </w:r>
      <w:r w:rsidR="0004544C">
        <w:t xml:space="preserve"> cut off</w:t>
      </w:r>
      <w:r w:rsidR="00202532">
        <w:rPr>
          <w:rStyle w:val="FootnoteReference"/>
        </w:rPr>
        <w:footnoteReference w:id="188"/>
      </w:r>
      <w:r w:rsidR="005931CA">
        <w:t xml:space="preserve"> your mother</w:t>
      </w:r>
      <w:r>
        <w:t>.”</w:t>
      </w:r>
      <w:r w:rsidR="00732177">
        <w:rPr>
          <w:rStyle w:val="FootnoteReference"/>
        </w:rPr>
        <w:footnoteReference w:id="189"/>
      </w:r>
    </w:p>
    <w:p w:rsidR="00015743" w:rsidRDefault="00015743" w:rsidP="00865C8A"/>
    <w:p w:rsidR="00C237D7" w:rsidRDefault="005931CA" w:rsidP="00865C8A">
      <w:r>
        <w:rPr>
          <w:vertAlign w:val="superscript"/>
        </w:rPr>
        <w:t>6</w:t>
      </w:r>
      <w:r w:rsidR="00015743">
        <w:t>M</w:t>
      </w:r>
      <w:r w:rsidR="0004544C">
        <w:t xml:space="preserve">y people are cut off </w:t>
      </w:r>
    </w:p>
    <w:p w:rsidR="005931CA" w:rsidRDefault="00C237D7" w:rsidP="00865C8A">
      <w:r>
        <w:lastRenderedPageBreak/>
        <w:tab/>
      </w:r>
      <w:r w:rsidR="009E569D">
        <w:t>through lack of</w:t>
      </w:r>
      <w:r w:rsidR="0004544C">
        <w:t xml:space="preserve"> acknowledging.</w:t>
      </w:r>
    </w:p>
    <w:p w:rsidR="0004544C" w:rsidRDefault="00EA4CA6" w:rsidP="00865C8A">
      <w:r>
        <w:t>Because you’</w:t>
      </w:r>
      <w:r w:rsidR="0004544C">
        <w:t xml:space="preserve">ve rejected acknowledging, </w:t>
      </w:r>
    </w:p>
    <w:p w:rsidR="0004544C" w:rsidRDefault="00F475AE" w:rsidP="00865C8A">
      <w:r>
        <w:tab/>
        <w:t xml:space="preserve">I </w:t>
      </w:r>
      <w:r w:rsidR="0004544C">
        <w:t>reje</w:t>
      </w:r>
      <w:r w:rsidR="000C4AB7">
        <w:t>ct you from acting as priest in relation to</w:t>
      </w:r>
      <w:r w:rsidR="0004544C">
        <w:t xml:space="preserve"> me.</w:t>
      </w:r>
    </w:p>
    <w:p w:rsidR="0004544C" w:rsidRDefault="00EA4CA6" w:rsidP="00865C8A">
      <w:r>
        <w:t>You’</w:t>
      </w:r>
      <w:r w:rsidR="007959B2">
        <w:t>ve disregarded</w:t>
      </w:r>
      <w:r w:rsidR="0004544C">
        <w:t xml:space="preserve"> your God’s instruction; </w:t>
      </w:r>
    </w:p>
    <w:p w:rsidR="0004544C" w:rsidRDefault="007959B2" w:rsidP="00865C8A">
      <w:r>
        <w:tab/>
        <w:t xml:space="preserve">I myself, too, </w:t>
      </w:r>
      <w:r w:rsidR="001C19DD">
        <w:t>will</w:t>
      </w:r>
      <w:r>
        <w:t xml:space="preserve"> disregard your children</w:t>
      </w:r>
      <w:r w:rsidR="0004544C">
        <w:t>.</w:t>
      </w:r>
    </w:p>
    <w:p w:rsidR="00746D85" w:rsidRDefault="00746D85" w:rsidP="00865C8A">
      <w:r>
        <w:rPr>
          <w:vertAlign w:val="superscript"/>
        </w:rPr>
        <w:t>7</w:t>
      </w:r>
      <w:r w:rsidR="00073064">
        <w:t>In accordance with the</w:t>
      </w:r>
      <w:r w:rsidR="00F30923">
        <w:t xml:space="preserve"> number</w:t>
      </w:r>
      <w:r w:rsidR="00073064">
        <w:t xml:space="preserve"> of them</w:t>
      </w:r>
      <w:r>
        <w:t>,</w:t>
      </w:r>
      <w:r>
        <w:rPr>
          <w:rStyle w:val="FootnoteReference"/>
        </w:rPr>
        <w:footnoteReference w:id="190"/>
      </w:r>
      <w:r>
        <w:t xml:space="preserve"> </w:t>
      </w:r>
      <w:r w:rsidR="00F30923">
        <w:t xml:space="preserve">so </w:t>
      </w:r>
      <w:r w:rsidR="00EA4CA6">
        <w:t>they’</w:t>
      </w:r>
      <w:r w:rsidR="00F40F99">
        <w:t xml:space="preserve">ve </w:t>
      </w:r>
      <w:r w:rsidR="00F30923">
        <w:t>done wrong</w:t>
      </w:r>
      <w:r>
        <w:t xml:space="preserve"> in relation to me; </w:t>
      </w:r>
    </w:p>
    <w:p w:rsidR="00746D85" w:rsidRDefault="00746D85" w:rsidP="00865C8A">
      <w:r>
        <w:tab/>
        <w:t>their honor I will change</w:t>
      </w:r>
      <w:r w:rsidR="00216A7C">
        <w:rPr>
          <w:rStyle w:val="FootnoteReference"/>
        </w:rPr>
        <w:footnoteReference w:id="191"/>
      </w:r>
      <w:r>
        <w:t xml:space="preserve"> to slighting.</w:t>
      </w:r>
    </w:p>
    <w:p w:rsidR="00746D85" w:rsidRDefault="00746D85" w:rsidP="00865C8A">
      <w:r>
        <w:rPr>
          <w:vertAlign w:val="superscript"/>
        </w:rPr>
        <w:t>8</w:t>
      </w:r>
      <w:r w:rsidR="005F546D">
        <w:t>They eat off</w:t>
      </w:r>
      <w:r>
        <w:t xml:space="preserve"> my people’s wrongdoing; </w:t>
      </w:r>
    </w:p>
    <w:p w:rsidR="00746D85" w:rsidRDefault="00746D85" w:rsidP="00865C8A">
      <w:r>
        <w:tab/>
        <w:t xml:space="preserve">they </w:t>
      </w:r>
      <w:r w:rsidR="00DD4ED8">
        <w:t xml:space="preserve">raise </w:t>
      </w:r>
      <w:r w:rsidR="0076588D">
        <w:t>[each] his appetite</w:t>
      </w:r>
      <w:r w:rsidR="00971823">
        <w:rPr>
          <w:rStyle w:val="FootnoteReference"/>
        </w:rPr>
        <w:footnoteReference w:id="192"/>
      </w:r>
      <w:r w:rsidR="0076588D">
        <w:t xml:space="preserve"> </w:t>
      </w:r>
      <w:r>
        <w:t>for their waywardness.</w:t>
      </w:r>
    </w:p>
    <w:p w:rsidR="00EA4350" w:rsidRDefault="00746D85" w:rsidP="00865C8A">
      <w:r>
        <w:rPr>
          <w:vertAlign w:val="superscript"/>
        </w:rPr>
        <w:t>9</w:t>
      </w:r>
      <w:r w:rsidR="00F80AC7">
        <w:t>And</w:t>
      </w:r>
      <w:r>
        <w:t xml:space="preserve"> it w</w:t>
      </w:r>
      <w:r w:rsidR="00F80AC7">
        <w:t>ill be like people, like priest;</w:t>
      </w:r>
      <w:r w:rsidR="00530C4B">
        <w:rPr>
          <w:rStyle w:val="FootnoteReference"/>
        </w:rPr>
        <w:footnoteReference w:id="193"/>
      </w:r>
      <w:r>
        <w:t xml:space="preserve"> </w:t>
      </w:r>
    </w:p>
    <w:p w:rsidR="00746D85" w:rsidRDefault="00EA4350" w:rsidP="00865C8A">
      <w:r>
        <w:tab/>
      </w:r>
      <w:r w:rsidR="00746D85">
        <w:t>I will atten</w:t>
      </w:r>
      <w:r>
        <w:t>d to its ways for it,</w:t>
      </w:r>
    </w:p>
    <w:p w:rsidR="00EA4350" w:rsidRDefault="00F15DBB" w:rsidP="00865C8A">
      <w:r>
        <w:tab/>
        <w:t>its deeds I</w:t>
      </w:r>
      <w:r w:rsidR="00EA4350">
        <w:t xml:space="preserve"> </w:t>
      </w:r>
      <w:r>
        <w:t xml:space="preserve">will give </w:t>
      </w:r>
      <w:r w:rsidR="00EA4350">
        <w:t>back to it.</w:t>
      </w:r>
    </w:p>
    <w:p w:rsidR="00F15DBB" w:rsidRDefault="00F15DBB" w:rsidP="00865C8A"/>
    <w:p w:rsidR="00865B04" w:rsidRDefault="00EA4350" w:rsidP="00865C8A">
      <w:r>
        <w:rPr>
          <w:vertAlign w:val="superscript"/>
        </w:rPr>
        <w:t>10</w:t>
      </w:r>
      <w:r w:rsidR="00F15DBB">
        <w:t>So t</w:t>
      </w:r>
      <w:r w:rsidR="00526933">
        <w:t xml:space="preserve">hey </w:t>
      </w:r>
      <w:r w:rsidR="00C05FB6">
        <w:t xml:space="preserve">eat but </w:t>
      </w:r>
      <w:r w:rsidR="00526933">
        <w:t>they won’</w:t>
      </w:r>
      <w:r>
        <w:t xml:space="preserve">t be full; </w:t>
      </w:r>
    </w:p>
    <w:p w:rsidR="00EA4350" w:rsidRDefault="00865B04" w:rsidP="00865C8A">
      <w:r>
        <w:tab/>
      </w:r>
      <w:r w:rsidR="00C05FB6">
        <w:t>they’</w:t>
      </w:r>
      <w:r w:rsidR="00EA4350">
        <w:t>ve</w:t>
      </w:r>
      <w:r w:rsidR="00C05FB6">
        <w:t xml:space="preserve"> whored, but they won’</w:t>
      </w:r>
      <w:r w:rsidR="00564FC3">
        <w:t>t spread</w:t>
      </w:r>
      <w:r w:rsidR="00EA4350">
        <w:t xml:space="preserve"> out.</w:t>
      </w:r>
    </w:p>
    <w:p w:rsidR="00EA4350" w:rsidRDefault="001B6FD7" w:rsidP="00865C8A">
      <w:r>
        <w:t xml:space="preserve">Because </w:t>
      </w:r>
      <w:r w:rsidR="00D221E4">
        <w:t>Yahweh</w:t>
      </w:r>
      <w:r w:rsidR="00D221E4" w:rsidRPr="00D221E4">
        <w:rPr>
          <w:vertAlign w:val="superscript"/>
        </w:rPr>
        <w:footnoteReference w:id="194"/>
      </w:r>
      <w:r w:rsidR="00181C14">
        <w:t>—</w:t>
      </w:r>
      <w:r w:rsidR="005620A1">
        <w:t>t</w:t>
      </w:r>
      <w:r w:rsidR="00C05FB6">
        <w:t>hey’</w:t>
      </w:r>
      <w:r w:rsidR="00D221E4">
        <w:t xml:space="preserve">ve abandoned </w:t>
      </w:r>
      <w:r w:rsidR="005620A1">
        <w:t xml:space="preserve">him </w:t>
      </w:r>
      <w:r w:rsidR="00831BA9">
        <w:t>to observ</w:t>
      </w:r>
      <w:r w:rsidR="00EA4350">
        <w:t>e</w:t>
      </w:r>
      <w:r w:rsidR="00865B04">
        <w:rPr>
          <w:rStyle w:val="FootnoteReference"/>
        </w:rPr>
        <w:footnoteReference w:id="195"/>
      </w:r>
      <w:r w:rsidR="00831BA9">
        <w:t xml:space="preserve"> </w:t>
      </w:r>
      <w:r w:rsidR="00EA4350">
        <w:rPr>
          <w:vertAlign w:val="superscript"/>
        </w:rPr>
        <w:t>11</w:t>
      </w:r>
      <w:r>
        <w:t>whoring,</w:t>
      </w:r>
      <w:r w:rsidR="00323D44">
        <w:rPr>
          <w:rStyle w:val="FootnoteReference"/>
        </w:rPr>
        <w:footnoteReference w:id="196"/>
      </w:r>
    </w:p>
    <w:p w:rsidR="00EA4350" w:rsidRDefault="001B6FD7" w:rsidP="00865C8A">
      <w:r>
        <w:tab/>
        <w:t>and wine and new wine that takes</w:t>
      </w:r>
      <w:r w:rsidR="007A5BD9">
        <w:rPr>
          <w:rStyle w:val="FootnoteReference"/>
        </w:rPr>
        <w:footnoteReference w:id="197"/>
      </w:r>
      <w:r>
        <w:t xml:space="preserve"> their mind.</w:t>
      </w:r>
      <w:r w:rsidR="00323D44">
        <w:rPr>
          <w:rStyle w:val="FootnoteReference"/>
        </w:rPr>
        <w:footnoteReference w:id="198"/>
      </w:r>
    </w:p>
    <w:p w:rsidR="00897FBE" w:rsidRDefault="00897FBE" w:rsidP="00865C8A">
      <w:r>
        <w:rPr>
          <w:vertAlign w:val="superscript"/>
        </w:rPr>
        <w:t>12</w:t>
      </w:r>
      <w:r w:rsidR="001B6FD7">
        <w:t>My people</w:t>
      </w:r>
      <w:r w:rsidR="00D85DE9">
        <w:rPr>
          <w:rStyle w:val="FootnoteReference"/>
        </w:rPr>
        <w:footnoteReference w:id="199"/>
      </w:r>
      <w:r w:rsidR="00D85DE9">
        <w:t xml:space="preserve">—it </w:t>
      </w:r>
      <w:r w:rsidR="009604FF">
        <w:t>asks things of</w:t>
      </w:r>
      <w:r w:rsidR="00F34D6A">
        <w:t xml:space="preserve"> a piece of wood,</w:t>
      </w:r>
      <w:r>
        <w:t xml:space="preserve"> </w:t>
      </w:r>
    </w:p>
    <w:p w:rsidR="00897FBE" w:rsidRDefault="00897FBE" w:rsidP="00865C8A">
      <w:r>
        <w:tab/>
      </w:r>
      <w:r w:rsidR="00F34D6A">
        <w:t>of</w:t>
      </w:r>
      <w:r w:rsidR="00517705" w:rsidRPr="00517705">
        <w:rPr>
          <w:vertAlign w:val="superscript"/>
        </w:rPr>
        <w:footnoteReference w:id="200"/>
      </w:r>
      <w:r w:rsidR="00F34D6A">
        <w:t xml:space="preserve"> </w:t>
      </w:r>
      <w:r w:rsidR="002F3D6E">
        <w:t>its</w:t>
      </w:r>
      <w:r>
        <w:t xml:space="preserve"> stick </w:t>
      </w:r>
      <w:r w:rsidR="00F34D6A">
        <w:t>that inform</w:t>
      </w:r>
      <w:r>
        <w:t>s it.</w:t>
      </w:r>
    </w:p>
    <w:p w:rsidR="00897FBE" w:rsidRDefault="00897FBE" w:rsidP="00865C8A">
      <w:r>
        <w:t xml:space="preserve">Because a </w:t>
      </w:r>
      <w:r w:rsidR="009B42E1">
        <w:t>downright whorish</w:t>
      </w:r>
      <w:r>
        <w:t xml:space="preserve"> spirit has led it astray;</w:t>
      </w:r>
      <w:r w:rsidR="002F3D6E">
        <w:rPr>
          <w:rStyle w:val="FootnoteReference"/>
        </w:rPr>
        <w:footnoteReference w:id="201"/>
      </w:r>
      <w:r>
        <w:t xml:space="preserve"> </w:t>
      </w:r>
    </w:p>
    <w:p w:rsidR="00897FBE" w:rsidRDefault="00C05FB6" w:rsidP="00865C8A">
      <w:r>
        <w:tab/>
        <w:t>t</w:t>
      </w:r>
      <w:r w:rsidR="00EA4CA6">
        <w:t>hey’</w:t>
      </w:r>
      <w:r w:rsidR="00897FBE">
        <w:t>ve whored away from being under their God.</w:t>
      </w:r>
    </w:p>
    <w:p w:rsidR="00897FBE" w:rsidRDefault="00897FBE" w:rsidP="00865C8A">
      <w:r>
        <w:rPr>
          <w:vertAlign w:val="superscript"/>
        </w:rPr>
        <w:t>13</w:t>
      </w:r>
      <w:r>
        <w:t xml:space="preserve">On the tops of the mountains they sacrifice, </w:t>
      </w:r>
    </w:p>
    <w:p w:rsidR="00897FBE" w:rsidRDefault="00897FBE" w:rsidP="00865C8A">
      <w:r>
        <w:tab/>
        <w:t>on the hills they burn incense,</w:t>
      </w:r>
    </w:p>
    <w:p w:rsidR="00897FBE" w:rsidRDefault="00897FBE" w:rsidP="00865C8A">
      <w:r>
        <w:t xml:space="preserve">Under oak, poplar, and terebinth, </w:t>
      </w:r>
    </w:p>
    <w:p w:rsidR="00897FBE" w:rsidRDefault="00897FBE" w:rsidP="00865C8A">
      <w:r>
        <w:tab/>
        <w:t>because its shade is good.</w:t>
      </w:r>
    </w:p>
    <w:p w:rsidR="006E36F8" w:rsidRDefault="00897FBE" w:rsidP="00865C8A">
      <w:r>
        <w:t>Therefore your daughters whore</w:t>
      </w:r>
      <w:r w:rsidR="006E36F8">
        <w:t>,</w:t>
      </w:r>
      <w:r>
        <w:t xml:space="preserve"> </w:t>
      </w:r>
    </w:p>
    <w:p w:rsidR="00897FBE" w:rsidRDefault="006E36F8" w:rsidP="00865C8A">
      <w:r>
        <w:tab/>
      </w:r>
      <w:r w:rsidR="00897FBE">
        <w:t xml:space="preserve">and your daughters-in-law </w:t>
      </w:r>
      <w:r>
        <w:t>commit adultery.</w:t>
      </w:r>
      <w:r w:rsidR="009F1476">
        <w:rPr>
          <w:rStyle w:val="FootnoteReference"/>
        </w:rPr>
        <w:footnoteReference w:id="202"/>
      </w:r>
    </w:p>
    <w:p w:rsidR="006E36F8" w:rsidRDefault="006E36F8" w:rsidP="00865C8A">
      <w:r>
        <w:rPr>
          <w:vertAlign w:val="superscript"/>
        </w:rPr>
        <w:lastRenderedPageBreak/>
        <w:t>14</w:t>
      </w:r>
      <w:r w:rsidR="0034224A">
        <w:t xml:space="preserve">I </w:t>
      </w:r>
      <w:r w:rsidR="001C19DD">
        <w:t>will</w:t>
      </w:r>
      <w:r w:rsidR="0019169F">
        <w:t xml:space="preserve"> not attend</w:t>
      </w:r>
      <w:r>
        <w:t xml:space="preserve"> to your daughters because they whore, </w:t>
      </w:r>
    </w:p>
    <w:p w:rsidR="006E36F8" w:rsidRDefault="006E36F8" w:rsidP="00865C8A">
      <w:r>
        <w:tab/>
        <w:t>or to your daughters-in-law because they commit adultery.</w:t>
      </w:r>
    </w:p>
    <w:p w:rsidR="006E36F8" w:rsidRDefault="006E36F8" w:rsidP="00865C8A">
      <w:r>
        <w:t>Because th</w:t>
      </w:r>
      <w:r w:rsidR="00A44E53">
        <w:t>ose men</w:t>
      </w:r>
      <w:r>
        <w:t xml:space="preserve"> go off with whores, </w:t>
      </w:r>
    </w:p>
    <w:p w:rsidR="006E36F8" w:rsidRDefault="006E36F8" w:rsidP="00865C8A">
      <w:r>
        <w:tab/>
        <w:t xml:space="preserve">and sacrifice with hierodules, </w:t>
      </w:r>
    </w:p>
    <w:p w:rsidR="006E36F8" w:rsidRDefault="00743FF0" w:rsidP="00865C8A">
      <w:r>
        <w:tab/>
        <w:t>and a</w:t>
      </w:r>
      <w:r w:rsidR="0063243B">
        <w:t xml:space="preserve"> people that does not consider</w:t>
      </w:r>
      <w:r w:rsidR="0063243B">
        <w:rPr>
          <w:rStyle w:val="FootnoteReference"/>
        </w:rPr>
        <w:footnoteReference w:id="203"/>
      </w:r>
      <w:r>
        <w:t xml:space="preserve"> </w:t>
      </w:r>
      <w:r w:rsidR="006E36F8">
        <w:t>will tumble.</w:t>
      </w:r>
    </w:p>
    <w:p w:rsidR="00A43A08" w:rsidRDefault="00A43A08" w:rsidP="00865C8A"/>
    <w:p w:rsidR="006E36F8" w:rsidRDefault="006E36F8" w:rsidP="00865C8A">
      <w:r>
        <w:rPr>
          <w:vertAlign w:val="superscript"/>
        </w:rPr>
        <w:t>15</w:t>
      </w:r>
      <w:r w:rsidR="000E05AE">
        <w:t>If you</w:t>
      </w:r>
      <w:r w:rsidR="00756F36">
        <w:t>’</w:t>
      </w:r>
      <w:r w:rsidR="00F34D6A">
        <w:t xml:space="preserve">re a </w:t>
      </w:r>
      <w:r w:rsidR="008B13C4">
        <w:t xml:space="preserve">whore, </w:t>
      </w:r>
      <w:r w:rsidR="008B13C4" w:rsidRPr="008B13C4">
        <w:t>Yiśrā’ēl</w:t>
      </w:r>
      <w:r w:rsidR="00395FB7">
        <w:t xml:space="preserve">, </w:t>
      </w:r>
    </w:p>
    <w:p w:rsidR="00456ED6" w:rsidRDefault="003D5834" w:rsidP="00865C8A">
      <w:r>
        <w:tab/>
      </w:r>
      <w:r w:rsidRPr="003D5834">
        <w:t>Yəhûdāh</w:t>
      </w:r>
      <w:r w:rsidR="00DB2957">
        <w:t xml:space="preserve"> is not to incur guilt</w:t>
      </w:r>
      <w:r w:rsidR="00395FB7">
        <w:t xml:space="preserve">, </w:t>
      </w:r>
    </w:p>
    <w:p w:rsidR="00395FB7" w:rsidRDefault="00456ED6" w:rsidP="00865C8A">
      <w:r>
        <w:t>S</w:t>
      </w:r>
      <w:r w:rsidR="00732177">
        <w:t>o</w:t>
      </w:r>
      <w:r w:rsidR="00395FB7">
        <w:t xml:space="preserve"> don’</w:t>
      </w:r>
      <w:r w:rsidR="007D2BF3">
        <w:t>t come to Gilgā</w:t>
      </w:r>
      <w:r w:rsidR="00395FB7">
        <w:t>l,</w:t>
      </w:r>
    </w:p>
    <w:p w:rsidR="00395FB7" w:rsidRDefault="0034224A" w:rsidP="00865C8A">
      <w:r>
        <w:tab/>
      </w:r>
      <w:r w:rsidR="000E05AE">
        <w:t>d</w:t>
      </w:r>
      <w:r w:rsidR="00395FB7">
        <w:t>on’</w:t>
      </w:r>
      <w:r w:rsidR="0093725B">
        <w:t>t go up to Bȇt ’Ā</w:t>
      </w:r>
      <w:r w:rsidR="007A2B0E">
        <w:t>w</w:t>
      </w:r>
      <w:r w:rsidR="00395FB7">
        <w:t xml:space="preserve">en, </w:t>
      </w:r>
    </w:p>
    <w:p w:rsidR="00395FB7" w:rsidRDefault="00395FB7" w:rsidP="00865C8A">
      <w:r>
        <w:tab/>
        <w:t>don’t swear “As Yahweh lives.”</w:t>
      </w:r>
    </w:p>
    <w:p w:rsidR="00395FB7" w:rsidRDefault="00395FB7" w:rsidP="00865C8A">
      <w:r>
        <w:rPr>
          <w:vertAlign w:val="superscript"/>
        </w:rPr>
        <w:t>16</w:t>
      </w:r>
      <w:r w:rsidR="00B61B18">
        <w:t xml:space="preserve">Because, like a </w:t>
      </w:r>
      <w:r>
        <w:t>cow</w:t>
      </w:r>
      <w:r w:rsidR="00772C04">
        <w:t xml:space="preserve"> running amok</w:t>
      </w:r>
      <w:r>
        <w:t xml:space="preserve">, </w:t>
      </w:r>
    </w:p>
    <w:p w:rsidR="00723F49" w:rsidRDefault="008B13C4" w:rsidP="00865C8A">
      <w:r>
        <w:tab/>
      </w:r>
      <w:r w:rsidRPr="008B13C4">
        <w:t>Yiśrā’ēl</w:t>
      </w:r>
      <w:r w:rsidR="00772C04">
        <w:t xml:space="preserve"> has run amok</w:t>
      </w:r>
      <w:r w:rsidR="00723F49">
        <w:t>.</w:t>
      </w:r>
      <w:r w:rsidR="00723F49">
        <w:rPr>
          <w:rStyle w:val="FootnoteReference"/>
        </w:rPr>
        <w:footnoteReference w:id="204"/>
      </w:r>
    </w:p>
    <w:p w:rsidR="00395FB7" w:rsidRDefault="00395FB7" w:rsidP="00865C8A">
      <w:r>
        <w:t xml:space="preserve">Now Yahweh will pasture them </w:t>
      </w:r>
    </w:p>
    <w:p w:rsidR="00395FB7" w:rsidRDefault="00993CC6" w:rsidP="00865C8A">
      <w:r>
        <w:tab/>
        <w:t>like sheep in a meadow?</w:t>
      </w:r>
      <w:r>
        <w:rPr>
          <w:rStyle w:val="FootnoteReference"/>
        </w:rPr>
        <w:footnoteReference w:id="205"/>
      </w:r>
    </w:p>
    <w:p w:rsidR="00395FB7" w:rsidRDefault="00395FB7" w:rsidP="00865C8A">
      <w:r>
        <w:rPr>
          <w:vertAlign w:val="superscript"/>
        </w:rPr>
        <w:t>17</w:t>
      </w:r>
      <w:r w:rsidR="00C80B4F">
        <w:t>’Ep</w:t>
      </w:r>
      <w:r>
        <w:t>ra</w:t>
      </w:r>
      <w:r w:rsidR="007D2BF3">
        <w:t>y</w:t>
      </w:r>
      <w:r w:rsidR="004E2125">
        <w:t>im is attached</w:t>
      </w:r>
      <w:r w:rsidR="00A60B40">
        <w:t xml:space="preserve"> to idols</w:t>
      </w:r>
      <w:r>
        <w:t xml:space="preserve">; </w:t>
      </w:r>
    </w:p>
    <w:p w:rsidR="00395FB7" w:rsidRDefault="004E2125" w:rsidP="00865C8A">
      <w:r>
        <w:tab/>
        <w:t>let it</w:t>
      </w:r>
      <w:r w:rsidR="00395FB7">
        <w:t xml:space="preserve"> be.</w:t>
      </w:r>
    </w:p>
    <w:p w:rsidR="006113AC" w:rsidRDefault="00395FB7" w:rsidP="00865C8A">
      <w:r>
        <w:rPr>
          <w:vertAlign w:val="superscript"/>
        </w:rPr>
        <w:t>18</w:t>
      </w:r>
      <w:r w:rsidR="00AF3F27">
        <w:t>Though</w:t>
      </w:r>
      <w:r>
        <w:t xml:space="preserve"> their drink</w:t>
      </w:r>
      <w:r w:rsidR="00AB78CB">
        <w:t>ing has stopped</w:t>
      </w:r>
      <w:r w:rsidR="007D2BF3">
        <w:t>,</w:t>
      </w:r>
      <w:r w:rsidR="00AB78CB">
        <w:rPr>
          <w:rStyle w:val="FootnoteReference"/>
        </w:rPr>
        <w:footnoteReference w:id="206"/>
      </w:r>
      <w:r w:rsidR="007D2BF3">
        <w:t xml:space="preserve"> </w:t>
      </w:r>
    </w:p>
    <w:p w:rsidR="007D2BF3" w:rsidRDefault="006113AC" w:rsidP="00865C8A">
      <w:r>
        <w:tab/>
      </w:r>
      <w:r w:rsidR="00C05FB6">
        <w:t>t</w:t>
      </w:r>
      <w:r w:rsidR="00EA4CA6">
        <w:t>hey’</w:t>
      </w:r>
      <w:r w:rsidR="00AF3F27">
        <w:t xml:space="preserve">ve </w:t>
      </w:r>
      <w:r>
        <w:t>whored and whored.</w:t>
      </w:r>
      <w:r w:rsidR="00AF3F27">
        <w:rPr>
          <w:rStyle w:val="FootnoteReference"/>
        </w:rPr>
        <w:footnoteReference w:id="207"/>
      </w:r>
      <w:r w:rsidR="007D2BF3">
        <w:t xml:space="preserve"> </w:t>
      </w:r>
    </w:p>
    <w:p w:rsidR="007D2BF3" w:rsidRDefault="006113AC" w:rsidP="00865C8A">
      <w:r>
        <w:t>I</w:t>
      </w:r>
      <w:r w:rsidR="00F34D6A">
        <w:t>ts</w:t>
      </w:r>
      <w:r w:rsidR="007D2BF3">
        <w:t xml:space="preserve"> shields</w:t>
      </w:r>
      <w:r w:rsidR="007C5EF7">
        <w:rPr>
          <w:rStyle w:val="FootnoteReference"/>
        </w:rPr>
        <w:footnoteReference w:id="208"/>
      </w:r>
      <w:r w:rsidR="007D2BF3">
        <w:t xml:space="preserve"> dearly</w:t>
      </w:r>
      <w:r w:rsidR="00C34872">
        <w:rPr>
          <w:rStyle w:val="FootnoteReference"/>
        </w:rPr>
        <w:footnoteReference w:id="209"/>
      </w:r>
      <w:r w:rsidR="00524108">
        <w:t xml:space="preserve"> love</w:t>
      </w:r>
      <w:r>
        <w:t xml:space="preserve"> slighting;</w:t>
      </w:r>
    </w:p>
    <w:p w:rsidR="007D2BF3" w:rsidRDefault="006113AC" w:rsidP="00865C8A">
      <w:r>
        <w:rPr>
          <w:vertAlign w:val="superscript"/>
        </w:rPr>
        <w:tab/>
      </w:r>
      <w:r w:rsidR="007D2BF3">
        <w:rPr>
          <w:vertAlign w:val="superscript"/>
        </w:rPr>
        <w:t>19</w:t>
      </w:r>
      <w:r>
        <w:t>a</w:t>
      </w:r>
      <w:r w:rsidR="00E45034">
        <w:t xml:space="preserve"> spirit</w:t>
      </w:r>
      <w:r>
        <w:t xml:space="preserve"> has bound</w:t>
      </w:r>
      <w:r w:rsidR="007C5EF7">
        <w:t xml:space="preserve"> it</w:t>
      </w:r>
      <w:r w:rsidR="007D2BF3">
        <w:t xml:space="preserve"> </w:t>
      </w:r>
      <w:r w:rsidR="00E45034">
        <w:t>up</w:t>
      </w:r>
      <w:r w:rsidR="009679E1">
        <w:rPr>
          <w:rStyle w:val="FootnoteReference"/>
        </w:rPr>
        <w:footnoteReference w:id="210"/>
      </w:r>
      <w:r w:rsidR="00E45034">
        <w:t xml:space="preserve"> in its wings</w:t>
      </w:r>
      <w:r w:rsidR="004A7A8C">
        <w:t>,</w:t>
      </w:r>
      <w:r w:rsidR="007D2BF3">
        <w:t xml:space="preserve"> </w:t>
      </w:r>
    </w:p>
    <w:p w:rsidR="007D2BF3" w:rsidRDefault="007D2BF3" w:rsidP="00865C8A">
      <w:r>
        <w:tab/>
        <w:t>and they will be shamed by their sacrifices.</w:t>
      </w:r>
      <w:r w:rsidR="00C05FB6">
        <w:rPr>
          <w:rStyle w:val="FootnoteReference"/>
        </w:rPr>
        <w:footnoteReference w:id="211"/>
      </w:r>
    </w:p>
    <w:p w:rsidR="00865C8A" w:rsidRDefault="00A0194D" w:rsidP="001D3546">
      <w:pPr>
        <w:pStyle w:val="Heading2"/>
      </w:pPr>
      <w:r>
        <w:t>Interpretation</w:t>
      </w:r>
    </w:p>
    <w:p w:rsidR="004C0812" w:rsidRDefault="0095025E" w:rsidP="005E5677">
      <w:r>
        <w:t>Hosea 4</w:t>
      </w:r>
      <w:r w:rsidR="00F82213">
        <w:t xml:space="preserve"> is the first of the</w:t>
      </w:r>
      <w:r w:rsidR="00A0194D">
        <w:t xml:space="preserve"> sequence of passages that begin with </w:t>
      </w:r>
      <w:r w:rsidR="0025763A">
        <w:t>an exhortation</w:t>
      </w:r>
      <w:r w:rsidR="00A0194D">
        <w:t xml:space="preserve"> to pay attention, go on to a confrontation </w:t>
      </w:r>
      <w:r w:rsidR="0025763A">
        <w:t>a</w:t>
      </w:r>
      <w:r w:rsidR="00A0194D">
        <w:t>bout people</w:t>
      </w:r>
      <w:r w:rsidR="0025763A">
        <w:t>’s shortcoming in their attitude to Yahweh, and warn them of consequences that will follow.</w:t>
      </w:r>
      <w:r w:rsidR="00F82213">
        <w:t xml:space="preserve"> </w:t>
      </w:r>
      <w:r w:rsidR="00FF3A2D" w:rsidRPr="00FF3A2D">
        <w:t>One can imagine Hosea delivering his exhortation and declaration</w:t>
      </w:r>
      <w:r w:rsidR="00FF3A2D">
        <w:t>s</w:t>
      </w:r>
      <w:r w:rsidR="00FF3A2D" w:rsidRPr="00FF3A2D">
        <w:t xml:space="preserve"> to people gathered at the sanctuary</w:t>
      </w:r>
      <w:r w:rsidR="002B7FCC">
        <w:t xml:space="preserve"> at Beth-el</w:t>
      </w:r>
      <w:r w:rsidR="00FF3A2D" w:rsidRPr="00FF3A2D">
        <w:t xml:space="preserve">, possibly in the context of a festival of the kind presupposed by Amos’s declaration about Yahweh’s Day (Amos 5:18-20). </w:t>
      </w:r>
      <w:r w:rsidR="00FF3A2D">
        <w:t>He</w:t>
      </w:r>
      <w:r w:rsidR="00F82213">
        <w:t xml:space="preserve"> </w:t>
      </w:r>
      <w:r w:rsidR="0025763A">
        <w:t xml:space="preserve">aims to get </w:t>
      </w:r>
      <w:r w:rsidR="00F82213">
        <w:t xml:space="preserve">priests and </w:t>
      </w:r>
      <w:r w:rsidR="0025763A">
        <w:t xml:space="preserve">people to </w:t>
      </w:r>
      <w:r w:rsidR="00F82213">
        <w:t xml:space="preserve">listen, to think, and to </w:t>
      </w:r>
      <w:r w:rsidR="0025763A">
        <w:t>respond and change their ways</w:t>
      </w:r>
      <w:r w:rsidR="00F82213">
        <w:t xml:space="preserve">. </w:t>
      </w:r>
      <w:r w:rsidR="0025763A">
        <w:t>While verses 1-3</w:t>
      </w:r>
      <w:r w:rsidR="00323D44">
        <w:t xml:space="preserve"> </w:t>
      </w:r>
      <w:r w:rsidR="007C09E6">
        <w:t xml:space="preserve">could stand </w:t>
      </w:r>
      <w:r w:rsidR="0025763A">
        <w:t>on their</w:t>
      </w:r>
      <w:r w:rsidR="007C09E6">
        <w:t xml:space="preserve"> own, th</w:t>
      </w:r>
      <w:r w:rsidR="0025763A">
        <w:t>e verses that follow</w:t>
      </w:r>
      <w:r w:rsidR="00EB3365">
        <w:t xml:space="preserve"> </w:t>
      </w:r>
      <w:r w:rsidR="007C09E6">
        <w:t>link</w:t>
      </w:r>
      <w:r w:rsidR="0025763A">
        <w:t xml:space="preserve"> with them through the </w:t>
      </w:r>
      <w:r w:rsidR="009D416B">
        <w:t>references to “confront</w:t>
      </w:r>
      <w:r w:rsidR="0025763A">
        <w:t>ing” and</w:t>
      </w:r>
      <w:r w:rsidR="00B24BC1">
        <w:t xml:space="preserve"> </w:t>
      </w:r>
      <w:r w:rsidR="0025763A">
        <w:t xml:space="preserve">then </w:t>
      </w:r>
      <w:r w:rsidR="00B24BC1">
        <w:t>to “acknowledging</w:t>
      </w:r>
      <w:r w:rsidR="00EB3365">
        <w:t>”</w:t>
      </w:r>
      <w:r w:rsidR="0025763A">
        <w:t xml:space="preserve"> </w:t>
      </w:r>
      <w:r w:rsidR="00F82213">
        <w:t>(</w:t>
      </w:r>
      <w:r w:rsidR="0025763A">
        <w:t>vv. 4, 6</w:t>
      </w:r>
      <w:r w:rsidR="00B24BC1">
        <w:t>)</w:t>
      </w:r>
      <w:r w:rsidR="00B86C65">
        <w:t>.</w:t>
      </w:r>
      <w:r w:rsidR="0025763A">
        <w:t xml:space="preserve"> They</w:t>
      </w:r>
      <w:r w:rsidR="00F82213">
        <w:t xml:space="preserve"> also</w:t>
      </w:r>
      <w:r w:rsidR="0025763A">
        <w:t xml:space="preserve"> take up </w:t>
      </w:r>
      <w:r w:rsidR="007C09E6">
        <w:t xml:space="preserve">the theme of </w:t>
      </w:r>
      <w:r w:rsidR="00EB3365">
        <w:t>“</w:t>
      </w:r>
      <w:r w:rsidR="007C09E6">
        <w:t>whoring</w:t>
      </w:r>
      <w:r w:rsidR="00EB3365">
        <w:t>”</w:t>
      </w:r>
      <w:r w:rsidR="007C09E6">
        <w:t xml:space="preserve"> fr</w:t>
      </w:r>
      <w:r w:rsidR="00AD170A">
        <w:t>om chapters 1—3</w:t>
      </w:r>
      <w:r w:rsidR="0025763A">
        <w:t xml:space="preserve"> (vv. 10, 12, 18</w:t>
      </w:r>
      <w:r w:rsidR="00B24BC1">
        <w:t>)</w:t>
      </w:r>
      <w:r w:rsidR="00AD170A">
        <w:t xml:space="preserve">, </w:t>
      </w:r>
      <w:r w:rsidR="0025763A">
        <w:t xml:space="preserve">though </w:t>
      </w:r>
      <w:r w:rsidR="00AD170A">
        <w:t xml:space="preserve">there are no </w:t>
      </w:r>
      <w:r w:rsidR="00AD170A">
        <w:lastRenderedPageBreak/>
        <w:t xml:space="preserve">indications of a political aspect </w:t>
      </w:r>
      <w:r>
        <w:t>to the whoring in this section</w:t>
      </w:r>
      <w:r w:rsidR="00F82213" w:rsidRPr="00F82213">
        <w:t xml:space="preserve">. The next bidding to listen comes in 5:1, where </w:t>
      </w:r>
      <w:r w:rsidR="005F699E">
        <w:t xml:space="preserve">MT (A) </w:t>
      </w:r>
      <w:r w:rsidR="00F82213" w:rsidRPr="00F82213">
        <w:t>has</w:t>
      </w:r>
      <w:r w:rsidR="005F699E">
        <w:t xml:space="preserve"> a </w:t>
      </w:r>
      <w:r w:rsidR="006454D0">
        <w:t>petuh</w:t>
      </w:r>
      <w:r w:rsidR="005F699E">
        <w:t>ah (L and C</w:t>
      </w:r>
      <w:r w:rsidR="00F82213" w:rsidRPr="00F82213">
        <w:t xml:space="preserve"> have a setumah).</w:t>
      </w:r>
      <w:r w:rsidR="00F82213">
        <w:t xml:space="preserve"> </w:t>
      </w:r>
      <w:r w:rsidR="00333F38" w:rsidRPr="00333F38">
        <w:t>Although the chapter can be described as a “patchwork,”</w:t>
      </w:r>
      <w:r w:rsidR="00333F38" w:rsidRPr="00333F38">
        <w:rPr>
          <w:vertAlign w:val="superscript"/>
        </w:rPr>
        <w:footnoteReference w:id="212"/>
      </w:r>
      <w:r w:rsidR="00333F38" w:rsidRPr="00333F38">
        <w:t xml:space="preserve"> it resembles a collection of sayings that run into each other rather than a collection of sayings that could have existed separately. </w:t>
      </w:r>
      <w:r w:rsidR="00333F38">
        <w:t>It</w:t>
      </w:r>
      <w:r w:rsidR="004C0812">
        <w:t xml:space="preserve"> works as follows:</w:t>
      </w:r>
    </w:p>
    <w:p w:rsidR="004C0812" w:rsidRDefault="004C0812" w:rsidP="005E5677"/>
    <w:p w:rsidR="00B924B1" w:rsidRDefault="00F82213" w:rsidP="005E5677">
      <w:r>
        <w:t xml:space="preserve">Vv. </w:t>
      </w:r>
      <w:r w:rsidR="00B924B1">
        <w:t xml:space="preserve">1-3 </w:t>
      </w:r>
      <w:r w:rsidR="003A6389">
        <w:tab/>
      </w:r>
      <w:r w:rsidR="003A6389">
        <w:tab/>
      </w:r>
      <w:r w:rsidR="009D416B">
        <w:t>Hosea’s confrontation</w:t>
      </w:r>
    </w:p>
    <w:p w:rsidR="004C0812" w:rsidRDefault="00F82213" w:rsidP="005E5677">
      <w:r>
        <w:t xml:space="preserve">Vv. </w:t>
      </w:r>
      <w:r w:rsidR="004C0812">
        <w:t>4</w:t>
      </w:r>
      <w:r w:rsidR="00B349A4">
        <w:t xml:space="preserve">-5 </w:t>
      </w:r>
      <w:r w:rsidR="003A6389">
        <w:tab/>
      </w:r>
      <w:r w:rsidR="003A6389">
        <w:tab/>
        <w:t>A</w:t>
      </w:r>
      <w:r w:rsidR="00B349A4">
        <w:t xml:space="preserve"> priestly response to Hosea</w:t>
      </w:r>
      <w:r w:rsidR="009D416B">
        <w:t>’s confrontation</w:t>
      </w:r>
    </w:p>
    <w:p w:rsidR="004C0812" w:rsidRDefault="00F82213" w:rsidP="005E5677">
      <w:r>
        <w:t xml:space="preserve">Vv. </w:t>
      </w:r>
      <w:r w:rsidR="004C0812">
        <w:t>6-</w:t>
      </w:r>
      <w:r w:rsidR="00F15DBB">
        <w:t>9</w:t>
      </w:r>
      <w:r w:rsidR="00310EA5">
        <w:t xml:space="preserve"> </w:t>
      </w:r>
      <w:r w:rsidR="003A6389">
        <w:tab/>
      </w:r>
      <w:r w:rsidR="003A6389">
        <w:tab/>
        <w:t>A</w:t>
      </w:r>
      <w:r w:rsidR="009D416B">
        <w:t xml:space="preserve"> challenge to</w:t>
      </w:r>
      <w:r w:rsidR="00310EA5">
        <w:t xml:space="preserve"> the priests</w:t>
      </w:r>
    </w:p>
    <w:p w:rsidR="00310EA5" w:rsidRDefault="00F82213" w:rsidP="005E5677">
      <w:r>
        <w:t xml:space="preserve">Vv. </w:t>
      </w:r>
      <w:r w:rsidR="00F15DBB">
        <w:t>10</w:t>
      </w:r>
      <w:r w:rsidR="00310EA5">
        <w:t xml:space="preserve">-14 </w:t>
      </w:r>
      <w:r w:rsidR="003A6389">
        <w:tab/>
        <w:t>A</w:t>
      </w:r>
      <w:r w:rsidR="009D416B">
        <w:t xml:space="preserve"> challenge to </w:t>
      </w:r>
      <w:r w:rsidR="00310EA5">
        <w:t>the people as a whole</w:t>
      </w:r>
    </w:p>
    <w:p w:rsidR="00310EA5" w:rsidRDefault="00F82213" w:rsidP="005E5677">
      <w:r>
        <w:t xml:space="preserve">Vv. </w:t>
      </w:r>
      <w:r w:rsidR="00B86C65">
        <w:t xml:space="preserve">15-19 </w:t>
      </w:r>
      <w:r w:rsidR="003A6389">
        <w:tab/>
        <w:t>A warning</w:t>
      </w:r>
      <w:r w:rsidR="00B86C65">
        <w:t xml:space="preserve"> of </w:t>
      </w:r>
      <w:r w:rsidR="00310EA5">
        <w:t>calamity to come to the people</w:t>
      </w:r>
    </w:p>
    <w:p w:rsidR="009034D0" w:rsidRDefault="009034D0" w:rsidP="005E5677"/>
    <w:p w:rsidR="0025763A" w:rsidRPr="0025763A" w:rsidRDefault="00333258" w:rsidP="0025763A">
      <w:r>
        <w:rPr>
          <w:b/>
        </w:rPr>
        <w:t xml:space="preserve">Hosea 4:1-3. </w:t>
      </w:r>
      <w:r w:rsidR="0025763A" w:rsidRPr="0025763A">
        <w:t xml:space="preserve">In </w:t>
      </w:r>
      <w:r w:rsidR="00333F38">
        <w:t>itself, the opening subsection</w:t>
      </w:r>
      <w:r w:rsidR="0025763A" w:rsidRPr="0025763A">
        <w:t xml:space="preserve"> is straight</w:t>
      </w:r>
      <w:r w:rsidR="00333F38">
        <w:t>forward and succinct, yet</w:t>
      </w:r>
      <w:r w:rsidR="0025763A" w:rsidRPr="0025763A">
        <w:t xml:space="preserve"> not typically Hosean. Hosea elsewhere says virtually nothing about wrongs such as swearing, lying, murder, stealing, literal adultery, or bloodshed.</w:t>
      </w:r>
      <w:r w:rsidR="00333F38">
        <w:t xml:space="preserve"> In content the verses</w:t>
      </w:r>
      <w:r w:rsidR="0025763A" w:rsidRPr="0025763A">
        <w:t xml:space="preserve"> would not have seemed out of</w:t>
      </w:r>
      <w:r w:rsidR="00333F38">
        <w:t xml:space="preserve"> place in the scrolls of other eighth- or seventh-</w:t>
      </w:r>
      <w:r w:rsidR="0025763A" w:rsidRPr="0025763A">
        <w:t>century prophet</w:t>
      </w:r>
      <w:r w:rsidR="00333F38">
        <w:t>s, though they have traits marking them</w:t>
      </w:r>
      <w:r w:rsidR="0025763A" w:rsidRPr="0025763A">
        <w:t xml:space="preserve"> as distinctively Hosean. As an introduction to the main collection of his messages, it </w:t>
      </w:r>
      <w:r w:rsidR="00333F38">
        <w:t>might serve</w:t>
      </w:r>
      <w:r w:rsidR="0025763A" w:rsidRPr="0025763A">
        <w:t xml:space="preserve"> to integrate Hosea wit</w:t>
      </w:r>
      <w:r w:rsidR="00333F38">
        <w:t>h the other prophetic scrolls, but in its immediate</w:t>
      </w:r>
      <w:r w:rsidR="0025763A" w:rsidRPr="0025763A">
        <w:t xml:space="preserve"> context, it</w:t>
      </w:r>
      <w:r w:rsidR="00333F38">
        <w:t xml:space="preserve"> will be when we come to vv. 4-19</w:t>
      </w:r>
      <w:r w:rsidR="0025763A" w:rsidRPr="0025763A">
        <w:t xml:space="preserve"> that we see its significance.</w:t>
      </w:r>
    </w:p>
    <w:p w:rsidR="0025763A" w:rsidRPr="0025763A" w:rsidRDefault="0025763A" w:rsidP="0025763A">
      <w:r w:rsidRPr="0025763A">
        <w:t>It has a neat structure:</w:t>
      </w:r>
    </w:p>
    <w:p w:rsidR="0025763A" w:rsidRPr="0025763A" w:rsidRDefault="0025763A" w:rsidP="0025763A"/>
    <w:p w:rsidR="0025763A" w:rsidRPr="0025763A" w:rsidRDefault="0025763A" w:rsidP="0025763A">
      <w:r w:rsidRPr="0025763A">
        <w:t>v. 1a</w:t>
      </w:r>
      <w:r w:rsidRPr="0025763A">
        <w:tab/>
      </w:r>
      <w:r w:rsidRPr="0025763A">
        <w:tab/>
        <w:t>Exhortation to listen</w:t>
      </w:r>
    </w:p>
    <w:p w:rsidR="0025763A" w:rsidRPr="0025763A" w:rsidRDefault="0025763A" w:rsidP="0025763A">
      <w:r w:rsidRPr="0025763A">
        <w:t>v. 1bα</w:t>
      </w:r>
      <w:r w:rsidRPr="0025763A">
        <w:tab/>
      </w:r>
      <w:r w:rsidRPr="0025763A">
        <w:tab/>
        <w:t>The reason (</w:t>
      </w:r>
      <w:r w:rsidRPr="0025763A">
        <w:rPr>
          <w:i/>
        </w:rPr>
        <w:t>kî</w:t>
      </w:r>
      <w:r w:rsidRPr="0025763A">
        <w:t>): Yahweh has an argument to set out</w:t>
      </w:r>
    </w:p>
    <w:p w:rsidR="0025763A" w:rsidRPr="0025763A" w:rsidRDefault="0025763A" w:rsidP="0025763A">
      <w:r w:rsidRPr="0025763A">
        <w:t>v. 1bβ-2</w:t>
      </w:r>
      <w:r w:rsidRPr="0025763A">
        <w:tab/>
        <w:t>The content of the argument (</w:t>
      </w:r>
      <w:r w:rsidRPr="0025763A">
        <w:rPr>
          <w:i/>
        </w:rPr>
        <w:t>kî</w:t>
      </w:r>
      <w:r w:rsidRPr="0025763A">
        <w:t>): negative (v. 1bβ) and positive (v. 2)</w:t>
      </w:r>
    </w:p>
    <w:p w:rsidR="0025763A" w:rsidRPr="0025763A" w:rsidRDefault="0025763A" w:rsidP="0025763A">
      <w:r w:rsidRPr="0025763A">
        <w:t>v. 3</w:t>
      </w:r>
      <w:r w:rsidRPr="0025763A">
        <w:tab/>
        <w:t>`</w:t>
      </w:r>
      <w:r w:rsidRPr="0025763A">
        <w:tab/>
        <w:t>The consequences that will follow (</w:t>
      </w:r>
      <w:r w:rsidRPr="0025763A">
        <w:rPr>
          <w:i/>
        </w:rPr>
        <w:t>‘al-kēn</w:t>
      </w:r>
      <w:r w:rsidRPr="0025763A">
        <w:t>)</w:t>
      </w:r>
    </w:p>
    <w:p w:rsidR="0025763A" w:rsidRPr="0025763A" w:rsidRDefault="0025763A" w:rsidP="0025763A"/>
    <w:p w:rsidR="002D12C6" w:rsidRDefault="0025763A" w:rsidP="0021384D">
      <w:r w:rsidRPr="0025763A">
        <w:t xml:space="preserve">Variations on such formats appear elsewhere in the Prophets (e.g., Isa. 17:10; 24:6; 27:11; 30:15-16; Amos 3:1-2), sometimes concluding with </w:t>
      </w:r>
      <w:r w:rsidRPr="0025763A">
        <w:rPr>
          <w:i/>
        </w:rPr>
        <w:t xml:space="preserve">lākēn </w:t>
      </w:r>
      <w:r w:rsidRPr="0025763A">
        <w:t xml:space="preserve">rather than </w:t>
      </w:r>
      <w:r w:rsidRPr="0025763A">
        <w:rPr>
          <w:i/>
        </w:rPr>
        <w:t>‘al-kēn</w:t>
      </w:r>
      <w:r w:rsidRPr="0025763A">
        <w:t xml:space="preserve"> (e.g., Isa. </w:t>
      </w:r>
      <w:r w:rsidR="00333F38">
        <w:t xml:space="preserve">30:12). The format was perhaps familiar and might </w:t>
      </w:r>
      <w:r w:rsidRPr="0025763A">
        <w:t>re</w:t>
      </w:r>
      <w:r w:rsidR="0021384D">
        <w:t xml:space="preserve">call an official </w:t>
      </w:r>
      <w:r w:rsidRPr="0025763A">
        <w:t>confront</w:t>
      </w:r>
      <w:r w:rsidR="0021384D">
        <w:t>ing</w:t>
      </w:r>
      <w:r w:rsidRPr="0025763A">
        <w:t xml:space="preserve"> the community in the</w:t>
      </w:r>
      <w:r w:rsidR="0021384D">
        <w:t xml:space="preserve"> king’s name</w:t>
      </w:r>
      <w:r w:rsidRPr="0025763A">
        <w:t xml:space="preserve"> (cf. 2 K</w:t>
      </w:r>
      <w:r w:rsidR="0021384D">
        <w:t xml:space="preserve">ings 18:28). </w:t>
      </w:r>
    </w:p>
    <w:p w:rsidR="0021384D" w:rsidRPr="0021384D" w:rsidRDefault="002D12C6" w:rsidP="0021384D">
      <w:r>
        <w:t xml:space="preserve">Hosea, however, </w:t>
      </w:r>
      <w:r w:rsidRPr="002D12C6">
        <w:t xml:space="preserve">addresses the people for himself </w:t>
      </w:r>
      <w:r>
        <w:t xml:space="preserve">(v. 1a), </w:t>
      </w:r>
      <w:r w:rsidRPr="002D12C6">
        <w:t>though in Yahweh’s name as a prophet</w:t>
      </w:r>
      <w:r>
        <w:t>. U</w:t>
      </w:r>
      <w:r w:rsidR="0021384D">
        <w:t>nlike such an official</w:t>
      </w:r>
      <w:r>
        <w:t>, he does not quote his king’s words</w:t>
      </w:r>
      <w:r w:rsidR="003A6389">
        <w:t xml:space="preserve">. </w:t>
      </w:r>
      <w:r w:rsidR="0021384D">
        <w:t xml:space="preserve">While </w:t>
      </w:r>
      <w:r w:rsidR="0021384D" w:rsidRPr="0021384D">
        <w:t>a prophetic exhortation to listen commonly leads into critique of the addressees</w:t>
      </w:r>
      <w:r w:rsidR="0021384D">
        <w:t xml:space="preserve"> (e.g., 5:1</w:t>
      </w:r>
      <w:r w:rsidR="003A6389">
        <w:t>),</w:t>
      </w:r>
      <w:r w:rsidR="003A6389" w:rsidRPr="003A6389">
        <w:t xml:space="preserve"> </w:t>
      </w:r>
      <w:r w:rsidR="003A6389">
        <w:t>this exhortation does not do so</w:t>
      </w:r>
      <w:r w:rsidR="003A6389" w:rsidRPr="003A6389">
        <w:t xml:space="preserve">. </w:t>
      </w:r>
      <w:r w:rsidR="003A6389">
        <w:t xml:space="preserve">A prophetic exhortation to listen can </w:t>
      </w:r>
      <w:r w:rsidR="0021384D" w:rsidRPr="0021384D">
        <w:t>lead into critique of other people</w:t>
      </w:r>
      <w:r w:rsidR="003A6389">
        <w:t>,</w:t>
      </w:r>
      <w:r w:rsidR="0021384D" w:rsidRPr="0021384D">
        <w:t xml:space="preserve"> whom the addresse</w:t>
      </w:r>
      <w:r w:rsidR="0021384D">
        <w:t>e</w:t>
      </w:r>
      <w:r w:rsidR="0021384D" w:rsidRPr="0021384D">
        <w:t>s are urged to think about for some reason (e.g., Isa. 1:2; Jer</w:t>
      </w:r>
      <w:r w:rsidR="00FF3A2D">
        <w:t>.</w:t>
      </w:r>
      <w:r w:rsidR="0021384D" w:rsidRPr="0021384D">
        <w:t xml:space="preserve"> 6:18, 19; Mic. 6:2). </w:t>
      </w:r>
      <w:r w:rsidR="0021384D">
        <w:t>So it is here. H</w:t>
      </w:r>
      <w:r w:rsidR="003A6389">
        <w:t>e is not describing his Israelite</w:t>
      </w:r>
      <w:r w:rsidR="0021384D" w:rsidRPr="0021384D">
        <w:t xml:space="preserve"> </w:t>
      </w:r>
      <w:r w:rsidR="0021384D">
        <w:t xml:space="preserve">addressees, </w:t>
      </w:r>
      <w:r w:rsidR="0021384D" w:rsidRPr="0021384D">
        <w:t>“the people who live in the country,” but talking about a third party, “the people who live in the earth</w:t>
      </w:r>
      <w:r w:rsidR="00FC64AE">
        <w:t>”</w:t>
      </w:r>
      <w:r w:rsidR="0021384D" w:rsidRPr="0021384D">
        <w:t xml:space="preserve"> (as in Isa. 24</w:t>
      </w:r>
      <w:r w:rsidR="00FF3A2D">
        <w:t xml:space="preserve">:1-5). </w:t>
      </w:r>
      <w:r w:rsidR="0021384D" w:rsidRPr="0021384D">
        <w:t xml:space="preserve">The message is a succinct declaration that everything that could be wrong is wrong in the world’s relationship with God and in its people’s relationship with one another, and that this threatens total disaster. </w:t>
      </w:r>
    </w:p>
    <w:p w:rsidR="00FC64AE" w:rsidRPr="002D12C6" w:rsidRDefault="002D12C6" w:rsidP="00FC64AE">
      <w:r>
        <w:t xml:space="preserve">When Hosea goes on </w:t>
      </w:r>
      <w:r w:rsidR="009D416B">
        <w:t>to speak in terms of a confrontation</w:t>
      </w:r>
      <w:r>
        <w:t xml:space="preserve"> </w:t>
      </w:r>
      <w:r w:rsidRPr="002D12C6">
        <w:t>(v. 1bαβ),</w:t>
      </w:r>
      <w:r>
        <w:t xml:space="preserve"> one could</w:t>
      </w:r>
      <w:r w:rsidR="003A6389">
        <w:t xml:space="preserve"> alternatively see </w:t>
      </w:r>
      <w:r>
        <w:t>him</w:t>
      </w:r>
      <w:r w:rsidR="00FF6A58">
        <w:t xml:space="preserve"> </w:t>
      </w:r>
      <w:r w:rsidR="003A6389">
        <w:t>as speaking</w:t>
      </w:r>
      <w:r w:rsidR="00FF3A2D">
        <w:t xml:space="preserve"> like</w:t>
      </w:r>
      <w:r w:rsidR="00FF6A58">
        <w:t xml:space="preserve"> someone repr</w:t>
      </w:r>
      <w:r w:rsidR="00FF3A2D">
        <w:t xml:space="preserve">esenting a complainant, </w:t>
      </w:r>
      <w:r w:rsidR="00FF6A58">
        <w:t xml:space="preserve">urging the townspeople or the elders in particular to take note of a grievance. </w:t>
      </w:r>
      <w:r w:rsidR="00FF3A2D" w:rsidRPr="00FF3A2D">
        <w:t xml:space="preserve">Arguments commonly arise between peers, and </w:t>
      </w:r>
      <w:r w:rsidR="00FF3A2D">
        <w:t xml:space="preserve">they </w:t>
      </w:r>
      <w:r w:rsidR="00FF3A2D" w:rsidRPr="00FF3A2D">
        <w:t>come to the elders at the gate for them to take up (e.g., Exod</w:t>
      </w:r>
      <w:r w:rsidR="00FF3A2D">
        <w:t>.</w:t>
      </w:r>
      <w:r w:rsidR="00FF3A2D" w:rsidRPr="00FF3A2D">
        <w:t xml:space="preserve"> 23:2-6; metaphorically Mic</w:t>
      </w:r>
      <w:r w:rsidR="00FF3A2D">
        <w:t>.</w:t>
      </w:r>
      <w:r w:rsidR="00FF3A2D" w:rsidRPr="00FF3A2D">
        <w:t xml:space="preserve"> 6:1-2, and cf. Hos</w:t>
      </w:r>
      <w:r w:rsidR="00FF3A2D">
        <w:t>.</w:t>
      </w:r>
      <w:r w:rsidR="00FF3A2D" w:rsidRPr="00FF3A2D">
        <w:t xml:space="preserve"> 2:2 [4]; 4:4; 12:2 [3]), which is also the image here. </w:t>
      </w:r>
      <w:r w:rsidR="00FF6A58">
        <w:t>Although the First</w:t>
      </w:r>
      <w:r w:rsidR="00FF3A2D">
        <w:t xml:space="preserve"> Testament can speak of</w:t>
      </w:r>
      <w:r w:rsidR="00FF6A58">
        <w:t xml:space="preserve"> Yahweh having a</w:t>
      </w:r>
      <w:r w:rsidR="009D416B">
        <w:t xml:space="preserve"> “confrontation</w:t>
      </w:r>
      <w:r w:rsidR="00FF6A58" w:rsidRPr="003F1EA4">
        <w:t xml:space="preserve">” </w:t>
      </w:r>
      <w:r w:rsidR="009D416B">
        <w:t xml:space="preserve">or an “argument” </w:t>
      </w:r>
      <w:r w:rsidR="00FF6A58" w:rsidRPr="003F1EA4">
        <w:t>(</w:t>
      </w:r>
      <w:r w:rsidR="00FF6A58" w:rsidRPr="003F1EA4">
        <w:rPr>
          <w:i/>
        </w:rPr>
        <w:t>rîb</w:t>
      </w:r>
      <w:r w:rsidR="00FF6A58" w:rsidRPr="003F1EA4">
        <w:t xml:space="preserve">) </w:t>
      </w:r>
      <w:r w:rsidR="00FF3A2D">
        <w:t>with someone, it’</w:t>
      </w:r>
      <w:r w:rsidR="00FF6A58">
        <w:t>s a slightly odd thing to say about someone in authority</w:t>
      </w:r>
      <w:r w:rsidR="00FF6A58" w:rsidRPr="003F1EA4">
        <w:t xml:space="preserve">: thus </w:t>
      </w:r>
      <w:r w:rsidR="00FF6A58">
        <w:t xml:space="preserve">here </w:t>
      </w:r>
      <w:r w:rsidR="00FF6A58" w:rsidRPr="003F1EA4">
        <w:t>Tg has the case coming “before Yahweh”</w:t>
      </w:r>
      <w:r w:rsidR="00FF6A58" w:rsidRPr="003F1EA4">
        <w:rPr>
          <w:vertAlign w:val="superscript"/>
        </w:rPr>
        <w:footnoteReference w:id="213"/>
      </w:r>
      <w:r w:rsidR="00FF6A58" w:rsidRPr="003F1EA4">
        <w:t xml:space="preserve"> and LXX and Vg translate by the more </w:t>
      </w:r>
      <w:r w:rsidR="00FF6A58" w:rsidRPr="003F1EA4">
        <w:lastRenderedPageBreak/>
        <w:t xml:space="preserve">legal words </w:t>
      </w:r>
      <w:r w:rsidR="00FF6A58" w:rsidRPr="003F1EA4">
        <w:rPr>
          <w:i/>
        </w:rPr>
        <w:t xml:space="preserve">krisis </w:t>
      </w:r>
      <w:r w:rsidR="00FF6A58" w:rsidRPr="003F1EA4">
        <w:t xml:space="preserve">and </w:t>
      </w:r>
      <w:r w:rsidR="00FF6A58" w:rsidRPr="003F1EA4">
        <w:rPr>
          <w:i/>
        </w:rPr>
        <w:t>iudicium</w:t>
      </w:r>
      <w:r w:rsidR="00FF6A58" w:rsidRPr="003F1EA4">
        <w:t>. To sp</w:t>
      </w:r>
      <w:r w:rsidR="009D416B">
        <w:t>eak of Yahweh having an argument or confrontation</w:t>
      </w:r>
      <w:r w:rsidR="00FF6A58" w:rsidRPr="003F1EA4">
        <w:t xml:space="preserve"> </w:t>
      </w:r>
      <w:r w:rsidR="00FF6A58">
        <w:t>may suggest</w:t>
      </w:r>
      <w:r w:rsidR="00FF6A58" w:rsidRPr="003F1EA4">
        <w:t xml:space="preserve"> Yahweh’s generous willingness to</w:t>
      </w:r>
      <w:r w:rsidR="00FF6A58">
        <w:t xml:space="preserve"> treat </w:t>
      </w:r>
      <w:r w:rsidR="00FF6A58" w:rsidRPr="003F1EA4">
        <w:t xml:space="preserve">people as free to argue back, </w:t>
      </w:r>
      <w:r w:rsidR="00FF6A58">
        <w:t>and/</w:t>
      </w:r>
      <w:r w:rsidR="00FF6A58" w:rsidRPr="003F1EA4">
        <w:t xml:space="preserve">or </w:t>
      </w:r>
      <w:r w:rsidR="00FF6A58">
        <w:t>may indicate</w:t>
      </w:r>
      <w:r w:rsidR="00FF6A58" w:rsidRPr="003F1EA4">
        <w:t xml:space="preserve"> that the argument is one he takes up on behalf of the victims of the conduct that is about to be described (cf. Isa</w:t>
      </w:r>
      <w:r w:rsidR="00FF3A2D">
        <w:t>.</w:t>
      </w:r>
      <w:r w:rsidR="00FF6A58" w:rsidRPr="003F1EA4">
        <w:t xml:space="preserve"> 1:17, 23; 3:13; Mic</w:t>
      </w:r>
      <w:r w:rsidR="00FF3A2D">
        <w:t>.</w:t>
      </w:r>
      <w:r>
        <w:t xml:space="preserve"> 7:9). </w:t>
      </w:r>
      <w:r w:rsidR="00FF6A58">
        <w:t xml:space="preserve">In the Prophets, however, an exhortation </w:t>
      </w:r>
      <w:r w:rsidR="00FF3A2D">
        <w:t xml:space="preserve">like </w:t>
      </w:r>
      <w:r w:rsidR="00FF6A58">
        <w:t>v. 1a commonly functions rhetorically: for instance, a</w:t>
      </w:r>
      <w:r w:rsidR="00FF3A2D">
        <w:t xml:space="preserve"> statement about Israel addressed</w:t>
      </w:r>
      <w:r w:rsidR="00FF6A58">
        <w:t xml:space="preserve"> the mountains and hills or the heavens and the earth (e.g., Isa</w:t>
      </w:r>
      <w:r w:rsidR="0041378E">
        <w:t>.</w:t>
      </w:r>
      <w:r w:rsidR="00FF6A58">
        <w:t xml:space="preserve"> 1:2) is designed </w:t>
      </w:r>
      <w:r w:rsidR="0041378E">
        <w:t xml:space="preserve">for Israel to “overhear.” </w:t>
      </w:r>
      <w:r w:rsidR="00FF6A58">
        <w:t>Hosea</w:t>
      </w:r>
      <w:r w:rsidR="0041378E">
        <w:t xml:space="preserve"> here</w:t>
      </w:r>
      <w:r w:rsidR="00FF6A58">
        <w:t xml:space="preserve"> addresses the Ephraimites about the people in </w:t>
      </w:r>
      <w:r>
        <w:t>the earth</w:t>
      </w:r>
      <w:r w:rsidR="00FF6A58" w:rsidRPr="003F1EA4">
        <w:t>,</w:t>
      </w:r>
      <w:r w:rsidR="00FF6A58">
        <w:t xml:space="preserve"> and they will be the subject of what follows, but it will not be surprising if it turns out that something else is going on in this exhortation.</w:t>
      </w:r>
      <w:r w:rsidR="00FC64AE" w:rsidRPr="00FC64AE">
        <w:rPr>
          <w:lang w:val="en-GB"/>
        </w:rPr>
        <w:t xml:space="preserve"> </w:t>
      </w:r>
      <w:r w:rsidR="00FC64AE">
        <w:rPr>
          <w:lang w:val="en-GB"/>
        </w:rPr>
        <w:t>“T</w:t>
      </w:r>
      <w:r w:rsidR="00FC64AE" w:rsidRPr="00FC64AE">
        <w:rPr>
          <w:lang w:val="en-GB"/>
        </w:rPr>
        <w:t xml:space="preserve">he meaning [of </w:t>
      </w:r>
      <w:r w:rsidR="00FC64AE" w:rsidRPr="00FC64AE">
        <w:rPr>
          <w:i/>
          <w:lang w:val="en-GB"/>
        </w:rPr>
        <w:t>’ereș</w:t>
      </w:r>
      <w:r w:rsidR="00FC64AE" w:rsidRPr="00FC64AE">
        <w:rPr>
          <w:lang w:val="en-GB"/>
        </w:rPr>
        <w:t>] may not be stable through the poem”;</w:t>
      </w:r>
      <w:r w:rsidR="00FC64AE" w:rsidRPr="00FC64AE">
        <w:rPr>
          <w:vertAlign w:val="superscript"/>
          <w:lang w:val="en-GB"/>
        </w:rPr>
        <w:footnoteReference w:id="214"/>
      </w:r>
      <w:r w:rsidR="00FC64AE" w:rsidRPr="00FC64AE">
        <w:rPr>
          <w:lang w:val="en-GB"/>
        </w:rPr>
        <w:t xml:space="preserve"> </w:t>
      </w:r>
      <w:r w:rsidR="00FC64AE">
        <w:rPr>
          <w:lang w:val="en-GB"/>
        </w:rPr>
        <w:t xml:space="preserve">indeed, </w:t>
      </w:r>
      <w:r w:rsidR="00FC64AE" w:rsidRPr="00FC64AE">
        <w:rPr>
          <w:lang w:val="en-GB"/>
        </w:rPr>
        <w:t>the meaning of 4:1-3 as a whole may not be stable.</w:t>
      </w:r>
    </w:p>
    <w:p w:rsidR="00570305" w:rsidRDefault="00FF6A58" w:rsidP="00FF6A58">
      <w:r>
        <w:t>The first two of the lacks that Yahweh</w:t>
      </w:r>
      <w:r w:rsidR="0041378E">
        <w:t xml:space="preserve"> finds in earth’s people (v. 1bγ</w:t>
      </w:r>
      <w:r w:rsidR="00570305">
        <w:t>d</w:t>
      </w:r>
      <w:r>
        <w:t>) are common values in the First Testament, and they often come together as a hendiadys, “commitment and truthfulness,” in the opposite order to the one that obtains here, sometimes as attributes of Yahweh, sometimes as attributes expected of or manifested by human beings in their mutual relationsh</w:t>
      </w:r>
      <w:r w:rsidR="0041378E">
        <w:t>ips (e.g., Gen. 24:27, 49</w:t>
      </w:r>
      <w:r>
        <w:t>;</w:t>
      </w:r>
      <w:r w:rsidR="0041378E">
        <w:t xml:space="preserve"> Josh. 2:14; Pss. 25:10; 57:3 [4]; Prov. 3:3</w:t>
      </w:r>
      <w:r w:rsidR="005D20EB">
        <w:t xml:space="preserve">). </w:t>
      </w:r>
      <w:r w:rsidR="0041378E" w:rsidRPr="0041378E">
        <w:t>The implication here is th</w:t>
      </w:r>
      <w:r w:rsidR="005D20EB">
        <w:t xml:space="preserve">at the world as a whole is </w:t>
      </w:r>
      <w:r w:rsidR="0041378E" w:rsidRPr="0041378E">
        <w:t>called to reflect Yahweh’s own nature in its mutual relat</w:t>
      </w:r>
      <w:r w:rsidR="005D20EB">
        <w:t>ionships, and is not doing so</w:t>
      </w:r>
      <w:r>
        <w:t xml:space="preserve">. </w:t>
      </w:r>
      <w:r w:rsidR="005D20EB">
        <w:t xml:space="preserve">“Acknowledging </w:t>
      </w:r>
      <w:r w:rsidR="005D20EB" w:rsidRPr="005D20EB">
        <w:t>[</w:t>
      </w:r>
      <w:r w:rsidR="005D20EB" w:rsidRPr="005D20EB">
        <w:rPr>
          <w:i/>
        </w:rPr>
        <w:t>da‘at</w:t>
      </w:r>
      <w:r w:rsidR="005D20EB" w:rsidRPr="005D20EB">
        <w:t>]</w:t>
      </w:r>
      <w:r w:rsidR="005D20EB" w:rsidRPr="005D20EB">
        <w:rPr>
          <w:i/>
        </w:rPr>
        <w:t xml:space="preserve"> </w:t>
      </w:r>
      <w:r w:rsidR="005D20EB">
        <w:t xml:space="preserve">Yahweh” </w:t>
      </w:r>
      <w:r>
        <w:t>is a</w:t>
      </w:r>
      <w:r w:rsidR="005D20EB">
        <w:t xml:space="preserve"> more distinctively Hoseanic theme; it came with those other two values in Yahweh’s</w:t>
      </w:r>
      <w:r>
        <w:t xml:space="preserve"> </w:t>
      </w:r>
      <w:r w:rsidRPr="00E04702">
        <w:t>promise</w:t>
      </w:r>
      <w:r w:rsidR="005D20EB">
        <w:t xml:space="preserve"> about Ephraim in 2:19-20 [21-22]</w:t>
      </w:r>
      <w:r>
        <w:t xml:space="preserve">. Truthfulness and commitment </w:t>
      </w:r>
      <w:r w:rsidR="005D20EB">
        <w:t>constitute acknowledgment of Yahweh; acknowledgment of Yahweh</w:t>
      </w:r>
      <w:r>
        <w:t xml:space="preserve"> is expressed in tru</w:t>
      </w:r>
      <w:r w:rsidR="006D03E5">
        <w:t xml:space="preserve">thfulness and commitment. </w:t>
      </w:r>
      <w:r w:rsidR="005D20EB">
        <w:t>Hosea</w:t>
      </w:r>
      <w:r>
        <w:t xml:space="preserve"> applies </w:t>
      </w:r>
      <w:r w:rsidR="005D20EB">
        <w:t>that assumption to the world,</w:t>
      </w:r>
      <w:r>
        <w:t xml:space="preserve"> not just to Israel.</w:t>
      </w:r>
      <w:r w:rsidR="005D20EB">
        <w:t xml:space="preserve"> </w:t>
      </w:r>
      <w:r w:rsidR="00C91842">
        <w:t>“Acknowledging</w:t>
      </w:r>
      <w:r>
        <w:t xml:space="preserve"> </w:t>
      </w:r>
      <w:r w:rsidRPr="005D20EB">
        <w:rPr>
          <w:i/>
        </w:rPr>
        <w:t>God</w:t>
      </w:r>
      <w:r>
        <w:t>” comes elsewhere in the First Testament only in Hosea 6:6 a</w:t>
      </w:r>
      <w:r w:rsidR="00C91842">
        <w:t xml:space="preserve">nd Proverbs 2:5. </w:t>
      </w:r>
      <w:r>
        <w:t>Hosea can use “God” to refer to Y</w:t>
      </w:r>
      <w:r w:rsidR="006D03E5">
        <w:t xml:space="preserve">ahweh (e.g., 11:9, 12; 12:3) and </w:t>
      </w:r>
      <w:r w:rsidR="00C91842">
        <w:t>“acknowledging</w:t>
      </w:r>
      <w:r w:rsidR="006D03E5">
        <w:t xml:space="preserve"> God” has similar meaning to</w:t>
      </w:r>
      <w:r w:rsidR="00C91842">
        <w:t xml:space="preserve"> “acknowledging</w:t>
      </w:r>
      <w:r w:rsidR="006D03E5">
        <w:t xml:space="preserve"> </w:t>
      </w:r>
      <w:r>
        <w:t>Yahweh.” But speaking in terms of God rather than Yahweh fits a declaration about the eart</w:t>
      </w:r>
      <w:r w:rsidR="006D03E5">
        <w:t>h</w:t>
      </w:r>
      <w:r w:rsidR="003325CB">
        <w:t>’s people</w:t>
      </w:r>
      <w:r w:rsidR="006D03E5">
        <w:t xml:space="preserve"> as a whole</w:t>
      </w:r>
      <w:r>
        <w:t>.</w:t>
      </w:r>
      <w:r w:rsidR="00570305">
        <w:t xml:space="preserve"> </w:t>
      </w:r>
      <w:r w:rsidR="004215FD">
        <w:t>Given</w:t>
      </w:r>
      <w:r w:rsidRPr="00A15F78">
        <w:t xml:space="preserve"> the parallels with the second half of the Decalogue</w:t>
      </w:r>
      <w:r w:rsidR="004215FD">
        <w:t xml:space="preserve"> that will follow in </w:t>
      </w:r>
      <w:r>
        <w:t xml:space="preserve">v. 2, one might see the expectations </w:t>
      </w:r>
      <w:r w:rsidR="004215FD">
        <w:t xml:space="preserve">implied </w:t>
      </w:r>
      <w:r>
        <w:t>in v. 1</w:t>
      </w:r>
      <w:r w:rsidR="00570305">
        <w:t xml:space="preserve">bγδ as analogous to those in </w:t>
      </w:r>
      <w:r w:rsidR="006D03E5">
        <w:t xml:space="preserve">the </w:t>
      </w:r>
      <w:r>
        <w:t>De</w:t>
      </w:r>
      <w:r w:rsidR="004215FD">
        <w:t xml:space="preserve">calogue. </w:t>
      </w:r>
      <w:r w:rsidR="00570305">
        <w:t>For Israel, at least, acknowledging God</w:t>
      </w:r>
      <w:r w:rsidR="004215FD">
        <w:t xml:space="preserve"> meant</w:t>
      </w:r>
      <w:r>
        <w:t xml:space="preserve"> serving Yahweh alone, abjuring images, using Yahweh’s name properly, and keeping Sabbath</w:t>
      </w:r>
      <w:r w:rsidR="00570305">
        <w:t>, and</w:t>
      </w:r>
      <w:r w:rsidR="004215FD">
        <w:t xml:space="preserve"> committed truthfulness meant honoring parents and </w:t>
      </w:r>
      <w:r>
        <w:t>abjuring murder, adultery, theft, perjury, and coveting.</w:t>
      </w:r>
      <w:r w:rsidRPr="00F54F3A">
        <w:t xml:space="preserve"> </w:t>
      </w:r>
    </w:p>
    <w:p w:rsidR="00FF6A58" w:rsidRDefault="00D47254" w:rsidP="00FF6A58">
      <w:r>
        <w:t xml:space="preserve">Yahweh finds </w:t>
      </w:r>
      <w:r w:rsidR="00333258">
        <w:t xml:space="preserve">other </w:t>
      </w:r>
      <w:r w:rsidR="00FF6A58">
        <w:t>c</w:t>
      </w:r>
      <w:r w:rsidR="00333258">
        <w:t>haracteristics</w:t>
      </w:r>
      <w:r w:rsidR="00FF6A58">
        <w:t xml:space="preserve"> </w:t>
      </w:r>
      <w:r w:rsidR="003B6E66">
        <w:t xml:space="preserve">in the world (v. 2) </w:t>
      </w:r>
      <w:r w:rsidR="00FF6A58">
        <w:t>in place of the virtues or values that he misses</w:t>
      </w:r>
      <w:r>
        <w:t xml:space="preserve">. </w:t>
      </w:r>
      <w:r w:rsidRPr="00D47254">
        <w:t>The list is “</w:t>
      </w:r>
      <w:r>
        <w:t>a rather conventional inventory</w:t>
      </w:r>
      <w:r w:rsidRPr="00D47254">
        <w:t>”</w:t>
      </w:r>
      <w:r w:rsidRPr="00D47254">
        <w:rPr>
          <w:vertAlign w:val="superscript"/>
        </w:rPr>
        <w:footnoteReference w:id="215"/>
      </w:r>
      <w:r w:rsidRPr="00D47254">
        <w:t xml:space="preserve"> </w:t>
      </w:r>
      <w:r>
        <w:t>but it</w:t>
      </w:r>
      <w:r w:rsidR="00FF6A58">
        <w:t xml:space="preserve"> supports </w:t>
      </w:r>
      <w:r>
        <w:t>the possibility that Yahweh is</w:t>
      </w:r>
      <w:r w:rsidR="00FF6A58">
        <w:t xml:space="preserve"> </w:t>
      </w:r>
      <w:r>
        <w:t>taking up an argument</w:t>
      </w:r>
      <w:r w:rsidR="00FF6A58">
        <w:t xml:space="preserve"> on behalf of the victims of the</w:t>
      </w:r>
      <w:r>
        <w:t>se practices</w:t>
      </w:r>
      <w:r w:rsidR="00FF6A58">
        <w:t>.</w:t>
      </w:r>
      <w:r>
        <w:t xml:space="preserve"> Murder, theft</w:t>
      </w:r>
      <w:r w:rsidR="00FF6A58">
        <w:t>, a</w:t>
      </w:r>
      <w:r>
        <w:t xml:space="preserve">nd adultery are three </w:t>
      </w:r>
      <w:r w:rsidR="003B6E66">
        <w:t xml:space="preserve">acts </w:t>
      </w:r>
      <w:r w:rsidR="00FF6A58">
        <w:t>forbidden by the D</w:t>
      </w:r>
      <w:r>
        <w:t>ecalogue. In that context, deception</w:t>
      </w:r>
      <w:r w:rsidR="00FF6A58">
        <w:t xml:space="preserve"> </w:t>
      </w:r>
      <w:r w:rsidR="003B6E66">
        <w:t xml:space="preserve">then </w:t>
      </w:r>
      <w:r w:rsidR="00FF6A58">
        <w:t>makes one think especially of false t</w:t>
      </w:r>
      <w:r>
        <w:t>estimony, though</w:t>
      </w:r>
      <w:r w:rsidR="00FF6A58">
        <w:t xml:space="preserve"> elsewhere the word refers more generally to </w:t>
      </w:r>
      <w:r>
        <w:t xml:space="preserve">deviousness designed to defraud or harm; and oath-taking makes one think of </w:t>
      </w:r>
      <w:r w:rsidR="00FF6A58">
        <w:t>the</w:t>
      </w:r>
      <w:r>
        <w:t xml:space="preserve"> wrongful</w:t>
      </w:r>
      <w:r w:rsidR="00FF6A58">
        <w:t xml:space="preserve"> use</w:t>
      </w:r>
      <w:r w:rsidR="0059686A">
        <w:t xml:space="preserve"> of Yahweh’s name</w:t>
      </w:r>
      <w:r w:rsidR="00FF6A58">
        <w:t xml:space="preserve">, </w:t>
      </w:r>
      <w:r w:rsidR="0059686A">
        <w:t xml:space="preserve">or specifically of </w:t>
      </w:r>
      <w:r w:rsidR="00FF6A58">
        <w:t>c</w:t>
      </w:r>
      <w:r w:rsidR="00FF6A58" w:rsidRPr="00F366F2">
        <w:t xml:space="preserve">ursing </w:t>
      </w:r>
      <w:r w:rsidR="0059686A">
        <w:t>or</w:t>
      </w:r>
      <w:r w:rsidR="00FF6A58" w:rsidRPr="00F366F2">
        <w:t xml:space="preserve"> calling down calamity on someone</w:t>
      </w:r>
      <w:r w:rsidR="00FF6A58">
        <w:t xml:space="preserve"> (e.g., Judg. 17:2; Job 31:30)</w:t>
      </w:r>
      <w:r w:rsidR="00FF6A58" w:rsidRPr="00F366F2">
        <w:t>.</w:t>
      </w:r>
      <w:r w:rsidR="002D12C6">
        <w:t xml:space="preserve"> </w:t>
      </w:r>
      <w:r w:rsidR="00FF6A58">
        <w:t xml:space="preserve">Yahweh is not referring to occasional </w:t>
      </w:r>
      <w:r w:rsidR="0059686A">
        <w:t xml:space="preserve">such </w:t>
      </w:r>
      <w:r w:rsidR="00FF6A58">
        <w:t>acts</w:t>
      </w:r>
      <w:r w:rsidR="0059686A">
        <w:t>. They’</w:t>
      </w:r>
      <w:r w:rsidR="00FF6A58">
        <w:t>ve been breaking out like a baby bursting from the womb or a plague breaking out or wine vats bursting or an army breaking through a defense wall or prisoners breaking ou</w:t>
      </w:r>
      <w:r w:rsidR="0059686A">
        <w:t>t of captivity. T</w:t>
      </w:r>
      <w:r w:rsidR="00FF6A58">
        <w:t xml:space="preserve">o underline the point yet further, </w:t>
      </w:r>
      <w:r w:rsidR="0059686A">
        <w:t xml:space="preserve">one act of </w:t>
      </w:r>
      <w:r w:rsidR="00FF6A58">
        <w:t>blo</w:t>
      </w:r>
      <w:r w:rsidR="0059686A">
        <w:t>odshed has followed hard on another: l</w:t>
      </w:r>
      <w:r w:rsidR="00FF6A58">
        <w:t>iterally</w:t>
      </w:r>
      <w:r w:rsidR="003B6E66">
        <w:t>,</w:t>
      </w:r>
      <w:r w:rsidR="00FF6A58">
        <w:t xml:space="preserve"> bloodshed </w:t>
      </w:r>
      <w:r w:rsidR="0059686A">
        <w:t>touches bloodshed</w:t>
      </w:r>
      <w:r w:rsidR="00FF6A58">
        <w:t>. The indictment recalls the indictment of humanity as a whole that led to the flood (see Gen. 6:11-13).</w:t>
      </w:r>
    </w:p>
    <w:p w:rsidR="00FF6A58" w:rsidRPr="00175B9E" w:rsidRDefault="00FF6A58" w:rsidP="00FF6A58">
      <w:r>
        <w:rPr>
          <w:i/>
        </w:rPr>
        <w:t>L</w:t>
      </w:r>
      <w:r w:rsidRPr="005F45DB">
        <w:rPr>
          <w:i/>
        </w:rPr>
        <w:t>ākēn</w:t>
      </w:r>
      <w:r w:rsidRPr="005F45DB">
        <w:t xml:space="preserve"> </w:t>
      </w:r>
      <w:r>
        <w:t xml:space="preserve">(“therefore,” v. 3) can lead into an account of consequences that have already come about (it then means “so that’s why…”; cf. </w:t>
      </w:r>
      <w:r w:rsidRPr="00AA3345">
        <w:t>Hos. 6:5)</w:t>
      </w:r>
      <w:r>
        <w:t>. Bu</w:t>
      </w:r>
      <w:r w:rsidR="003B6E66">
        <w:t>t here v. 3</w:t>
      </w:r>
      <w:r w:rsidR="006F5AE3">
        <w:t xml:space="preserve"> constitutes</w:t>
      </w:r>
      <w:r>
        <w:t xml:space="preserve"> a threat </w:t>
      </w:r>
      <w:r w:rsidR="006F5AE3">
        <w:t>rather than an explanation</w:t>
      </w:r>
      <w:r>
        <w:t xml:space="preserve">. </w:t>
      </w:r>
      <w:r w:rsidR="0059686A">
        <w:t>In Jeroboam’s day the world wa</w:t>
      </w:r>
      <w:r>
        <w:t>s i</w:t>
      </w:r>
      <w:r w:rsidR="0059686A">
        <w:t>n a reasonably settled state. It</w:t>
      </w:r>
      <w:r>
        <w:t xml:space="preserve"> will not </w:t>
      </w:r>
      <w:r w:rsidR="0059686A">
        <w:t xml:space="preserve">stay that way. The threat takes up the </w:t>
      </w:r>
      <w:r>
        <w:t>reference</w:t>
      </w:r>
      <w:r w:rsidR="0059686A">
        <w:t>s</w:t>
      </w:r>
      <w:r>
        <w:t xml:space="preserve"> to “the earth” </w:t>
      </w:r>
      <w:r w:rsidR="0059686A">
        <w:t xml:space="preserve">in v. 1. The </w:t>
      </w:r>
      <w:r>
        <w:t>w</w:t>
      </w:r>
      <w:r w:rsidR="0059686A">
        <w:t xml:space="preserve">orld’s waywardness will issue in the world’s “withering.” The countryside </w:t>
      </w:r>
      <w:r>
        <w:t xml:space="preserve">will respond to </w:t>
      </w:r>
      <w:r w:rsidR="0059686A">
        <w:t xml:space="preserve">its </w:t>
      </w:r>
      <w:r>
        <w:t>people’s waywardness by failing to produce a harvest and by “wasting away” (the two expressions come together in Isa</w:t>
      </w:r>
      <w:r w:rsidR="0059686A">
        <w:t xml:space="preserve">. 24:4, 7; 33:9; Joel 1:10). “Everything” </w:t>
      </w:r>
      <w:r w:rsidR="0059686A">
        <w:lastRenderedPageBreak/>
        <w:t>means</w:t>
      </w:r>
      <w:r>
        <w:t xml:space="preserve"> “</w:t>
      </w:r>
      <w:r w:rsidR="0059686A">
        <w:t xml:space="preserve">the </w:t>
      </w:r>
      <w:r>
        <w:t>creature in</w:t>
      </w:r>
      <w:r w:rsidRPr="00B3688D">
        <w:t xml:space="preserve"> the wild</w:t>
      </w:r>
      <w:r>
        <w:t>” and</w:t>
      </w:r>
      <w:r w:rsidRPr="00B3688D">
        <w:t xml:space="preserve"> </w:t>
      </w:r>
      <w:r>
        <w:t>“the bird in</w:t>
      </w:r>
      <w:r w:rsidRPr="00B3688D">
        <w:t xml:space="preserve"> the heavens</w:t>
      </w:r>
      <w:r w:rsidR="0059686A">
        <w:t>,</w:t>
      </w:r>
      <w:r>
        <w:t xml:space="preserve">” </w:t>
      </w:r>
      <w:r w:rsidR="0059686A">
        <w:t>which recur from 2:18 [20],</w:t>
      </w:r>
      <w:r>
        <w:t xml:space="preserve"> </w:t>
      </w:r>
      <w:r w:rsidR="0059686A">
        <w:t xml:space="preserve">and </w:t>
      </w:r>
      <w:r>
        <w:t xml:space="preserve">“the fish in the sea” </w:t>
      </w:r>
      <w:r w:rsidR="0059686A">
        <w:t xml:space="preserve">which </w:t>
      </w:r>
      <w:r>
        <w:t>replace “</w:t>
      </w:r>
      <w:r w:rsidRPr="00B3688D">
        <w:t>the thing that moves on the ground</w:t>
      </w:r>
      <w:r>
        <w:t>” and enhance</w:t>
      </w:r>
      <w:r w:rsidRPr="00175B9E">
        <w:t xml:space="preserve"> the impression that v. 3 refers to the world as whole.</w:t>
      </w:r>
      <w:r>
        <w:t xml:space="preserve"> </w:t>
      </w:r>
      <w:r w:rsidRPr="00175B9E">
        <w:t>Gathering up is what happens at harvest, but it is also what happens when you die.</w:t>
      </w:r>
    </w:p>
    <w:p w:rsidR="00FF6A58" w:rsidRDefault="00FF6A58" w:rsidP="00FF6A58">
      <w:r>
        <w:t xml:space="preserve">Both sets of three make for a comparison with Genesis 1, but this variant comprises creatures that belong to land, sky, and sea. </w:t>
      </w:r>
      <w:r w:rsidRPr="00CF4E11">
        <w:t xml:space="preserve">The </w:t>
      </w:r>
      <w:r>
        <w:t xml:space="preserve">combination of </w:t>
      </w:r>
      <w:r w:rsidRPr="00CF4E11">
        <w:t xml:space="preserve">threats </w:t>
      </w:r>
      <w:r>
        <w:t>concerning the inanimate and the animate also corresponds more broadly with features of chapter 2, but there they were the subject of a positi</w:t>
      </w:r>
      <w:r w:rsidR="000A3B66">
        <w:t>ve pact. Here Hosea is giving</w:t>
      </w:r>
      <w:r>
        <w:t xml:space="preserve"> warning. Ephraim is not to rest on those promises, as if the realities and dangers of the wider world were not real. Instead of being a friend, the natural world can be a threat.</w:t>
      </w:r>
    </w:p>
    <w:p w:rsidR="00FF6A58" w:rsidRDefault="00FF6A58" w:rsidP="005E5677">
      <w:pPr>
        <w:rPr>
          <w:b/>
        </w:rPr>
      </w:pPr>
    </w:p>
    <w:p w:rsidR="00892BFF" w:rsidRDefault="00776A85" w:rsidP="005E5677">
      <w:r>
        <w:rPr>
          <w:b/>
        </w:rPr>
        <w:t xml:space="preserve">Hosea 4:4-5. </w:t>
      </w:r>
      <w:r w:rsidR="000A3B66">
        <w:t>The opening of this next</w:t>
      </w:r>
      <w:r w:rsidR="00892BFF">
        <w:t xml:space="preserve"> </w:t>
      </w:r>
      <w:r w:rsidR="000A3B66">
        <w:t>sub</w:t>
      </w:r>
      <w:r w:rsidR="00892BFF">
        <w:t xml:space="preserve">section is </w:t>
      </w:r>
      <w:r w:rsidR="000A3B66">
        <w:t xml:space="preserve">then </w:t>
      </w:r>
      <w:r w:rsidR="00892BFF">
        <w:t xml:space="preserve">a </w:t>
      </w:r>
      <w:r w:rsidR="000A3B66">
        <w:t xml:space="preserve">surprise. Hosea has put forward an argument that </w:t>
      </w:r>
      <w:r w:rsidR="00892BFF">
        <w:t xml:space="preserve">Ephraim would </w:t>
      </w:r>
      <w:r w:rsidR="000A3B66">
        <w:t>surely welcome</w:t>
      </w:r>
      <w:r w:rsidR="002E56C4">
        <w:t xml:space="preserve">; we </w:t>
      </w:r>
      <w:r w:rsidR="000A3B66">
        <w:t xml:space="preserve">like the idea of God </w:t>
      </w:r>
      <w:r w:rsidR="00892BFF">
        <w:t>condemning ot</w:t>
      </w:r>
      <w:r w:rsidR="000A3B66">
        <w:t xml:space="preserve">her people. Yet </w:t>
      </w:r>
      <w:r w:rsidR="00892BFF">
        <w:t>the world</w:t>
      </w:r>
      <w:r w:rsidR="000A3B66">
        <w:t>’s withering and wasting</w:t>
      </w:r>
      <w:r w:rsidR="002E56C4">
        <w:t xml:space="preserve"> will</w:t>
      </w:r>
      <w:r w:rsidR="00892BFF">
        <w:t xml:space="preserve"> </w:t>
      </w:r>
      <w:r w:rsidR="002E56C4">
        <w:t xml:space="preserve">be bad news for Ephraim </w:t>
      </w:r>
      <w:r w:rsidR="00892BFF">
        <w:t xml:space="preserve">as </w:t>
      </w:r>
      <w:r w:rsidR="002E56C4">
        <w:t xml:space="preserve">for </w:t>
      </w:r>
      <w:r w:rsidR="00892BFF">
        <w:t>anyone else. Ephraim is</w:t>
      </w:r>
      <w:r w:rsidR="000A3B66">
        <w:t xml:space="preserve"> part of the world. Perhaps it’</w:t>
      </w:r>
      <w:r w:rsidR="00892BFF">
        <w:t>s also part of the world in its failu</w:t>
      </w:r>
      <w:r w:rsidR="000A3B66">
        <w:t>re in</w:t>
      </w:r>
      <w:r w:rsidR="00892BFF">
        <w:t xml:space="preserve"> its relationship with God and in its </w:t>
      </w:r>
      <w:r w:rsidR="000A3B66">
        <w:t>community lifestyle? Hosea’s critique c</w:t>
      </w:r>
      <w:r w:rsidR="00892BFF">
        <w:t>ould remind people</w:t>
      </w:r>
      <w:r w:rsidR="000A3B66">
        <w:t xml:space="preserve"> of expectations that</w:t>
      </w:r>
      <w:r w:rsidR="00892BFF">
        <w:t xml:space="preserve"> appl</w:t>
      </w:r>
      <w:r w:rsidR="000A3B66">
        <w:t xml:space="preserve">y to Ephraim, as declaimed by Amos. </w:t>
      </w:r>
      <w:r w:rsidR="002E56C4">
        <w:t xml:space="preserve">Indeed, </w:t>
      </w:r>
      <w:r w:rsidR="00892BFF">
        <w:t>Hosea</w:t>
      </w:r>
      <w:r w:rsidR="000A3B66">
        <w:t xml:space="preserve"> is taking up Amos</w:t>
      </w:r>
      <w:r w:rsidR="00892BFF">
        <w:t>’s ploy of declaring</w:t>
      </w:r>
      <w:r w:rsidR="000A3B66">
        <w:t xml:space="preserve"> judgment on other people </w:t>
      </w:r>
      <w:r w:rsidR="00892BFF">
        <w:t>to soften up Ephraim for its own decla</w:t>
      </w:r>
      <w:r w:rsidR="000A3B66">
        <w:t>ration of judgment</w:t>
      </w:r>
      <w:r w:rsidR="00892BFF">
        <w:t>.</w:t>
      </w:r>
    </w:p>
    <w:p w:rsidR="00C237D7" w:rsidRDefault="002E56C4" w:rsidP="005E5677">
      <w:r>
        <w:t xml:space="preserve">So who is saying </w:t>
      </w:r>
      <w:r w:rsidR="009D416B">
        <w:t>no one is to confront</w:t>
      </w:r>
      <w:r w:rsidR="00013DB1">
        <w:t xml:space="preserve"> or</w:t>
      </w:r>
      <w:r w:rsidR="00013DB1" w:rsidRPr="00013DB1">
        <w:t xml:space="preserve"> reprove</w:t>
      </w:r>
      <w:r w:rsidR="00013DB1">
        <w:t xml:space="preserve"> </w:t>
      </w:r>
      <w:r w:rsidR="003B6E66">
        <w:t xml:space="preserve">(v. 4a)? </w:t>
      </w:r>
      <w:r w:rsidR="007C09E6">
        <w:t>T</w:t>
      </w:r>
      <w:r w:rsidR="00725D86">
        <w:t>g provides t</w:t>
      </w:r>
      <w:r w:rsidR="007C09E6">
        <w:t>h</w:t>
      </w:r>
      <w:r w:rsidR="00013DB1">
        <w:t>e clue</w:t>
      </w:r>
      <w:r w:rsidR="00FA4CE6">
        <w:t>,</w:t>
      </w:r>
      <w:r w:rsidR="00725D86">
        <w:t xml:space="preserve"> </w:t>
      </w:r>
      <w:r>
        <w:t>in beginning</w:t>
      </w:r>
      <w:r w:rsidR="00FA4CE6">
        <w:t xml:space="preserve"> “because they say….</w:t>
      </w:r>
      <w:r w:rsidR="00725D86">
        <w:t xml:space="preserve">” </w:t>
      </w:r>
      <w:r>
        <w:t>and</w:t>
      </w:r>
      <w:r w:rsidR="00FA4CE6">
        <w:t xml:space="preserve"> thus </w:t>
      </w:r>
      <w:r>
        <w:t>recognizing</w:t>
      </w:r>
      <w:r w:rsidR="00FA4CE6">
        <w:t xml:space="preserve"> that the</w:t>
      </w:r>
      <w:r w:rsidR="00725D86">
        <w:t xml:space="preserve"> strong opening a</w:t>
      </w:r>
      <w:r w:rsidR="00FA4CE6">
        <w:t>sseverative “yet” introduces Hosea’s</w:t>
      </w:r>
      <w:r>
        <w:t xml:space="preserve"> quotation of</w:t>
      </w:r>
      <w:r w:rsidR="00E27225">
        <w:t xml:space="preserve"> </w:t>
      </w:r>
      <w:r w:rsidR="00725D86">
        <w:t>something that contrasts with</w:t>
      </w:r>
      <w:r w:rsidR="007C09E6">
        <w:t xml:space="preserve"> 4:1-3. Hosea has laid out an argument; now </w:t>
      </w:r>
      <w:r w:rsidR="00013DB1">
        <w:t xml:space="preserve">he quotes </w:t>
      </w:r>
      <w:r w:rsidR="007C09E6">
        <w:t xml:space="preserve">a voice </w:t>
      </w:r>
      <w:r w:rsidR="00013DB1">
        <w:t>declaring</w:t>
      </w:r>
      <w:r w:rsidR="007C09E6">
        <w:t xml:space="preserve"> that people have no business laying out ar</w:t>
      </w:r>
      <w:r w:rsidR="008236F3">
        <w:t>guments or reproofs</w:t>
      </w:r>
      <w:r w:rsidR="00BB3661">
        <w:t>.</w:t>
      </w:r>
      <w:r w:rsidR="007C09E6">
        <w:rPr>
          <w:rStyle w:val="FootnoteReference"/>
        </w:rPr>
        <w:footnoteReference w:id="216"/>
      </w:r>
      <w:r w:rsidR="007C09E6">
        <w:t xml:space="preserve"> </w:t>
      </w:r>
      <w:r w:rsidR="003B6E66">
        <w:t>Both argument and reproof</w:t>
      </w:r>
      <w:r w:rsidR="00BB3661">
        <w:t xml:space="preserve"> </w:t>
      </w:r>
      <w:r>
        <w:t xml:space="preserve">can imply </w:t>
      </w:r>
      <w:r w:rsidR="00F01908">
        <w:t>one</w:t>
      </w:r>
      <w:r w:rsidR="00BB3661">
        <w:t xml:space="preserve"> member of </w:t>
      </w:r>
      <w:r>
        <w:t>the community chiding</w:t>
      </w:r>
      <w:r w:rsidR="00F01908">
        <w:t xml:space="preserve"> another </w:t>
      </w:r>
      <w:r w:rsidR="00BB3661">
        <w:t>for doing something objectionable (e.g., Lev</w:t>
      </w:r>
      <w:r>
        <w:t>.</w:t>
      </w:r>
      <w:r w:rsidR="00BB3661">
        <w:t xml:space="preserve"> 19</w:t>
      </w:r>
      <w:r w:rsidR="00F01908">
        <w:t>:17), though it</w:t>
      </w:r>
      <w:r>
        <w:t xml:space="preserve"> more often denotes</w:t>
      </w:r>
      <w:r w:rsidR="00BB3661">
        <w:t xml:space="preserve"> God </w:t>
      </w:r>
      <w:r>
        <w:t xml:space="preserve">chiding </w:t>
      </w:r>
      <w:r w:rsidR="00BB3661">
        <w:t xml:space="preserve">and </w:t>
      </w:r>
      <w:r>
        <w:t>it thus suggests</w:t>
      </w:r>
      <w:r w:rsidR="00BB3661">
        <w:t xml:space="preserve"> that the reprove</w:t>
      </w:r>
      <w:r w:rsidR="00F01908">
        <w:t>r</w:t>
      </w:r>
      <w:r>
        <w:t xml:space="preserve"> has some authority. It’</w:t>
      </w:r>
      <w:r w:rsidR="00BB3661">
        <w:t>s not surpr</w:t>
      </w:r>
      <w:r>
        <w:t>ising, then, if</w:t>
      </w:r>
      <w:r w:rsidR="00F01908">
        <w:t xml:space="preserve"> </w:t>
      </w:r>
      <w:r>
        <w:t xml:space="preserve">people </w:t>
      </w:r>
      <w:r w:rsidR="00FA4CE6">
        <w:t>are hostile to anyone who reproves at the gate (Amos 5:10</w:t>
      </w:r>
      <w:r w:rsidR="00BB3661">
        <w:t>; cf. Prov</w:t>
      </w:r>
      <w:r>
        <w:t>.</w:t>
      </w:r>
      <w:r w:rsidR="00BB3661">
        <w:t xml:space="preserve"> 9:7-8</w:t>
      </w:r>
      <w:r w:rsidR="00FA4CE6">
        <w:t>).</w:t>
      </w:r>
      <w:r w:rsidR="00BB3661">
        <w:t xml:space="preserve"> </w:t>
      </w:r>
      <w:r w:rsidR="003B6E66">
        <w:t>So the objector</w:t>
      </w:r>
      <w:r w:rsidR="000C70B4">
        <w:t xml:space="preserve"> says, it’s the priest’s job to reprove </w:t>
      </w:r>
      <w:r w:rsidR="000913FC">
        <w:t>and</w:t>
      </w:r>
      <w:r w:rsidR="00F01908">
        <w:t xml:space="preserve"> </w:t>
      </w:r>
      <w:r w:rsidR="000913FC">
        <w:t>sort out arguments (e.g., Deut. 17:8-13)</w:t>
      </w:r>
      <w:r w:rsidR="000C70B4">
        <w:t>. It’</w:t>
      </w:r>
      <w:r w:rsidR="00F01908">
        <w:t>s not Hosea’</w:t>
      </w:r>
      <w:r w:rsidR="000913FC">
        <w:t>s job</w:t>
      </w:r>
      <w:r w:rsidR="00F01908">
        <w:t>.</w:t>
      </w:r>
      <w:r w:rsidR="000913FC">
        <w:t xml:space="preserve"> </w:t>
      </w:r>
      <w:r w:rsidR="00F01908">
        <w:t>S</w:t>
      </w:r>
      <w:r w:rsidR="00BB54ED">
        <w:t>ucceedin</w:t>
      </w:r>
      <w:r w:rsidR="00F01908">
        <w:t>g lines will make more</w:t>
      </w:r>
      <w:r w:rsidR="000C70B4">
        <w:t xml:space="preserve"> explicit that </w:t>
      </w:r>
      <w:r w:rsidR="00BB54ED">
        <w:t xml:space="preserve">Hosea’s argument </w:t>
      </w:r>
      <w:r w:rsidR="00903C3B">
        <w:t>in 4:1-3 i</w:t>
      </w:r>
      <w:r w:rsidR="000C70B4">
        <w:t>mplie</w:t>
      </w:r>
      <w:r w:rsidR="00BB54ED">
        <w:t xml:space="preserve">s that the </w:t>
      </w:r>
      <w:r w:rsidR="000C70B4">
        <w:t xml:space="preserve">Ephraimite </w:t>
      </w:r>
      <w:r w:rsidR="00BB54ED">
        <w:t>priest</w:t>
      </w:r>
      <w:r w:rsidR="00F01908">
        <w:t xml:space="preserve"> </w:t>
      </w:r>
      <w:r w:rsidR="00903C3B">
        <w:t>was failing in his job of instructing the people, which is a key aspect of a priest’s role</w:t>
      </w:r>
      <w:r w:rsidR="00E27225">
        <w:t xml:space="preserve"> (</w:t>
      </w:r>
      <w:r w:rsidR="000B4222">
        <w:t>cf. Deut</w:t>
      </w:r>
      <w:r w:rsidR="000C70B4">
        <w:t>.</w:t>
      </w:r>
      <w:r w:rsidR="000B4222">
        <w:t xml:space="preserve"> 33:10; </w:t>
      </w:r>
      <w:r w:rsidR="00E27225">
        <w:t>Tg has “teachers” for “a priest”)</w:t>
      </w:r>
      <w:r w:rsidR="000C70B4">
        <w:t>. The priest’s</w:t>
      </w:r>
      <w:r w:rsidR="00903C3B">
        <w:t xml:space="preserve"> </w:t>
      </w:r>
      <w:r w:rsidR="000B4222">
        <w:t xml:space="preserve">response </w:t>
      </w:r>
      <w:r w:rsidR="00903C3B">
        <w:t xml:space="preserve">is that Hosea has no </w:t>
      </w:r>
      <w:r w:rsidR="00F01908">
        <w:t>business finding fault with anybody</w:t>
      </w:r>
      <w:r w:rsidR="00903C3B">
        <w:t xml:space="preserve">. </w:t>
      </w:r>
    </w:p>
    <w:p w:rsidR="00C237D7" w:rsidRDefault="00BB3661" w:rsidP="005E5677">
      <w:r>
        <w:t>Hosea</w:t>
      </w:r>
      <w:r w:rsidR="00903C3B">
        <w:t xml:space="preserve"> is thus the immediate subject of the</w:t>
      </w:r>
      <w:r>
        <w:t xml:space="preserve"> protest that he quotes</w:t>
      </w:r>
      <w:r w:rsidR="008D73F4">
        <w:t xml:space="preserve"> (v. 4b</w:t>
      </w:r>
      <w:r w:rsidR="000C70B4">
        <w:t>-5aα</w:t>
      </w:r>
      <w:r w:rsidR="00C237D7">
        <w:t>)</w:t>
      </w:r>
      <w:r w:rsidR="00A51F53">
        <w:t>, but</w:t>
      </w:r>
      <w:r w:rsidR="00A51F53" w:rsidRPr="00A51F53">
        <w:t xml:space="preserve"> “your people” </w:t>
      </w:r>
      <w:r w:rsidR="00BB54ED">
        <w:t xml:space="preserve">are the </w:t>
      </w:r>
      <w:r w:rsidR="00903C3B">
        <w:t>company who identify with him.</w:t>
      </w:r>
      <w:r w:rsidR="00BB54ED">
        <w:t xml:space="preserve"> </w:t>
      </w:r>
      <w:r w:rsidR="00CB0274">
        <w:t>Conversely, t</w:t>
      </w:r>
      <w:r w:rsidR="008D73F4">
        <w:t>here will</w:t>
      </w:r>
      <w:r w:rsidR="00BB54ED">
        <w:t xml:space="preserve"> hard</w:t>
      </w:r>
      <w:r w:rsidR="000C70B4">
        <w:t>ly be only one Ephraimite priest</w:t>
      </w:r>
      <w:r w:rsidR="00A51F53">
        <w:t xml:space="preserve"> (cf.</w:t>
      </w:r>
      <w:r w:rsidR="002B7FCC">
        <w:t xml:space="preserve"> 5:1</w:t>
      </w:r>
      <w:r w:rsidR="00A51F53">
        <w:t>;</w:t>
      </w:r>
      <w:r w:rsidR="002B7FCC">
        <w:t xml:space="preserve"> </w:t>
      </w:r>
      <w:r w:rsidR="00A51F53">
        <w:t xml:space="preserve">in 1 Kings 12:32 </w:t>
      </w:r>
      <w:r w:rsidR="002B7FCC">
        <w:t>Jeroboam I is said to hav</w:t>
      </w:r>
      <w:r w:rsidR="00A51F53">
        <w:t>e installed a number at Beth-el)</w:t>
      </w:r>
      <w:r w:rsidR="002B7FCC">
        <w:t>. B</w:t>
      </w:r>
      <w:r w:rsidR="00CB0274">
        <w:t>ut the following lines confirm</w:t>
      </w:r>
      <w:r w:rsidR="00BB54ED">
        <w:t xml:space="preserve"> that </w:t>
      </w:r>
      <w:r w:rsidR="00A51F53">
        <w:t xml:space="preserve">Hosea </w:t>
      </w:r>
      <w:r w:rsidR="000C70B4">
        <w:t>speak</w:t>
      </w:r>
      <w:r w:rsidR="00A51F53">
        <w:t>s</w:t>
      </w:r>
      <w:r w:rsidR="000C70B4">
        <w:t xml:space="preserve"> </w:t>
      </w:r>
      <w:r w:rsidR="00903C3B">
        <w:t>here</w:t>
      </w:r>
      <w:r w:rsidR="000C70B4">
        <w:t xml:space="preserve"> of</w:t>
      </w:r>
      <w:r w:rsidR="00BB54ED">
        <w:t xml:space="preserve"> an individual</w:t>
      </w:r>
      <w:r w:rsidR="00A51F53">
        <w:t xml:space="preserve"> priest</w:t>
      </w:r>
      <w:r w:rsidR="00BB54ED">
        <w:t>, presuma</w:t>
      </w:r>
      <w:r w:rsidR="000C70B4">
        <w:t>bly the head priest: compare</w:t>
      </w:r>
      <w:r w:rsidR="00BB54ED">
        <w:t xml:space="preserve"> “the priest” Am</w:t>
      </w:r>
      <w:r w:rsidR="008D73F4">
        <w:t>aziah at Beth</w:t>
      </w:r>
      <w:r w:rsidR="00104FB8">
        <w:t>-</w:t>
      </w:r>
      <w:r w:rsidR="002B7FCC">
        <w:t>el with whom Amos got</w:t>
      </w:r>
      <w:r w:rsidR="008D73F4">
        <w:t xml:space="preserve"> involved in a not </w:t>
      </w:r>
      <w:r w:rsidR="00BB54ED">
        <w:t xml:space="preserve">dissimilar altercation (Amos 7:10-17). </w:t>
      </w:r>
      <w:r w:rsidR="00A51F53">
        <w:t>It’</w:t>
      </w:r>
      <w:r w:rsidR="00015743">
        <w:t xml:space="preserve">s </w:t>
      </w:r>
      <w:r w:rsidR="00CB0274">
        <w:t>presumably this</w:t>
      </w:r>
      <w:r w:rsidR="004F510F">
        <w:t xml:space="preserve"> priest who voices the critique of Hosea </w:t>
      </w:r>
      <w:r w:rsidR="008D73F4">
        <w:t xml:space="preserve">and who </w:t>
      </w:r>
      <w:r w:rsidR="00015743">
        <w:t xml:space="preserve">goes on to issue a warning </w:t>
      </w:r>
      <w:r w:rsidR="004302E9">
        <w:t>to him</w:t>
      </w:r>
      <w:r w:rsidR="000C70B4">
        <w:t>,</w:t>
      </w:r>
      <w:r w:rsidR="00CB0274">
        <w:t xml:space="preserve"> again</w:t>
      </w:r>
      <w:r w:rsidR="00015743">
        <w:t xml:space="preserve"> </w:t>
      </w:r>
      <w:r w:rsidR="00CB0274">
        <w:t>a little like Amaziah’s warning, but even more like threats later issued to Jeremiah.</w:t>
      </w:r>
      <w:r w:rsidR="008D73F4">
        <w:t xml:space="preserve"> Hosea will fall “to</w:t>
      </w:r>
      <w:r w:rsidR="00522134">
        <w:t>d</w:t>
      </w:r>
      <w:r w:rsidR="008D73F4">
        <w:t xml:space="preserve">ay” </w:t>
      </w:r>
      <w:r w:rsidR="003F22A2">
        <w:t>(that is, right no</w:t>
      </w:r>
      <w:r w:rsidR="004302E9">
        <w:t>w, very soon: see the use</w:t>
      </w:r>
      <w:r w:rsidR="003F22A2">
        <w:t xml:space="preserve"> of this expression in Deut. 2:18; 9:1; Josh. 23:14).</w:t>
      </w:r>
      <w:r w:rsidR="004F510F">
        <w:t xml:space="preserve"> </w:t>
      </w:r>
    </w:p>
    <w:p w:rsidR="00015743" w:rsidRDefault="00C237D7" w:rsidP="005E5677">
      <w:r>
        <w:t xml:space="preserve">The warning is not </w:t>
      </w:r>
      <w:r w:rsidR="00E27225">
        <w:t xml:space="preserve">confined to him (v. 5aβb). Tg </w:t>
      </w:r>
      <w:r w:rsidR="004302E9">
        <w:t xml:space="preserve">assumes Hosea is talking about </w:t>
      </w:r>
      <w:r>
        <w:t>false</w:t>
      </w:r>
      <w:r w:rsidR="00015743">
        <w:t xml:space="preserve"> prophets</w:t>
      </w:r>
      <w:r w:rsidR="00E27225">
        <w:t>,</w:t>
      </w:r>
      <w:r w:rsidR="00CB0274">
        <w:t xml:space="preserve"> </w:t>
      </w:r>
      <w:r w:rsidR="004302E9">
        <w:t>who</w:t>
      </w:r>
      <w:r w:rsidR="00E27225">
        <w:t xml:space="preserve"> </w:t>
      </w:r>
      <w:r w:rsidR="00CB0274">
        <w:t>become a serious problem in Judah</w:t>
      </w:r>
      <w:r w:rsidR="00015743">
        <w:t xml:space="preserve">, </w:t>
      </w:r>
      <w:r w:rsidR="00E27225">
        <w:t xml:space="preserve">but </w:t>
      </w:r>
      <w:r w:rsidR="00C221F1">
        <w:t>they do not</w:t>
      </w:r>
      <w:r w:rsidR="001B6291">
        <w:t xml:space="preserve"> </w:t>
      </w:r>
      <w:r w:rsidR="00CB0274">
        <w:t xml:space="preserve">feature in the messages </w:t>
      </w:r>
      <w:r w:rsidR="00522134">
        <w:t>to Ephraim by</w:t>
      </w:r>
      <w:r w:rsidR="00CB0274">
        <w:t xml:space="preserve"> Hosea or Amos</w:t>
      </w:r>
      <w:r w:rsidR="00522134">
        <w:t>.</w:t>
      </w:r>
      <w:r w:rsidR="001B6291">
        <w:rPr>
          <w:rStyle w:val="FootnoteReference"/>
        </w:rPr>
        <w:footnoteReference w:id="217"/>
      </w:r>
      <w:r w:rsidR="00522134">
        <w:t xml:space="preserve"> T</w:t>
      </w:r>
      <w:r w:rsidR="00015743">
        <w:t xml:space="preserve">he prophet who will fall by night </w:t>
      </w:r>
      <w:r w:rsidR="00522134">
        <w:t xml:space="preserve">(when life is more dangerous) </w:t>
      </w:r>
      <w:r w:rsidR="00015743" w:rsidRPr="00015743">
        <w:t xml:space="preserve">will </w:t>
      </w:r>
      <w:r w:rsidR="00015743">
        <w:t xml:space="preserve">be </w:t>
      </w:r>
      <w:r w:rsidR="00015743" w:rsidRPr="00015743">
        <w:t>any othe</w:t>
      </w:r>
      <w:r w:rsidR="00015743">
        <w:t>r prophet who speaks like Hosea.</w:t>
      </w:r>
      <w:r>
        <w:t xml:space="preserve"> </w:t>
      </w:r>
      <w:r w:rsidR="004302E9">
        <w:t>“F</w:t>
      </w:r>
      <w:r w:rsidR="00AA1283">
        <w:t>alling</w:t>
      </w:r>
      <w:r w:rsidR="004302E9">
        <w:t>” could denote</w:t>
      </w:r>
      <w:r w:rsidR="004F510F">
        <w:t xml:space="preserve"> divine judgment, but the parallel colon makes explicit that the pries</w:t>
      </w:r>
      <w:r w:rsidR="00AA1283">
        <w:t xml:space="preserve">t is prepared to make sure </w:t>
      </w:r>
      <w:r w:rsidR="004F510F">
        <w:t>the judgment falls: t</w:t>
      </w:r>
      <w:r>
        <w:t>o add to the pressure, Hosea’s own mother wil</w:t>
      </w:r>
      <w:r w:rsidR="00522134">
        <w:t>l not escape the action that’</w:t>
      </w:r>
      <w:r>
        <w:t xml:space="preserve">s taken. The warning makes for an ironic comparison and contrast with </w:t>
      </w:r>
      <w:r>
        <w:lastRenderedPageBreak/>
        <w:t>Amos’s threat to Amaziah (Amos 7:17) and w</w:t>
      </w:r>
      <w:r w:rsidR="00772C04">
        <w:t xml:space="preserve">ith the rule about a </w:t>
      </w:r>
      <w:r>
        <w:t xml:space="preserve">son </w:t>
      </w:r>
      <w:r w:rsidR="00772C04">
        <w:t xml:space="preserve">who is rebellious and runs amok </w:t>
      </w:r>
      <w:r>
        <w:t>(Deut</w:t>
      </w:r>
      <w:r w:rsidR="00AA1283">
        <w:t xml:space="preserve">. </w:t>
      </w:r>
      <w:r>
        <w:t>21:18-21).</w:t>
      </w:r>
    </w:p>
    <w:p w:rsidR="006E5585" w:rsidRDefault="006E5585" w:rsidP="005E5677"/>
    <w:p w:rsidR="00E9718B" w:rsidRDefault="00F15DBB" w:rsidP="005E5677">
      <w:r>
        <w:rPr>
          <w:b/>
        </w:rPr>
        <w:t>Hosea 4:6-9</w:t>
      </w:r>
      <w:r w:rsidR="00776A85">
        <w:rPr>
          <w:b/>
        </w:rPr>
        <w:t xml:space="preserve">. </w:t>
      </w:r>
      <w:r w:rsidR="008E2AB2">
        <w:t>The</w:t>
      </w:r>
      <w:r w:rsidR="006E5585">
        <w:t xml:space="preserve"> response </w:t>
      </w:r>
      <w:r w:rsidR="004F510F">
        <w:t xml:space="preserve">to the priest </w:t>
      </w:r>
      <w:r w:rsidR="006E5585">
        <w:t xml:space="preserve">comes in the form of </w:t>
      </w:r>
      <w:r>
        <w:t>a word from Yahweh</w:t>
      </w:r>
      <w:r w:rsidR="006E5585">
        <w:t>.</w:t>
      </w:r>
      <w:r w:rsidR="008E2AB2">
        <w:t xml:space="preserve"> As the priest’s rebuke </w:t>
      </w:r>
      <w:r w:rsidR="004302E9">
        <w:t xml:space="preserve">in v. 4 </w:t>
      </w:r>
      <w:r w:rsidR="008E2AB2">
        <w:t xml:space="preserve">took up </w:t>
      </w:r>
      <w:r w:rsidR="004F510F">
        <w:t xml:space="preserve">the idea of </w:t>
      </w:r>
      <w:r w:rsidR="008E2AB2">
        <w:t>Yahweh’s ha</w:t>
      </w:r>
      <w:r w:rsidR="004302E9">
        <w:t>ving an argument to bring</w:t>
      </w:r>
      <w:r w:rsidR="008E2AB2">
        <w:t>, this response takes up the priest’s talk of cutting off</w:t>
      </w:r>
      <w:r w:rsidR="004302E9">
        <w:t xml:space="preserve">. </w:t>
      </w:r>
    </w:p>
    <w:p w:rsidR="006E5585" w:rsidRDefault="004302E9" w:rsidP="005E5677">
      <w:r>
        <w:t>I</w:t>
      </w:r>
      <w:r w:rsidR="00E9718B">
        <w:t>ndeed, i</w:t>
      </w:r>
      <w:r>
        <w:t>t makes</w:t>
      </w:r>
      <w:r w:rsidR="006A28C8">
        <w:t xml:space="preserve"> a declaration concerning a cutting off </w:t>
      </w:r>
      <w:r w:rsidR="00E9718B">
        <w:t xml:space="preserve">(v. 6a) </w:t>
      </w:r>
      <w:r w:rsidR="006A28C8">
        <w:t>that is so certain it can be described as if it has already happened. As the priest spoke of “your people” (that is, Hosea’s company), Yahweh speaks of “my people” (that is, Ephraim</w:t>
      </w:r>
      <w:r w:rsidR="009242D3">
        <w:t xml:space="preserve">). </w:t>
      </w:r>
      <w:r w:rsidR="004F510F">
        <w:t xml:space="preserve">There is </w:t>
      </w:r>
      <w:r w:rsidR="006A28C8">
        <w:t>a poignancy and sadness about the juxtaposition of verb</w:t>
      </w:r>
      <w:r>
        <w:t xml:space="preserve"> “cut off” </w:t>
      </w:r>
      <w:r w:rsidR="006A28C8">
        <w:t xml:space="preserve">and </w:t>
      </w:r>
      <w:r>
        <w:t xml:space="preserve">the </w:t>
      </w:r>
      <w:r w:rsidR="006A28C8">
        <w:t>noun</w:t>
      </w:r>
      <w:r>
        <w:t xml:space="preserve"> “my people</w:t>
      </w:r>
      <w:r w:rsidR="006A28C8">
        <w:t>.</w:t>
      </w:r>
      <w:r>
        <w:t>”</w:t>
      </w:r>
      <w:r w:rsidR="006A28C8">
        <w:t xml:space="preserve">  Explaining the cutting off brings another link with 4:1-3: it will happen because of </w:t>
      </w:r>
      <w:r w:rsidR="004F510F">
        <w:t>the lack of acknowledging God</w:t>
      </w:r>
      <w:r w:rsidR="006A28C8">
        <w:t xml:space="preserve"> of which Hosea spoke. </w:t>
      </w:r>
      <w:r w:rsidR="004F510F">
        <w:t>It is no</w:t>
      </w:r>
      <w:r w:rsidR="007333E5">
        <w:t>w</w:t>
      </w:r>
      <w:r w:rsidR="004F510F">
        <w:t xml:space="preserve"> explicit that this failure extends to Ephraim itself.</w:t>
      </w:r>
    </w:p>
    <w:p w:rsidR="00F40F99" w:rsidRDefault="004302E9" w:rsidP="005E5677">
      <w:r>
        <w:t>B</w:t>
      </w:r>
      <w:r w:rsidR="00F475AE">
        <w:t>ehind the people’s failur</w:t>
      </w:r>
      <w:r w:rsidR="004F510F">
        <w:t>e to acknowledge God lie</w:t>
      </w:r>
      <w:r w:rsidR="00AA1283">
        <w:t xml:space="preserve">s the priest’s failure </w:t>
      </w:r>
      <w:r>
        <w:t xml:space="preserve">to do so </w:t>
      </w:r>
      <w:r w:rsidR="00F475AE">
        <w:t>(v. 6b). In fact</w:t>
      </w:r>
      <w:r w:rsidR="004F510F">
        <w:t xml:space="preserve"> it’s </w:t>
      </w:r>
      <w:r w:rsidR="00AA1283">
        <w:t xml:space="preserve">his rejecting </w:t>
      </w:r>
      <w:r w:rsidR="0073470F">
        <w:t xml:space="preserve">acknowledgment </w:t>
      </w:r>
      <w:r w:rsidR="00AA1283">
        <w:t xml:space="preserve">of Yahweh that </w:t>
      </w:r>
      <w:r w:rsidR="00F475AE">
        <w:t>issue</w:t>
      </w:r>
      <w:r>
        <w:t>s</w:t>
      </w:r>
      <w:r w:rsidR="00F475AE">
        <w:t xml:space="preserve"> in the people’s failure </w:t>
      </w:r>
      <w:r w:rsidR="0073470F">
        <w:t xml:space="preserve">and </w:t>
      </w:r>
      <w:r>
        <w:t xml:space="preserve">in </w:t>
      </w:r>
      <w:r w:rsidR="00AA1283">
        <w:t xml:space="preserve">their </w:t>
      </w:r>
      <w:r w:rsidR="0073470F">
        <w:t xml:space="preserve">being cut off, </w:t>
      </w:r>
      <w:r w:rsidR="00F475AE">
        <w:t>as they follow the priest’s lead. Yet again, the parallel c</w:t>
      </w:r>
      <w:r w:rsidR="00AA1283">
        <w:t>olon takes up a key word: you’</w:t>
      </w:r>
      <w:r w:rsidR="00F475AE">
        <w:t>ve rejected me, so I reject you from acting as priest. Whatever is to ha</w:t>
      </w:r>
      <w:r w:rsidR="00AA1283">
        <w:t>ppen to the sanctuary where he ministers</w:t>
      </w:r>
      <w:r w:rsidR="00F475AE">
        <w:t>, this priesthood will not continue to operate there. And/or, whatever sacrific</w:t>
      </w:r>
      <w:r w:rsidR="00AA1283">
        <w:t>es you continue to offer in that</w:t>
      </w:r>
      <w:r w:rsidR="00F475AE">
        <w:t xml:space="preserve"> sanctuary, I do not accept them. They are meaningless and ineffective. </w:t>
      </w:r>
      <w:r w:rsidR="00AA1283">
        <w:t>Yahweh</w:t>
      </w:r>
      <w:r w:rsidR="002F6A58">
        <w:t xml:space="preserve"> restates the point by</w:t>
      </w:r>
      <w:r w:rsidR="00F475AE">
        <w:t xml:space="preserve"> </w:t>
      </w:r>
      <w:r w:rsidR="002F6A58">
        <w:t>redefining refusal to acknowledge</w:t>
      </w:r>
      <w:r w:rsidR="001E174A">
        <w:t xml:space="preserve"> Yahweh</w:t>
      </w:r>
      <w:r w:rsidR="00F475AE">
        <w:t xml:space="preserve"> as putting God’s instruction (</w:t>
      </w:r>
      <w:r w:rsidR="00F475AE">
        <w:rPr>
          <w:i/>
        </w:rPr>
        <w:t>tôrāh</w:t>
      </w:r>
      <w:r w:rsidR="00F475AE">
        <w:t>) out of mind</w:t>
      </w:r>
      <w:r w:rsidR="007759A1">
        <w:t>.</w:t>
      </w:r>
      <w:r w:rsidR="002F6A58" w:rsidRPr="002F6A58">
        <w:t xml:space="preserve"> </w:t>
      </w:r>
      <w:r w:rsidR="001E174A">
        <w:t>The conventional translation of the verb (</w:t>
      </w:r>
      <w:r w:rsidR="001E174A">
        <w:rPr>
          <w:i/>
        </w:rPr>
        <w:t>šākaḥ</w:t>
      </w:r>
      <w:r w:rsidR="002F6A58">
        <w:t>) is “forget,” but it</w:t>
      </w:r>
      <w:r w:rsidR="001E174A">
        <w:t xml:space="preserve"> commonly denotes the kind of forge</w:t>
      </w:r>
      <w:r w:rsidR="002F6A58">
        <w:t>tting one does on purpose. It implies</w:t>
      </w:r>
      <w:r>
        <w:t xml:space="preserve"> deliberately taking</w:t>
      </w:r>
      <w:r w:rsidR="0073470F">
        <w:t xml:space="preserve"> no notice</w:t>
      </w:r>
      <w:r w:rsidR="00E05E8E">
        <w:t xml:space="preserve">. </w:t>
      </w:r>
      <w:r w:rsidR="002F6A58">
        <w:t xml:space="preserve">Yahweh </w:t>
      </w:r>
      <w:r w:rsidR="007759A1">
        <w:t xml:space="preserve">is </w:t>
      </w:r>
      <w:r w:rsidR="0073470F">
        <w:t xml:space="preserve">again </w:t>
      </w:r>
      <w:r w:rsidR="007759A1">
        <w:t>referring</w:t>
      </w:r>
      <w:r w:rsidR="001E174A">
        <w:t xml:space="preserve"> back to the </w:t>
      </w:r>
      <w:r w:rsidR="0073470F">
        <w:t xml:space="preserve">substance though not the words of the </w:t>
      </w:r>
      <w:r w:rsidR="001E174A">
        <w:t xml:space="preserve">indictment in 4:1. </w:t>
      </w:r>
      <w:r w:rsidR="0073470F" w:rsidRPr="0073470F">
        <w:t>Sometimes Yahweh’s “forgetting” is good news (see 7:2);</w:t>
      </w:r>
      <w:r w:rsidR="0073470F">
        <w:t xml:space="preserve"> it can</w:t>
      </w:r>
      <w:r w:rsidR="0073470F" w:rsidRPr="0073470F">
        <w:t xml:space="preserve"> fores</w:t>
      </w:r>
      <w:r w:rsidR="002F6A58">
        <w:t>tall punishment (see v. 9). It’</w:t>
      </w:r>
      <w:r w:rsidR="0073470F" w:rsidRPr="0073470F">
        <w:t xml:space="preserve">s not good news here. </w:t>
      </w:r>
      <w:r w:rsidR="007759A1">
        <w:t>Yahweh</w:t>
      </w:r>
      <w:r w:rsidR="007759A1" w:rsidRPr="007759A1">
        <w:t xml:space="preserve"> then repeats this further key verb.</w:t>
      </w:r>
      <w:r w:rsidR="007759A1">
        <w:t xml:space="preserve"> </w:t>
      </w:r>
      <w:r w:rsidR="001E174A">
        <w:t>The priest has put out of mind; Yahweh will put the priest’s ch</w:t>
      </w:r>
      <w:r w:rsidR="002F6A58">
        <w:t xml:space="preserve">ildren out of mind. The priest has threatened Hosea’s mother; </w:t>
      </w:r>
      <w:r w:rsidR="001E174A" w:rsidRPr="001E174A">
        <w:t xml:space="preserve">Yahweh’s warning </w:t>
      </w:r>
      <w:r w:rsidR="002F6A58">
        <w:t>thr</w:t>
      </w:r>
      <w:r w:rsidR="007759A1">
        <w:t>eatens the priest’s children. The warning</w:t>
      </w:r>
      <w:r w:rsidR="002F6A58">
        <w:t xml:space="preserve"> again recalls the threat</w:t>
      </w:r>
      <w:r w:rsidR="007759A1">
        <w:t xml:space="preserve"> to Amaziah (Amos 7:17), though here</w:t>
      </w:r>
      <w:r w:rsidR="001E174A">
        <w:t xml:space="preserve"> the parallelism between the two lines </w:t>
      </w:r>
      <w:r w:rsidR="007759A1">
        <w:t>also means that the disregarded children</w:t>
      </w:r>
      <w:r w:rsidR="00F40F99">
        <w:t xml:space="preserve"> will</w:t>
      </w:r>
      <w:r w:rsidR="001E174A">
        <w:t xml:space="preserve"> </w:t>
      </w:r>
      <w:r w:rsidR="00F40F99">
        <w:t xml:space="preserve">be the sons who </w:t>
      </w:r>
      <w:r w:rsidR="007759A1">
        <w:t xml:space="preserve">would </w:t>
      </w:r>
      <w:r w:rsidR="00F40F99">
        <w:t>take up his priesthood.</w:t>
      </w:r>
    </w:p>
    <w:p w:rsidR="00F475AE" w:rsidRDefault="00F30923" w:rsidP="005E5677">
      <w:r>
        <w:t xml:space="preserve">That comment leads into </w:t>
      </w:r>
      <w:r w:rsidR="002F6A58">
        <w:t>the plural reference that</w:t>
      </w:r>
      <w:r>
        <w:t xml:space="preserve"> follows (v. 7). The arrangement and the problem with the sons </w:t>
      </w:r>
      <w:r w:rsidR="009266C3">
        <w:t xml:space="preserve">of the </w:t>
      </w:r>
      <w:r w:rsidR="002F6A58">
        <w:t xml:space="preserve">Ephraimite </w:t>
      </w:r>
      <w:r w:rsidR="009266C3">
        <w:t xml:space="preserve">priest </w:t>
      </w:r>
      <w:r w:rsidR="00F40F99">
        <w:t>compares with that at Shiloh (see</w:t>
      </w:r>
      <w:r>
        <w:t xml:space="preserve"> 1 Sam</w:t>
      </w:r>
      <w:r w:rsidR="002F6A58">
        <w:t>.</w:t>
      </w:r>
      <w:r>
        <w:t xml:space="preserve"> 2). </w:t>
      </w:r>
      <w:r w:rsidR="00037558">
        <w:t>A</w:t>
      </w:r>
      <w:r>
        <w:t xml:space="preserve">ll </w:t>
      </w:r>
      <w:r w:rsidR="00037558">
        <w:t xml:space="preserve">the priests </w:t>
      </w:r>
      <w:r w:rsidR="002F6A58">
        <w:t xml:space="preserve">are </w:t>
      </w:r>
      <w:r>
        <w:t xml:space="preserve">involved in </w:t>
      </w:r>
      <w:r w:rsidR="000C4AB7">
        <w:t xml:space="preserve">the </w:t>
      </w:r>
      <w:r>
        <w:t>wrongdoing of which Hosea has spoken</w:t>
      </w:r>
      <w:r w:rsidR="00037558">
        <w:t xml:space="preserve">; </w:t>
      </w:r>
      <w:r w:rsidR="002F6A58">
        <w:t xml:space="preserve">“in relation to me” </w:t>
      </w:r>
      <w:r w:rsidR="000C4AB7">
        <w:t xml:space="preserve">picks up the same expression in v. 6 and explains the statement there. </w:t>
      </w:r>
      <w:r w:rsidR="002F6A58">
        <w:t>Whether or not the wording implies</w:t>
      </w:r>
      <w:r w:rsidR="00037558">
        <w:t xml:space="preserve"> </w:t>
      </w:r>
      <w:r w:rsidR="002F6A58">
        <w:t>that the priests</w:t>
      </w:r>
      <w:r w:rsidR="000C4AB7">
        <w:t xml:space="preserve"> have increased in num</w:t>
      </w:r>
      <w:r w:rsidR="002F6A58">
        <w:t>ber (cf. 8:11; 10:1)</w:t>
      </w:r>
      <w:r w:rsidR="000C4AB7">
        <w:t>,</w:t>
      </w:r>
      <w:r w:rsidR="007759A1">
        <w:t xml:space="preserve"> as many</w:t>
      </w:r>
      <w:r>
        <w:t xml:space="preserve"> priests</w:t>
      </w:r>
      <w:r w:rsidR="007759A1">
        <w:t xml:space="preserve"> as there are, that is the number failing </w:t>
      </w:r>
      <w:r>
        <w:t>to acknowledge Yahweh an</w:t>
      </w:r>
      <w:r w:rsidR="007759A1">
        <w:t xml:space="preserve">d </w:t>
      </w:r>
      <w:r>
        <w:t>leading people astray.</w:t>
      </w:r>
      <w:r w:rsidR="005F546D">
        <w:t xml:space="preserve"> Yahweh will therefore take action against them. </w:t>
      </w:r>
      <w:r w:rsidR="000109D3">
        <w:t xml:space="preserve">They are in a </w:t>
      </w:r>
      <w:r w:rsidR="005F546D">
        <w:t xml:space="preserve">position </w:t>
      </w:r>
      <w:r w:rsidR="000109D3">
        <w:t xml:space="preserve">of honor </w:t>
      </w:r>
      <w:r w:rsidR="005F546D">
        <w:t>as pries</w:t>
      </w:r>
      <w:r w:rsidR="000109D3">
        <w:t>ts. Their privilege is to facilitate the</w:t>
      </w:r>
      <w:r w:rsidR="002F6A58">
        <w:t xml:space="preserve"> people bringing their needs,</w:t>
      </w:r>
      <w:r w:rsidR="000109D3">
        <w:t xml:space="preserve"> prayers</w:t>
      </w:r>
      <w:r w:rsidR="002F6A58">
        <w:t>,</w:t>
      </w:r>
      <w:r w:rsidR="000109D3">
        <w:t xml:space="preserve"> and worship before Yahweh and thus to open up the way to Ya</w:t>
      </w:r>
      <w:r w:rsidR="002F6A58">
        <w:t>hweh answering people’s</w:t>
      </w:r>
      <w:r w:rsidR="00037558">
        <w:t xml:space="preserve"> prayers,</w:t>
      </w:r>
      <w:r w:rsidR="000109D3">
        <w:t xml:space="preserve"> bestowing his blessing, </w:t>
      </w:r>
      <w:r w:rsidR="00037558">
        <w:t xml:space="preserve">and </w:t>
      </w:r>
      <w:r w:rsidR="002F6A58">
        <w:t>granting them</w:t>
      </w:r>
      <w:r w:rsidR="000109D3">
        <w:t xml:space="preserve"> increase and security</w:t>
      </w:r>
      <w:r w:rsidR="002F6A58">
        <w:t xml:space="preserve"> in their</w:t>
      </w:r>
      <w:r w:rsidR="00037558">
        <w:t xml:space="preserve"> relationship with nation</w:t>
      </w:r>
      <w:r w:rsidR="002F6A58">
        <w:t xml:space="preserve">s around. The rejection </w:t>
      </w:r>
      <w:r w:rsidR="000109D3">
        <w:t>which Yah</w:t>
      </w:r>
      <w:r w:rsidR="002F6A58">
        <w:t>weh declare</w:t>
      </w:r>
      <w:r w:rsidR="00037558">
        <w:t xml:space="preserve">s will mean their </w:t>
      </w:r>
      <w:r w:rsidR="000109D3">
        <w:t>losing their honorable</w:t>
      </w:r>
      <w:r w:rsidR="005F546D">
        <w:t xml:space="preserve"> position</w:t>
      </w:r>
      <w:r w:rsidR="002F6A58">
        <w:t>,</w:t>
      </w:r>
      <w:r w:rsidR="005F546D">
        <w:t xml:space="preserve"> and not merely be</w:t>
      </w:r>
      <w:r w:rsidR="00037558">
        <w:t>ing</w:t>
      </w:r>
      <w:r w:rsidR="005F546D">
        <w:t xml:space="preserve"> taken down to the same level of hono</w:t>
      </w:r>
      <w:r w:rsidR="000109D3">
        <w:t xml:space="preserve">r as lay people but </w:t>
      </w:r>
      <w:r w:rsidR="005F546D">
        <w:t>be</w:t>
      </w:r>
      <w:r w:rsidR="000109D3">
        <w:t>ing</w:t>
      </w:r>
      <w:r w:rsidR="005F546D">
        <w:t xml:space="preserve"> humiliated.</w:t>
      </w:r>
    </w:p>
    <w:p w:rsidR="009266C3" w:rsidRDefault="00965545" w:rsidP="005E5677">
      <w:r>
        <w:t>The</w:t>
      </w:r>
      <w:r w:rsidR="009266C3">
        <w:t xml:space="preserve"> similarity to the Shiloh priests continues (v. 8; cf. 1 Sam</w:t>
      </w:r>
      <w:r w:rsidR="007759A1">
        <w:t xml:space="preserve">. 2:12-15): the </w:t>
      </w:r>
      <w:r w:rsidR="009266C3">
        <w:t>priests are feeding off the</w:t>
      </w:r>
      <w:r w:rsidR="00C04AD3">
        <w:t>ir people’s offering</w:t>
      </w:r>
      <w:r w:rsidR="00037558">
        <w:t>s. The</w:t>
      </w:r>
      <w:r w:rsidR="007759A1">
        <w:t xml:space="preserve"> Ephraimites bring</w:t>
      </w:r>
      <w:r w:rsidR="00974481">
        <w:t xml:space="preserve"> </w:t>
      </w:r>
      <w:r w:rsidR="009266C3">
        <w:t>s</w:t>
      </w:r>
      <w:r w:rsidR="00037558">
        <w:t>acrifices</w:t>
      </w:r>
      <w:r w:rsidR="00C04AD3">
        <w:t xml:space="preserve"> to make</w:t>
      </w:r>
      <w:r w:rsidR="00E219A0">
        <w:t xml:space="preserve"> expiation for their wrongdoing </w:t>
      </w:r>
      <w:r w:rsidR="00E219A0" w:rsidRPr="00E219A0">
        <w:t>(</w:t>
      </w:r>
      <w:r w:rsidR="00E219A0" w:rsidRPr="00E219A0">
        <w:rPr>
          <w:i/>
        </w:rPr>
        <w:t>ḥaṭṭā’t</w:t>
      </w:r>
      <w:r w:rsidR="00E219A0" w:rsidRPr="00E219A0">
        <w:t>)</w:t>
      </w:r>
      <w:r w:rsidR="00E219A0">
        <w:t xml:space="preserve"> and waywardness (</w:t>
      </w:r>
      <w:r w:rsidR="00E219A0" w:rsidRPr="00E219A0">
        <w:rPr>
          <w:i/>
        </w:rPr>
        <w:t>’ā</w:t>
      </w:r>
      <w:r w:rsidR="00E219A0">
        <w:rPr>
          <w:i/>
        </w:rPr>
        <w:t>w</w:t>
      </w:r>
      <w:r w:rsidR="00E219A0" w:rsidRPr="00E219A0">
        <w:rPr>
          <w:i/>
        </w:rPr>
        <w:t>ôn</w:t>
      </w:r>
      <w:r w:rsidR="00E219A0">
        <w:t>): the first word suggests shortcoming and failure, the s</w:t>
      </w:r>
      <w:r w:rsidR="00037558">
        <w:t>econd a deliberate going astray</w:t>
      </w:r>
      <w:r w:rsidR="00C04AD3">
        <w:t xml:space="preserve">. It would </w:t>
      </w:r>
      <w:r w:rsidR="00E219A0">
        <w:t>be i</w:t>
      </w:r>
      <w:r w:rsidR="007759A1">
        <w:t>n the priests’ interest for people</w:t>
      </w:r>
      <w:r w:rsidR="00E219A0">
        <w:t xml:space="preserve"> to need to do so: the more sin, the merrier</w:t>
      </w:r>
      <w:r w:rsidR="007759A1">
        <w:t xml:space="preserve">, because the </w:t>
      </w:r>
      <w:r w:rsidR="00C04AD3">
        <w:t xml:space="preserve">offerings </w:t>
      </w:r>
      <w:r w:rsidR="00364AD1">
        <w:t xml:space="preserve">provide the priests with their livelihood. </w:t>
      </w:r>
      <w:r w:rsidR="007759A1">
        <w:t>They</w:t>
      </w:r>
      <w:r w:rsidR="00E05E8E">
        <w:t xml:space="preserve"> “live off… immoral earnings.”</w:t>
      </w:r>
      <w:r w:rsidR="00E05E8E">
        <w:rPr>
          <w:rStyle w:val="FootnoteReference"/>
        </w:rPr>
        <w:footnoteReference w:id="218"/>
      </w:r>
      <w:r w:rsidR="00E05E8E">
        <w:t xml:space="preserve"> </w:t>
      </w:r>
      <w:r w:rsidR="00364AD1">
        <w:t>The word for wrongdoing</w:t>
      </w:r>
      <w:r w:rsidR="00E219A0">
        <w:t xml:space="preserve"> is also the word for an expiatory offering</w:t>
      </w:r>
      <w:r w:rsidR="00530C4B">
        <w:t xml:space="preserve"> (cf. Tg)</w:t>
      </w:r>
      <w:r w:rsidR="00E219A0">
        <w:t>, which would make for a nice double entendre</w:t>
      </w:r>
      <w:r w:rsidR="007759A1">
        <w:t>: they eat off the offerings; they eat off the wrongdoing</w:t>
      </w:r>
      <w:r w:rsidR="00E219A0">
        <w:t xml:space="preserve">. </w:t>
      </w:r>
      <w:r w:rsidR="007759A1">
        <w:t>This</w:t>
      </w:r>
      <w:r w:rsidR="00974481">
        <w:t xml:space="preserve"> dynamic would apply if the people were offering the proper sacrifices. </w:t>
      </w:r>
      <w:r w:rsidR="00E219A0">
        <w:t xml:space="preserve">But </w:t>
      </w:r>
      <w:r w:rsidR="007759A1">
        <w:t xml:space="preserve">the </w:t>
      </w:r>
      <w:r w:rsidR="00364AD1">
        <w:t xml:space="preserve">offerings are themselves wrong </w:t>
      </w:r>
      <w:r w:rsidR="00364AD1">
        <w:lastRenderedPageBreak/>
        <w:t>and wayward</w:t>
      </w:r>
      <w:r w:rsidR="00C04AD3">
        <w:t xml:space="preserve"> (vv. 10-19)</w:t>
      </w:r>
      <w:r w:rsidR="00974481">
        <w:t>,</w:t>
      </w:r>
      <w:r w:rsidR="00C04AD3">
        <w:t xml:space="preserve"> so </w:t>
      </w:r>
      <w:r w:rsidR="00974481">
        <w:t xml:space="preserve">there is a </w:t>
      </w:r>
      <w:r w:rsidR="00364AD1">
        <w:t>collusion between priests and people. The people make illicit offer</w:t>
      </w:r>
      <w:r w:rsidR="00974481">
        <w:t xml:space="preserve">ings and the priests like it because </w:t>
      </w:r>
      <w:r w:rsidR="00364AD1">
        <w:t>t</w:t>
      </w:r>
      <w:r w:rsidR="00974481">
        <w:t>heir livelihood comes from them</w:t>
      </w:r>
      <w:r w:rsidR="00364AD1">
        <w:t>. The parallel co</w:t>
      </w:r>
      <w:r w:rsidR="00974481">
        <w:t xml:space="preserve">lon with its reference to </w:t>
      </w:r>
      <w:r w:rsidR="00364AD1">
        <w:t>their appetite</w:t>
      </w:r>
      <w:r w:rsidR="00974481">
        <w:t xml:space="preserve"> heightens the point</w:t>
      </w:r>
      <w:r w:rsidR="00364AD1">
        <w:t>. Like the Shiloh priests, they eat well off these offerings.</w:t>
      </w:r>
    </w:p>
    <w:p w:rsidR="00F15DBB" w:rsidRDefault="00974481" w:rsidP="005E5677">
      <w:r>
        <w:t>So</w:t>
      </w:r>
      <w:r w:rsidR="009F4623">
        <w:t xml:space="preserve"> the people is</w:t>
      </w:r>
      <w:r w:rsidR="00364AD1">
        <w:t xml:space="preserve"> </w:t>
      </w:r>
      <w:r w:rsidR="009F4623">
        <w:t>as</w:t>
      </w:r>
      <w:r w:rsidR="00364AD1">
        <w:t xml:space="preserve"> </w:t>
      </w:r>
      <w:r w:rsidR="009F4623">
        <w:t>guilty as the priest and</w:t>
      </w:r>
      <w:r w:rsidR="00364AD1">
        <w:t xml:space="preserve"> will pay the </w:t>
      </w:r>
      <w:r w:rsidR="009F4623">
        <w:t xml:space="preserve">same </w:t>
      </w:r>
      <w:r w:rsidR="00965545">
        <w:t>penalty</w:t>
      </w:r>
      <w:r>
        <w:t xml:space="preserve"> </w:t>
      </w:r>
      <w:r w:rsidRPr="00974481">
        <w:t>(v. 9)</w:t>
      </w:r>
      <w:r w:rsidR="00364AD1">
        <w:t xml:space="preserve">. </w:t>
      </w:r>
      <w:r w:rsidR="009F4623">
        <w:t xml:space="preserve">Yahweh will </w:t>
      </w:r>
      <w:r>
        <w:t>“</w:t>
      </w:r>
      <w:r w:rsidR="009F4623">
        <w:t>attend</w:t>
      </w:r>
      <w:r>
        <w:t>”</w:t>
      </w:r>
      <w:r w:rsidR="009F4623">
        <w:t xml:space="preserve"> to its ways</w:t>
      </w:r>
      <w:r>
        <w:t>. T</w:t>
      </w:r>
      <w:r w:rsidR="009F4623">
        <w:t xml:space="preserve">he </w:t>
      </w:r>
      <w:r w:rsidRPr="00974481">
        <w:t xml:space="preserve">negative implication </w:t>
      </w:r>
      <w:r>
        <w:t xml:space="preserve">of the neutral </w:t>
      </w:r>
      <w:r w:rsidR="009F4623">
        <w:t xml:space="preserve">verb </w:t>
      </w:r>
      <w:r w:rsidR="00D51578">
        <w:t>(see the note on 1:4</w:t>
      </w:r>
      <w:r>
        <w:t>)</w:t>
      </w:r>
      <w:r w:rsidR="009F4623">
        <w:t xml:space="preserve"> is made specific in </w:t>
      </w:r>
      <w:r>
        <w:t>the second colon</w:t>
      </w:r>
      <w:r w:rsidR="00E0089D">
        <w:t>. T</w:t>
      </w:r>
      <w:r>
        <w:t>here</w:t>
      </w:r>
      <w:r w:rsidR="00C04AD3">
        <w:t xml:space="preserve"> </w:t>
      </w:r>
      <w:r w:rsidR="00F15DBB">
        <w:t>“</w:t>
      </w:r>
      <w:r w:rsidR="009F4623">
        <w:t>give back” or “turn back” (</w:t>
      </w:r>
      <w:r w:rsidR="009F4623">
        <w:rPr>
          <w:i/>
        </w:rPr>
        <w:t>šûb</w:t>
      </w:r>
      <w:r w:rsidR="009F4623">
        <w:t xml:space="preserve"> hiphil) </w:t>
      </w:r>
      <w:r w:rsidR="00C04AD3">
        <w:t xml:space="preserve">again suggests </w:t>
      </w:r>
      <w:r w:rsidR="009F4623">
        <w:t>the considered nat</w:t>
      </w:r>
      <w:r w:rsidR="00E0089D">
        <w:t xml:space="preserve">ure of Yahweh’s response and </w:t>
      </w:r>
      <w:r w:rsidR="009F4623">
        <w:t>the appropriateness of the consequences tha</w:t>
      </w:r>
      <w:r w:rsidR="00141BCC">
        <w:t>t f</w:t>
      </w:r>
      <w:r w:rsidR="00D51578">
        <w:t>ollow from the wrongdoing. I</w:t>
      </w:r>
      <w:r w:rsidR="00E0089D">
        <w:t>t</w:t>
      </w:r>
      <w:r w:rsidR="00C04AD3">
        <w:t>’</w:t>
      </w:r>
      <w:r w:rsidR="009F4623">
        <w:t>s neither vindictive nor arbitrary.</w:t>
      </w:r>
      <w:r w:rsidR="00F15DBB">
        <w:t xml:space="preserve"> </w:t>
      </w:r>
      <w:r w:rsidR="00141BCC">
        <w:t>The abb’a’ or</w:t>
      </w:r>
      <w:r w:rsidR="00E0089D">
        <w:t>der within v. 9b</w:t>
      </w:r>
      <w:r w:rsidR="00141BCC">
        <w:t xml:space="preserve"> correspond</w:t>
      </w:r>
      <w:r w:rsidR="00E0089D">
        <w:t>s</w:t>
      </w:r>
      <w:r w:rsidR="00141BCC">
        <w:t xml:space="preserve"> to the sense that the nature of people’s deeds comes back to them, and the tricolon </w:t>
      </w:r>
      <w:r w:rsidR="00F15DBB">
        <w:t>mark</w:t>
      </w:r>
      <w:r w:rsidR="00141BCC">
        <w:t>s th</w:t>
      </w:r>
      <w:r w:rsidR="00D51578">
        <w:t>e end of the subsection. “L</w:t>
      </w:r>
      <w:r w:rsidR="00141BCC">
        <w:t>iterary artistry does not conceal a sober judgment”;</w:t>
      </w:r>
      <w:r w:rsidR="00141BCC">
        <w:rPr>
          <w:rStyle w:val="FootnoteReference"/>
        </w:rPr>
        <w:footnoteReference w:id="219"/>
      </w:r>
      <w:r w:rsidR="00141BCC">
        <w:t xml:space="preserve"> paradoxically, indeed, it reflects it and draws attention to it.</w:t>
      </w:r>
    </w:p>
    <w:p w:rsidR="00364AD1" w:rsidRDefault="009F4623" w:rsidP="005E5677">
      <w:r>
        <w:t xml:space="preserve"> </w:t>
      </w:r>
    </w:p>
    <w:p w:rsidR="00DD2E54" w:rsidRDefault="00F15DBB" w:rsidP="005E5677">
      <w:r>
        <w:rPr>
          <w:b/>
        </w:rPr>
        <w:t>Hosea 4:10</w:t>
      </w:r>
      <w:r w:rsidRPr="00F15DBB">
        <w:rPr>
          <w:b/>
        </w:rPr>
        <w:t xml:space="preserve">-14. </w:t>
      </w:r>
      <w:r w:rsidR="00DA1BEF">
        <w:t>T</w:t>
      </w:r>
      <w:r w:rsidR="00971823">
        <w:t xml:space="preserve">he plural verbs </w:t>
      </w:r>
      <w:r w:rsidR="00564FC3">
        <w:t>(</w:t>
      </w:r>
      <w:r w:rsidR="00564FC3" w:rsidRPr="00564FC3">
        <w:t>“the people” in v. 9 was treated as singular</w:t>
      </w:r>
      <w:r w:rsidR="00564FC3">
        <w:t xml:space="preserve">) and the </w:t>
      </w:r>
      <w:r w:rsidR="00DD2E54">
        <w:t xml:space="preserve">renewed reference to </w:t>
      </w:r>
      <w:r w:rsidR="00564FC3">
        <w:t xml:space="preserve">eating </w:t>
      </w:r>
      <w:r w:rsidR="00971823">
        <w:t>suggest a return to ta</w:t>
      </w:r>
      <w:r w:rsidR="00AA763B">
        <w:t>lk about</w:t>
      </w:r>
      <w:r w:rsidR="00971823">
        <w:t xml:space="preserve"> the priests</w:t>
      </w:r>
      <w:r w:rsidR="00E0089D">
        <w:t>, though</w:t>
      </w:r>
      <w:r w:rsidR="00564FC3">
        <w:t xml:space="preserve"> what follows appl</w:t>
      </w:r>
      <w:r w:rsidR="00D221E4">
        <w:t xml:space="preserve">ies to </w:t>
      </w:r>
      <w:r w:rsidR="00DD2E54">
        <w:t xml:space="preserve">the people, too. </w:t>
      </w:r>
    </w:p>
    <w:p w:rsidR="005F2666" w:rsidRDefault="00DD2E54" w:rsidP="005E5677">
      <w:r>
        <w:t xml:space="preserve">Allusion </w:t>
      </w:r>
      <w:r w:rsidR="001470D7">
        <w:t xml:space="preserve">elsewhere to </w:t>
      </w:r>
      <w:r w:rsidR="00D221E4">
        <w:t xml:space="preserve">eating and not </w:t>
      </w:r>
      <w:r w:rsidR="001470D7">
        <w:t xml:space="preserve">being </w:t>
      </w:r>
      <w:r>
        <w:t xml:space="preserve">full (vv. 10-11) </w:t>
      </w:r>
      <w:r w:rsidR="001470D7">
        <w:t>suggests</w:t>
      </w:r>
      <w:r w:rsidR="00D221E4">
        <w:t xml:space="preserve"> chastisement (e.g., Mic. 6:14), but </w:t>
      </w:r>
      <w:r w:rsidR="00E0089D">
        <w:t xml:space="preserve">here </w:t>
      </w:r>
      <w:r w:rsidR="00D221E4">
        <w:t>Hosea uses the motif in a different connection</w:t>
      </w:r>
      <w:r w:rsidR="00E0089D">
        <w:t>, since the allusion</w:t>
      </w:r>
      <w:r w:rsidR="00564FC3">
        <w:t xml:space="preserve"> to whoring </w:t>
      </w:r>
      <w:r w:rsidR="00D221E4">
        <w:t>in t</w:t>
      </w:r>
      <w:r w:rsidR="001470D7">
        <w:t>he parallel</w:t>
      </w:r>
      <w:r w:rsidR="00D221E4" w:rsidRPr="00D221E4">
        <w:t xml:space="preserve"> colon </w:t>
      </w:r>
      <w:r w:rsidR="00E0089D">
        <w:t>implies</w:t>
      </w:r>
      <w:r w:rsidR="009F1476">
        <w:t xml:space="preserve"> </w:t>
      </w:r>
      <w:r w:rsidR="00D221E4">
        <w:t xml:space="preserve">reference to </w:t>
      </w:r>
      <w:r w:rsidR="00E0089D">
        <w:t>a festive</w:t>
      </w:r>
      <w:r w:rsidR="009F1476">
        <w:t xml:space="preserve"> meal</w:t>
      </w:r>
      <w:r w:rsidR="00965545">
        <w:t xml:space="preserve"> in the context of worship</w:t>
      </w:r>
      <w:r w:rsidR="00E0089D">
        <w:t xml:space="preserve"> </w:t>
      </w:r>
      <w:r w:rsidR="00564FC3">
        <w:t>offered to other gods</w:t>
      </w:r>
      <w:r w:rsidR="00965545">
        <w:t xml:space="preserve">. The </w:t>
      </w:r>
      <w:r w:rsidR="00AA763B">
        <w:t xml:space="preserve">priests with the </w:t>
      </w:r>
      <w:r w:rsidR="001470D7">
        <w:t xml:space="preserve">people </w:t>
      </w:r>
      <w:r>
        <w:t xml:space="preserve">partake of such meals </w:t>
      </w:r>
      <w:r w:rsidR="001470D7">
        <w:t xml:space="preserve">and </w:t>
      </w:r>
      <w:r>
        <w:t>pray</w:t>
      </w:r>
      <w:r w:rsidR="00971823">
        <w:t xml:space="preserve"> for these</w:t>
      </w:r>
      <w:r w:rsidR="001470D7">
        <w:t xml:space="preserve"> deities to enable</w:t>
      </w:r>
      <w:r w:rsidR="00971823">
        <w:t xml:space="preserve"> them to “spread out</w:t>
      </w:r>
      <w:r w:rsidR="001470D7">
        <w:t>,” to</w:t>
      </w:r>
      <w:r w:rsidR="00AA763B">
        <w:t xml:space="preserve"> increase as a people</w:t>
      </w:r>
      <w:r w:rsidR="001470D7">
        <w:t>. T</w:t>
      </w:r>
      <w:r w:rsidR="00AA763B">
        <w:t xml:space="preserve">he verb </w:t>
      </w:r>
      <w:r w:rsidR="00564FC3">
        <w:t>(</w:t>
      </w:r>
      <w:r w:rsidR="00971823">
        <w:rPr>
          <w:i/>
        </w:rPr>
        <w:t>pāraṣ</w:t>
      </w:r>
      <w:r w:rsidR="00564FC3">
        <w:t>) is the one in Exodus 1:12, though with irony it is also the verb in verse</w:t>
      </w:r>
      <w:r w:rsidR="00AA763B">
        <w:t xml:space="preserve"> 2</w:t>
      </w:r>
      <w:r w:rsidR="00564FC3">
        <w:t xml:space="preserve">. </w:t>
      </w:r>
      <w:r w:rsidR="00E0089D">
        <w:t>Their prayer will not work.</w:t>
      </w:r>
      <w:r>
        <w:t xml:space="preserve"> </w:t>
      </w:r>
      <w:r w:rsidR="005F2666">
        <w:t>T</w:t>
      </w:r>
      <w:r w:rsidR="00831BA9">
        <w:t>hey</w:t>
      </w:r>
      <w:r w:rsidR="001470D7">
        <w:t>’</w:t>
      </w:r>
      <w:r w:rsidR="005F2666">
        <w:t xml:space="preserve">ve abandoned Yahweh </w:t>
      </w:r>
      <w:r w:rsidR="00831BA9">
        <w:t>to observe whoring instead</w:t>
      </w:r>
      <w:r w:rsidR="001470D7">
        <w:t>. It’</w:t>
      </w:r>
      <w:r w:rsidR="00831BA9">
        <w:t>s</w:t>
      </w:r>
      <w:r w:rsidR="001470D7">
        <w:t xml:space="preserve"> a horrific statement. T</w:t>
      </w:r>
      <w:r w:rsidR="00831BA9">
        <w:t>he proper object of “observe” (</w:t>
      </w:r>
      <w:r w:rsidR="00831BA9">
        <w:rPr>
          <w:i/>
        </w:rPr>
        <w:t>šāmar</w:t>
      </w:r>
      <w:r w:rsidR="00FA06A9">
        <w:t>) is the Torah or the pac</w:t>
      </w:r>
      <w:r w:rsidR="00BB42FC">
        <w:t xml:space="preserve">t </w:t>
      </w:r>
      <w:r w:rsidR="005F2666">
        <w:t xml:space="preserve">or </w:t>
      </w:r>
      <w:r w:rsidR="00831BA9">
        <w:t>Yahweh</w:t>
      </w:r>
      <w:r w:rsidR="00BB42FC">
        <w:t>’s ways or Yahweh’s commands (e.g., Exod</w:t>
      </w:r>
      <w:r w:rsidR="001470D7">
        <w:t>.</w:t>
      </w:r>
      <w:r w:rsidR="00BB42FC">
        <w:t xml:space="preserve"> 19:5; Deut</w:t>
      </w:r>
      <w:r w:rsidR="001470D7">
        <w:t>.</w:t>
      </w:r>
      <w:r w:rsidR="00BB42FC">
        <w:t xml:space="preserve"> 4:2; Jer</w:t>
      </w:r>
      <w:r w:rsidR="001470D7">
        <w:t>.</w:t>
      </w:r>
      <w:r w:rsidR="00BB42FC">
        <w:t xml:space="preserve"> 16:11; Amos 2:4; Mal</w:t>
      </w:r>
      <w:r w:rsidR="001470D7">
        <w:t>.</w:t>
      </w:r>
      <w:r w:rsidR="00BB42FC">
        <w:t xml:space="preserve"> 2:9).</w:t>
      </w:r>
      <w:r>
        <w:t xml:space="preserve"> The link between drinking and</w:t>
      </w:r>
      <w:r w:rsidR="00CF7E87">
        <w:t xml:space="preserve"> whoring is a common enough topic for critique; wh</w:t>
      </w:r>
      <w:r w:rsidR="001470D7">
        <w:t>at’</w:t>
      </w:r>
      <w:r w:rsidR="005F2666">
        <w:t xml:space="preserve">s distinctive here </w:t>
      </w:r>
      <w:r w:rsidR="00CF7E87">
        <w:t xml:space="preserve">is their being </w:t>
      </w:r>
      <w:r w:rsidR="00BA745C">
        <w:t xml:space="preserve">brought into </w:t>
      </w:r>
      <w:r w:rsidR="00CF7E87">
        <w:t xml:space="preserve">association with </w:t>
      </w:r>
      <w:r w:rsidR="00BA745C">
        <w:t>worship.</w:t>
      </w:r>
      <w:r w:rsidR="00BA745C">
        <w:rPr>
          <w:rStyle w:val="FootnoteReference"/>
        </w:rPr>
        <w:footnoteReference w:id="220"/>
      </w:r>
      <w:r w:rsidR="005F2666">
        <w:t xml:space="preserve"> People think </w:t>
      </w:r>
      <w:r w:rsidR="001470D7">
        <w:t>to safeguard their future with</w:t>
      </w:r>
      <w:r w:rsidR="005F2666">
        <w:t xml:space="preserve"> their whoring</w:t>
      </w:r>
      <w:r w:rsidR="001470D7">
        <w:t xml:space="preserve"> (</w:t>
      </w:r>
      <w:r w:rsidR="00564FC3">
        <w:t xml:space="preserve">as opposed to </w:t>
      </w:r>
      <w:r w:rsidR="005F2666">
        <w:t>being faithful</w:t>
      </w:r>
      <w:r w:rsidR="00564FC3">
        <w:t xml:space="preserve"> to Y</w:t>
      </w:r>
      <w:r w:rsidR="001470D7">
        <w:t xml:space="preserve">ahweh), </w:t>
      </w:r>
      <w:r w:rsidR="00564FC3">
        <w:t>with the drinking of wine and new wine that forms p</w:t>
      </w:r>
      <w:r w:rsidR="001470D7">
        <w:t>art of the festival celebration.</w:t>
      </w:r>
      <w:r w:rsidR="00564FC3">
        <w:t xml:space="preserve"> Actually the festive drinking has deprived them of their senses.</w:t>
      </w:r>
      <w:r w:rsidR="009365EE">
        <w:t xml:space="preserve"> </w:t>
      </w:r>
    </w:p>
    <w:p w:rsidR="00D221E4" w:rsidRDefault="005F2666" w:rsidP="005E5677">
      <w:r>
        <w:t>After all (v. 12), t</w:t>
      </w:r>
      <w:r w:rsidR="00E63859">
        <w:t xml:space="preserve">he people </w:t>
      </w:r>
      <w:r w:rsidR="00247B46">
        <w:t xml:space="preserve">(“my people,” again with sadness and/or bitterness) </w:t>
      </w:r>
      <w:r>
        <w:t xml:space="preserve">is </w:t>
      </w:r>
      <w:r w:rsidR="00E63859">
        <w:t>se</w:t>
      </w:r>
      <w:r>
        <w:t>eking</w:t>
      </w:r>
      <w:r w:rsidR="00E63859">
        <w:t xml:space="preserve"> guidance from </w:t>
      </w:r>
      <w:r w:rsidR="009365EE">
        <w:t>something made of wo</w:t>
      </w:r>
      <w:r w:rsidR="001470D7">
        <w:t>od, a</w:t>
      </w:r>
      <w:r w:rsidR="00DD2E54">
        <w:t xml:space="preserve"> wooden column that represents</w:t>
      </w:r>
      <w:r w:rsidR="002E43A5">
        <w:t xml:space="preserve"> a god (e.g., Deut. 4:28; 16:21)</w:t>
      </w:r>
      <w:r w:rsidR="001470D7">
        <w:t>, i</w:t>
      </w:r>
      <w:r w:rsidR="00D71D3E" w:rsidRPr="00D71D3E">
        <w:t>nstea</w:t>
      </w:r>
      <w:r w:rsidR="00247B46">
        <w:t>d of from the living God. I</w:t>
      </w:r>
      <w:r w:rsidR="00854887">
        <w:t>t</w:t>
      </w:r>
      <w:r w:rsidR="001470D7">
        <w:t>’s just a stick!</w:t>
      </w:r>
      <w:r w:rsidR="00854887">
        <w:t xml:space="preserve"> </w:t>
      </w:r>
      <w:r w:rsidR="001470D7">
        <w:t>Ephraim</w:t>
      </w:r>
      <w:r w:rsidR="00247B46">
        <w:t xml:space="preserve"> expects a sti</w:t>
      </w:r>
      <w:r w:rsidR="001470D7">
        <w:t>ck to tell it what it needs to know! Ephraim</w:t>
      </w:r>
      <w:r w:rsidR="00247B46">
        <w:t xml:space="preserve"> has</w:t>
      </w:r>
      <w:r w:rsidR="009365EE">
        <w:t xml:space="preserve"> been led stray by a mysterious spirit of whoring, instead of being led by a spirit of </w:t>
      </w:r>
      <w:r w:rsidR="003A1B4B">
        <w:t>wisdom or the spirit of Yahweh—</w:t>
      </w:r>
      <w:r w:rsidR="009365EE">
        <w:t>the two m</w:t>
      </w:r>
      <w:r w:rsidR="003A1B4B">
        <w:t>ost frequent comparable phrases</w:t>
      </w:r>
      <w:r w:rsidR="009365EE">
        <w:t xml:space="preserve"> </w:t>
      </w:r>
      <w:r w:rsidR="003A1B4B">
        <w:t>(</w:t>
      </w:r>
      <w:r w:rsidR="00247B46">
        <w:t>see e.g., Isa. 11:2). No, i</w:t>
      </w:r>
      <w:r w:rsidR="009365EE" w:rsidRPr="009365EE">
        <w:t>t’s not a wise spirit, because it’s g</w:t>
      </w:r>
      <w:r w:rsidR="00247B46">
        <w:t>oing to lead them into disaster, a</w:t>
      </w:r>
      <w:r w:rsidR="009365EE">
        <w:t>nd it’s not Yahweh’s spirit but a spirit that lead</w:t>
      </w:r>
      <w:r w:rsidR="00247B46">
        <w:t>s them into unfaithfulness</w:t>
      </w:r>
      <w:r w:rsidR="003A1B4B">
        <w:t xml:space="preserve">. </w:t>
      </w:r>
    </w:p>
    <w:p w:rsidR="00832C5B" w:rsidRPr="00832C5B" w:rsidRDefault="005A58A5" w:rsidP="00832C5B">
      <w:r>
        <w:t xml:space="preserve">Hosea goes on to </w:t>
      </w:r>
      <w:r w:rsidR="003A1B4B">
        <w:t>speak more concretely about the whoring</w:t>
      </w:r>
      <w:r>
        <w:t xml:space="preserve"> (v. 13a)</w:t>
      </w:r>
      <w:r w:rsidR="003A1B4B">
        <w:t xml:space="preserve">. </w:t>
      </w:r>
      <w:r w:rsidR="00563D54">
        <w:t xml:space="preserve">Deuteronomy’s specific </w:t>
      </w:r>
      <w:r w:rsidR="00D71D3E">
        <w:t xml:space="preserve">instructions </w:t>
      </w:r>
      <w:r w:rsidR="00563D54">
        <w:t xml:space="preserve">to Israel </w:t>
      </w:r>
      <w:r w:rsidR="0084366F">
        <w:t>beg</w:t>
      </w:r>
      <w:r w:rsidR="00D71D3E">
        <w:t>i</w:t>
      </w:r>
      <w:r w:rsidR="0084366F">
        <w:t>n with a command to destroy the worship sites on the high mountains and hills with their spreading trees</w:t>
      </w:r>
      <w:r w:rsidR="00D71D3E">
        <w:t xml:space="preserve"> and their wooden Asherah columns (Deut</w:t>
      </w:r>
      <w:r w:rsidR="00563D54">
        <w:t>.</w:t>
      </w:r>
      <w:r w:rsidR="00D71D3E">
        <w:t xml:space="preserve"> 12:2-3; cf. the critique in 2 </w:t>
      </w:r>
      <w:r w:rsidR="00D06435">
        <w:t>Kings</w:t>
      </w:r>
      <w:r w:rsidR="00D71D3E">
        <w:t xml:space="preserve"> 16:4; 17:10). </w:t>
      </w:r>
      <w:r w:rsidR="00B77849">
        <w:t>M</w:t>
      </w:r>
      <w:r w:rsidR="00B77849" w:rsidRPr="00B77849">
        <w:t>aybe the references to the trees’ shade hints</w:t>
      </w:r>
      <w:r w:rsidR="00B77849">
        <w:t xml:space="preserve"> that people</w:t>
      </w:r>
      <w:r w:rsidR="00B77849" w:rsidRPr="00B77849">
        <w:t xml:space="preserve"> engage in the rites at these places because they are pleasant, so that the fir</w:t>
      </w:r>
      <w:r w:rsidR="00B77849">
        <w:t>st accusation against their involvement in the</w:t>
      </w:r>
      <w:r w:rsidR="00B77849" w:rsidRPr="00B77849">
        <w:t xml:space="preserve"> rites is that they do it for their own pleasure.</w:t>
      </w:r>
      <w:r w:rsidR="00B77849" w:rsidRPr="00B77849">
        <w:rPr>
          <w:vertAlign w:val="superscript"/>
        </w:rPr>
        <w:footnoteReference w:id="221"/>
      </w:r>
      <w:r w:rsidR="00B77849">
        <w:t xml:space="preserve"> But </w:t>
      </w:r>
      <w:r w:rsidR="00155598">
        <w:t>Hosea b</w:t>
      </w:r>
      <w:r w:rsidR="00D71D3E">
        <w:t xml:space="preserve">rings out the horrifying irony of </w:t>
      </w:r>
      <w:r w:rsidR="00B77849">
        <w:t>their ignoring the</w:t>
      </w:r>
      <w:r w:rsidR="00155598">
        <w:t xml:space="preserve"> principles</w:t>
      </w:r>
      <w:r w:rsidR="00B77849">
        <w:t xml:space="preserve"> of proper worship</w:t>
      </w:r>
      <w:r w:rsidR="00155598">
        <w:t xml:space="preserve"> by referring to oak and terebinth (</w:t>
      </w:r>
      <w:r w:rsidR="00155598">
        <w:rPr>
          <w:i/>
        </w:rPr>
        <w:t>’allôn</w:t>
      </w:r>
      <w:r w:rsidR="00155598">
        <w:t xml:space="preserve">, </w:t>
      </w:r>
      <w:r w:rsidR="00155598">
        <w:rPr>
          <w:i/>
        </w:rPr>
        <w:t>’ēlāh</w:t>
      </w:r>
      <w:r w:rsidR="00155598">
        <w:t>) whose names are c</w:t>
      </w:r>
      <w:r w:rsidR="00247B46">
        <w:t xml:space="preserve">lose to </w:t>
      </w:r>
      <w:r w:rsidR="00247B46">
        <w:lastRenderedPageBreak/>
        <w:t>the word for “their God</w:t>
      </w:r>
      <w:r w:rsidR="00155598">
        <w:t xml:space="preserve">” </w:t>
      </w:r>
      <w:r w:rsidR="00247B46">
        <w:t>(</w:t>
      </w:r>
      <w:r w:rsidR="00155598">
        <w:rPr>
          <w:i/>
        </w:rPr>
        <w:t>’ĕlōhȇhem</w:t>
      </w:r>
      <w:r w:rsidR="00247B46">
        <w:t>) but whose reality is so distant</w:t>
      </w:r>
      <w:r w:rsidR="00155598">
        <w:t xml:space="preserve">, and by referring to their “shade,” which </w:t>
      </w:r>
      <w:r w:rsidR="00F07E55">
        <w:t>is what Yahweh i</w:t>
      </w:r>
      <w:r w:rsidR="00155598">
        <w:t>s supposed to be for his people (e.g., Hos</w:t>
      </w:r>
      <w:r w:rsidR="00563D54">
        <w:t>.</w:t>
      </w:r>
      <w:r w:rsidR="00155598">
        <w:t xml:space="preserve"> 14:7 [8]).</w:t>
      </w:r>
      <w:r w:rsidR="00155598">
        <w:rPr>
          <w:rStyle w:val="FootnoteReference"/>
        </w:rPr>
        <w:footnoteReference w:id="222"/>
      </w:r>
      <w:r w:rsidR="00B77849">
        <w:t xml:space="preserve"> </w:t>
      </w:r>
    </w:p>
    <w:p w:rsidR="00563D54" w:rsidRDefault="004A0AB6" w:rsidP="005E5677">
      <w:r>
        <w:t xml:space="preserve">Hence </w:t>
      </w:r>
      <w:r w:rsidR="00A43A08">
        <w:t xml:space="preserve">(v. 13b) </w:t>
      </w:r>
      <w:r w:rsidR="00563D54">
        <w:t>girls go there (the Ephraimites’</w:t>
      </w:r>
      <w:r>
        <w:t xml:space="preserve"> </w:t>
      </w:r>
      <w:r w:rsidR="00563D54">
        <w:t>daughters and thei</w:t>
      </w:r>
      <w:r>
        <w:t xml:space="preserve">r sons’ brides) </w:t>
      </w:r>
      <w:r w:rsidRPr="004A0AB6">
        <w:t>when they get married</w:t>
      </w:r>
      <w:r>
        <w:t>,</w:t>
      </w:r>
      <w:r w:rsidR="00247B46">
        <w:t xml:space="preserve"> to pray that they may conceive. There they offer their</w:t>
      </w:r>
      <w:r>
        <w:t xml:space="preserve"> prayer</w:t>
      </w:r>
      <w:r w:rsidR="00247B46">
        <w:t>s</w:t>
      </w:r>
      <w:r>
        <w:t xml:space="preserve"> </w:t>
      </w:r>
      <w:r w:rsidR="00A43A08">
        <w:t>and</w:t>
      </w:r>
      <w:r w:rsidR="00247B46">
        <w:t xml:space="preserve"> </w:t>
      </w:r>
      <w:r w:rsidR="00A43A08">
        <w:t>sacrifice</w:t>
      </w:r>
      <w:r w:rsidR="00247B46">
        <w:t>s</w:t>
      </w:r>
      <w:r w:rsidR="00A43A08">
        <w:t xml:space="preserve"> </w:t>
      </w:r>
      <w:r w:rsidR="00247B46">
        <w:t>to gods oth</w:t>
      </w:r>
      <w:r w:rsidR="005A58A5">
        <w:t xml:space="preserve">er than </w:t>
      </w:r>
      <w:r>
        <w:t xml:space="preserve">Yahweh, </w:t>
      </w:r>
      <w:r w:rsidR="008D3166">
        <w:t>and t</w:t>
      </w:r>
      <w:r w:rsidR="00247B46">
        <w:t>hese</w:t>
      </w:r>
      <w:r>
        <w:t xml:space="preserve"> are theref</w:t>
      </w:r>
      <w:r w:rsidR="008D3166">
        <w:t>ore acts of whoring or adultery</w:t>
      </w:r>
      <w:r w:rsidR="005A0E03">
        <w:t xml:space="preserve"> (the way Hosea speaks elsewhere does not suggest that he is referring</w:t>
      </w:r>
      <w:r w:rsidR="00563D54" w:rsidRPr="00563D54">
        <w:t xml:space="preserve"> to literal sexual activ</w:t>
      </w:r>
      <w:r w:rsidR="005A0E03">
        <w:t>ity, any more than when Ezek. 16 and 23 go in for detailed concrete description)</w:t>
      </w:r>
      <w:r>
        <w:t>.</w:t>
      </w:r>
      <w:r w:rsidR="002712F1">
        <w:rPr>
          <w:rStyle w:val="FootnoteReference"/>
        </w:rPr>
        <w:footnoteReference w:id="223"/>
      </w:r>
      <w:r>
        <w:t xml:space="preserve"> Hosea switches from speaking of the Ephraimites as “them” (which invites them to look at themselves objectively) to addressing them directly (which </w:t>
      </w:r>
      <w:r w:rsidR="00A43A08">
        <w:t>presses them to face themselves</w:t>
      </w:r>
      <w:r w:rsidR="008D3166">
        <w:t>)</w:t>
      </w:r>
      <w:r w:rsidR="00A43A08">
        <w:t>. He does so with more force because he is talking about what they are doing to t</w:t>
      </w:r>
      <w:r w:rsidR="008D3166">
        <w:t>heir own daughters and to their sons’ daughters</w:t>
      </w:r>
      <w:r w:rsidR="00A43A08">
        <w:t>.</w:t>
      </w:r>
    </w:p>
    <w:p w:rsidR="005A58A5" w:rsidRDefault="005A58A5" w:rsidP="005E5677">
      <w:r>
        <w:t xml:space="preserve">It is they who are responsible (v. 14a). </w:t>
      </w:r>
      <w:r w:rsidR="005A0E03">
        <w:t>They might try</w:t>
      </w:r>
      <w:r w:rsidR="00A43A08">
        <w:t xml:space="preserve"> to hide</w:t>
      </w:r>
      <w:r w:rsidR="005A0E03">
        <w:t xml:space="preserve"> from the horror of what they a</w:t>
      </w:r>
      <w:r w:rsidR="00A43A08">
        <w:t xml:space="preserve">re doing or to distance themselves from what they were colluding with, but </w:t>
      </w:r>
      <w:r>
        <w:t>Yahweh will not let them</w:t>
      </w:r>
      <w:r w:rsidR="005A0E03">
        <w:t>. He</w:t>
      </w:r>
      <w:r w:rsidR="00A43A08">
        <w:t xml:space="preserve"> does not intend to hold the girls themselves responsible for the whoring an</w:t>
      </w:r>
      <w:r w:rsidR="005A0E03">
        <w:t>d the adultery involved in their</w:t>
      </w:r>
      <w:r w:rsidR="00A43A08">
        <w:t xml:space="preserve"> prayers and sacrifices. </w:t>
      </w:r>
      <w:r w:rsidR="005138AD">
        <w:t>Perhaps we should not press the “not</w:t>
      </w:r>
      <w:r w:rsidR="005A0E03">
        <w:t>”; Hosea speaks rhetorically. Ye</w:t>
      </w:r>
      <w:r w:rsidR="008D3166">
        <w:t>t</w:t>
      </w:r>
      <w:r w:rsidR="005138AD">
        <w:t xml:space="preserve"> </w:t>
      </w:r>
      <w:r w:rsidR="005A0E03">
        <w:t xml:space="preserve">the </w:t>
      </w:r>
      <w:r w:rsidR="005138AD">
        <w:t>g</w:t>
      </w:r>
      <w:r w:rsidR="00A43A08">
        <w:t>irls would be tee</w:t>
      </w:r>
      <w:r w:rsidR="005A0E03">
        <w:t xml:space="preserve">nagers when they </w:t>
      </w:r>
      <w:r w:rsidR="008D3166">
        <w:t xml:space="preserve">married, and they were hardly to be held responsible for what their parents required them to do. </w:t>
      </w:r>
      <w:r>
        <w:t xml:space="preserve">In v. 9 </w:t>
      </w:r>
      <w:r w:rsidR="008D3166">
        <w:t>Yahweh</w:t>
      </w:r>
      <w:r w:rsidR="00A43A08">
        <w:t xml:space="preserve"> </w:t>
      </w:r>
      <w:r>
        <w:t xml:space="preserve">has said he </w:t>
      </w:r>
      <w:r w:rsidR="00A43A08">
        <w:t>will “attend” to the people</w:t>
      </w:r>
      <w:r>
        <w:t xml:space="preserve"> as a whole that acts that way, </w:t>
      </w:r>
      <w:r w:rsidR="00A43A08">
        <w:t xml:space="preserve">but he will not “attend” to these girls. </w:t>
      </w:r>
    </w:p>
    <w:p w:rsidR="000E05AE" w:rsidRDefault="00A44E53" w:rsidP="005E5677">
      <w:r>
        <w:t>A</w:t>
      </w:r>
      <w:r w:rsidR="008D3166">
        <w:t>nd a</w:t>
      </w:r>
      <w:r>
        <w:t>fter all, their menfolk are</w:t>
      </w:r>
      <w:r w:rsidR="008D3166">
        <w:t xml:space="preserve"> involved in the same whoring</w:t>
      </w:r>
      <w:r w:rsidR="005A58A5">
        <w:t xml:space="preserve"> (v. 14b)</w:t>
      </w:r>
      <w:r w:rsidR="008D3166">
        <w:t>. I</w:t>
      </w:r>
      <w:r w:rsidR="008D3166" w:rsidRPr="008D3166">
        <w:t xml:space="preserve">n Genesis 38 </w:t>
      </w:r>
      <w:r w:rsidR="008D3166">
        <w:t>t</w:t>
      </w:r>
      <w:r w:rsidR="001444BF">
        <w:t>he parallel terms w</w:t>
      </w:r>
      <w:r>
        <w:t>hores and hierodules (</w:t>
      </w:r>
      <w:r>
        <w:rPr>
          <w:i/>
        </w:rPr>
        <w:t>qədēšôt</w:t>
      </w:r>
      <w:r>
        <w:t>)</w:t>
      </w:r>
      <w:r>
        <w:rPr>
          <w:i/>
        </w:rPr>
        <w:t xml:space="preserve"> </w:t>
      </w:r>
      <w:r w:rsidR="008D3166">
        <w:t xml:space="preserve">are </w:t>
      </w:r>
      <w:r w:rsidR="001444BF">
        <w:t xml:space="preserve">synonyms for prostitutes. Here they </w:t>
      </w:r>
      <w:r>
        <w:t>may be insulting terms for the</w:t>
      </w:r>
      <w:r w:rsidR="0071730A">
        <w:t xml:space="preserve"> (male) ministers at the sanctuary</w:t>
      </w:r>
      <w:r>
        <w:t xml:space="preserve"> (a usage comparable with describing the Israeli</w:t>
      </w:r>
      <w:r w:rsidR="005138AD">
        <w:t>te men themselves as whores). Or</w:t>
      </w:r>
      <w:r>
        <w:t xml:space="preserve"> </w:t>
      </w:r>
      <w:r w:rsidR="008D3166">
        <w:t xml:space="preserve">they </w:t>
      </w:r>
      <w:r>
        <w:t>may refer to actual female mi</w:t>
      </w:r>
      <w:r w:rsidR="0071730A">
        <w:t>nisters at the sanctuarie</w:t>
      </w:r>
      <w:r w:rsidR="000C6E53">
        <w:t>s</w:t>
      </w:r>
      <w:r w:rsidR="008D3166">
        <w:t>, as a slur if the</w:t>
      </w:r>
      <w:r w:rsidR="005A0E03">
        <w:t xml:space="preserve">se ministers </w:t>
      </w:r>
      <w:r w:rsidR="005138AD">
        <w:t>were not involved in literal sexual activity</w:t>
      </w:r>
      <w:r w:rsidR="005A0E03">
        <w:t>. But t</w:t>
      </w:r>
      <w:r w:rsidR="000C6E53">
        <w:t>he p</w:t>
      </w:r>
      <w:r w:rsidR="005A0E03">
        <w:t xml:space="preserve">arallel with 1 Samuel 2 is </w:t>
      </w:r>
      <w:r w:rsidR="000C6E53">
        <w:t>again suggestiv</w:t>
      </w:r>
      <w:r w:rsidR="008D3166">
        <w:t xml:space="preserve">e, because Eli’s sons were </w:t>
      </w:r>
      <w:r w:rsidR="000C6E53">
        <w:t xml:space="preserve">involved in sexual relationships with </w:t>
      </w:r>
      <w:r w:rsidR="0071730A">
        <w:t>women who assisted at the sanctuary</w:t>
      </w:r>
      <w:r w:rsidR="000C6E53">
        <w:t xml:space="preserve">. </w:t>
      </w:r>
      <w:r w:rsidR="008D3166">
        <w:t xml:space="preserve">So Hosea may </w:t>
      </w:r>
      <w:r w:rsidR="005A0E03">
        <w:t>imply</w:t>
      </w:r>
      <w:r w:rsidR="000C6E53">
        <w:t xml:space="preserve"> that the Ephraimite men had more than one reason for consorting wit</w:t>
      </w:r>
      <w:r w:rsidR="005A0E03">
        <w:t>h the women ministers</w:t>
      </w:r>
      <w:r w:rsidR="000C6E53">
        <w:t>.</w:t>
      </w:r>
      <w:r w:rsidR="000E05AE">
        <w:t xml:space="preserve"> One way or another, then, the subsection works towards a coup de grâce in the last colon of</w:t>
      </w:r>
      <w:r w:rsidR="008D3166">
        <w:t xml:space="preserve"> v. 14, the third colon in the tricolon that</w:t>
      </w:r>
      <w:r w:rsidR="000E05AE">
        <w:t xml:space="preserve"> marks the line as </w:t>
      </w:r>
      <w:r w:rsidR="004C0812">
        <w:t xml:space="preserve">a semi-conclusion. It reaffirms succinctly the point made at the </w:t>
      </w:r>
      <w:r w:rsidR="005A58A5">
        <w:t>beginning of the subsection, in</w:t>
      </w:r>
      <w:r w:rsidR="004C0812">
        <w:t xml:space="preserve"> vv. 9-11).</w:t>
      </w:r>
      <w:r w:rsidR="00F44B73">
        <w:rPr>
          <w:rStyle w:val="FootnoteReference"/>
        </w:rPr>
        <w:footnoteReference w:id="224"/>
      </w:r>
      <w:r w:rsidR="004C0812">
        <w:t xml:space="preserve"> </w:t>
      </w:r>
      <w:r w:rsidR="008D3166">
        <w:t xml:space="preserve">Perhaps it is an aphorism; </w:t>
      </w:r>
      <w:r w:rsidR="00681121">
        <w:t>the word for “tumble” otherwise comes only in Prov</w:t>
      </w:r>
      <w:r w:rsidR="008D3166">
        <w:t>erbs</w:t>
      </w:r>
      <w:r w:rsidR="00681121">
        <w:t xml:space="preserve"> </w:t>
      </w:r>
      <w:r w:rsidR="000C3FA6">
        <w:t>10:8, 10</w:t>
      </w:r>
      <w:r w:rsidR="008D3166">
        <w:t xml:space="preserve"> (its precise meaning is not very certain). I</w:t>
      </w:r>
      <w:r w:rsidR="00681121">
        <w:t xml:space="preserve">n its theme and succinctness it </w:t>
      </w:r>
      <w:r w:rsidR="005A58A5">
        <w:t>pairs with v. 11, which might also be an aphorism</w:t>
      </w:r>
      <w:r w:rsidR="00681121">
        <w:t>.</w:t>
      </w:r>
      <w:r w:rsidR="00681121">
        <w:rPr>
          <w:rStyle w:val="FootnoteReference"/>
        </w:rPr>
        <w:footnoteReference w:id="225"/>
      </w:r>
      <w:r w:rsidR="00681121">
        <w:t xml:space="preserve"> </w:t>
      </w:r>
      <w:r w:rsidR="004C0812">
        <w:t>Ephraim’s whorish practices are mindless acts which will be its downfall.</w:t>
      </w:r>
      <w:r w:rsidR="00D74EAF">
        <w:t xml:space="preserve"> Tg appropriate</w:t>
      </w:r>
      <w:r w:rsidR="0063243B">
        <w:t>ly expands on “consider</w:t>
      </w:r>
      <w:r w:rsidR="009F1476">
        <w:t>” as implying “reflect on the Torah.”</w:t>
      </w:r>
    </w:p>
    <w:p w:rsidR="003A1B4B" w:rsidRDefault="003A1B4B" w:rsidP="005E5677"/>
    <w:p w:rsidR="009B31CB" w:rsidRDefault="00776A85" w:rsidP="005E5677">
      <w:r>
        <w:rPr>
          <w:b/>
        </w:rPr>
        <w:t xml:space="preserve">Hosea 4:15-19. </w:t>
      </w:r>
      <w:r w:rsidR="004C0812">
        <w:t xml:space="preserve">The implications are </w:t>
      </w:r>
      <w:r>
        <w:t>here worked out</w:t>
      </w:r>
      <w:r w:rsidR="00BC0CF1">
        <w:t>. There is of course no question whether Ephraim is a whore</w:t>
      </w:r>
      <w:r w:rsidR="00E9718B">
        <w:t xml:space="preserve"> (v. 15a)</w:t>
      </w:r>
      <w:r w:rsidR="00BC0CF1">
        <w:t xml:space="preserve">. In a snide </w:t>
      </w:r>
      <w:r w:rsidR="00BC0CF1" w:rsidRPr="00BC0CF1">
        <w:t>note worthy of Amos</w:t>
      </w:r>
      <w:r w:rsidR="00BC0CF1">
        <w:t>, Hosea asks Ephraim therefore ple</w:t>
      </w:r>
      <w:r w:rsidR="00736C28">
        <w:t>ase to avoid leading</w:t>
      </w:r>
      <w:r w:rsidR="00BC0CF1">
        <w:t xml:space="preserve"> Judah</w:t>
      </w:r>
      <w:r w:rsidR="00640626">
        <w:t xml:space="preserve"> astray, which would mean</w:t>
      </w:r>
      <w:r w:rsidR="005A0E03">
        <w:t xml:space="preserve"> Judah</w:t>
      </w:r>
      <w:r w:rsidR="005A58A5">
        <w:t xml:space="preserve"> would also attract Yahweh’s negative attention</w:t>
      </w:r>
      <w:r w:rsidR="00736C28">
        <w:t xml:space="preserve">. To judge from 2 Kings </w:t>
      </w:r>
      <w:r w:rsidR="005A0E03">
        <w:t xml:space="preserve">14—15, a prophet would have </w:t>
      </w:r>
      <w:r w:rsidR="00736C28">
        <w:t>less to critique in Judah</w:t>
      </w:r>
      <w:r w:rsidR="00640626">
        <w:t xml:space="preserve"> in Uzziah or Jotham’s day, though things changed during</w:t>
      </w:r>
      <w:r w:rsidR="00736C28">
        <w:t xml:space="preserve"> Ahaz’s reign when political pressures on Judah increased (see 2 </w:t>
      </w:r>
      <w:r w:rsidR="00D06435">
        <w:t>Kings</w:t>
      </w:r>
      <w:r w:rsidR="00736C28">
        <w:t xml:space="preserve"> 16). But the force of Hosea’s point </w:t>
      </w:r>
      <w:r w:rsidR="005A0E03">
        <w:t>does not depend on a particular</w:t>
      </w:r>
      <w:r w:rsidR="00736C28">
        <w:t xml:space="preserve"> assessment of Judahite religion. </w:t>
      </w:r>
    </w:p>
    <w:p w:rsidR="004C0812" w:rsidRDefault="007D00BC" w:rsidP="005E5677">
      <w:r>
        <w:t>So Hosea asks the Ephraimites to stay away from certain sanctuaries (v. 15b). H</w:t>
      </w:r>
      <w:r w:rsidR="00736C28">
        <w:t>is professed c</w:t>
      </w:r>
      <w:r>
        <w:t>oncern for Judah makes him ask them</w:t>
      </w:r>
      <w:r w:rsidR="00736C28">
        <w:t xml:space="preserve"> not to include Gilgal and Beth</w:t>
      </w:r>
      <w:r w:rsidR="00104FB8">
        <w:t>-</w:t>
      </w:r>
      <w:r w:rsidR="001A61D1">
        <w:t>el in the sanctuaries</w:t>
      </w:r>
      <w:r w:rsidR="00736C28">
        <w:t xml:space="preserve"> they </w:t>
      </w:r>
      <w:r w:rsidR="00736C28">
        <w:lastRenderedPageBreak/>
        <w:t xml:space="preserve">patronize. </w:t>
      </w:r>
      <w:r w:rsidR="001A61D1">
        <w:t>Both lie in the south</w:t>
      </w:r>
      <w:r w:rsidR="00F36A13">
        <w:t xml:space="preserve"> near</w:t>
      </w:r>
      <w:r w:rsidR="00736C28">
        <w:t xml:space="preserve"> the border with Judah, and both are places with a</w:t>
      </w:r>
      <w:r w:rsidR="001A61D1">
        <w:t xml:space="preserve"> history for Israel as a whole</w:t>
      </w:r>
      <w:r w:rsidR="001A61D1" w:rsidRPr="001A61D1">
        <w:t xml:space="preserve"> </w:t>
      </w:r>
      <w:r w:rsidR="001A61D1">
        <w:t xml:space="preserve">going </w:t>
      </w:r>
      <w:r w:rsidR="001A61D1" w:rsidRPr="001A61D1">
        <w:t>back via Joshua to Jacob and Abraham, s</w:t>
      </w:r>
      <w:r w:rsidR="001A61D1">
        <w:t xml:space="preserve">o one can imagine Judahites </w:t>
      </w:r>
      <w:r w:rsidR="001A61D1" w:rsidRPr="001A61D1">
        <w:t>go</w:t>
      </w:r>
      <w:r w:rsidR="001A61D1">
        <w:t>ing</w:t>
      </w:r>
      <w:r w:rsidR="001A61D1" w:rsidRPr="001A61D1">
        <w:t xml:space="preserve"> </w:t>
      </w:r>
      <w:r w:rsidR="001A61D1">
        <w:t>there</w:t>
      </w:r>
      <w:r w:rsidR="001A61D1" w:rsidRPr="001A61D1">
        <w:t xml:space="preserve">. </w:t>
      </w:r>
      <w:r w:rsidR="00F36A13">
        <w:t xml:space="preserve">Gilgal was the site of Joshua’s base camp near Jericho where the crossing of </w:t>
      </w:r>
      <w:r w:rsidR="001A61D1">
        <w:t>the Jordan was commemorated;</w:t>
      </w:r>
      <w:r w:rsidR="00F36A13">
        <w:t xml:space="preserve"> </w:t>
      </w:r>
      <w:r w:rsidR="001A61D1">
        <w:t xml:space="preserve">it was also </w:t>
      </w:r>
      <w:r w:rsidR="00F36A13">
        <w:t>where the monarchy was inaugurated (if these were two different Gilgals, Hosea’s point would not be affected). Bet</w:t>
      </w:r>
      <w:r w:rsidR="0075615D">
        <w:t>h</w:t>
      </w:r>
      <w:r w:rsidR="00F36A13">
        <w:t>-</w:t>
      </w:r>
      <w:r w:rsidR="0075615D">
        <w:t xml:space="preserve">aven </w:t>
      </w:r>
      <w:r w:rsidR="00B61B18">
        <w:t>(“house of wickedness</w:t>
      </w:r>
      <w:r w:rsidR="00BF2749">
        <w:t>/trouble</w:t>
      </w:r>
      <w:r w:rsidR="00B61B18">
        <w:t xml:space="preserve">”) </w:t>
      </w:r>
      <w:r w:rsidR="0075615D">
        <w:t>is a derogatory alternative name for Beth-el</w:t>
      </w:r>
      <w:r w:rsidR="00D74EAF">
        <w:t xml:space="preserve"> (cf. Amos 5:5</w:t>
      </w:r>
      <w:r w:rsidR="00640626">
        <w:t>, which refers to both Gilgal and Beth-aven</w:t>
      </w:r>
      <w:r w:rsidR="00D74EAF">
        <w:t xml:space="preserve">), </w:t>
      </w:r>
      <w:r w:rsidR="0075615D">
        <w:t>devised because Beth-el was (with Dan)</w:t>
      </w:r>
      <w:r w:rsidR="001A61D1">
        <w:t xml:space="preserve"> </w:t>
      </w:r>
      <w:r w:rsidR="00EC6424">
        <w:t xml:space="preserve">one of the </w:t>
      </w:r>
      <w:r w:rsidR="0075615D">
        <w:t>Ephraimit</w:t>
      </w:r>
      <w:r w:rsidR="00EC6424">
        <w:t xml:space="preserve">e sanctuaries where Jeroboam I set up </w:t>
      </w:r>
      <w:r w:rsidR="0075615D">
        <w:t>bull</w:t>
      </w:r>
      <w:r w:rsidR="0037691B">
        <w:t>ock</w:t>
      </w:r>
      <w:r w:rsidR="0075615D">
        <w:t xml:space="preserve"> image</w:t>
      </w:r>
      <w:r w:rsidR="00EC6424">
        <w:t>s</w:t>
      </w:r>
      <w:r w:rsidR="0075615D">
        <w:t xml:space="preserve"> of Yahweh</w:t>
      </w:r>
      <w:r w:rsidR="001A61D1">
        <w:t xml:space="preserve">, though it had those earlier associations with Abraham and Jacob. </w:t>
      </w:r>
      <w:r w:rsidR="00CD3830">
        <w:t>T</w:t>
      </w:r>
      <w:r>
        <w:t>o turn</w:t>
      </w:r>
      <w:r w:rsidR="00CD3830">
        <w:t xml:space="preserve"> Beth-el into the house of another god means “a kind of violence being done to both fact and name.”</w:t>
      </w:r>
      <w:r w:rsidR="00CD3830">
        <w:rPr>
          <w:rStyle w:val="FootnoteReference"/>
        </w:rPr>
        <w:footnoteReference w:id="226"/>
      </w:r>
      <w:r w:rsidR="00CD3830">
        <w:t xml:space="preserve"> </w:t>
      </w:r>
      <w:r w:rsidR="001A61D1">
        <w:t>It’</w:t>
      </w:r>
      <w:r w:rsidR="00640626">
        <w:t>s in the hi</w:t>
      </w:r>
      <w:r w:rsidR="001A61D1">
        <w:t xml:space="preserve">ghlands so one “goes up” there. </w:t>
      </w:r>
      <w:r w:rsidR="00854887">
        <w:t>D</w:t>
      </w:r>
      <w:r w:rsidR="009B31CB">
        <w:t>on’t pollute Gilgal and Beth</w:t>
      </w:r>
      <w:r w:rsidR="00DD219C">
        <w:t>-</w:t>
      </w:r>
      <w:r w:rsidR="009B31CB">
        <w:t>el</w:t>
      </w:r>
      <w:r w:rsidR="0075615D">
        <w:t xml:space="preserve"> with your whorish presence, says Hosea. </w:t>
      </w:r>
      <w:r w:rsidR="001A61D1">
        <w:t>T</w:t>
      </w:r>
      <w:r w:rsidR="0075615D">
        <w:t>o make the point even more forcibl</w:t>
      </w:r>
      <w:r w:rsidR="009B31CB">
        <w:t>y, he</w:t>
      </w:r>
      <w:r w:rsidR="00AD4AC5">
        <w:t xml:space="preserve"> adds (in the third colon</w:t>
      </w:r>
      <w:r w:rsidR="00756F36">
        <w:t xml:space="preserve"> of another tricolon), if you’</w:t>
      </w:r>
      <w:r w:rsidR="0075615D">
        <w:t xml:space="preserve">re going to indulge in your whoring, don’t </w:t>
      </w:r>
      <w:r w:rsidR="001A61D1">
        <w:t xml:space="preserve">also </w:t>
      </w:r>
      <w:r w:rsidR="0075615D">
        <w:t>take the nam</w:t>
      </w:r>
      <w:r w:rsidR="001A61D1">
        <w:t>e of Yahweh on your lips</w:t>
      </w:r>
      <w:r w:rsidR="0075615D">
        <w:t>, will you? If you don’t trust in Yahweh but trust in your various other deities, it doesn’t makes sense to</w:t>
      </w:r>
      <w:r w:rsidR="00AD4AC5">
        <w:t xml:space="preserve"> swear an oath in Yahweh’s name, which would be one of the acts one </w:t>
      </w:r>
      <w:r w:rsidR="00640626">
        <w:t>under</w:t>
      </w:r>
      <w:r w:rsidR="001A61D1">
        <w:t>took in going to a sanctuary</w:t>
      </w:r>
      <w:r w:rsidR="00AD4AC5">
        <w:t>.</w:t>
      </w:r>
      <w:r w:rsidR="00723F49">
        <w:t xml:space="preserve"> Such swearing </w:t>
      </w:r>
      <w:r w:rsidR="00723F49" w:rsidRPr="00723F49">
        <w:t>needs to be done with truthfulness and faithfulness (Jer. 4:2)</w:t>
      </w:r>
      <w:r w:rsidR="00723F49">
        <w:t>.</w:t>
      </w:r>
    </w:p>
    <w:p w:rsidR="007D00BC" w:rsidRDefault="00B61B18" w:rsidP="005E5677">
      <w:r>
        <w:t xml:space="preserve">As an alternative to </w:t>
      </w:r>
      <w:r w:rsidR="00640626">
        <w:t>the term</w:t>
      </w:r>
      <w:r w:rsidR="00A84715">
        <w:t xml:space="preserve"> </w:t>
      </w:r>
      <w:r w:rsidR="00640626">
        <w:t>“</w:t>
      </w:r>
      <w:r w:rsidR="00A84715">
        <w:t>whoring,</w:t>
      </w:r>
      <w:r w:rsidR="00640626">
        <w:t>”</w:t>
      </w:r>
      <w:r w:rsidR="00A84715">
        <w:t xml:space="preserve"> </w:t>
      </w:r>
      <w:r w:rsidR="00640626">
        <w:t xml:space="preserve">Hosea goes on </w:t>
      </w:r>
      <w:r w:rsidR="00B0597F">
        <w:t xml:space="preserve">(v. 16) </w:t>
      </w:r>
      <w:r w:rsidR="00640626">
        <w:t>to compare</w:t>
      </w:r>
      <w:r w:rsidR="00B61FA6">
        <w:t xml:space="preserve"> Ephraim’s behavior </w:t>
      </w:r>
      <w:r>
        <w:t xml:space="preserve">with a cow </w:t>
      </w:r>
      <w:r w:rsidR="00772C04">
        <w:t>running amok</w:t>
      </w:r>
      <w:r w:rsidR="00B61FA6">
        <w:t xml:space="preserve"> </w:t>
      </w:r>
      <w:r w:rsidR="00640626">
        <w:t xml:space="preserve">and </w:t>
      </w:r>
      <w:r>
        <w:t>turning aside</w:t>
      </w:r>
      <w:r w:rsidR="001A61D1">
        <w:t xml:space="preserve"> out of the way the farmer</w:t>
      </w:r>
      <w:r>
        <w:t xml:space="preserve"> is seeking to direct it. </w:t>
      </w:r>
      <w:r w:rsidR="00F07E55">
        <w:t>Israel (</w:t>
      </w:r>
      <w:r w:rsidR="00F07E55">
        <w:rPr>
          <w:i/>
        </w:rPr>
        <w:t>yiśrā’ēl</w:t>
      </w:r>
      <w:r w:rsidR="00F07E55">
        <w:t>)</w:t>
      </w:r>
      <w:r w:rsidR="00F07E55">
        <w:rPr>
          <w:i/>
        </w:rPr>
        <w:t xml:space="preserve"> </w:t>
      </w:r>
      <w:r w:rsidR="00772C04">
        <w:t>is running amok</w:t>
      </w:r>
      <w:r w:rsidR="00B61FA6">
        <w:t xml:space="preserve"> (</w:t>
      </w:r>
      <w:r w:rsidR="00B61FA6">
        <w:rPr>
          <w:i/>
        </w:rPr>
        <w:t>sαrar</w:t>
      </w:r>
      <w:r w:rsidR="00B61FA6">
        <w:t>) and</w:t>
      </w:r>
      <w:r w:rsidR="00B61FA6">
        <w:rPr>
          <w:i/>
        </w:rPr>
        <w:t xml:space="preserve"> </w:t>
      </w:r>
      <w:r w:rsidR="00F07E55">
        <w:t>turning aside (</w:t>
      </w:r>
      <w:r w:rsidR="00B61FA6">
        <w:rPr>
          <w:i/>
        </w:rPr>
        <w:t>sû</w:t>
      </w:r>
      <w:r w:rsidR="00F07E55">
        <w:rPr>
          <w:i/>
        </w:rPr>
        <w:t>r</w:t>
      </w:r>
      <w:r w:rsidR="00F07E55">
        <w:t>).</w:t>
      </w:r>
      <w:r w:rsidR="00F07E55">
        <w:rPr>
          <w:i/>
        </w:rPr>
        <w:t xml:space="preserve"> </w:t>
      </w:r>
      <w:r w:rsidR="001A61D1">
        <w:t>The cow thinks it’</w:t>
      </w:r>
      <w:r>
        <w:t xml:space="preserve">s going to get good pasturage that way. Is the farmer simply going to adapt to it? </w:t>
      </w:r>
      <w:r w:rsidR="00366B04">
        <w:t>Rather Yahweh is going to</w:t>
      </w:r>
      <w:r w:rsidR="00A84715">
        <w:t xml:space="preserve"> let the “cow”</w:t>
      </w:r>
      <w:r w:rsidR="006B142A">
        <w:t xml:space="preserve"> have its way.</w:t>
      </w:r>
      <w:r w:rsidR="006B142A">
        <w:rPr>
          <w:rStyle w:val="FootnoteReference"/>
        </w:rPr>
        <w:footnoteReference w:id="227"/>
      </w:r>
      <w:r w:rsidR="00B61FA6">
        <w:t xml:space="preserve">  </w:t>
      </w:r>
    </w:p>
    <w:p w:rsidR="00B61B18" w:rsidRDefault="00B61FA6" w:rsidP="005E5677">
      <w:r>
        <w:t>Let Ephraim</w:t>
      </w:r>
      <w:r w:rsidR="00A60B40">
        <w:t xml:space="preserve"> worship the idol</w:t>
      </w:r>
      <w:r w:rsidR="006B142A">
        <w:t>s it</w:t>
      </w:r>
      <w:r w:rsidR="009B31CB">
        <w:t>’</w:t>
      </w:r>
      <w:r w:rsidR="001A61D1">
        <w:t xml:space="preserve">s </w:t>
      </w:r>
      <w:r w:rsidR="00AF3F27">
        <w:t>drawn to (v</w:t>
      </w:r>
      <w:r w:rsidR="007D00BC">
        <w:t>v</w:t>
      </w:r>
      <w:r w:rsidR="00AF3F27">
        <w:t>. 17</w:t>
      </w:r>
      <w:r w:rsidR="007D00BC">
        <w:t>-18a</w:t>
      </w:r>
      <w:r w:rsidR="00AF3F27">
        <w:t xml:space="preserve">). </w:t>
      </w:r>
      <w:r w:rsidR="009B31CB">
        <w:t>Hosea likes</w:t>
      </w:r>
      <w:r w:rsidR="00481367">
        <w:t xml:space="preserve"> designating divine images as idols (8:4; 13:2; 14:8 [9]); etymologically “idol” (</w:t>
      </w:r>
      <w:r w:rsidR="00481367">
        <w:rPr>
          <w:i/>
        </w:rPr>
        <w:t>‘āṣāb</w:t>
      </w:r>
      <w:r w:rsidR="00481367">
        <w:t xml:space="preserve">) likely means </w:t>
      </w:r>
      <w:r w:rsidR="009B31CB">
        <w:t xml:space="preserve">something “shaped,” which </w:t>
      </w:r>
      <w:r w:rsidR="00481367">
        <w:t>make</w:t>
      </w:r>
      <w:r w:rsidR="009B31CB">
        <w:t>s</w:t>
      </w:r>
      <w:r w:rsidR="00481367">
        <w:t xml:space="preserve"> it not </w:t>
      </w:r>
      <w:r w:rsidR="009B31CB">
        <w:t>so different from the word “</w:t>
      </w:r>
      <w:r w:rsidR="00481367">
        <w:t>image</w:t>
      </w:r>
      <w:r w:rsidR="009B31CB">
        <w:t>”</w:t>
      </w:r>
      <w:r w:rsidR="00481367">
        <w:t xml:space="preserve"> (</w:t>
      </w:r>
      <w:r w:rsidR="00481367">
        <w:rPr>
          <w:i/>
        </w:rPr>
        <w:t>ṣelem</w:t>
      </w:r>
      <w:r w:rsidR="007D00BC">
        <w:t>), but the word</w:t>
      </w:r>
      <w:r w:rsidR="00481367">
        <w:t xml:space="preserve"> also resonates suggestively with a verb meaning hurt, pain or grieve. </w:t>
      </w:r>
      <w:r w:rsidR="004D02C0">
        <w:t>Hosea adds</w:t>
      </w:r>
      <w:r w:rsidR="00B0597F">
        <w:t xml:space="preserve"> how e</w:t>
      </w:r>
      <w:r w:rsidR="00AF3F27">
        <w:t xml:space="preserve">ven when the </w:t>
      </w:r>
      <w:r w:rsidR="00AB78CB">
        <w:t>f</w:t>
      </w:r>
      <w:r w:rsidR="00B0597F">
        <w:t>estival indulgence is over, Ephraim still carries on attending to the</w:t>
      </w:r>
      <w:r w:rsidR="007D00BC">
        <w:t xml:space="preserve"> other gods</w:t>
      </w:r>
      <w:r w:rsidR="00AB78CB">
        <w:t>.</w:t>
      </w:r>
      <w:r w:rsidR="00B438C1">
        <w:t xml:space="preserve"> </w:t>
      </w:r>
      <w:r w:rsidR="004D02C0" w:rsidRPr="004D02C0">
        <w:t xml:space="preserve">Isaiah will </w:t>
      </w:r>
      <w:r w:rsidR="004D02C0">
        <w:t xml:space="preserve">likewise </w:t>
      </w:r>
      <w:r w:rsidR="004D02C0" w:rsidRPr="004D02C0">
        <w:t>comment on Ephraim’s drinking habit and its fondness for food (Isa. 28:1).</w:t>
      </w:r>
    </w:p>
    <w:p w:rsidR="00E45034" w:rsidRDefault="004D02C0" w:rsidP="005E5677">
      <w:r>
        <w:t>The chapter</w:t>
      </w:r>
      <w:r w:rsidR="00E45034">
        <w:t xml:space="preserve"> closes </w:t>
      </w:r>
      <w:r>
        <w:t xml:space="preserve">(vv. 18b-19) </w:t>
      </w:r>
      <w:r w:rsidR="00E45034">
        <w:t>with a tricolon whose reference to “its shields” (that is, the people who are supposed to be the protectors of the city) begins the transition to the next section with it</w:t>
      </w:r>
      <w:r w:rsidR="00B0597F">
        <w:t>s</w:t>
      </w:r>
      <w:r w:rsidR="00E45034">
        <w:t xml:space="preserve"> </w:t>
      </w:r>
      <w:r w:rsidR="00B0597F">
        <w:t>challenge to the Ephraimite leadership</w:t>
      </w:r>
      <w:r w:rsidR="00E45034">
        <w:t>. These shields have behaved as if they are emotionally attached to shame</w:t>
      </w:r>
      <w:r w:rsidR="007D00BC">
        <w:t xml:space="preserve"> or slighting (cf. v. 7). S</w:t>
      </w:r>
      <w:r w:rsidR="009B0AF0">
        <w:t>uch</w:t>
      </w:r>
      <w:r w:rsidR="00B0597F">
        <w:t xml:space="preserve"> is the implication</w:t>
      </w:r>
      <w:r>
        <w:t xml:space="preserve"> of their behavior, in that it’</w:t>
      </w:r>
      <w:r w:rsidR="00B0597F">
        <w:t>s going to</w:t>
      </w:r>
      <w:r w:rsidR="00E45034">
        <w:t xml:space="preserve"> take them to that fate. </w:t>
      </w:r>
      <w:r>
        <w:t>It’</w:t>
      </w:r>
      <w:r w:rsidR="00524108">
        <w:t>s as if they have been bew</w:t>
      </w:r>
      <w:r>
        <w:t>itched. T</w:t>
      </w:r>
      <w:r w:rsidR="00524108">
        <w:t>he whoring spirit that has led the people astray (v. 12)</w:t>
      </w:r>
      <w:r>
        <w:t xml:space="preserve">, to which he will refer </w:t>
      </w:r>
      <w:r w:rsidR="00524108">
        <w:t>again in 5:</w:t>
      </w:r>
      <w:r>
        <w:t>4,</w:t>
      </w:r>
      <w:r w:rsidR="00524108">
        <w:t xml:space="preserve"> </w:t>
      </w:r>
      <w:r>
        <w:t>has bound</w:t>
      </w:r>
      <w:r w:rsidR="007D00BC">
        <w:t xml:space="preserve"> them up in its wings. Hosea</w:t>
      </w:r>
      <w:r w:rsidR="00776A85">
        <w:t xml:space="preserve"> is </w:t>
      </w:r>
      <w:r w:rsidR="00524108">
        <w:t xml:space="preserve">playing with the fact that </w:t>
      </w:r>
      <w:r w:rsidR="00524108">
        <w:rPr>
          <w:i/>
        </w:rPr>
        <w:t>rûaḥ</w:t>
      </w:r>
      <w:r w:rsidR="00524108">
        <w:t xml:space="preserve"> also denotes the wind, w</w:t>
      </w:r>
      <w:r w:rsidR="00B0597F">
        <w:t>hich (as it were) has wings (Ps</w:t>
      </w:r>
      <w:r>
        <w:t>s</w:t>
      </w:r>
      <w:r w:rsidR="00B0597F">
        <w:t>.</w:t>
      </w:r>
      <w:r w:rsidR="00524108">
        <w:t xml:space="preserve"> 18:10 [11]; 104:3) that enable it to carry someone away. </w:t>
      </w:r>
      <w:r w:rsidR="00776A85">
        <w:t>They will carry the shields to the shame that properly issues from their offering sacrifices to these other deities.</w:t>
      </w:r>
      <w:r w:rsidR="00005259">
        <w:t xml:space="preserve"> They will not merely be ashamed but shamed.</w:t>
      </w:r>
    </w:p>
    <w:p w:rsidR="00865C8A" w:rsidRDefault="00865C8A" w:rsidP="001D3546">
      <w:pPr>
        <w:pStyle w:val="Heading2"/>
      </w:pPr>
      <w:r>
        <w:t>Theological Implications</w:t>
      </w:r>
    </w:p>
    <w:p w:rsidR="00FF6A58" w:rsidRDefault="00FF6A58" w:rsidP="009652A7">
      <w:pPr>
        <w:pStyle w:val="ListParagraph"/>
        <w:numPr>
          <w:ilvl w:val="0"/>
          <w:numId w:val="1"/>
        </w:numPr>
        <w:ind w:left="360"/>
      </w:pPr>
      <w:r>
        <w:t xml:space="preserve">God has an argument with the world which he wants his people to be aware of and to understand. </w:t>
      </w:r>
      <w:r w:rsidR="004D02C0">
        <w:t>Sometimes, at least, he doesn’</w:t>
      </w:r>
      <w:r>
        <w:t>t simply implement his decisions in the world. He forewarns his people, perhaps simply to prepare them (e.g., Mk. 13), perhaps so that they can take some action (e.g., Jonah).</w:t>
      </w:r>
    </w:p>
    <w:p w:rsidR="00FF6A58" w:rsidRDefault="004D02C0" w:rsidP="009652A7">
      <w:pPr>
        <w:pStyle w:val="ListParagraph"/>
        <w:numPr>
          <w:ilvl w:val="0"/>
          <w:numId w:val="1"/>
        </w:numPr>
        <w:ind w:left="360"/>
      </w:pPr>
      <w:r>
        <w:t>God’</w:t>
      </w:r>
      <w:r w:rsidR="00FF6A58">
        <w:t>s</w:t>
      </w:r>
      <w:r>
        <w:t xml:space="preserve"> expectations of the world </w:t>
      </w:r>
      <w:r w:rsidR="00FF6A58">
        <w:t xml:space="preserve">are not so different from his expectations of his people. He assumes that the world knows the basics about the proper stance towards God that God looks for (cf. Rom. 1—3), which involves truthfulness, commitment, and acknowledgment of God. </w:t>
      </w:r>
      <w:r w:rsidR="00FF6A58" w:rsidRPr="00E04702">
        <w:t>Truthfulness (</w:t>
      </w:r>
      <w:r w:rsidR="00FF6A58" w:rsidRPr="004C0EE2">
        <w:rPr>
          <w:i/>
        </w:rPr>
        <w:t>’ĕmet</w:t>
      </w:r>
      <w:r w:rsidR="00FF6A58" w:rsidRPr="00E04702">
        <w:t xml:space="preserve">) </w:t>
      </w:r>
      <w:r w:rsidR="00FF6A58" w:rsidRPr="00E04702">
        <w:lastRenderedPageBreak/>
        <w:t>denotes a trustworthiness whereby people keep their word. Commitment (</w:t>
      </w:r>
      <w:r w:rsidR="00FF6A58" w:rsidRPr="004C0EE2">
        <w:rPr>
          <w:i/>
        </w:rPr>
        <w:t>ḥesed</w:t>
      </w:r>
      <w:r w:rsidR="00FF6A58" w:rsidRPr="00E04702">
        <w:t xml:space="preserve">) denotes a faithfulness that goes even further in showing </w:t>
      </w:r>
      <w:r w:rsidR="00F32918">
        <w:t>a steadfastness surpassing</w:t>
      </w:r>
      <w:r w:rsidR="00FF6A58" w:rsidRPr="00E04702">
        <w:t xml:space="preserve"> what anyone has a right to expect and in maintaining such steadfastness even if the other party has forfeited any rights to it. </w:t>
      </w:r>
      <w:r w:rsidR="00F32918">
        <w:t>Acknowledgment of God doesn’</w:t>
      </w:r>
      <w:r w:rsidR="00FF6A58">
        <w:t>t denote knowledge of facts about God or an intimate personal knowledge of God like that of children for a father, though the broader cont</w:t>
      </w:r>
      <w:r w:rsidR="00F32918">
        <w:t xml:space="preserve">ext in Hosea presupposes such </w:t>
      </w:r>
      <w:r w:rsidR="00FF6A58">
        <w:t>knowledge.</w:t>
      </w:r>
      <w:r w:rsidR="00FF6A58" w:rsidRPr="00397597">
        <w:rPr>
          <w:vertAlign w:val="superscript"/>
        </w:rPr>
        <w:footnoteReference w:id="228"/>
      </w:r>
      <w:r w:rsidR="00F32918">
        <w:t xml:space="preserve"> It denotes </w:t>
      </w:r>
      <w:r w:rsidR="00FF6A58">
        <w:t xml:space="preserve">recognition of God as God, which implies submission to God. </w:t>
      </w:r>
      <w:r w:rsidR="00FF6A58" w:rsidRPr="00397597">
        <w:t>Tg appropriately paraphrases “there are none who walk in awe of Yahweh.”</w:t>
      </w:r>
    </w:p>
    <w:p w:rsidR="00FF6A58" w:rsidRDefault="00FF6A58" w:rsidP="009652A7">
      <w:pPr>
        <w:pStyle w:val="ListParagraph"/>
        <w:numPr>
          <w:ilvl w:val="0"/>
          <w:numId w:val="1"/>
        </w:numPr>
        <w:ind w:left="360"/>
      </w:pPr>
      <w:r>
        <w:t>God also assumes that the world knows the basics about a</w:t>
      </w:r>
      <w:r w:rsidRPr="004C0EE2">
        <w:t xml:space="preserve"> proper style of community life</w:t>
      </w:r>
      <w:r>
        <w:t>, or of the acts that destroy community life.</w:t>
      </w:r>
      <w:r w:rsidRPr="004C0EE2">
        <w:t xml:space="preserve"> The moral style of community life th</w:t>
      </w:r>
      <w:r w:rsidR="00F32918">
        <w:t>at God looks for abjures swearing false oaths</w:t>
      </w:r>
      <w:r w:rsidRPr="004C0EE2">
        <w:t xml:space="preserve">, lying, stealing, murder, adultery, and other forms of bloodshed. </w:t>
      </w:r>
      <w:r>
        <w:t>People do not need a special revelation in order to know that these things are wrong. Th</w:t>
      </w:r>
      <w:r w:rsidR="00F32918">
        <w:t xml:space="preserve">is assumption fits the way </w:t>
      </w:r>
      <w:r>
        <w:t xml:space="preserve">most cultures </w:t>
      </w:r>
      <w:r w:rsidR="006422F5">
        <w:t xml:space="preserve">do </w:t>
      </w:r>
      <w:r>
        <w:t>recognize that these things are wrong.</w:t>
      </w:r>
    </w:p>
    <w:p w:rsidR="00FF6A58" w:rsidRDefault="00FF6A58" w:rsidP="009652A7">
      <w:pPr>
        <w:pStyle w:val="ListParagraph"/>
        <w:numPr>
          <w:ilvl w:val="0"/>
          <w:numId w:val="1"/>
        </w:numPr>
        <w:ind w:left="360"/>
      </w:pPr>
      <w:r>
        <w:t>A wise style of community life respects both halves of the Decalogue. It is possible and tempting to focus either on worship and people’s personal relationship with God (and to pay less attention to doing right by other people) or to focus on matters of justice (and to pay less attention to relationships with God). Hosea integrates the two.</w:t>
      </w:r>
    </w:p>
    <w:p w:rsidR="000178A6" w:rsidRDefault="00F32918" w:rsidP="009652A7">
      <w:pPr>
        <w:pStyle w:val="ListParagraph"/>
        <w:numPr>
          <w:ilvl w:val="0"/>
          <w:numId w:val="1"/>
        </w:numPr>
        <w:ind w:left="360"/>
      </w:pPr>
      <w:r>
        <w:t>These</w:t>
      </w:r>
      <w:r w:rsidR="00FF6A58">
        <w:t xml:space="preserve"> assumption</w:t>
      </w:r>
      <w:r>
        <w:t>s</w:t>
      </w:r>
      <w:r w:rsidR="00FF6A58">
        <w:t xml:space="preserve"> about a wise style of community life su</w:t>
      </w:r>
      <w:r>
        <w:t>ch that God looks for recognize</w:t>
      </w:r>
      <w:r w:rsidR="00FF6A58">
        <w:t xml:space="preserve"> that godliness and morality issue in a harmony with nature. </w:t>
      </w:r>
      <w:r w:rsidR="004A329A">
        <w:t>Sacralizing nature and commodifying nature are not the only alternatives.</w:t>
      </w:r>
      <w:r w:rsidR="004A329A">
        <w:rPr>
          <w:rStyle w:val="FootnoteReference"/>
        </w:rPr>
        <w:footnoteReference w:id="229"/>
      </w:r>
      <w:r w:rsidR="004A329A">
        <w:t xml:space="preserve"> </w:t>
      </w:r>
      <w:r w:rsidR="00FF6A58">
        <w:t xml:space="preserve">Whereas </w:t>
      </w:r>
      <w:r w:rsidR="00FF6A58" w:rsidRPr="003D43FE">
        <w:t>Hosea “is anno</w:t>
      </w:r>
      <w:r w:rsidR="00FF6A58">
        <w:t>uncing the reversal of creation,</w:t>
      </w:r>
      <w:r w:rsidR="00FF6A58" w:rsidRPr="003D43FE">
        <w:t>”</w:t>
      </w:r>
      <w:r w:rsidR="00FF6A58" w:rsidRPr="003D43FE">
        <w:rPr>
          <w:vertAlign w:val="superscript"/>
        </w:rPr>
        <w:footnoteReference w:id="230"/>
      </w:r>
      <w:r w:rsidR="00FF6A58">
        <w:t xml:space="preserve"> a wise style of community </w:t>
      </w:r>
      <w:r>
        <w:t>life will mean both that crops will grow and that</w:t>
      </w:r>
      <w:r w:rsidR="00FF6A58">
        <w:t xml:space="preserve"> animate nature will live in harmony with humanity rather than working against it.</w:t>
      </w:r>
      <w:r>
        <w:t xml:space="preserve"> </w:t>
      </w:r>
      <w:r w:rsidR="00FF6A58">
        <w:t xml:space="preserve">On the other hand, an immoral style of community life is stupid because it will issue in devastation in nature. </w:t>
      </w:r>
      <w:r w:rsidR="000178A6">
        <w:t>It means “creation in Jeopardy,</w:t>
      </w:r>
      <w:r w:rsidR="00D04B9F">
        <w:t>”</w:t>
      </w:r>
      <w:r w:rsidR="00D04B9F">
        <w:rPr>
          <w:rStyle w:val="FootnoteReference"/>
        </w:rPr>
        <w:footnoteReference w:id="231"/>
      </w:r>
      <w:r w:rsidR="000178A6">
        <w:t xml:space="preserve"> indeed “creation u</w:t>
      </w:r>
      <w:r w:rsidR="000178A6" w:rsidRPr="000178A6">
        <w:t>ncreated</w:t>
      </w:r>
      <w:r w:rsidR="000178A6">
        <w:t>.”</w:t>
      </w:r>
      <w:r w:rsidR="000178A6">
        <w:rPr>
          <w:rStyle w:val="FootnoteReference"/>
        </w:rPr>
        <w:footnoteReference w:id="232"/>
      </w:r>
    </w:p>
    <w:p w:rsidR="006A6017" w:rsidRDefault="006A6017" w:rsidP="006A6017"/>
    <w:p w:rsidR="006A6017" w:rsidRDefault="006A6017" w:rsidP="006A6017">
      <w:pPr>
        <w:ind w:left="1080" w:firstLine="0"/>
      </w:pPr>
      <w:r>
        <w:t>The indictment against priests and people in Hosea 4 establishes the connection between knowledge of God and ethical behaviour within the community and presents the failure to maintain this relationship with YHWH in terms of the devastation of the natural world. By means of an appeal to cause and effect, act and consequence, the book's dual presentation of warning and hope suggests to its readers that there is a choice to be made—between the reversal or the restoration of the created order.</w:t>
      </w:r>
      <w:r>
        <w:rPr>
          <w:rStyle w:val="FootnoteReference"/>
        </w:rPr>
        <w:footnoteReference w:id="233"/>
      </w:r>
    </w:p>
    <w:p w:rsidR="006A6017" w:rsidRDefault="006A6017" w:rsidP="006A6017">
      <w:pPr>
        <w:ind w:left="1080" w:firstLine="0"/>
      </w:pPr>
    </w:p>
    <w:p w:rsidR="007F253E" w:rsidRPr="00EE7B7F" w:rsidRDefault="00EE7B7F" w:rsidP="009652A7">
      <w:pPr>
        <w:pStyle w:val="ListParagraph"/>
        <w:numPr>
          <w:ilvl w:val="0"/>
          <w:numId w:val="1"/>
        </w:numPr>
        <w:ind w:left="360"/>
        <w:rPr>
          <w:rFonts w:asciiTheme="minorHAnsi" w:hAnsiTheme="minorHAnsi"/>
          <w:szCs w:val="22"/>
        </w:rPr>
      </w:pPr>
      <w:r>
        <w:rPr>
          <w:rFonts w:asciiTheme="minorHAnsi" w:hAnsiTheme="minorHAnsi"/>
          <w:szCs w:val="22"/>
        </w:rPr>
        <w:t>God may respond to unfaithfulness in several ways. One is by taking deliberate action in “attendi</w:t>
      </w:r>
      <w:r w:rsidR="006422F5">
        <w:rPr>
          <w:rFonts w:asciiTheme="minorHAnsi" w:hAnsiTheme="minorHAnsi"/>
          <w:szCs w:val="22"/>
        </w:rPr>
        <w:t>ng” to such unfaithfulness, which</w:t>
      </w:r>
      <w:r>
        <w:rPr>
          <w:rFonts w:asciiTheme="minorHAnsi" w:hAnsiTheme="minorHAnsi"/>
          <w:szCs w:val="22"/>
        </w:rPr>
        <w:t xml:space="preserve"> may involve giving their deeds back to the people—taking action to ensure that their deeds have their natural effect. Another is by letting people have their way. Another is that </w:t>
      </w:r>
      <w:r w:rsidR="00B75873">
        <w:t>God</w:t>
      </w:r>
      <w:r w:rsidR="00FF6A58">
        <w:t xml:space="preserve"> may not</w:t>
      </w:r>
      <w:r w:rsidR="00FF6A58" w:rsidRPr="0096054C">
        <w:t xml:space="preserve"> directly cause the withering and wasting</w:t>
      </w:r>
      <w:r w:rsidR="00B75873">
        <w:t xml:space="preserve"> of nature; t</w:t>
      </w:r>
      <w:r w:rsidR="00FF6A58" w:rsidRPr="0096054C">
        <w:t xml:space="preserve">his consequence </w:t>
      </w:r>
      <w:r w:rsidR="00FF6A58">
        <w:t xml:space="preserve">of a stupid community lifestyle can </w:t>
      </w:r>
      <w:r w:rsidR="00FF6A58" w:rsidRPr="0096054C">
        <w:t>wor</w:t>
      </w:r>
      <w:r w:rsidR="00FF6A58">
        <w:t>k itself out in a “natural” way that reflects interwovenness within reality as a whole.  Compare and contrast Isaiah 24</w:t>
      </w:r>
      <w:r w:rsidR="00B75873">
        <w:t>, which first talks about God’s act</w:t>
      </w:r>
      <w:r w:rsidR="00FF6A58">
        <w:t xml:space="preserve">ion, then speaks more in Hosea’s terms. </w:t>
      </w:r>
      <w:r w:rsidR="00F32918">
        <w:t>If Hosea 4:</w:t>
      </w:r>
      <w:r w:rsidR="00FF6A58" w:rsidRPr="00175B9E">
        <w:t xml:space="preserve">1-2 </w:t>
      </w:r>
      <w:r w:rsidR="00F32918">
        <w:t>include</w:t>
      </w:r>
      <w:r w:rsidR="006422F5">
        <w:t>s</w:t>
      </w:r>
      <w:r w:rsidR="00F32918">
        <w:t xml:space="preserve"> </w:t>
      </w:r>
      <w:r w:rsidR="00FF6A58" w:rsidRPr="00175B9E">
        <w:t>refer</w:t>
      </w:r>
      <w:r w:rsidR="00F32918">
        <w:t>ence to Ephraim’s waywardness, then 4:</w:t>
      </w:r>
      <w:r w:rsidR="00FF6A58" w:rsidRPr="00175B9E">
        <w:t xml:space="preserve">3 is a terrifying declaration. The wrongdoing of the people of God can bring disaster on the natural </w:t>
      </w:r>
      <w:r w:rsidR="00FF6A58" w:rsidRPr="00175B9E">
        <w:lastRenderedPageBreak/>
        <w:t>wo</w:t>
      </w:r>
      <w:r w:rsidR="00F32918">
        <w:t>rld. If 4:</w:t>
      </w:r>
      <w:r w:rsidR="00FF6A58" w:rsidRPr="00175B9E">
        <w:t xml:space="preserve">1-2 </w:t>
      </w:r>
      <w:r w:rsidR="00F32918">
        <w:t xml:space="preserve">simply </w:t>
      </w:r>
      <w:r w:rsidR="00FF6A58" w:rsidRPr="00175B9E">
        <w:t>refer</w:t>
      </w:r>
      <w:r w:rsidR="00F32918">
        <w:t>s to the world’s waywardness, 4:</w:t>
      </w:r>
      <w:r w:rsidR="00FF6A58" w:rsidRPr="00175B9E">
        <w:t>3 is in one sense less terrifying, though the end result is just as chilling.</w:t>
      </w:r>
      <w:r>
        <w:t xml:space="preserve"> </w:t>
      </w:r>
    </w:p>
    <w:p w:rsidR="00F32918" w:rsidRDefault="00B27766" w:rsidP="009652A7">
      <w:pPr>
        <w:pStyle w:val="ListParagraph"/>
        <w:numPr>
          <w:ilvl w:val="0"/>
          <w:numId w:val="1"/>
        </w:numPr>
        <w:ind w:left="360"/>
      </w:pPr>
      <w:r>
        <w:t xml:space="preserve">Within the people of God, there is regularly a tension between priests and prophets, and between </w:t>
      </w:r>
      <w:r w:rsidR="00F32918">
        <w:t xml:space="preserve">groups </w:t>
      </w:r>
      <w:r>
        <w:t>relate</w:t>
      </w:r>
      <w:r w:rsidR="00F32918">
        <w:t xml:space="preserve">d to each. The former </w:t>
      </w:r>
      <w:r>
        <w:t>are properly and officially recognized servants of God and of the people of God whose regular life a</w:t>
      </w:r>
      <w:r w:rsidR="006422F5">
        <w:t>nd livelihood center on and depend</w:t>
      </w:r>
      <w:r>
        <w:t xml:space="preserve"> on their service of God and of the people of God—for instance in leading worship. The latter are people who serve God outside such</w:t>
      </w:r>
      <w:r w:rsidR="00F32918">
        <w:t xml:space="preserve"> recognized structures and don’</w:t>
      </w:r>
      <w:r>
        <w:t xml:space="preserve">t depend on their work for their livelihood. The former are an important part of the ordered arrangement and secure regularity of the life of the people of God, but that very position makes it hard for them to recognize </w:t>
      </w:r>
      <w:r w:rsidR="001C65CC">
        <w:t>things that ar</w:t>
      </w:r>
      <w:r w:rsidR="00174CA5">
        <w:t>e wrong in the people of God,</w:t>
      </w:r>
      <w:r w:rsidR="001C65CC">
        <w:t xml:space="preserve"> easy for them to collude with </w:t>
      </w:r>
      <w:r w:rsidR="00F32918">
        <w:t>such things</w:t>
      </w:r>
      <w:r w:rsidR="001C65CC">
        <w:t>, and hard for them to</w:t>
      </w:r>
      <w:r>
        <w:t xml:space="preserve"> respond positively </w:t>
      </w:r>
      <w:r w:rsidR="001C65CC">
        <w:t>to cr</w:t>
      </w:r>
      <w:r w:rsidR="00F32918">
        <w:t xml:space="preserve">itique. These dynamics </w:t>
      </w:r>
      <w:r w:rsidR="001C65CC">
        <w:t>appl</w:t>
      </w:r>
      <w:r w:rsidR="00F32918">
        <w:t xml:space="preserve">ied to Israel and they </w:t>
      </w:r>
      <w:r w:rsidR="001C65CC">
        <w:t>apply to the church, where one has to assume that a priest or pastor or bishop cannot be a prophet.</w:t>
      </w:r>
      <w:r w:rsidR="00174CA5">
        <w:t xml:space="preserve"> </w:t>
      </w:r>
      <w:r w:rsidR="00F32918">
        <w:t>P</w:t>
      </w:r>
      <w:r w:rsidR="00174CA5" w:rsidRPr="00174CA5">
        <w:t xml:space="preserve">riests and </w:t>
      </w:r>
      <w:r w:rsidR="00F32918">
        <w:t xml:space="preserve">pastors </w:t>
      </w:r>
      <w:r w:rsidR="009266C3" w:rsidRPr="00174CA5">
        <w:t>feed off their sheep rather than feeding them.</w:t>
      </w:r>
    </w:p>
    <w:p w:rsidR="00F32918" w:rsidRDefault="00F32918" w:rsidP="009652A7">
      <w:pPr>
        <w:pStyle w:val="ListParagraph"/>
        <w:numPr>
          <w:ilvl w:val="0"/>
          <w:numId w:val="1"/>
        </w:numPr>
        <w:ind w:left="360"/>
      </w:pPr>
      <w:r>
        <w:t>“M</w:t>
      </w:r>
      <w:r w:rsidR="001C65CC">
        <w:t>y people” is an important designation of Israel and of the church. Further,</w:t>
      </w:r>
      <w:r w:rsidR="0089491C">
        <w:t xml:space="preserve"> </w:t>
      </w:r>
      <w:r w:rsidR="009242D3" w:rsidRPr="009242D3">
        <w:t>“</w:t>
      </w:r>
      <w:r w:rsidR="001C65CC">
        <w:t>i</w:t>
      </w:r>
      <w:r w:rsidR="009242D3" w:rsidRPr="009242D3">
        <w:t>n Hosea ‘my people’… is always an expression of God’s mercy or compassion (2:3, 25; 4:8, 12; 6:11b; 11:7; cf. 4:14b).”</w:t>
      </w:r>
      <w:r w:rsidR="004C7483">
        <w:t xml:space="preserve"> It is part of a</w:t>
      </w:r>
      <w:r w:rsidR="004C7483" w:rsidRPr="004C7483">
        <w:t xml:space="preserve"> “divine lament.” </w:t>
      </w:r>
      <w:r w:rsidR="009242D3" w:rsidRPr="009242D3">
        <w:rPr>
          <w:vertAlign w:val="superscript"/>
        </w:rPr>
        <w:footnoteReference w:id="234"/>
      </w:r>
      <w:r w:rsidR="009242D3" w:rsidRPr="009242D3">
        <w:t xml:space="preserve"> </w:t>
      </w:r>
    </w:p>
    <w:p w:rsidR="00EE7B7F" w:rsidRDefault="001C65CC" w:rsidP="009652A7">
      <w:pPr>
        <w:pStyle w:val="ListParagraph"/>
        <w:numPr>
          <w:ilvl w:val="0"/>
          <w:numId w:val="1"/>
        </w:numPr>
        <w:ind w:left="360"/>
      </w:pPr>
      <w:r>
        <w:t>While the people of God are responsible for their own acknowledgment of God, leaders such as priests and prophets, pastors and teachers, are responsible to urge and facilitate that acknowledgment</w:t>
      </w:r>
      <w:r w:rsidR="007333E5">
        <w:t xml:space="preserve">. Hosea’s warning about creation in jeopardy </w:t>
      </w:r>
      <w:r w:rsidR="00EE7B7F">
        <w:t>is thus “a warning to priests</w:t>
      </w:r>
      <w:r w:rsidR="006422F5">
        <w:t>,</w:t>
      </w:r>
      <w:r w:rsidR="00EE7B7F">
        <w:t>”</w:t>
      </w:r>
      <w:r w:rsidR="007333E5">
        <w:rPr>
          <w:rStyle w:val="FootnoteReference"/>
        </w:rPr>
        <w:footnoteReference w:id="235"/>
      </w:r>
      <w:r w:rsidR="00EE7B7F">
        <w:t xml:space="preserve"> and t</w:t>
      </w:r>
      <w:r w:rsidR="007333E5">
        <w:t>eachers p</w:t>
      </w:r>
      <w:r w:rsidR="00EE7B7F">
        <w:t>ay a price for failing to teach</w:t>
      </w:r>
      <w:r>
        <w:t xml:space="preserve"> (cf. </w:t>
      </w:r>
      <w:r w:rsidR="00EE7B7F">
        <w:t>Ezek. 33). T</w:t>
      </w:r>
      <w:r w:rsidR="00174CA5">
        <w:t xml:space="preserve">hey will no longer be able to exercise their ministry. They may do so in a formal sense </w:t>
      </w:r>
      <w:r w:rsidR="00EE7B7F">
        <w:t xml:space="preserve">(that is, </w:t>
      </w:r>
      <w:r w:rsidR="00174CA5">
        <w:t>continue acting as priests, pastors, prophets, and teachers), but God may not recognize what they do.</w:t>
      </w:r>
    </w:p>
    <w:p w:rsidR="00EE7B7F" w:rsidRDefault="00174CA5" w:rsidP="009652A7">
      <w:pPr>
        <w:pStyle w:val="ListParagraph"/>
        <w:numPr>
          <w:ilvl w:val="0"/>
          <w:numId w:val="1"/>
        </w:numPr>
        <w:ind w:left="360"/>
      </w:pPr>
      <w:r>
        <w:t xml:space="preserve">The people of God is inclined to be </w:t>
      </w:r>
      <w:r w:rsidR="00292C8A">
        <w:t>attracted to the same assumptions as other people regarding how to safeguard the future and how to gain insight on the future so as to safeguard its security.</w:t>
      </w:r>
    </w:p>
    <w:p w:rsidR="0089491C" w:rsidRPr="00EE7B7F" w:rsidRDefault="00EE7B7F" w:rsidP="009652A7">
      <w:pPr>
        <w:pStyle w:val="ListParagraph"/>
        <w:numPr>
          <w:ilvl w:val="0"/>
          <w:numId w:val="1"/>
        </w:numPr>
        <w:ind w:left="360"/>
      </w:pPr>
      <w:r>
        <w:t>The people of God can be</w:t>
      </w:r>
      <w:r w:rsidR="00292C8A">
        <w:t xml:space="preserve"> inclined to the view </w:t>
      </w:r>
      <w:r w:rsidR="00292C8A" w:rsidRPr="00EE7B7F">
        <w:rPr>
          <w:rFonts w:asciiTheme="minorHAnsi" w:hAnsiTheme="minorHAnsi"/>
          <w:szCs w:val="22"/>
        </w:rPr>
        <w:t>that “One is nearer God's heart in a garden than anywhere else on earth” (</w:t>
      </w:r>
      <w:r w:rsidR="00292C8A" w:rsidRPr="00EE7B7F">
        <w:rPr>
          <w:rFonts w:asciiTheme="minorHAnsi" w:hAnsiTheme="minorHAnsi"/>
          <w:bCs/>
          <w:szCs w:val="22"/>
        </w:rPr>
        <w:t xml:space="preserve">Dorothy Frances Gurney) and/or to rejoice in the pleasantness of </w:t>
      </w:r>
      <w:r w:rsidR="00292C8A" w:rsidRPr="00EE7B7F">
        <w:rPr>
          <w:rFonts w:asciiTheme="minorHAnsi" w:hAnsiTheme="minorHAnsi"/>
          <w:szCs w:val="22"/>
        </w:rPr>
        <w:t xml:space="preserve">praying in the open under a shady tree. English churches were often built on the highest point in their village; the church then symbolically reached towards God’s home in the heavens. </w:t>
      </w:r>
      <w:r w:rsidR="00292C8A" w:rsidRPr="00EE7B7F">
        <w:rPr>
          <w:rFonts w:asciiTheme="minorHAnsi" w:hAnsiTheme="minorHAnsi"/>
        </w:rPr>
        <w:t>Augustine implicitly critiques su</w:t>
      </w:r>
      <w:r w:rsidR="00197619" w:rsidRPr="00EE7B7F">
        <w:rPr>
          <w:rFonts w:asciiTheme="minorHAnsi" w:hAnsiTheme="minorHAnsi"/>
        </w:rPr>
        <w:t>c</w:t>
      </w:r>
      <w:r w:rsidR="00292C8A" w:rsidRPr="00EE7B7F">
        <w:rPr>
          <w:rFonts w:asciiTheme="minorHAnsi" w:hAnsiTheme="minorHAnsi"/>
        </w:rPr>
        <w:t xml:space="preserve">h ideas: </w:t>
      </w:r>
      <w:r w:rsidR="00197619" w:rsidRPr="00EE7B7F">
        <w:rPr>
          <w:rFonts w:asciiTheme="minorHAnsi" w:hAnsiTheme="minorHAnsi"/>
        </w:rPr>
        <w:t xml:space="preserve"> </w:t>
      </w:r>
    </w:p>
    <w:p w:rsidR="0089491C" w:rsidRPr="0089491C" w:rsidRDefault="0089491C" w:rsidP="0089491C">
      <w:pPr>
        <w:pStyle w:val="ListParagraph"/>
        <w:ind w:left="360" w:firstLine="0"/>
        <w:rPr>
          <w:rFonts w:asciiTheme="minorHAnsi" w:hAnsiTheme="minorHAnsi"/>
          <w:szCs w:val="22"/>
        </w:rPr>
      </w:pPr>
    </w:p>
    <w:p w:rsidR="00197619" w:rsidRDefault="00292C8A" w:rsidP="0089491C">
      <w:pPr>
        <w:pStyle w:val="Quote"/>
      </w:pPr>
      <w:r>
        <w:t>We have heard, and it is manifest; we had gone out of doors, and we are sent inward. Would I could find, thou didst say, some high and lonely mountain! For I think that, because God is on high, He hears me the rather from a high place. Because thou art on a mountain, dost thou imagine thyself near to God, and that He will quickly hear thee, as if calling to Him from the nearest place? He dwells on high, but regards the lowly…. Didst thou seek a mountain, then? Come down, that thou mayest come near Him. But wouldest thou ascend? Ascend, but do not seek a mountain. “The ascents,” it saith, “are in his heart, in the valley of weeping.”</w:t>
      </w:r>
      <w:r w:rsidR="00197619" w:rsidRPr="0089491C">
        <w:rPr>
          <w:vertAlign w:val="superscript"/>
        </w:rPr>
        <w:t xml:space="preserve"> </w:t>
      </w:r>
      <w:r>
        <w:t>The valley is humility. Therefore do all within. Even if perhaps thou seekest some lofty place, some holy place, make thyself a temple for God within time. “For the temple of God is holy, which temple are ye.”</w:t>
      </w:r>
      <w:r w:rsidR="00197619">
        <w:rPr>
          <w:rStyle w:val="FootnoteReference"/>
        </w:rPr>
        <w:footnoteReference w:id="236"/>
      </w:r>
      <w:r>
        <w:t xml:space="preserve"> </w:t>
      </w:r>
    </w:p>
    <w:p w:rsidR="0089491C" w:rsidRPr="0089491C" w:rsidRDefault="0089491C" w:rsidP="0089491C">
      <w:pPr>
        <w:rPr>
          <w:lang w:bidi="he-IL"/>
        </w:rPr>
      </w:pPr>
    </w:p>
    <w:p w:rsidR="0089491C" w:rsidRDefault="0089491C" w:rsidP="009652A7">
      <w:pPr>
        <w:pStyle w:val="ListParagraph"/>
        <w:numPr>
          <w:ilvl w:val="0"/>
          <w:numId w:val="1"/>
        </w:numPr>
        <w:ind w:left="360"/>
        <w:rPr>
          <w:rFonts w:asciiTheme="minorHAnsi" w:hAnsiTheme="minorHAnsi"/>
          <w:szCs w:val="22"/>
        </w:rPr>
      </w:pPr>
      <w:r>
        <w:rPr>
          <w:rFonts w:asciiTheme="minorHAnsi" w:hAnsiTheme="minorHAnsi"/>
          <w:szCs w:val="22"/>
        </w:rPr>
        <w:t>The key to being able to have children is prayer to God not recourse to other possible resources.</w:t>
      </w:r>
    </w:p>
    <w:p w:rsidR="0096363D" w:rsidRDefault="005B057C" w:rsidP="00EF7B98">
      <w:pPr>
        <w:pStyle w:val="Heading1"/>
      </w:pPr>
      <w:r>
        <w:lastRenderedPageBreak/>
        <w:t xml:space="preserve">Hosea 5:1-7: </w:t>
      </w:r>
      <w:r w:rsidR="0096363D">
        <w:t>Listen (A Confrontation about Leadership)</w:t>
      </w:r>
    </w:p>
    <w:p w:rsidR="0096363D" w:rsidRDefault="0096363D" w:rsidP="001D3546">
      <w:pPr>
        <w:pStyle w:val="Heading2"/>
      </w:pPr>
      <w:r>
        <w:t xml:space="preserve">Translation </w:t>
      </w:r>
    </w:p>
    <w:p w:rsidR="0096363D" w:rsidRDefault="0096363D" w:rsidP="0096363D">
      <w:r>
        <w:rPr>
          <w:vertAlign w:val="superscript"/>
        </w:rPr>
        <w:t>1</w:t>
      </w:r>
      <w:r w:rsidR="005826BA">
        <w:t xml:space="preserve">Listen to this, </w:t>
      </w:r>
      <w:r>
        <w:t xml:space="preserve">priests; </w:t>
      </w:r>
    </w:p>
    <w:p w:rsidR="0096363D" w:rsidRDefault="0096363D" w:rsidP="00C86C8C">
      <w:pPr>
        <w:tabs>
          <w:tab w:val="left" w:pos="720"/>
          <w:tab w:val="left" w:pos="1440"/>
          <w:tab w:val="left" w:pos="2160"/>
          <w:tab w:val="left" w:pos="2880"/>
          <w:tab w:val="left" w:pos="3600"/>
          <w:tab w:val="left" w:pos="4320"/>
          <w:tab w:val="left" w:pos="4965"/>
        </w:tabs>
      </w:pPr>
      <w:r>
        <w:tab/>
        <w:t xml:space="preserve">pay heed, </w:t>
      </w:r>
      <w:r w:rsidRPr="00D97449">
        <w:t>Yiśrā’ēl</w:t>
      </w:r>
      <w:r>
        <w:t>’s household.</w:t>
      </w:r>
      <w:r>
        <w:rPr>
          <w:rStyle w:val="FootnoteReference"/>
        </w:rPr>
        <w:footnoteReference w:id="237"/>
      </w:r>
      <w:r w:rsidR="00C86C8C">
        <w:tab/>
      </w:r>
    </w:p>
    <w:p w:rsidR="0096363D" w:rsidRDefault="0096363D" w:rsidP="0096363D">
      <w:r>
        <w:t xml:space="preserve">Royal household, give ear, </w:t>
      </w:r>
    </w:p>
    <w:p w:rsidR="0096363D" w:rsidRDefault="0096363D" w:rsidP="0096363D">
      <w:r>
        <w:tab/>
        <w:t>be</w:t>
      </w:r>
      <w:r w:rsidR="009270A1">
        <w:t>cause decision-making concerns</w:t>
      </w:r>
      <w:r>
        <w:t xml:space="preserve"> you.</w:t>
      </w:r>
    </w:p>
    <w:p w:rsidR="0096363D" w:rsidRDefault="0096363D" w:rsidP="0096363D">
      <w:r>
        <w:t xml:space="preserve">Because you’ve been a snare to Miṣpāh, </w:t>
      </w:r>
    </w:p>
    <w:p w:rsidR="0096363D" w:rsidRDefault="0096363D" w:rsidP="0096363D">
      <w:r>
        <w:tab/>
        <w:t>and a net spread over Tābôr.</w:t>
      </w:r>
    </w:p>
    <w:p w:rsidR="0096363D" w:rsidRDefault="0096363D" w:rsidP="0096363D">
      <w:r>
        <w:rPr>
          <w:vertAlign w:val="superscript"/>
        </w:rPr>
        <w:t>2</w:t>
      </w:r>
      <w:r>
        <w:t>So wanderers have gone deep in slaughter;</w:t>
      </w:r>
      <w:r>
        <w:rPr>
          <w:rStyle w:val="FootnoteReference"/>
        </w:rPr>
        <w:footnoteReference w:id="238"/>
      </w:r>
      <w:r>
        <w:t xml:space="preserve"> </w:t>
      </w:r>
    </w:p>
    <w:p w:rsidR="0096363D" w:rsidRDefault="0096363D" w:rsidP="0096363D">
      <w:r>
        <w:tab/>
        <w:t>yes, I am the  discipline of them all.</w:t>
      </w:r>
    </w:p>
    <w:p w:rsidR="0096363D" w:rsidRDefault="0096363D" w:rsidP="0096363D">
      <w:r>
        <w:rPr>
          <w:vertAlign w:val="superscript"/>
        </w:rPr>
        <w:t>3</w:t>
      </w:r>
      <w:r>
        <w:t>I myself know about ’Eprayim,</w:t>
      </w:r>
    </w:p>
    <w:p w:rsidR="0096363D" w:rsidRDefault="0096363D" w:rsidP="0096363D">
      <w:r>
        <w:tab/>
        <w:t>Israel has not hidden from me.</w:t>
      </w:r>
      <w:r>
        <w:rPr>
          <w:rStyle w:val="FootnoteReference"/>
        </w:rPr>
        <w:footnoteReference w:id="239"/>
      </w:r>
    </w:p>
    <w:p w:rsidR="0096363D" w:rsidRDefault="0096363D" w:rsidP="0096363D">
      <w:r>
        <w:t xml:space="preserve">Because now, you’ve whored, ’Eprayim, </w:t>
      </w:r>
    </w:p>
    <w:p w:rsidR="0096363D" w:rsidRDefault="00DE02D8" w:rsidP="0096363D">
      <w:r>
        <w:tab/>
        <w:t>Israel ha</w:t>
      </w:r>
      <w:r w:rsidR="0096363D">
        <w:t>s become defiled.</w:t>
      </w:r>
    </w:p>
    <w:p w:rsidR="0096363D" w:rsidRDefault="0096363D" w:rsidP="0096363D">
      <w:r>
        <w:rPr>
          <w:vertAlign w:val="superscript"/>
        </w:rPr>
        <w:t>4</w:t>
      </w:r>
      <w:r>
        <w:t xml:space="preserve">Their deeds don’t allow them </w:t>
      </w:r>
    </w:p>
    <w:p w:rsidR="0096363D" w:rsidRDefault="0096363D" w:rsidP="0096363D">
      <w:pPr>
        <w:tabs>
          <w:tab w:val="left" w:pos="720"/>
          <w:tab w:val="left" w:pos="1440"/>
          <w:tab w:val="left" w:pos="2160"/>
          <w:tab w:val="left" w:pos="2880"/>
          <w:tab w:val="left" w:pos="3600"/>
          <w:tab w:val="center" w:pos="5040"/>
        </w:tabs>
      </w:pPr>
      <w:r>
        <w:tab/>
        <w:t>to turn back to their God.</w:t>
      </w:r>
      <w:r>
        <w:tab/>
      </w:r>
    </w:p>
    <w:p w:rsidR="0096363D" w:rsidRDefault="0096363D" w:rsidP="0096363D">
      <w:r>
        <w:t xml:space="preserve">Because a </w:t>
      </w:r>
      <w:r w:rsidR="009B42E1">
        <w:t>downright whorish</w:t>
      </w:r>
      <w:r>
        <w:t xml:space="preserve"> spirit is among them, </w:t>
      </w:r>
    </w:p>
    <w:p w:rsidR="0096363D" w:rsidRDefault="00125113" w:rsidP="0096363D">
      <w:r>
        <w:tab/>
        <w:t>and they haven’</w:t>
      </w:r>
      <w:r w:rsidR="0096363D">
        <w:t>t acknowledged  Yahweh.</w:t>
      </w:r>
    </w:p>
    <w:p w:rsidR="0096363D" w:rsidRDefault="0096363D" w:rsidP="0096363D">
      <w:r>
        <w:rPr>
          <w:vertAlign w:val="superscript"/>
        </w:rPr>
        <w:t>5</w:t>
      </w:r>
      <w:r w:rsidR="00DE02D8">
        <w:t xml:space="preserve">So now </w:t>
      </w:r>
      <w:r w:rsidR="00DE02D8" w:rsidRPr="00DE02D8">
        <w:t>Yiśrā’ēl</w:t>
      </w:r>
      <w:r>
        <w:t>’s majesty</w:t>
      </w:r>
      <w:r>
        <w:rPr>
          <w:rStyle w:val="FootnoteReference"/>
        </w:rPr>
        <w:footnoteReference w:id="240"/>
      </w:r>
      <w:r>
        <w:t xml:space="preserve"> will be humbled</w:t>
      </w:r>
      <w:r>
        <w:rPr>
          <w:rStyle w:val="FootnoteReference"/>
        </w:rPr>
        <w:footnoteReference w:id="241"/>
      </w:r>
      <w:r>
        <w:t xml:space="preserve"> before his face,</w:t>
      </w:r>
      <w:r>
        <w:rPr>
          <w:rStyle w:val="FootnoteReference"/>
        </w:rPr>
        <w:footnoteReference w:id="242"/>
      </w:r>
    </w:p>
    <w:p w:rsidR="0096363D" w:rsidRDefault="0096363D" w:rsidP="0096363D">
      <w:r>
        <w:tab/>
        <w:t xml:space="preserve">and </w:t>
      </w:r>
      <w:r w:rsidRPr="008B13C4">
        <w:t>Yiśrā’ēl</w:t>
      </w:r>
      <w:r>
        <w:t xml:space="preserve"> (that is, ’Eprayim) will collapse</w:t>
      </w:r>
      <w:r>
        <w:rPr>
          <w:rStyle w:val="FootnoteReference"/>
        </w:rPr>
        <w:footnoteReference w:id="243"/>
      </w:r>
      <w:r>
        <w:t xml:space="preserve"> through their waywardness</w:t>
      </w:r>
    </w:p>
    <w:p w:rsidR="0096363D" w:rsidRDefault="0096363D" w:rsidP="0096363D">
      <w:r>
        <w:tab/>
        <w:t>(</w:t>
      </w:r>
      <w:r w:rsidRPr="003D5834">
        <w:t>Yəhûdāh</w:t>
      </w:r>
      <w:r>
        <w:t xml:space="preserve"> collapsed with them, too).</w:t>
      </w:r>
    </w:p>
    <w:p w:rsidR="0096363D" w:rsidRDefault="0096363D" w:rsidP="0096363D">
      <w:r>
        <w:rPr>
          <w:vertAlign w:val="superscript"/>
        </w:rPr>
        <w:t>6</w:t>
      </w:r>
      <w:r>
        <w:t xml:space="preserve">When they go with their flock and with their cattle, </w:t>
      </w:r>
    </w:p>
    <w:p w:rsidR="0096363D" w:rsidRDefault="0096363D" w:rsidP="0096363D">
      <w:r>
        <w:tab/>
        <w:t>to seek help from Yahweh, they won’t find.</w:t>
      </w:r>
    </w:p>
    <w:p w:rsidR="0096363D" w:rsidRDefault="0096363D" w:rsidP="0096363D">
      <w:r>
        <w:t>He pulled away</w:t>
      </w:r>
      <w:r>
        <w:rPr>
          <w:rStyle w:val="FootnoteReference"/>
        </w:rPr>
        <w:footnoteReference w:id="244"/>
      </w:r>
      <w:r>
        <w:t xml:space="preserve"> from them, </w:t>
      </w:r>
    </w:p>
    <w:p w:rsidR="0096363D" w:rsidRDefault="0096363D" w:rsidP="0096363D">
      <w:r>
        <w:tab/>
      </w:r>
      <w:r>
        <w:rPr>
          <w:vertAlign w:val="superscript"/>
        </w:rPr>
        <w:t>7</w:t>
      </w:r>
      <w:r>
        <w:t>when they broke faith with Yahweh.</w:t>
      </w:r>
    </w:p>
    <w:p w:rsidR="0096363D" w:rsidRDefault="0096363D" w:rsidP="0096363D">
      <w:r>
        <w:t xml:space="preserve">Because they’ve fathered alien children; </w:t>
      </w:r>
    </w:p>
    <w:p w:rsidR="0096363D" w:rsidRPr="00E7188E" w:rsidRDefault="0096363D" w:rsidP="0096363D">
      <w:r>
        <w:tab/>
        <w:t xml:space="preserve">now he will consume them </w:t>
      </w:r>
      <w:r w:rsidRPr="00E74E95">
        <w:t xml:space="preserve">at </w:t>
      </w:r>
      <w:r>
        <w:t>a</w:t>
      </w:r>
      <w:r w:rsidRPr="00E74E95">
        <w:t xml:space="preserve"> new month</w:t>
      </w:r>
      <w:r>
        <w:rPr>
          <w:rStyle w:val="FootnoteReference"/>
        </w:rPr>
        <w:footnoteReference w:id="245"/>
      </w:r>
      <w:r w:rsidRPr="00E74E95">
        <w:t xml:space="preserve"> </w:t>
      </w:r>
      <w:r>
        <w:t>with their shares.</w:t>
      </w:r>
    </w:p>
    <w:p w:rsidR="0096363D" w:rsidRDefault="0096363D" w:rsidP="001D3546">
      <w:pPr>
        <w:pStyle w:val="Heading2"/>
      </w:pPr>
      <w:r>
        <w:lastRenderedPageBreak/>
        <w:t xml:space="preserve">Interpretation </w:t>
      </w:r>
    </w:p>
    <w:p w:rsidR="00F82213" w:rsidRDefault="000A2F1F" w:rsidP="0096363D">
      <w:pPr>
        <w:rPr>
          <w:b/>
        </w:rPr>
      </w:pPr>
      <w:r w:rsidRPr="000A2F1F">
        <w:t xml:space="preserve">Hosea again urges people to listen, berates them for their bloodshed and whoring, and warns them of </w:t>
      </w:r>
      <w:r>
        <w:t>calamity to come, but t</w:t>
      </w:r>
      <w:r w:rsidR="00FC63E8">
        <w:t>he reference to Ep</w:t>
      </w:r>
      <w:r>
        <w:t xml:space="preserve">hraim’s “shields” (4:18) </w:t>
      </w:r>
      <w:r w:rsidR="00DE02D8">
        <w:t>signaled</w:t>
      </w:r>
      <w:r w:rsidR="00FC63E8">
        <w:t xml:space="preserve"> a move to speaki</w:t>
      </w:r>
      <w:r w:rsidR="00DE02D8">
        <w:t xml:space="preserve">ng of Ephraim’s leadership, </w:t>
      </w:r>
      <w:r>
        <w:t xml:space="preserve">and </w:t>
      </w:r>
      <w:r w:rsidR="00DE02D8">
        <w:t xml:space="preserve">Hosea </w:t>
      </w:r>
      <w:r w:rsidR="00FC63E8">
        <w:t>now explicitly address</w:t>
      </w:r>
      <w:r w:rsidR="00DE02D8">
        <w:t>es</w:t>
      </w:r>
      <w:r w:rsidR="00FC63E8">
        <w:t xml:space="preserve"> t</w:t>
      </w:r>
      <w:r w:rsidR="00DE02D8">
        <w:t xml:space="preserve">he royal household. </w:t>
      </w:r>
      <w:r w:rsidR="005F699E">
        <w:t>MT (A)</w:t>
      </w:r>
      <w:r w:rsidR="00FC63E8">
        <w:t xml:space="preserve">’s </w:t>
      </w:r>
      <w:r w:rsidR="006454D0">
        <w:t>petuh</w:t>
      </w:r>
      <w:r>
        <w:t>ah after 4:19 fits with the new</w:t>
      </w:r>
      <w:r w:rsidR="00FC63E8">
        <w:t xml:space="preserve"> imperative at 5:1, </w:t>
      </w:r>
      <w:r>
        <w:t xml:space="preserve">but </w:t>
      </w:r>
      <w:r w:rsidR="005F699E">
        <w:t>MT (C)</w:t>
      </w:r>
      <w:r w:rsidR="009270A1">
        <w:t xml:space="preserve"> keeps its </w:t>
      </w:r>
      <w:r w:rsidR="006454D0">
        <w:t>petuh</w:t>
      </w:r>
      <w:r w:rsidR="009270A1">
        <w:t>ah for 5:7</w:t>
      </w:r>
      <w:r>
        <w:t>, where</w:t>
      </w:r>
      <w:r w:rsidR="005F699E">
        <w:t xml:space="preserve"> MT (A) and MT (L)</w:t>
      </w:r>
      <w:r>
        <w:t xml:space="preserve"> have a setumah</w:t>
      </w:r>
      <w:r w:rsidR="00F82213" w:rsidRPr="00B86C65">
        <w:t>.</w:t>
      </w:r>
      <w:r w:rsidR="009270A1">
        <w:t xml:space="preserve"> </w:t>
      </w:r>
    </w:p>
    <w:p w:rsidR="0026431F" w:rsidRDefault="0026431F" w:rsidP="0096363D"/>
    <w:p w:rsidR="0096363D" w:rsidRDefault="0026431F" w:rsidP="0096363D">
      <w:r w:rsidRPr="0026431F">
        <w:rPr>
          <w:b/>
        </w:rPr>
        <w:t>Hosea 5:1a.</w:t>
      </w:r>
      <w:r>
        <w:t xml:space="preserve"> </w:t>
      </w:r>
      <w:r w:rsidR="000A2F1F">
        <w:t xml:space="preserve">While </w:t>
      </w:r>
      <w:r w:rsidR="009270A1">
        <w:t xml:space="preserve">the new section </w:t>
      </w:r>
      <w:r w:rsidR="0096363D">
        <w:t>begins</w:t>
      </w:r>
      <w:r>
        <w:t xml:space="preserve"> </w:t>
      </w:r>
      <w:r w:rsidR="0096363D">
        <w:t>by calling fo</w:t>
      </w:r>
      <w:r w:rsidR="00C86C8C">
        <w:t>r the priests’</w:t>
      </w:r>
      <w:r w:rsidR="009270A1">
        <w:t xml:space="preserve"> renewed attention (cf. Amos 3:13; Jer. 29:20), i</w:t>
      </w:r>
      <w:r w:rsidR="000A2F1F">
        <w:t>t then</w:t>
      </w:r>
      <w:r w:rsidR="0096363D">
        <w:t xml:space="preserve"> </w:t>
      </w:r>
      <w:r w:rsidR="000A2F1F">
        <w:t xml:space="preserve">thus </w:t>
      </w:r>
      <w:r w:rsidR="0096363D">
        <w:t xml:space="preserve">turns to focus on the royal household. The link </w:t>
      </w:r>
      <w:r w:rsidR="000A2F1F">
        <w:t xml:space="preserve">between priests and king </w:t>
      </w:r>
      <w:r w:rsidR="0096363D">
        <w:t>again recalls Amos 7:10-17 and invites us to assume that Hosea issued his sum</w:t>
      </w:r>
      <w:r w:rsidR="009270A1">
        <w:t>mons at the royal sanctuary at Beth</w:t>
      </w:r>
      <w:r w:rsidR="00DD219C">
        <w:t>-</w:t>
      </w:r>
      <w:r w:rsidR="009270A1">
        <w:t>el</w:t>
      </w:r>
      <w:r w:rsidR="0096363D">
        <w:t>. The link brings out a point impli</w:t>
      </w:r>
      <w:r w:rsidR="009270A1">
        <w:t>cit in Amos 7</w:t>
      </w:r>
      <w:r w:rsidR="000A2F1F">
        <w:t xml:space="preserve">:10-17. One might think that a priest’s job might </w:t>
      </w:r>
      <w:r w:rsidR="0096363D">
        <w:t>include confronting the administration in Yahweh’s name when necessary. But Amaziah was not doing</w:t>
      </w:r>
      <w:r w:rsidR="009270A1">
        <w:t xml:space="preserve"> so, and neither are the</w:t>
      </w:r>
      <w:r w:rsidR="0096363D">
        <w:t xml:space="preserve"> priests</w:t>
      </w:r>
      <w:r w:rsidR="000A2F1F">
        <w:t xml:space="preserve"> here</w:t>
      </w:r>
      <w:r w:rsidR="009270A1">
        <w:t>. It</w:t>
      </w:r>
      <w:r w:rsidR="0096363D">
        <w:t xml:space="preserve"> is one reason for the existenc</w:t>
      </w:r>
      <w:r w:rsidR="00192658">
        <w:t xml:space="preserve">e of prophets. </w:t>
      </w:r>
    </w:p>
    <w:p w:rsidR="0096363D" w:rsidRDefault="0096363D" w:rsidP="0096363D">
      <w:r>
        <w:t>There is a neat developing parallelism through v. 1a. An exho</w:t>
      </w:r>
      <w:r w:rsidR="00192658">
        <w:t xml:space="preserve">rtation to the priests to </w:t>
      </w:r>
      <w:r>
        <w:t xml:space="preserve">listen leads into a similar exhortation to the household of Israel, using a sharper verb. </w:t>
      </w:r>
      <w:r w:rsidR="00192658">
        <w:t>While it would make sense for Hosea to be urging Israel’s household as a whole to listen to his critique of the administration (as is implicitly the case in Amos 7:10-17), the next colon</w:t>
      </w:r>
      <w:r>
        <w:t xml:space="preserve"> takes up the word “household” </w:t>
      </w:r>
      <w:r w:rsidR="00C86C8C">
        <w:t>and makes e</w:t>
      </w:r>
      <w:r w:rsidR="00192658">
        <w:t>xplicit a</w:t>
      </w:r>
      <w:r w:rsidR="00C86C8C">
        <w:t xml:space="preserve"> reference to the royal </w:t>
      </w:r>
      <w:r>
        <w:t>household, with anoth</w:t>
      </w:r>
      <w:r w:rsidR="00192658">
        <w:t>er sharper word for listening. T</w:t>
      </w:r>
      <w:r>
        <w:t>he complementary colon then provides a barbed and incisive reason why the administration should pay attention. The reason is that the buck stops there. The administration is responsible for government, for decision-making, for the exercise of authority (</w:t>
      </w:r>
      <w:r>
        <w:rPr>
          <w:i/>
        </w:rPr>
        <w:t>mišpāṭ</w:t>
      </w:r>
      <w:r>
        <w:t xml:space="preserve">: see 2:19 [21]). </w:t>
      </w:r>
      <w:r w:rsidR="00192658">
        <w:t xml:space="preserve">But </w:t>
      </w:r>
      <w:r>
        <w:t>Hosea’s words are also open</w:t>
      </w:r>
      <w:r w:rsidR="009270A1">
        <w:t xml:space="preserve"> to a second understanding: </w:t>
      </w:r>
      <w:r>
        <w:t>decision</w:t>
      </w:r>
      <w:r w:rsidR="009270A1">
        <w:t xml:space="preserve">-making </w:t>
      </w:r>
      <w:r>
        <w:t>concerns them</w:t>
      </w:r>
      <w:r w:rsidRPr="00567C5F">
        <w:t xml:space="preserve"> in the sense that the decision </w:t>
      </w:r>
      <w:r>
        <w:t xml:space="preserve">or judgment that </w:t>
      </w:r>
      <w:r w:rsidRPr="00567C5F">
        <w:t>Hos</w:t>
      </w:r>
      <w:r w:rsidR="009270A1">
        <w:t>ea is about to announce relates to</w:t>
      </w:r>
      <w:r w:rsidRPr="00567C5F">
        <w:t xml:space="preserve"> them.</w:t>
      </w:r>
    </w:p>
    <w:p w:rsidR="0026431F" w:rsidRPr="00567C5F" w:rsidRDefault="0026431F" w:rsidP="0096363D"/>
    <w:p w:rsidR="0026431F" w:rsidRDefault="0026431F" w:rsidP="0096363D">
      <w:r>
        <w:rPr>
          <w:b/>
        </w:rPr>
        <w:t xml:space="preserve">Hosea 5:1b-4. </w:t>
      </w:r>
      <w:r w:rsidR="009270A1">
        <w:t>W</w:t>
      </w:r>
      <w:r w:rsidR="0096363D">
        <w:t xml:space="preserve">hy </w:t>
      </w:r>
      <w:r w:rsidR="009270A1">
        <w:t>does the admin</w:t>
      </w:r>
      <w:r>
        <w:t>istration need to pay attention</w:t>
      </w:r>
      <w:r w:rsidR="00192658">
        <w:t>? A</w:t>
      </w:r>
      <w:r w:rsidR="009270A1">
        <w:t xml:space="preserve">nd why </w:t>
      </w:r>
      <w:r w:rsidR="0096363D">
        <w:t xml:space="preserve">is </w:t>
      </w:r>
      <w:r w:rsidR="009270A1">
        <w:t xml:space="preserve">it </w:t>
      </w:r>
      <w:r w:rsidR="0096363D">
        <w:t>in danger of having</w:t>
      </w:r>
      <w:r w:rsidR="009270A1">
        <w:t xml:space="preserve"> authority</w:t>
      </w:r>
      <w:r w:rsidR="00192658">
        <w:t xml:space="preserve"> exercised against it</w:t>
      </w:r>
      <w:r w:rsidR="009270A1">
        <w:t>?</w:t>
      </w:r>
      <w:r w:rsidR="00192658">
        <w:t xml:space="preserve"> </w:t>
      </w:r>
    </w:p>
    <w:p w:rsidR="0096363D" w:rsidRPr="0050546A" w:rsidRDefault="00192658" w:rsidP="0096363D">
      <w:r>
        <w:t>It</w:t>
      </w:r>
      <w:r w:rsidR="00BA00C7">
        <w:t>s responsibility</w:t>
      </w:r>
      <w:r w:rsidR="0096363D">
        <w:t xml:space="preserve"> for p</w:t>
      </w:r>
      <w:r w:rsidR="00BA00C7">
        <w:t xml:space="preserve">roper government </w:t>
      </w:r>
      <w:r w:rsidR="0026431F">
        <w:t xml:space="preserve">(vv. 1b-2) </w:t>
      </w:r>
      <w:r w:rsidR="0096363D">
        <w:t>would include protecting ord</w:t>
      </w:r>
      <w:r w:rsidR="00BA00C7">
        <w:t>inary people from the snares,</w:t>
      </w:r>
      <w:r w:rsidR="0096363D">
        <w:t xml:space="preserve"> nets</w:t>
      </w:r>
      <w:r w:rsidR="00BA00C7">
        <w:t>,</w:t>
      </w:r>
      <w:r w:rsidR="0096363D">
        <w:t xml:space="preserve"> and traps that the unscrupulous lay for them (e.g., Ps</w:t>
      </w:r>
      <w:r w:rsidR="00BA00C7">
        <w:t>s</w:t>
      </w:r>
      <w:r w:rsidR="0096363D">
        <w:t>. 35:7-8; 5</w:t>
      </w:r>
      <w:r>
        <w:t>7:6 [7]; and see</w:t>
      </w:r>
      <w:r w:rsidR="00BA00C7">
        <w:t xml:space="preserve"> the </w:t>
      </w:r>
      <w:r w:rsidR="00F14F90">
        <w:t>comments</w:t>
      </w:r>
      <w:r w:rsidR="00BA00C7">
        <w:t xml:space="preserve"> on 4:2</w:t>
      </w:r>
      <w:r w:rsidR="0096363D">
        <w:t>)</w:t>
      </w:r>
      <w:r w:rsidR="00BA00C7">
        <w:t>. Instead, it has set snares,</w:t>
      </w:r>
      <w:r w:rsidR="0096363D">
        <w:t xml:space="preserve"> nets</w:t>
      </w:r>
      <w:r w:rsidR="00BA00C7">
        <w:t>,</w:t>
      </w:r>
      <w:r w:rsidR="0096363D">
        <w:t xml:space="preserve"> and traps before people, by encouraging and facilitating the whoring that has been prominent in 4:4-19 and will reappear in 5:3-4. Presumably the whoring took place at </w:t>
      </w:r>
      <w:r w:rsidR="0096363D" w:rsidRPr="0050546A">
        <w:t>Mi</w:t>
      </w:r>
      <w:r w:rsidR="00BA00C7">
        <w:t>spah and at Tabor, where there were apparently sanctuarie</w:t>
      </w:r>
      <w:r w:rsidR="0096363D">
        <w:t>s. Mount Tabor is in the northern half of Ephraim, between Jezreel and Kinneret. There is more than one Mispah, but a Mispah in the south of Ephraim, in Benjamin, was a site of sacrifice in 1 Samuel 5. Perh</w:t>
      </w:r>
      <w:r w:rsidR="00BA00C7">
        <w:t xml:space="preserve">aps they are </w:t>
      </w:r>
      <w:r>
        <w:t xml:space="preserve">mentioned </w:t>
      </w:r>
      <w:r w:rsidR="00BA00C7">
        <w:t xml:space="preserve">just </w:t>
      </w:r>
      <w:r>
        <w:t xml:space="preserve">as representative </w:t>
      </w:r>
      <w:r w:rsidR="00BA00C7">
        <w:t>sanctuarie</w:t>
      </w:r>
      <w:r>
        <w:t xml:space="preserve">s in the north and </w:t>
      </w:r>
      <w:r w:rsidR="0096363D">
        <w:t>south, or perhaps there had been treaty-making meetings there with people such as the Arameans or the Ammonites or the Philistines which would involve political and/or religious whoring. The supposed shields</w:t>
      </w:r>
      <w:r w:rsidR="00BA00C7">
        <w:t xml:space="preserve"> </w:t>
      </w:r>
      <w:r w:rsidR="0096363D">
        <w:t>(4:18) have thus been deliberately s</w:t>
      </w:r>
      <w:r>
        <w:t>traying from Yahweh’s way. I</w:t>
      </w:r>
      <w:r w:rsidR="0096363D">
        <w:t>nstead of shielding their people they are going deep into bringin</w:t>
      </w:r>
      <w:r w:rsidR="0067368C">
        <w:t>g about slaughter among them. The slaughter</w:t>
      </w:r>
      <w:r w:rsidR="0096363D">
        <w:t xml:space="preserve"> wil</w:t>
      </w:r>
      <w:r w:rsidR="00BA00C7">
        <w:t>l be an expression of Yahweh’s discipline</w:t>
      </w:r>
      <w:r w:rsidR="0096363D">
        <w:t xml:space="preserve"> (</w:t>
      </w:r>
      <w:r w:rsidR="0096363D">
        <w:rPr>
          <w:i/>
        </w:rPr>
        <w:t>mûsār</w:t>
      </w:r>
      <w:r w:rsidR="0096363D">
        <w:t>)</w:t>
      </w:r>
      <w:r w:rsidR="00BA00C7">
        <w:t>,</w:t>
      </w:r>
      <w:r w:rsidR="0096363D">
        <w:rPr>
          <w:i/>
        </w:rPr>
        <w:t xml:space="preserve"> </w:t>
      </w:r>
      <w:r w:rsidR="0096363D">
        <w:t>which can be a severe experience (e.g., Isa</w:t>
      </w:r>
      <w:r w:rsidR="00BA00C7">
        <w:t>.</w:t>
      </w:r>
      <w:r w:rsidR="0096363D">
        <w:t xml:space="preserve"> 53:5; Jer</w:t>
      </w:r>
      <w:r w:rsidR="00BA00C7">
        <w:t>.</w:t>
      </w:r>
      <w:r w:rsidR="0096363D">
        <w:t xml:space="preserve"> 2:30; 5:3; 30:14); Hosea will take up the</w:t>
      </w:r>
      <w:r w:rsidR="00BA00C7">
        <w:t xml:space="preserve"> related verb (7:12, 15; 10:10).</w:t>
      </w:r>
      <w:r w:rsidR="0096363D">
        <w:t xml:space="preserve"> It will mean Yahweh is the one who spreads a net and slaughters.</w:t>
      </w:r>
    </w:p>
    <w:p w:rsidR="00BA00C7" w:rsidRDefault="0096363D" w:rsidP="0096363D">
      <w:r>
        <w:t>It will come about because Ephraim’s action does not escape Ya</w:t>
      </w:r>
      <w:r w:rsidR="00BA00C7">
        <w:t>hweh’s notice</w:t>
      </w:r>
      <w:r>
        <w:t xml:space="preserve"> </w:t>
      </w:r>
      <w:r w:rsidRPr="00306B1C">
        <w:t>(v. 3)</w:t>
      </w:r>
      <w:r>
        <w:t>. With irony,</w:t>
      </w:r>
      <w:r w:rsidR="0067368C">
        <w:t xml:space="preserve"> Hosea again takes up the verb </w:t>
      </w:r>
      <w:r>
        <w:rPr>
          <w:i/>
        </w:rPr>
        <w:t>yāda’</w:t>
      </w:r>
      <w:r>
        <w:t xml:space="preserve"> which on either side refers to Ephraim’s not acknowledging Yahweh (4:1, 6; 5:4). Yahweh knows about Ephraim’s whoring, which has brought defilement upon it. Involvement with other deities stains people and makes them taboo, and any form of defilemen</w:t>
      </w:r>
      <w:r w:rsidR="0067368C">
        <w:t>t,</w:t>
      </w:r>
      <w:r>
        <w:t xml:space="preserve"> stain</w:t>
      </w:r>
      <w:r w:rsidR="0067368C">
        <w:t>,</w:t>
      </w:r>
      <w:r>
        <w:t xml:space="preserve"> or taboo makes it impossible </w:t>
      </w:r>
      <w:r w:rsidR="00BA00C7">
        <w:t xml:space="preserve">for them </w:t>
      </w:r>
      <w:r>
        <w:t>to go into</w:t>
      </w:r>
      <w:r w:rsidR="00BA00C7">
        <w:t xml:space="preserve"> Yahweh’s presence until they’ve been cleansed. </w:t>
      </w:r>
    </w:p>
    <w:p w:rsidR="0096363D" w:rsidRDefault="00BA00C7" w:rsidP="0096363D">
      <w:r>
        <w:t xml:space="preserve">But </w:t>
      </w:r>
      <w:r w:rsidR="0096363D">
        <w:t>Ephr</w:t>
      </w:r>
      <w:r>
        <w:t>aim won’t seek that cleansing; its deeds won’t let i</w:t>
      </w:r>
      <w:r w:rsidR="0067368C">
        <w:t>t (v. 4). It’s possessed by the</w:t>
      </w:r>
      <w:r w:rsidR="0096363D">
        <w:t xml:space="preserve"> whoring spirit </w:t>
      </w:r>
      <w:r>
        <w:t xml:space="preserve">(4:12) </w:t>
      </w:r>
      <w:r w:rsidR="0067368C">
        <w:t>that</w:t>
      </w:r>
      <w:r w:rsidR="0096363D">
        <w:t xml:space="preserve"> won’t allow it to acknowledge Yahweh. Verses 3-4 thus work ABCB’A’:</w:t>
      </w:r>
    </w:p>
    <w:p w:rsidR="0096363D" w:rsidRDefault="0096363D" w:rsidP="0096363D"/>
    <w:p w:rsidR="0096363D" w:rsidRDefault="0096363D" w:rsidP="0096363D">
      <w:r>
        <w:t>Yahweh knows/acknowledges</w:t>
      </w:r>
    </w:p>
    <w:p w:rsidR="0096363D" w:rsidRDefault="0096363D" w:rsidP="0096363D">
      <w:r>
        <w:tab/>
        <w:t>Ephraim has whored</w:t>
      </w:r>
    </w:p>
    <w:p w:rsidR="0096363D" w:rsidRDefault="0096363D" w:rsidP="0096363D">
      <w:r>
        <w:tab/>
      </w:r>
      <w:r>
        <w:tab/>
        <w:t>They can’t come back to Yahweh</w:t>
      </w:r>
    </w:p>
    <w:p w:rsidR="0096363D" w:rsidRDefault="0096363D" w:rsidP="0096363D">
      <w:r>
        <w:tab/>
        <w:t>They have a whoring spirit</w:t>
      </w:r>
    </w:p>
    <w:p w:rsidR="0096363D" w:rsidRDefault="00EB2CDF" w:rsidP="0096363D">
      <w:r>
        <w:t>They have</w:t>
      </w:r>
      <w:r w:rsidR="0096363D">
        <w:t>n</w:t>
      </w:r>
      <w:r>
        <w:t>’</w:t>
      </w:r>
      <w:r w:rsidR="0096363D">
        <w:t>t acknowledged Yahweh.</w:t>
      </w:r>
      <w:r w:rsidR="0096363D">
        <w:rPr>
          <w:rStyle w:val="FootnoteReference"/>
        </w:rPr>
        <w:footnoteReference w:id="246"/>
      </w:r>
    </w:p>
    <w:p w:rsidR="0096363D" w:rsidRDefault="0096363D" w:rsidP="0096363D"/>
    <w:p w:rsidR="0096363D" w:rsidRDefault="0026431F" w:rsidP="0096363D">
      <w:r>
        <w:rPr>
          <w:b/>
        </w:rPr>
        <w:t xml:space="preserve">Hosea 5:5-7. </w:t>
      </w:r>
      <w:r w:rsidR="0096363D">
        <w:t>Yahweh goes on to restate the nature of Ephraim’s</w:t>
      </w:r>
      <w:r w:rsidR="00EB2CDF">
        <w:t xml:space="preserve"> slaughter and discipline</w:t>
      </w:r>
      <w:r w:rsidR="0067368C">
        <w:t xml:space="preserve"> (v. 5). At the moment Ephraim is an impressive nation, able to</w:t>
      </w:r>
      <w:r w:rsidR="0096363D">
        <w:t xml:space="preserve"> hold its head high in the </w:t>
      </w:r>
      <w:r w:rsidR="00EB2CDF">
        <w:t>context of the nations around</w:t>
      </w:r>
      <w:r w:rsidR="0096363D">
        <w:t>. But that stateliness is going to be replaced by insignificance</w:t>
      </w:r>
      <w:r w:rsidR="00EB2CDF">
        <w:t>,</w:t>
      </w:r>
      <w:r w:rsidR="0096363D">
        <w:t xml:space="preserve"> and Ephraim itself will have to face it. Hosea’s threat </w:t>
      </w:r>
      <w:r w:rsidR="00EB2CDF">
        <w:t>will co</w:t>
      </w:r>
      <w:r w:rsidR="0096363D">
        <w:t>m</w:t>
      </w:r>
      <w:r w:rsidR="00EB2CDF">
        <w:t>e true when the Assyrians show</w:t>
      </w:r>
      <w:r w:rsidR="0067368C">
        <w:t xml:space="preserve"> up, but Hosea </w:t>
      </w:r>
      <w:r w:rsidR="00925EF3">
        <w:t>doesn’</w:t>
      </w:r>
      <w:r w:rsidR="0096363D">
        <w:t>t enunciate a theory about how the humiliation will</w:t>
      </w:r>
      <w:r w:rsidR="00925EF3">
        <w:t xml:space="preserve"> happen</w:t>
      </w:r>
      <w:r w:rsidR="00EB2CDF">
        <w:t xml:space="preserve">. He </w:t>
      </w:r>
      <w:r w:rsidR="00925EF3">
        <w:t>just knows it will. Yahweh won’</w:t>
      </w:r>
      <w:r w:rsidR="0096363D">
        <w:t>t simply leave the monstr</w:t>
      </w:r>
      <w:r w:rsidR="00EB2CDF">
        <w:t xml:space="preserve">ous situation as it is. </w:t>
      </w:r>
      <w:r w:rsidR="00925EF3">
        <w:t>Hosea doesn’</w:t>
      </w:r>
      <w:r w:rsidR="0096363D">
        <w:t>t even make explicit that Yahweh will take action. Waywardness itself brings downf</w:t>
      </w:r>
      <w:r w:rsidR="00EB2CDF">
        <w:t>all. T</w:t>
      </w:r>
      <w:r w:rsidR="0096363D">
        <w:t xml:space="preserve">he same </w:t>
      </w:r>
      <w:r w:rsidR="00EB2CDF">
        <w:t>will apply to Judah; the last colon looks like</w:t>
      </w:r>
      <w:r w:rsidR="0096363D">
        <w:t xml:space="preserve"> a retrospective comment by Hose</w:t>
      </w:r>
      <w:r w:rsidR="002E265C">
        <w:t>a or a disciple in the context of</w:t>
      </w:r>
      <w:r w:rsidR="0096363D">
        <w:t xml:space="preserve"> the later troubles that came to Judah toward</w:t>
      </w:r>
      <w:r w:rsidR="00EB2CDF">
        <w:t>s</w:t>
      </w:r>
      <w:r w:rsidR="0096363D">
        <w:t xml:space="preserve"> the end of the</w:t>
      </w:r>
      <w:r w:rsidR="002E265C">
        <w:t xml:space="preserve"> eighth century</w:t>
      </w:r>
      <w:r w:rsidR="0096363D">
        <w:t>.</w:t>
      </w:r>
    </w:p>
    <w:p w:rsidR="00EB2CDF" w:rsidRDefault="0067368C" w:rsidP="0096363D">
      <w:r>
        <w:t xml:space="preserve">It will </w:t>
      </w:r>
      <w:r w:rsidR="0096363D">
        <w:t>be no good Ep</w:t>
      </w:r>
      <w:r>
        <w:t xml:space="preserve">hraimites then thinking they can come back </w:t>
      </w:r>
      <w:r w:rsidR="0096363D">
        <w:t>t</w:t>
      </w:r>
      <w:r w:rsidR="00EB2CDF">
        <w:t>o Yahweh (vv. 6-7a</w:t>
      </w:r>
      <w:r w:rsidR="009D7C0D">
        <w:t>α</w:t>
      </w:r>
      <w:r w:rsidR="0096363D">
        <w:t>)</w:t>
      </w:r>
      <w:r>
        <w:t>, in their</w:t>
      </w:r>
      <w:r w:rsidRPr="0067368C">
        <w:t xml:space="preserve"> unclean state</w:t>
      </w:r>
      <w:r>
        <w:t>. They may</w:t>
      </w:r>
      <w:r w:rsidR="0096363D">
        <w:t xml:space="preserve"> bring their sacrificial animals in the a</w:t>
      </w:r>
      <w:r w:rsidR="00EB2CDF">
        <w:t xml:space="preserve">ppropriate manner of people </w:t>
      </w:r>
      <w:r w:rsidR="0096363D">
        <w:t>want</w:t>
      </w:r>
      <w:r w:rsidR="00EB2CDF">
        <w:t>ing</w:t>
      </w:r>
      <w:r w:rsidR="0096363D">
        <w:t xml:space="preserve"> to pray for Yahweh’s guidance and help, but they won’t find Yah</w:t>
      </w:r>
      <w:r w:rsidR="00EB2CDF">
        <w:t>weh accessible to them; there’ll be no response</w:t>
      </w:r>
      <w:r w:rsidR="0096363D">
        <w:t>. Yahweh will have responded to their breaking faith by hims</w:t>
      </w:r>
      <w:r w:rsidR="00EB2CDF">
        <w:t>elf withdrawing from them</w:t>
      </w:r>
      <w:r w:rsidR="0096363D">
        <w:t xml:space="preserve">. </w:t>
      </w:r>
    </w:p>
    <w:p w:rsidR="0096363D" w:rsidRDefault="0096363D" w:rsidP="0096363D">
      <w:r>
        <w:t>They prayed to other deities for chil</w:t>
      </w:r>
      <w:r w:rsidR="00EB2CDF">
        <w:t>dren, and they got them</w:t>
      </w:r>
      <w:r w:rsidR="0067368C">
        <w:t xml:space="preserve"> </w:t>
      </w:r>
      <w:r w:rsidR="0067368C" w:rsidRPr="0067368C">
        <w:t>(v. 7aβb)</w:t>
      </w:r>
      <w:r w:rsidR="00EB2CDF">
        <w:t>, so these</w:t>
      </w:r>
      <w:r>
        <w:t xml:space="preserve"> are </w:t>
      </w:r>
      <w:r w:rsidR="00EB2CDF">
        <w:t>“alien children</w:t>
      </w:r>
      <w:r w:rsidR="0067368C">
        <w:t>,</w:t>
      </w:r>
      <w:r w:rsidR="00EB2CDF">
        <w:t xml:space="preserve">” </w:t>
      </w:r>
      <w:r>
        <w:t>what Yahweh earlier calle</w:t>
      </w:r>
      <w:r w:rsidR="00EB2CDF">
        <w:t xml:space="preserve">d “whorish children” (1:2). It’s </w:t>
      </w:r>
      <w:r>
        <w:t>an ad homine</w:t>
      </w:r>
      <w:r w:rsidR="00EB2CDF">
        <w:t xml:space="preserve">m argument; Hosea hardly </w:t>
      </w:r>
      <w:r>
        <w:t>believed that the nonentities to who</w:t>
      </w:r>
      <w:r w:rsidR="00EB2CDF">
        <w:t>m they prayed could answer prayers. T</w:t>
      </w:r>
      <w:r>
        <w:t>he children are like the alien women of Proverbs 5, or the alien man whom a wife prefers to her husband (Ezek. 16:32), who stands for alien gods (Jer. 2:25; 3:13), the gods from whom Ephraimites sought these children.</w:t>
      </w:r>
      <w:r w:rsidR="009D7C0D">
        <w:t xml:space="preserve"> </w:t>
      </w:r>
      <w:r w:rsidR="0067368C">
        <w:t>Hosea know</w:t>
      </w:r>
      <w:r>
        <w:t>s that Yahweh is the one who ca</w:t>
      </w:r>
      <w:r w:rsidR="009D7C0D">
        <w:t>n consume these children</w:t>
      </w:r>
      <w:r>
        <w:t>, who are the result of their parents’ breaking of faith. He will consume them along with their parents’ shares, the land once allocated to them by Yahweh (or their share</w:t>
      </w:r>
      <w:r w:rsidR="003C347E">
        <w:t>s at the feast?). I</w:t>
      </w:r>
      <w:r>
        <w:t>t will happen at some new month festival, one of those occasions when they gather to seek the gods’ blessing for the month that lies ahead</w:t>
      </w:r>
      <w:r w:rsidR="003C347E">
        <w:t xml:space="preserve"> (cf. 2:13 [15]). S</w:t>
      </w:r>
      <w:r>
        <w:t>uch occasions were designed to be means of s</w:t>
      </w:r>
      <w:r w:rsidR="009D7C0D">
        <w:t>eeking blessing on the fields. B</w:t>
      </w:r>
      <w:r>
        <w:t>ecause of the nature of the worship offered then, they will have the opposite effect.</w:t>
      </w:r>
      <w:r>
        <w:rPr>
          <w:rStyle w:val="FootnoteReference"/>
        </w:rPr>
        <w:footnoteReference w:id="247"/>
      </w:r>
      <w:r>
        <w:t xml:space="preserve"> They</w:t>
      </w:r>
      <w:r w:rsidR="009D7C0D">
        <w:t xml:space="preserve"> will be wise never to rejoice i</w:t>
      </w:r>
      <w:r>
        <w:t>n those occasions from now on, because who knows which will be the occasion when the axe falls?</w:t>
      </w:r>
    </w:p>
    <w:p w:rsidR="009D7C0D" w:rsidRDefault="0096363D" w:rsidP="009D7C0D">
      <w:pPr>
        <w:pStyle w:val="Heading2"/>
      </w:pPr>
      <w:r>
        <w:t>Theological Implication</w:t>
      </w:r>
    </w:p>
    <w:p w:rsidR="009D7C0D" w:rsidRDefault="009D7C0D" w:rsidP="009652A7">
      <w:pPr>
        <w:pStyle w:val="ListParagraph"/>
        <w:numPr>
          <w:ilvl w:val="0"/>
          <w:numId w:val="25"/>
        </w:numPr>
        <w:ind w:left="360"/>
      </w:pPr>
      <w:r w:rsidRPr="00EE7B7F">
        <w:rPr>
          <w:rFonts w:asciiTheme="minorHAnsi" w:hAnsiTheme="minorHAnsi"/>
          <w:szCs w:val="22"/>
        </w:rPr>
        <w:t xml:space="preserve">The people of God can be led astray by an “unfaithful spirit.” There is some mystery in talk about spirits, good and bad. </w:t>
      </w:r>
      <w:r w:rsidRPr="00F461D9">
        <w:t xml:space="preserve">Part </w:t>
      </w:r>
      <w:r>
        <w:t>of the mystery concerns where a bad spirit</w:t>
      </w:r>
      <w:r w:rsidRPr="00F461D9">
        <w:t xml:space="preserve"> comes from. </w:t>
      </w:r>
      <w:r>
        <w:t xml:space="preserve">A suspicious husband’s jealous spirit comes simply from inside him (Num. 6). </w:t>
      </w:r>
      <w:r w:rsidRPr="00F461D9">
        <w:t xml:space="preserve">Does Saul’s bad spirit </w:t>
      </w:r>
      <w:r>
        <w:t xml:space="preserve">(1 Sam. 16:14) </w:t>
      </w:r>
      <w:r w:rsidRPr="00F461D9">
        <w:t xml:space="preserve">come </w:t>
      </w:r>
      <w:r>
        <w:t xml:space="preserve">simply </w:t>
      </w:r>
      <w:r w:rsidRPr="00F461D9">
        <w:t>from outside him</w:t>
      </w:r>
      <w:r>
        <w:t xml:space="preserve"> or also from inside him</w:t>
      </w:r>
      <w:r w:rsidRPr="00F461D9">
        <w:t xml:space="preserve">? Does the spirit that deceives prophets (1 </w:t>
      </w:r>
      <w:r>
        <w:t>Kings</w:t>
      </w:r>
      <w:r w:rsidRPr="00F461D9">
        <w:t xml:space="preserve"> 22) come simply from outside them or also from inside them?</w:t>
      </w:r>
      <w:r>
        <w:t xml:space="preserve"> </w:t>
      </w:r>
    </w:p>
    <w:p w:rsidR="009D7C0D" w:rsidRDefault="009D7C0D" w:rsidP="009652A7">
      <w:pPr>
        <w:pStyle w:val="ListParagraph"/>
        <w:numPr>
          <w:ilvl w:val="0"/>
          <w:numId w:val="25"/>
        </w:numPr>
        <w:ind w:left="360"/>
      </w:pPr>
      <w:r>
        <w:t>T</w:t>
      </w:r>
      <w:r w:rsidRPr="00EE7B7F">
        <w:t>here is a related m</w:t>
      </w:r>
      <w:r>
        <w:t>ystery about why it sometimes seems impossible for the people of God to turn back to God. In what sense do their deeds not allow them to come back? While it surely would be</w:t>
      </w:r>
      <w:r w:rsidRPr="009E27FF">
        <w:t xml:space="preserve"> quite possible </w:t>
      </w:r>
      <w:r>
        <w:t xml:space="preserve">to get cleansed, the problem is that the people of God won’t seek </w:t>
      </w:r>
      <w:r w:rsidRPr="009E27FF">
        <w:t>cleansing.</w:t>
      </w:r>
      <w:r>
        <w:t xml:space="preserve"> Are they attached to their own ways and therefore unable to come back? </w:t>
      </w:r>
    </w:p>
    <w:p w:rsidR="009D7C0D" w:rsidRPr="009D7C0D" w:rsidRDefault="009D7C0D" w:rsidP="009652A7">
      <w:pPr>
        <w:pStyle w:val="ListParagraph"/>
        <w:numPr>
          <w:ilvl w:val="0"/>
          <w:numId w:val="25"/>
        </w:numPr>
        <w:ind w:left="360"/>
      </w:pPr>
      <w:r>
        <w:lastRenderedPageBreak/>
        <w:t xml:space="preserve">But apparently </w:t>
      </w:r>
      <w:r w:rsidRPr="009D7C0D">
        <w:t xml:space="preserve">God will </w:t>
      </w:r>
      <w:r>
        <w:t>sometimes not have them back. Perhaps they</w:t>
      </w:r>
      <w:r w:rsidRPr="009D7C0D">
        <w:t xml:space="preserve"> may seek to come back to God, but not in a way that involves real turning. Does the unfaithful spirit somehow stop them?</w:t>
      </w:r>
      <w:r>
        <w:t xml:space="preserve"> </w:t>
      </w:r>
      <w:r w:rsidRPr="009D7C0D">
        <w:t>The puzzling nature of this dynamic also lies behind Hebrews 6:4-6; 10:26-39.</w:t>
      </w:r>
    </w:p>
    <w:p w:rsidR="001920FA" w:rsidRDefault="001920FA" w:rsidP="00EF7B98">
      <w:pPr>
        <w:pStyle w:val="Heading1"/>
      </w:pPr>
      <w:r>
        <w:t xml:space="preserve">Hosea </w:t>
      </w:r>
      <w:r w:rsidR="003D64A5">
        <w:t>5:8</w:t>
      </w:r>
      <w:r w:rsidR="00567D4D">
        <w:t>—6:3</w:t>
      </w:r>
      <w:r w:rsidR="0019601D">
        <w:t>:</w:t>
      </w:r>
      <w:r w:rsidR="00115A26">
        <w:t xml:space="preserve"> </w:t>
      </w:r>
      <w:r w:rsidR="002F7216">
        <w:t>S</w:t>
      </w:r>
      <w:r w:rsidR="00D02E8B">
        <w:t>ound Out</w:t>
      </w:r>
      <w:r w:rsidR="002F7216">
        <w:t xml:space="preserve"> </w:t>
      </w:r>
      <w:r w:rsidR="00D02E8B">
        <w:t>(</w:t>
      </w:r>
      <w:r w:rsidR="002F7216">
        <w:t>A Warning about Invasion</w:t>
      </w:r>
      <w:r w:rsidR="00D02E8B">
        <w:t>)</w:t>
      </w:r>
    </w:p>
    <w:p w:rsidR="001920FA" w:rsidRDefault="001920FA" w:rsidP="001D3546">
      <w:pPr>
        <w:pStyle w:val="Heading2"/>
      </w:pPr>
      <w:r>
        <w:t xml:space="preserve">Translation </w:t>
      </w:r>
    </w:p>
    <w:p w:rsidR="003D64A5" w:rsidRDefault="003D64A5" w:rsidP="001920FA">
      <w:r>
        <w:rPr>
          <w:vertAlign w:val="superscript"/>
        </w:rPr>
        <w:t>8</w:t>
      </w:r>
      <w:r w:rsidR="00C94378">
        <w:t>Sound a horn at The Hill</w:t>
      </w:r>
      <w:r>
        <w:t xml:space="preserve">, </w:t>
      </w:r>
    </w:p>
    <w:p w:rsidR="001920FA" w:rsidRDefault="00423B68" w:rsidP="001920FA">
      <w:r>
        <w:tab/>
        <w:t>a bugle</w:t>
      </w:r>
      <w:r w:rsidR="00C94378">
        <w:t xml:space="preserve"> at</w:t>
      </w:r>
      <w:r w:rsidR="003D64A5">
        <w:t xml:space="preserve"> The Height!</w:t>
      </w:r>
      <w:r w:rsidR="00C94378">
        <w:rPr>
          <w:rStyle w:val="FootnoteReference"/>
        </w:rPr>
        <w:footnoteReference w:id="248"/>
      </w:r>
    </w:p>
    <w:p w:rsidR="003D64A5" w:rsidRDefault="004742BF" w:rsidP="001920FA">
      <w:r>
        <w:t>Shout in</w:t>
      </w:r>
      <w:r w:rsidR="0093725B">
        <w:t xml:space="preserve"> Bȇ</w:t>
      </w:r>
      <w:r w:rsidR="003D64A5">
        <w:t>t</w:t>
      </w:r>
      <w:r w:rsidR="0093725B">
        <w:t xml:space="preserve"> ’Ā</w:t>
      </w:r>
      <w:r w:rsidR="00EC5AEC">
        <w:t>w</w:t>
      </w:r>
      <w:r w:rsidR="003B00B4">
        <w:t>en:</w:t>
      </w:r>
    </w:p>
    <w:p w:rsidR="003D64A5" w:rsidRDefault="003D64A5" w:rsidP="001920FA">
      <w:r>
        <w:tab/>
      </w:r>
      <w:r w:rsidR="003B00B4">
        <w:t>behind</w:t>
      </w:r>
      <w:r>
        <w:t xml:space="preserve"> you,</w:t>
      </w:r>
      <w:r w:rsidR="003B00B4" w:rsidRPr="003B00B4">
        <w:rPr>
          <w:vertAlign w:val="superscript"/>
        </w:rPr>
        <w:footnoteReference w:id="249"/>
      </w:r>
      <w:r>
        <w:t xml:space="preserve"> Binyāmin!</w:t>
      </w:r>
    </w:p>
    <w:p w:rsidR="003D64A5" w:rsidRDefault="003D64A5" w:rsidP="001920FA">
      <w:r>
        <w:rPr>
          <w:vertAlign w:val="superscript"/>
        </w:rPr>
        <w:t>9</w:t>
      </w:r>
      <w:r w:rsidR="00C80B4F">
        <w:t>’E</w:t>
      </w:r>
      <w:r w:rsidR="009502C2">
        <w:t>prayim</w:t>
      </w:r>
      <w:r w:rsidR="00A94765">
        <w:t>, you</w:t>
      </w:r>
      <w:r w:rsidR="009502C2">
        <w:t xml:space="preserve"> will become</w:t>
      </w:r>
      <w:r w:rsidR="00A94765">
        <w:rPr>
          <w:rStyle w:val="FootnoteReference"/>
        </w:rPr>
        <w:footnoteReference w:id="250"/>
      </w:r>
      <w:r w:rsidR="00E7100D">
        <w:t xml:space="preserve"> </w:t>
      </w:r>
      <w:r w:rsidR="00E55E7B">
        <w:t xml:space="preserve">a </w:t>
      </w:r>
      <w:r w:rsidR="00E7100D">
        <w:t>desolation</w:t>
      </w:r>
      <w:r>
        <w:t xml:space="preserve">, </w:t>
      </w:r>
    </w:p>
    <w:p w:rsidR="003D64A5" w:rsidRDefault="0019601D" w:rsidP="001920FA">
      <w:r>
        <w:tab/>
        <w:t>on the day of reproof.</w:t>
      </w:r>
    </w:p>
    <w:p w:rsidR="0019601D" w:rsidRDefault="0019601D" w:rsidP="001920FA"/>
    <w:p w:rsidR="003D64A5" w:rsidRDefault="008B13C4" w:rsidP="001920FA">
      <w:r>
        <w:t xml:space="preserve">Among the clans of </w:t>
      </w:r>
      <w:r w:rsidRPr="008B13C4">
        <w:t>Yiśrā’ēl</w:t>
      </w:r>
    </w:p>
    <w:p w:rsidR="003D64A5" w:rsidRDefault="00B45779" w:rsidP="001920FA">
      <w:r>
        <w:tab/>
        <w:t>I mak</w:t>
      </w:r>
      <w:r w:rsidR="003D64A5">
        <w:t>e known</w:t>
      </w:r>
      <w:r>
        <w:rPr>
          <w:rStyle w:val="FootnoteReference"/>
        </w:rPr>
        <w:footnoteReference w:id="251"/>
      </w:r>
      <w:r w:rsidR="003D64A5">
        <w:t xml:space="preserve"> something truthful.</w:t>
      </w:r>
    </w:p>
    <w:p w:rsidR="003D64A5" w:rsidRDefault="003D64A5" w:rsidP="001920FA">
      <w:r>
        <w:rPr>
          <w:vertAlign w:val="superscript"/>
        </w:rPr>
        <w:t>10</w:t>
      </w:r>
      <w:r w:rsidR="003D5834" w:rsidRPr="003D5834">
        <w:t xml:space="preserve"> </w:t>
      </w:r>
      <w:r w:rsidR="003D5834">
        <w:t>Yəhûdāh</w:t>
      </w:r>
      <w:r>
        <w:t xml:space="preserve">’s leaders have become </w:t>
      </w:r>
    </w:p>
    <w:p w:rsidR="003D64A5" w:rsidRDefault="003D64A5" w:rsidP="001920FA">
      <w:r>
        <w:tab/>
        <w:t>veritable</w:t>
      </w:r>
      <w:r w:rsidR="001E7437">
        <w:rPr>
          <w:rStyle w:val="FootnoteReference"/>
        </w:rPr>
        <w:footnoteReference w:id="252"/>
      </w:r>
      <w:r>
        <w:t xml:space="preserve"> boundary-movers.</w:t>
      </w:r>
    </w:p>
    <w:p w:rsidR="00975E2E" w:rsidRDefault="00975E2E" w:rsidP="001920FA">
      <w:r>
        <w:t xml:space="preserve">On them I will pour </w:t>
      </w:r>
    </w:p>
    <w:p w:rsidR="00975E2E" w:rsidRDefault="00277CA8" w:rsidP="005B0D3B">
      <w:pPr>
        <w:tabs>
          <w:tab w:val="left" w:pos="720"/>
          <w:tab w:val="left" w:pos="1440"/>
          <w:tab w:val="left" w:pos="2160"/>
          <w:tab w:val="left" w:pos="2880"/>
          <w:tab w:val="left" w:pos="3885"/>
          <w:tab w:val="left" w:pos="5775"/>
        </w:tabs>
      </w:pPr>
      <w:r>
        <w:tab/>
        <w:t>my fury like water,</w:t>
      </w:r>
      <w:r w:rsidR="004742BF">
        <w:tab/>
      </w:r>
      <w:r w:rsidR="005B0D3B">
        <w:tab/>
      </w:r>
    </w:p>
    <w:p w:rsidR="00975E2E" w:rsidRDefault="00975E2E" w:rsidP="001920FA">
      <w:r>
        <w:rPr>
          <w:vertAlign w:val="superscript"/>
        </w:rPr>
        <w:t>11</w:t>
      </w:r>
      <w:r w:rsidR="005B5333">
        <w:t>With ’E</w:t>
      </w:r>
      <w:r w:rsidR="009C2948">
        <w:t xml:space="preserve">prayim </w:t>
      </w:r>
      <w:r>
        <w:t>oppressed,</w:t>
      </w:r>
      <w:r w:rsidR="00013584">
        <w:t xml:space="preserve"> </w:t>
      </w:r>
      <w:r w:rsidR="0027498E">
        <w:t>harass</w:t>
      </w:r>
      <w:r w:rsidR="00E828F2">
        <w:t>ed</w:t>
      </w:r>
      <w:r w:rsidR="008E19DD">
        <w:rPr>
          <w:rStyle w:val="FootnoteReference"/>
        </w:rPr>
        <w:footnoteReference w:id="253"/>
      </w:r>
      <w:r w:rsidR="000E7E54">
        <w:t xml:space="preserve"> by the making of decisions</w:t>
      </w:r>
      <w:r>
        <w:t xml:space="preserve">, </w:t>
      </w:r>
    </w:p>
    <w:p w:rsidR="00975E2E" w:rsidRDefault="00013584" w:rsidP="001920FA">
      <w:r>
        <w:tab/>
        <w:t>b</w:t>
      </w:r>
      <w:r w:rsidR="00975E2E">
        <w:t>ecau</w:t>
      </w:r>
      <w:r w:rsidR="00710825">
        <w:t xml:space="preserve">se it </w:t>
      </w:r>
      <w:r w:rsidR="003C347E">
        <w:t>determined to go after</w:t>
      </w:r>
      <w:r w:rsidR="00A93EC6" w:rsidRPr="00A93EC6">
        <w:rPr>
          <w:vertAlign w:val="superscript"/>
        </w:rPr>
        <w:footnoteReference w:id="254"/>
      </w:r>
      <w:r w:rsidR="00601D3A">
        <w:t xml:space="preserve"> emptiness</w:t>
      </w:r>
      <w:r w:rsidR="00D56B70">
        <w:t>,</w:t>
      </w:r>
      <w:r w:rsidR="00587834">
        <w:rPr>
          <w:rStyle w:val="FootnoteReference"/>
        </w:rPr>
        <w:footnoteReference w:id="255"/>
      </w:r>
    </w:p>
    <w:p w:rsidR="000801BA" w:rsidRDefault="000801BA" w:rsidP="001920FA">
      <w:r>
        <w:rPr>
          <w:vertAlign w:val="superscript"/>
        </w:rPr>
        <w:t>12</w:t>
      </w:r>
      <w:r w:rsidR="005B5333">
        <w:t xml:space="preserve">And me </w:t>
      </w:r>
      <w:r>
        <w:t>like a moth</w:t>
      </w:r>
      <w:r w:rsidR="00115A26">
        <w:rPr>
          <w:rStyle w:val="FootnoteReference"/>
        </w:rPr>
        <w:footnoteReference w:id="256"/>
      </w:r>
      <w:r>
        <w:t xml:space="preserve"> to </w:t>
      </w:r>
      <w:r w:rsidR="00C80B4F">
        <w:t>’</w:t>
      </w:r>
      <w:r>
        <w:t xml:space="preserve">Eprayim </w:t>
      </w:r>
      <w:r w:rsidR="005B5333">
        <w:t xml:space="preserve"> </w:t>
      </w:r>
    </w:p>
    <w:p w:rsidR="000801BA" w:rsidRDefault="001B3AB3" w:rsidP="001920FA">
      <w:r>
        <w:tab/>
        <w:t>and like decay</w:t>
      </w:r>
      <w:r w:rsidR="003D5834">
        <w:t xml:space="preserve"> to </w:t>
      </w:r>
      <w:r w:rsidR="003D5834" w:rsidRPr="003D5834">
        <w:t>Yəhûdāh</w:t>
      </w:r>
      <w:r w:rsidR="000801BA">
        <w:t>’s household.</w:t>
      </w:r>
    </w:p>
    <w:p w:rsidR="000801BA" w:rsidRPr="000801BA" w:rsidRDefault="000801BA" w:rsidP="001920FA">
      <w:r>
        <w:rPr>
          <w:vertAlign w:val="superscript"/>
        </w:rPr>
        <w:t>13</w:t>
      </w:r>
      <w:r w:rsidR="00C80B4F">
        <w:t>’E</w:t>
      </w:r>
      <w:r w:rsidR="00DC4C10">
        <w:t>prayim has seen</w:t>
      </w:r>
      <w:r w:rsidR="00C929F8">
        <w:t xml:space="preserve"> its ailment</w:t>
      </w:r>
      <w:r>
        <w:t xml:space="preserve">, </w:t>
      </w:r>
    </w:p>
    <w:p w:rsidR="000801BA" w:rsidRDefault="003D5834" w:rsidP="001920FA">
      <w:r>
        <w:tab/>
      </w:r>
      <w:r w:rsidRPr="003D5834">
        <w:t>Yəhûdāh</w:t>
      </w:r>
      <w:r w:rsidR="00C929F8">
        <w:t xml:space="preserve"> its wound</w:t>
      </w:r>
      <w:r w:rsidR="000801BA">
        <w:t>.</w:t>
      </w:r>
      <w:r w:rsidR="00AC76A1">
        <w:rPr>
          <w:rStyle w:val="FootnoteReference"/>
        </w:rPr>
        <w:footnoteReference w:id="257"/>
      </w:r>
    </w:p>
    <w:p w:rsidR="00DC4C10" w:rsidRDefault="00DC4C10" w:rsidP="001920FA"/>
    <w:p w:rsidR="000801BA" w:rsidRDefault="00C80B4F" w:rsidP="001920FA">
      <w:r>
        <w:t>’</w:t>
      </w:r>
      <w:r w:rsidR="000801BA">
        <w:t xml:space="preserve">Eprayim went to </w:t>
      </w:r>
      <w:r w:rsidR="00386AA1">
        <w:t>’Aššû</w:t>
      </w:r>
      <w:r w:rsidR="000801BA">
        <w:t xml:space="preserve">r, </w:t>
      </w:r>
    </w:p>
    <w:p w:rsidR="000801BA" w:rsidRDefault="000801BA" w:rsidP="001920FA">
      <w:r>
        <w:tab/>
        <w:t xml:space="preserve">sent to the </w:t>
      </w:r>
      <w:r w:rsidR="00217D98">
        <w:t>great</w:t>
      </w:r>
      <w:r w:rsidR="00770A5B" w:rsidRPr="00770A5B">
        <w:rPr>
          <w:vertAlign w:val="superscript"/>
        </w:rPr>
        <w:footnoteReference w:id="258"/>
      </w:r>
      <w:r w:rsidR="00217D98">
        <w:t xml:space="preserve"> </w:t>
      </w:r>
      <w:r>
        <w:t>king.</w:t>
      </w:r>
    </w:p>
    <w:p w:rsidR="00F57FE3" w:rsidRDefault="00EE168D" w:rsidP="001920FA">
      <w:r>
        <w:t>But that man—he won’t be</w:t>
      </w:r>
      <w:r w:rsidR="000801BA">
        <w:t xml:space="preserve"> able </w:t>
      </w:r>
    </w:p>
    <w:p w:rsidR="00F57FE3" w:rsidRDefault="00F57FE3" w:rsidP="001920FA">
      <w:r>
        <w:tab/>
      </w:r>
      <w:r w:rsidR="000801BA">
        <w:t>to heal you</w:t>
      </w:r>
      <w:r w:rsidR="00C66EC3">
        <w:t>,</w:t>
      </w:r>
    </w:p>
    <w:p w:rsidR="000801BA" w:rsidRPr="000801BA" w:rsidRDefault="00F57FE3" w:rsidP="001920FA">
      <w:r>
        <w:tab/>
        <w:t>and the sore will not go away</w:t>
      </w:r>
      <w:r w:rsidR="00C66EC3">
        <w:rPr>
          <w:rStyle w:val="FootnoteReference"/>
        </w:rPr>
        <w:footnoteReference w:id="259"/>
      </w:r>
      <w:r>
        <w:t xml:space="preserve"> from you.</w:t>
      </w:r>
    </w:p>
    <w:p w:rsidR="00F57FE3" w:rsidRDefault="00F57FE3" w:rsidP="001920FA">
      <w:r>
        <w:rPr>
          <w:vertAlign w:val="superscript"/>
        </w:rPr>
        <w:lastRenderedPageBreak/>
        <w:t>14</w:t>
      </w:r>
      <w:r w:rsidR="00ED6CD0">
        <w:t>Because I’</w:t>
      </w:r>
      <w:r w:rsidR="002F30D0">
        <w:t>m the one who’</w:t>
      </w:r>
      <w:r w:rsidR="00B601C8">
        <w:t>ll be</w:t>
      </w:r>
      <w:r>
        <w:t xml:space="preserve"> like a lion to </w:t>
      </w:r>
      <w:r w:rsidR="00C80B4F">
        <w:t>’</w:t>
      </w:r>
      <w:r>
        <w:t xml:space="preserve">Eprayim, </w:t>
      </w:r>
    </w:p>
    <w:p w:rsidR="00975E2E" w:rsidRDefault="003D5834" w:rsidP="001920FA">
      <w:r>
        <w:tab/>
        <w:t>like a cougar</w:t>
      </w:r>
      <w:r w:rsidR="0007776E">
        <w:rPr>
          <w:rStyle w:val="FootnoteReference"/>
        </w:rPr>
        <w:footnoteReference w:id="260"/>
      </w:r>
      <w:r>
        <w:t xml:space="preserve"> to </w:t>
      </w:r>
      <w:r w:rsidRPr="003D5834">
        <w:t>Yəhûdāh</w:t>
      </w:r>
      <w:r w:rsidR="00F57FE3">
        <w:t>’s household.</w:t>
      </w:r>
    </w:p>
    <w:p w:rsidR="00B601C8" w:rsidRDefault="00C11A03" w:rsidP="001920FA">
      <w:r>
        <w:t>I, yes I</w:t>
      </w:r>
      <w:r w:rsidR="00B601C8">
        <w:t xml:space="preserve">, will tear, and </w:t>
      </w:r>
      <w:r w:rsidR="00B2535E">
        <w:t>I will go;</w:t>
      </w:r>
    </w:p>
    <w:p w:rsidR="00B601C8" w:rsidRPr="00F57FE3" w:rsidRDefault="00B601C8" w:rsidP="001920FA">
      <w:r>
        <w:tab/>
        <w:t>I will carry and there will be no rescuer.</w:t>
      </w:r>
    </w:p>
    <w:p w:rsidR="00B601C8" w:rsidRDefault="00B601C8" w:rsidP="001920FA">
      <w:r>
        <w:rPr>
          <w:vertAlign w:val="superscript"/>
        </w:rPr>
        <w:t>15</w:t>
      </w:r>
      <w:r w:rsidR="00CE4EF9">
        <w:t>I wi</w:t>
      </w:r>
      <w:r w:rsidR="0089689C">
        <w:t>ll g</w:t>
      </w:r>
      <w:r w:rsidR="00CE4EF9">
        <w:t>o, I wi</w:t>
      </w:r>
      <w:r w:rsidR="0089689C">
        <w:t>ll turn</w:t>
      </w:r>
      <w:r w:rsidR="00B2535E">
        <w:t xml:space="preserve"> back</w:t>
      </w:r>
      <w:r>
        <w:t xml:space="preserve"> to my place, </w:t>
      </w:r>
    </w:p>
    <w:p w:rsidR="00975E2E" w:rsidRDefault="008424DD" w:rsidP="001920FA">
      <w:r>
        <w:tab/>
        <w:t xml:space="preserve">until they </w:t>
      </w:r>
      <w:r w:rsidR="00F17DFF">
        <w:t>make restitution.</w:t>
      </w:r>
      <w:r w:rsidR="00F17DFF">
        <w:rPr>
          <w:rStyle w:val="FootnoteReference"/>
        </w:rPr>
        <w:footnoteReference w:id="261"/>
      </w:r>
    </w:p>
    <w:p w:rsidR="00B601C8" w:rsidRDefault="00F17DFF" w:rsidP="001920FA">
      <w:r>
        <w:t>T</w:t>
      </w:r>
      <w:r w:rsidR="009C677C">
        <w:t xml:space="preserve">hey </w:t>
      </w:r>
      <w:r>
        <w:t xml:space="preserve">will </w:t>
      </w:r>
      <w:r w:rsidR="00B601C8">
        <w:t xml:space="preserve">seek </w:t>
      </w:r>
      <w:r w:rsidR="00EC0992">
        <w:t xml:space="preserve">help from </w:t>
      </w:r>
      <w:r w:rsidR="009C677C">
        <w:t>my face,</w:t>
      </w:r>
    </w:p>
    <w:p w:rsidR="002F7F8B" w:rsidRDefault="00B601C8" w:rsidP="001920FA">
      <w:r>
        <w:tab/>
      </w:r>
      <w:r w:rsidR="009C677C">
        <w:t xml:space="preserve">when in their pressure they </w:t>
      </w:r>
      <w:r w:rsidR="00ED6CD0">
        <w:t>look urgently for me:</w:t>
      </w:r>
      <w:r w:rsidR="009C677C">
        <w:rPr>
          <w:rStyle w:val="FootnoteReference"/>
        </w:rPr>
        <w:footnoteReference w:id="262"/>
      </w:r>
    </w:p>
    <w:p w:rsidR="003F6120" w:rsidRDefault="003F6120" w:rsidP="001920FA">
      <w:r>
        <w:rPr>
          <w:vertAlign w:val="superscript"/>
        </w:rPr>
        <w:t>6:1</w:t>
      </w:r>
      <w:r w:rsidR="002F7F8B">
        <w:t>“Co</w:t>
      </w:r>
      <w:r w:rsidR="00CD0EE8">
        <w:t>me, let’s turn</w:t>
      </w:r>
      <w:r>
        <w:t xml:space="preserve"> back to Yahweh, </w:t>
      </w:r>
    </w:p>
    <w:p w:rsidR="003F6120" w:rsidRDefault="00931A4C" w:rsidP="001920FA">
      <w:r>
        <w:tab/>
        <w:t>because he’</w:t>
      </w:r>
      <w:r w:rsidR="003F6120">
        <w:t>s the one who tore, but he can heal us;</w:t>
      </w:r>
    </w:p>
    <w:p w:rsidR="003F6120" w:rsidRDefault="00FF194D" w:rsidP="001920FA">
      <w:r>
        <w:tab/>
      </w:r>
      <w:r w:rsidR="004E49F8">
        <w:t xml:space="preserve">he </w:t>
      </w:r>
      <w:r>
        <w:t>strikes</w:t>
      </w:r>
      <w:r w:rsidR="001E6215">
        <w:t xml:space="preserve"> down</w:t>
      </w:r>
      <w:r w:rsidR="003F6120">
        <w:t>,</w:t>
      </w:r>
      <w:r w:rsidR="00C51467">
        <w:rPr>
          <w:rStyle w:val="FootnoteReference"/>
        </w:rPr>
        <w:footnoteReference w:id="263"/>
      </w:r>
      <w:r w:rsidR="003F6120">
        <w:t xml:space="preserve"> but he </w:t>
      </w:r>
      <w:r w:rsidR="003D5834">
        <w:t>can bandage</w:t>
      </w:r>
      <w:r w:rsidR="004E49F8">
        <w:t xml:space="preserve"> us</w:t>
      </w:r>
      <w:r w:rsidR="003F6120">
        <w:t>.</w:t>
      </w:r>
    </w:p>
    <w:p w:rsidR="003F6120" w:rsidRDefault="003F6120" w:rsidP="001920FA">
      <w:r>
        <w:rPr>
          <w:vertAlign w:val="superscript"/>
        </w:rPr>
        <w:t>2</w:t>
      </w:r>
      <w:r w:rsidR="003D5834">
        <w:t>He’</w:t>
      </w:r>
      <w:r w:rsidR="00144697">
        <w:t>ll bring us to life after a couple of</w:t>
      </w:r>
      <w:r>
        <w:t xml:space="preserve"> days, </w:t>
      </w:r>
    </w:p>
    <w:p w:rsidR="003F6120" w:rsidRDefault="00DF19AC" w:rsidP="001920FA">
      <w:r>
        <w:tab/>
        <w:t>on the third day he’</w:t>
      </w:r>
      <w:r w:rsidR="003F6120">
        <w:t>ll stand us up,</w:t>
      </w:r>
    </w:p>
    <w:p w:rsidR="003F6120" w:rsidRDefault="00785BB8" w:rsidP="001920FA">
      <w:r>
        <w:tab/>
        <w:t>so we may live before his face</w:t>
      </w:r>
      <w:r w:rsidR="003F6120">
        <w:t xml:space="preserve"> </w:t>
      </w:r>
      <w:r w:rsidR="003F6120">
        <w:rPr>
          <w:vertAlign w:val="superscript"/>
        </w:rPr>
        <w:t>3</w:t>
      </w:r>
      <w:r w:rsidR="000726D2">
        <w:t>a</w:t>
      </w:r>
      <w:r w:rsidR="007E2A29">
        <w:t>nd</w:t>
      </w:r>
      <w:r w:rsidR="0071150D">
        <w:t xml:space="preserve"> acknowledge him</w:t>
      </w:r>
      <w:r w:rsidR="003F6120">
        <w:t>.</w:t>
      </w:r>
      <w:r w:rsidR="0071150D">
        <w:rPr>
          <w:rStyle w:val="FootnoteReference"/>
        </w:rPr>
        <w:footnoteReference w:id="264"/>
      </w:r>
    </w:p>
    <w:p w:rsidR="003D5834" w:rsidRDefault="00B65FFF" w:rsidP="001920FA">
      <w:r>
        <w:t>Let’s</w:t>
      </w:r>
      <w:r w:rsidR="003D5834">
        <w:t xml:space="preserve"> pursue acknowledgment of Y</w:t>
      </w:r>
      <w:r w:rsidR="003F6120">
        <w:t>ahweh</w:t>
      </w:r>
      <w:r w:rsidR="003D5834">
        <w:t xml:space="preserve">, </w:t>
      </w:r>
    </w:p>
    <w:p w:rsidR="003F6120" w:rsidRDefault="003D5834" w:rsidP="001920FA">
      <w:r>
        <w:tab/>
        <w:t xml:space="preserve">whose coming </w:t>
      </w:r>
      <w:r w:rsidR="00936BEF">
        <w:t>out is as established as dawn</w:t>
      </w:r>
      <w:r>
        <w:t>.</w:t>
      </w:r>
      <w:r w:rsidR="00E76F91">
        <w:rPr>
          <w:rStyle w:val="FootnoteReference"/>
        </w:rPr>
        <w:footnoteReference w:id="265"/>
      </w:r>
    </w:p>
    <w:p w:rsidR="003D5834" w:rsidRDefault="005B14E1" w:rsidP="001920FA">
      <w:r>
        <w:t xml:space="preserve">He will come to us like </w:t>
      </w:r>
      <w:r w:rsidR="003D5834">
        <w:t>rain,</w:t>
      </w:r>
      <w:r w:rsidR="00BD2389">
        <w:rPr>
          <w:rStyle w:val="FootnoteReference"/>
        </w:rPr>
        <w:footnoteReference w:id="266"/>
      </w:r>
      <w:r w:rsidR="003D5834">
        <w:t xml:space="preserve"> </w:t>
      </w:r>
    </w:p>
    <w:p w:rsidR="003D5834" w:rsidRDefault="003D5834" w:rsidP="001920FA">
      <w:r>
        <w:tab/>
        <w:t>like spring rain that waters</w:t>
      </w:r>
      <w:r w:rsidR="004E7DA5">
        <w:rPr>
          <w:rStyle w:val="FootnoteReference"/>
        </w:rPr>
        <w:footnoteReference w:id="267"/>
      </w:r>
      <w:r>
        <w:t xml:space="preserve"> the earth.</w:t>
      </w:r>
      <w:r w:rsidR="002F7F8B">
        <w:t>”</w:t>
      </w:r>
    </w:p>
    <w:p w:rsidR="001920FA" w:rsidRDefault="001920FA" w:rsidP="001D3546">
      <w:pPr>
        <w:pStyle w:val="Heading2"/>
      </w:pPr>
      <w:r>
        <w:t xml:space="preserve">Interpretation </w:t>
      </w:r>
    </w:p>
    <w:p w:rsidR="00417F8D" w:rsidRPr="00417F8D" w:rsidRDefault="007F417A" w:rsidP="00417F8D">
      <w:r>
        <w:t>An indirect bidding to pay heed marks the beginning of a</w:t>
      </w:r>
      <w:r w:rsidR="00E23659">
        <w:t xml:space="preserve"> new section</w:t>
      </w:r>
      <w:r w:rsidR="00710825">
        <w:t>,</w:t>
      </w:r>
      <w:r w:rsidR="00087F58">
        <w:t xml:space="preserve"> which changes </w:t>
      </w:r>
      <w:r w:rsidR="00710825">
        <w:t xml:space="preserve">the </w:t>
      </w:r>
      <w:r w:rsidR="00087F58">
        <w:t>subject</w:t>
      </w:r>
      <w:r w:rsidR="00DF2E87">
        <w:t>. A</w:t>
      </w:r>
      <w:r w:rsidR="00E23659">
        <w:t xml:space="preserve">nother </w:t>
      </w:r>
      <w:r>
        <w:t>indirect bidding</w:t>
      </w:r>
      <w:r w:rsidR="00087F58" w:rsidRPr="00087F58">
        <w:t xml:space="preserve"> to pay heed </w:t>
      </w:r>
      <w:r w:rsidR="00DF2E87">
        <w:t xml:space="preserve">in 8:1 will </w:t>
      </w:r>
      <w:r w:rsidR="00710825">
        <w:t xml:space="preserve">also </w:t>
      </w:r>
      <w:r w:rsidR="00DF2E87">
        <w:t>suggest a new beginning and o</w:t>
      </w:r>
      <w:r>
        <w:t>ne might then view 5:8—7:16 as one section, but it would be somewhat longer than any other section in the scroll</w:t>
      </w:r>
      <w:r w:rsidR="00F822B9">
        <w:t>,</w:t>
      </w:r>
      <w:r w:rsidR="00E23659">
        <w:t xml:space="preserve"> </w:t>
      </w:r>
      <w:r>
        <w:t xml:space="preserve">and </w:t>
      </w:r>
      <w:r w:rsidR="00E23659">
        <w:t xml:space="preserve">there is a disjunction </w:t>
      </w:r>
      <w:r>
        <w:t>after 6:3, so I make a break there</w:t>
      </w:r>
      <w:r w:rsidR="00F822B9">
        <w:t>.</w:t>
      </w:r>
      <w:r w:rsidR="00417F8D">
        <w:t xml:space="preserve"> Once again this</w:t>
      </w:r>
      <w:r w:rsidR="00417F8D" w:rsidRPr="00417F8D">
        <w:t xml:space="preserve"> section urges the paying of attention, though it does so in an indirect way; it indicts both Ephraim and Judah for their wrongdoing—though here explicitly in the context of politics; it warns of the consequences; and it distinctively lays out the kind of response Ephraim and Judah need to make.</w:t>
      </w:r>
    </w:p>
    <w:p w:rsidR="00E23659" w:rsidRDefault="00AC76A1" w:rsidP="001920FA">
      <w:r>
        <w:t>Hosea 5:8—</w:t>
      </w:r>
      <w:r w:rsidR="007665E3">
        <w:t>6:3 warn</w:t>
      </w:r>
      <w:r>
        <w:t xml:space="preserve">s </w:t>
      </w:r>
      <w:r w:rsidR="007665E3">
        <w:t xml:space="preserve">Ephraim of an invasion </w:t>
      </w:r>
      <w:r w:rsidR="00710825">
        <w:t>by Judah which will be</w:t>
      </w:r>
      <w:r>
        <w:t xml:space="preserve"> an act of Yahweh’s reproof for its unfaithfulness </w:t>
      </w:r>
      <w:r w:rsidR="00BC64BE">
        <w:t>in looking to Assyria for support</w:t>
      </w:r>
      <w:r w:rsidR="009E70B5">
        <w:t>, the first re</w:t>
      </w:r>
      <w:r w:rsidR="00417F8D">
        <w:t xml:space="preserve">ference to Assyria in the </w:t>
      </w:r>
      <w:r w:rsidR="009E70B5">
        <w:t>scroll. The invasion</w:t>
      </w:r>
      <w:r w:rsidR="00710825">
        <w:t xml:space="preserve"> will also </w:t>
      </w:r>
      <w:r w:rsidR="007665E3">
        <w:t xml:space="preserve">be </w:t>
      </w:r>
      <w:r w:rsidR="00BC64BE">
        <w:t>an act</w:t>
      </w:r>
      <w:r w:rsidR="00417F8D">
        <w:t xml:space="preserve"> for which Yahweh will </w:t>
      </w:r>
      <w:r>
        <w:t>chastise Judah</w:t>
      </w:r>
      <w:r w:rsidR="007665E3">
        <w:t xml:space="preserve"> itself</w:t>
      </w:r>
      <w:r w:rsidR="00BC64BE">
        <w:t xml:space="preserve">. Yahweh intends therefore to </w:t>
      </w:r>
      <w:r w:rsidR="00BC64BE">
        <w:lastRenderedPageBreak/>
        <w:t xml:space="preserve">withdraw from </w:t>
      </w:r>
      <w:r w:rsidR="007665E3">
        <w:t xml:space="preserve">both </w:t>
      </w:r>
      <w:r w:rsidR="00BC64BE">
        <w:t>Ephraim and Judah unti</w:t>
      </w:r>
      <w:r w:rsidR="007F417A">
        <w:t xml:space="preserve">l they </w:t>
      </w:r>
      <w:r w:rsidR="00BC64BE">
        <w:t xml:space="preserve">look </w:t>
      </w:r>
      <w:r w:rsidR="007F417A">
        <w:t xml:space="preserve">seriously </w:t>
      </w:r>
      <w:r w:rsidR="00BC64BE">
        <w:t>to him</w:t>
      </w:r>
      <w:r w:rsidR="007665E3">
        <w:t xml:space="preserve">. </w:t>
      </w:r>
      <w:r w:rsidR="00F90B25">
        <w:t>The “sustained” reference to Judah as well as Ephraim</w:t>
      </w:r>
      <w:r w:rsidR="00F90B25">
        <w:rPr>
          <w:rStyle w:val="FootnoteReference"/>
        </w:rPr>
        <w:footnoteReference w:id="268"/>
      </w:r>
      <w:r w:rsidR="0019601D">
        <w:t xml:space="preserve"> with its critique </w:t>
      </w:r>
      <w:r w:rsidR="0019601D" w:rsidRPr="0019601D">
        <w:t xml:space="preserve">of </w:t>
      </w:r>
      <w:r w:rsidR="0019601D">
        <w:t>t</w:t>
      </w:r>
      <w:r w:rsidR="0019601D">
        <w:rPr>
          <w:bCs/>
        </w:rPr>
        <w:t>he “fratricidal w</w:t>
      </w:r>
      <w:r w:rsidR="007F417A">
        <w:rPr>
          <w:bCs/>
        </w:rPr>
        <w:t>ar</w:t>
      </w:r>
      <w:r w:rsidR="0019601D">
        <w:rPr>
          <w:bCs/>
        </w:rPr>
        <w:t>”</w:t>
      </w:r>
      <w:r w:rsidR="0019601D" w:rsidRPr="0019601D">
        <w:rPr>
          <w:bCs/>
          <w:vertAlign w:val="superscript"/>
        </w:rPr>
        <w:footnoteReference w:id="269"/>
      </w:r>
      <w:r w:rsidR="007F417A">
        <w:rPr>
          <w:bCs/>
        </w:rPr>
        <w:t xml:space="preserve"> </w:t>
      </w:r>
      <w:r w:rsidR="007F417A" w:rsidRPr="007F417A">
        <w:rPr>
          <w:bCs/>
        </w:rPr>
        <w:t>is a mark of the section</w:t>
      </w:r>
      <w:r w:rsidR="007F417A">
        <w:rPr>
          <w:bCs/>
        </w:rPr>
        <w:t>.</w:t>
      </w:r>
      <w:r w:rsidR="00417F8D">
        <w:rPr>
          <w:bCs/>
        </w:rPr>
        <w:t xml:space="preserve"> </w:t>
      </w:r>
      <w:r w:rsidR="00417F8D">
        <w:t xml:space="preserve">The historical background </w:t>
      </w:r>
      <w:r w:rsidR="00BA116B" w:rsidRPr="00BA116B">
        <w:t>may be the tensions between Ephraim and Judah in the context of Assyrian attacks on Ephraim in the 730s,</w:t>
      </w:r>
      <w:r w:rsidR="00BA116B" w:rsidRPr="00BA116B">
        <w:rPr>
          <w:vertAlign w:val="superscript"/>
        </w:rPr>
        <w:footnoteReference w:id="270"/>
      </w:r>
      <w:r w:rsidR="00BA116B" w:rsidRPr="00BA116B">
        <w:t xml:space="preserve"> but there are a number of possible ways of linking the prophet’s message to this context.</w:t>
      </w:r>
      <w:r w:rsidR="00BA116B" w:rsidRPr="00BA116B">
        <w:rPr>
          <w:vertAlign w:val="superscript"/>
        </w:rPr>
        <w:footnoteReference w:id="271"/>
      </w:r>
      <w:r w:rsidR="00BA116B" w:rsidRPr="00BA116B">
        <w:t xml:space="preserve"> </w:t>
      </w:r>
      <w:r w:rsidR="00BA116B">
        <w:t>We know</w:t>
      </w:r>
      <w:r w:rsidR="00BC64BE">
        <w:t xml:space="preserve"> of Ephraimite recourse to Assyria in the previous century</w:t>
      </w:r>
      <w:r w:rsidR="00BA116B">
        <w:t xml:space="preserve"> but</w:t>
      </w:r>
      <w:r w:rsidR="00DA034A">
        <w:t xml:space="preserve"> not in Hosea’s time</w:t>
      </w:r>
      <w:r w:rsidR="00BA116B">
        <w:t>, which wouldn’</w:t>
      </w:r>
      <w:r w:rsidR="00DA034A">
        <w:t>t</w:t>
      </w:r>
      <w:r w:rsidR="00BA116B">
        <w:t xml:space="preserve"> make sense as Ephraim wa</w:t>
      </w:r>
      <w:r w:rsidR="00DA034A" w:rsidRPr="00DA034A">
        <w:t xml:space="preserve">s </w:t>
      </w:r>
      <w:r w:rsidR="00BA116B">
        <w:t xml:space="preserve">now </w:t>
      </w:r>
      <w:r w:rsidR="00DA034A" w:rsidRPr="00DA034A">
        <w:t>resisting Assyria.</w:t>
      </w:r>
      <w:r w:rsidR="00DA034A" w:rsidRPr="00DA034A">
        <w:rPr>
          <w:vertAlign w:val="superscript"/>
        </w:rPr>
        <w:footnoteReference w:id="272"/>
      </w:r>
      <w:r w:rsidR="00DA034A" w:rsidRPr="00DA034A">
        <w:t xml:space="preserve"> </w:t>
      </w:r>
      <w:r w:rsidR="00BA116B">
        <w:t>In the eighth century Assyria reduced</w:t>
      </w:r>
      <w:r w:rsidR="007665E3">
        <w:t xml:space="preserve"> first Ephraim</w:t>
      </w:r>
      <w:r w:rsidR="00BC64BE">
        <w:t xml:space="preserve"> </w:t>
      </w:r>
      <w:r w:rsidR="007665E3">
        <w:t>then Judah to shadows of their former</w:t>
      </w:r>
      <w:r w:rsidR="00BA116B">
        <w:t xml:space="preserve"> selves, and Ephraim’s weakness </w:t>
      </w:r>
      <w:r w:rsidR="007665E3">
        <w:t>could provide a context for a Judahite invasion</w:t>
      </w:r>
      <w:r w:rsidR="00187A07">
        <w:t>. But w</w:t>
      </w:r>
      <w:r w:rsidR="00710825">
        <w:t>e don’</w:t>
      </w:r>
      <w:r w:rsidR="007665E3">
        <w:t>t</w:t>
      </w:r>
      <w:r w:rsidR="00BA116B">
        <w:t xml:space="preserve"> have record of one</w:t>
      </w:r>
      <w:r w:rsidR="00417F8D">
        <w:t>,</w:t>
      </w:r>
      <w:r w:rsidR="00187A07">
        <w:t xml:space="preserve"> and t</w:t>
      </w:r>
      <w:r w:rsidR="00BA116B">
        <w:t>he prophecy doesn’</w:t>
      </w:r>
      <w:r w:rsidR="00187A07" w:rsidRPr="00187A07">
        <w:t xml:space="preserve">t correlate with any sequence of events that we can reconstruct from references in the </w:t>
      </w:r>
      <w:r w:rsidR="00725349">
        <w:t>First T</w:t>
      </w:r>
      <w:r w:rsidR="00187A07" w:rsidRPr="00187A07">
        <w:t>estament or in Assyrian sources.</w:t>
      </w:r>
      <w:r w:rsidR="00417F8D">
        <w:t xml:space="preserve"> </w:t>
      </w:r>
      <w:r w:rsidR="00710825">
        <w:t xml:space="preserve"> In other words, </w:t>
      </w:r>
      <w:r w:rsidR="002D05FB">
        <w:t>the section</w:t>
      </w:r>
      <w:r w:rsidR="00187A07">
        <w:t xml:space="preserve"> is a prophecy in the sense of a declaration of the kind of thing that Yahweh intends to do, but one cannot </w:t>
      </w:r>
      <w:r w:rsidR="002D05FB">
        <w:t xml:space="preserve">link it </w:t>
      </w:r>
      <w:r w:rsidR="002E2881">
        <w:t xml:space="preserve">with a sequence of events </w:t>
      </w:r>
      <w:r w:rsidR="00417F8D">
        <w:t>in Hosea’s day or with the liter</w:t>
      </w:r>
      <w:r w:rsidR="00BA116B">
        <w:t>al nature</w:t>
      </w:r>
      <w:r w:rsidR="00417F8D">
        <w:t xml:space="preserve"> of a series of events</w:t>
      </w:r>
      <w:r w:rsidR="00BA116B" w:rsidRPr="00BA116B">
        <w:t>.</w:t>
      </w:r>
      <w:r w:rsidR="00BA116B" w:rsidRPr="00BA116B">
        <w:rPr>
          <w:vertAlign w:val="superscript"/>
        </w:rPr>
        <w:footnoteReference w:id="273"/>
      </w:r>
      <w:r w:rsidR="00BA116B" w:rsidRPr="00BA116B">
        <w:t xml:space="preserve"> </w:t>
      </w:r>
      <w:r w:rsidR="002D05FB">
        <w:t>It</w:t>
      </w:r>
      <w:r w:rsidR="002E2881">
        <w:t xml:space="preserve"> instructs </w:t>
      </w:r>
      <w:r w:rsidR="00BA116B">
        <w:t xml:space="preserve">people on the certainty and </w:t>
      </w:r>
      <w:r w:rsidR="002E2881">
        <w:t>meaning of events</w:t>
      </w:r>
      <w:r w:rsidR="002D05FB">
        <w:t xml:space="preserve"> rather than on what one might </w:t>
      </w:r>
      <w:r w:rsidR="00BA116B">
        <w:t xml:space="preserve">be about to </w:t>
      </w:r>
      <w:r w:rsidR="002D05FB">
        <w:t>read in the newspaper</w:t>
      </w:r>
      <w:r w:rsidR="002E2881">
        <w:t>.</w:t>
      </w:r>
      <w:r w:rsidR="002D05FB">
        <w:t xml:space="preserve"> </w:t>
      </w:r>
      <w:r w:rsidR="00BA116B">
        <w:t>I</w:t>
      </w:r>
      <w:r w:rsidR="00BA116B" w:rsidRPr="00BA116B">
        <w:t xml:space="preserve">t </w:t>
      </w:r>
      <w:r w:rsidR="00BA116B">
        <w:t xml:space="preserve">thus </w:t>
      </w:r>
      <w:r w:rsidR="00BA116B" w:rsidRPr="00BA116B">
        <w:t xml:space="preserve">compares with Yahweh’s declarations about (say) the fall of Edom or Babylon. </w:t>
      </w:r>
      <w:r w:rsidR="00104902">
        <w:t>Hosea’s</w:t>
      </w:r>
      <w:r w:rsidR="00835C77">
        <w:t xml:space="preserve"> words are poetic, metaphorical, and allusive.</w:t>
      </w:r>
      <w:r w:rsidR="009502C2">
        <w:t xml:space="preserve"> </w:t>
      </w:r>
      <w:r w:rsidR="00BA116B">
        <w:t>Hi</w:t>
      </w:r>
      <w:r w:rsidR="009502C2">
        <w:t xml:space="preserve">s concern is how Ephraim needs to respond to Yahweh in the context of the crisis he speaks of, and </w:t>
      </w:r>
      <w:r w:rsidR="00DA034A">
        <w:t xml:space="preserve">indeed </w:t>
      </w:r>
      <w:r w:rsidR="009502C2">
        <w:t>it makes little difference which crisis it is.</w:t>
      </w:r>
      <w:r w:rsidR="00417F8D">
        <w:t xml:space="preserve"> </w:t>
      </w:r>
    </w:p>
    <w:p w:rsidR="0051649F" w:rsidRDefault="0051649F" w:rsidP="001920FA">
      <w:pPr>
        <w:rPr>
          <w:b/>
        </w:rPr>
      </w:pPr>
    </w:p>
    <w:p w:rsidR="001920FA" w:rsidRDefault="00417F8D" w:rsidP="001920FA">
      <w:r>
        <w:rPr>
          <w:b/>
        </w:rPr>
        <w:t xml:space="preserve">Hosea </w:t>
      </w:r>
      <w:r w:rsidR="00A93EC6">
        <w:rPr>
          <w:b/>
        </w:rPr>
        <w:t>5:8-9a</w:t>
      </w:r>
      <w:r w:rsidR="008A6726">
        <w:rPr>
          <w:b/>
        </w:rPr>
        <w:t xml:space="preserve">. </w:t>
      </w:r>
      <w:r w:rsidR="00770078">
        <w:t xml:space="preserve">Hosea </w:t>
      </w:r>
      <w:r w:rsidR="00A551E0">
        <w:t>or Yah</w:t>
      </w:r>
      <w:r>
        <w:t>weh</w:t>
      </w:r>
      <w:r w:rsidR="00A551E0">
        <w:t xml:space="preserve"> </w:t>
      </w:r>
      <w:r w:rsidR="00E0771A">
        <w:t>metaphorically issues</w:t>
      </w:r>
      <w:r w:rsidR="00770078">
        <w:t xml:space="preserve"> </w:t>
      </w:r>
      <w:r w:rsidR="000B5EF6">
        <w:t xml:space="preserve">people with </w:t>
      </w:r>
      <w:r w:rsidR="00770078">
        <w:t>an</w:t>
      </w:r>
      <w:r w:rsidR="000B5EF6">
        <w:t xml:space="preserve"> indirect exhortation </w:t>
      </w:r>
      <w:r w:rsidR="00770078">
        <w:t>to pay attention</w:t>
      </w:r>
      <w:r w:rsidR="00A15289">
        <w:t xml:space="preserve"> that parallels</w:t>
      </w:r>
      <w:r w:rsidR="000B5EF6">
        <w:t xml:space="preserve"> the more literal and direct biddings in 4:1 and 5:1</w:t>
      </w:r>
      <w:r w:rsidR="00770078">
        <w:t xml:space="preserve">. </w:t>
      </w:r>
      <w:r w:rsidR="00094684">
        <w:t xml:space="preserve">Tg not </w:t>
      </w:r>
      <w:r>
        <w:t>in</w:t>
      </w:r>
      <w:r w:rsidR="00094684">
        <w:t>appropriately prefaces</w:t>
      </w:r>
      <w:r>
        <w:t xml:space="preserve"> the section</w:t>
      </w:r>
      <w:r w:rsidR="008312A3">
        <w:t xml:space="preserve"> by urging</w:t>
      </w:r>
      <w:r w:rsidR="00094684">
        <w:t xml:space="preserve">, “Prophets, lift your voices and….” </w:t>
      </w:r>
      <w:r w:rsidR="00770078">
        <w:t xml:space="preserve">The people who are </w:t>
      </w:r>
      <w:r w:rsidR="000B5EF6">
        <w:t xml:space="preserve">literally </w:t>
      </w:r>
      <w:r w:rsidR="00770078">
        <w:t>to give their attention overhear the exhortation and are expected to imagine the sounding of the instruments and to respond to what they imagine.</w:t>
      </w:r>
      <w:r w:rsidR="00E0771A">
        <w:t xml:space="preserve"> </w:t>
      </w:r>
    </w:p>
    <w:p w:rsidR="00163E44" w:rsidRDefault="00A15289" w:rsidP="001920FA">
      <w:r>
        <w:t>T</w:t>
      </w:r>
      <w:r w:rsidR="00E0771A" w:rsidRPr="00E0771A">
        <w:t xml:space="preserve">he sounding (literally, the blasting) of a ram’s horn </w:t>
      </w:r>
      <w:r>
        <w:t xml:space="preserve">(v. 8) </w:t>
      </w:r>
      <w:r w:rsidRPr="00A15289">
        <w:t>would be</w:t>
      </w:r>
      <w:r>
        <w:t xml:space="preserve"> chiefly familiar </w:t>
      </w:r>
      <w:r w:rsidR="00E0771A" w:rsidRPr="00E0771A">
        <w:t xml:space="preserve">as a summons to battle or </w:t>
      </w:r>
      <w:r>
        <w:t xml:space="preserve">a </w:t>
      </w:r>
      <w:r w:rsidR="00E0771A" w:rsidRPr="00E0771A">
        <w:t>warning of attack, but</w:t>
      </w:r>
      <w:r w:rsidR="0041028D">
        <w:t xml:space="preserve"> </w:t>
      </w:r>
      <w:r w:rsidR="00E0771A" w:rsidRPr="00E0771A">
        <w:t xml:space="preserve">the sounding of a silver bugle </w:t>
      </w:r>
      <w:r w:rsidR="0041028D">
        <w:t>would evoke</w:t>
      </w:r>
      <w:r w:rsidR="0041028D" w:rsidRPr="00E0771A">
        <w:t xml:space="preserve"> </w:t>
      </w:r>
      <w:r w:rsidR="00E0771A" w:rsidRPr="00E0771A">
        <w:t xml:space="preserve">the context of worship. </w:t>
      </w:r>
      <w:r w:rsidR="0041028D">
        <w:t>When t</w:t>
      </w:r>
      <w:r w:rsidR="00E0771A" w:rsidRPr="00E0771A">
        <w:t>he two instruments appear together elsewhere (1 Chron. 15:28; 2 Chron. 15:14; Ps. 98:6</w:t>
      </w:r>
      <w:r w:rsidR="0041028D">
        <w:t xml:space="preserve">) </w:t>
      </w:r>
      <w:r>
        <w:t xml:space="preserve">it is </w:t>
      </w:r>
      <w:r w:rsidR="00E0771A" w:rsidRPr="00E0771A">
        <w:t>in connection with worship</w:t>
      </w:r>
      <w:r>
        <w:t>, but the context here suggests war</w:t>
      </w:r>
      <w:r w:rsidR="00E0771A" w:rsidRPr="00E0771A">
        <w:t xml:space="preserve">. </w:t>
      </w:r>
      <w:r w:rsidRPr="00A15289">
        <w:t xml:space="preserve">So the exhortation </w:t>
      </w:r>
      <w:r>
        <w:t>suggests</w:t>
      </w:r>
      <w:r w:rsidRPr="00A15289">
        <w:t xml:space="preserve"> both a battle summons or warning and a summons to worship. </w:t>
      </w:r>
      <w:r w:rsidR="000B5EF6">
        <w:t>T</w:t>
      </w:r>
      <w:r w:rsidR="00163E44">
        <w:t>he metap</w:t>
      </w:r>
      <w:r w:rsidR="0089689C">
        <w:t xml:space="preserve">horical sounding </w:t>
      </w:r>
      <w:r w:rsidR="00520124">
        <w:t xml:space="preserve">is to </w:t>
      </w:r>
      <w:r w:rsidR="000B5EF6">
        <w:t xml:space="preserve">happen </w:t>
      </w:r>
      <w:r w:rsidR="0041028D">
        <w:t xml:space="preserve">in Benjamin, </w:t>
      </w:r>
      <w:r w:rsidR="000B5EF6">
        <w:t xml:space="preserve">in </w:t>
      </w:r>
      <w:r w:rsidR="00520124" w:rsidRPr="00520124">
        <w:t>Gibeah, Ramah, and the border town of Beth-el (</w:t>
      </w:r>
      <w:r w:rsidR="00520124">
        <w:t>see on 4:15), which</w:t>
      </w:r>
      <w:r w:rsidR="000B5EF6">
        <w:t xml:space="preserve"> </w:t>
      </w:r>
      <w:r w:rsidR="0089689C">
        <w:t>are all</w:t>
      </w:r>
      <w:r w:rsidR="00163E44">
        <w:t xml:space="preserve"> </w:t>
      </w:r>
      <w:r w:rsidR="000B5EF6">
        <w:t>near</w:t>
      </w:r>
      <w:r w:rsidR="0096393C">
        <w:t xml:space="preserve"> each other </w:t>
      </w:r>
      <w:r w:rsidR="00163E44">
        <w:t xml:space="preserve">on </w:t>
      </w:r>
      <w:r w:rsidR="0096393C">
        <w:t>the way from Judah to Ephraim</w:t>
      </w:r>
      <w:r w:rsidR="00520124">
        <w:t>.</w:t>
      </w:r>
      <w:r w:rsidR="005D66A1">
        <w:t xml:space="preserve"> </w:t>
      </w:r>
      <w:r w:rsidR="00163E44">
        <w:t>Benjamin</w:t>
      </w:r>
      <w:r w:rsidR="00104FB8">
        <w:t xml:space="preserve"> sometimes counted as part of Judah and sometim</w:t>
      </w:r>
      <w:r w:rsidR="0041028D">
        <w:t>es as part of Ephraim. W</w:t>
      </w:r>
      <w:r w:rsidR="00104FB8">
        <w:t>hen</w:t>
      </w:r>
      <w:r w:rsidR="0041028D">
        <w:t>ever</w:t>
      </w:r>
      <w:r w:rsidR="00104FB8">
        <w:t xml:space="preserve"> Ephraim was marching south o</w:t>
      </w:r>
      <w:r w:rsidR="00520124">
        <w:t xml:space="preserve">r Judah </w:t>
      </w:r>
      <w:r w:rsidR="0041028D">
        <w:t xml:space="preserve">was </w:t>
      </w:r>
      <w:r w:rsidR="00520124">
        <w:t>marching north,</w:t>
      </w:r>
      <w:r w:rsidR="00104FB8">
        <w:t xml:space="preserve"> </w:t>
      </w:r>
      <w:r w:rsidR="00520124">
        <w:t>the sound of alarm would be</w:t>
      </w:r>
      <w:r w:rsidR="0089689C">
        <w:t xml:space="preserve"> needed</w:t>
      </w:r>
      <w:r w:rsidR="00520124">
        <w:t xml:space="preserve"> in </w:t>
      </w:r>
      <w:r w:rsidR="00520124" w:rsidRPr="00520124">
        <w:t>Benjamin and its towns</w:t>
      </w:r>
      <w:r w:rsidR="0089689C">
        <w:t>; see e.g., 1 Kings 5:16-22; and closer to Hosea’s time, 2 Kings 14:8-14.</w:t>
      </w:r>
      <w:r w:rsidR="008312A3">
        <w:t xml:space="preserve"> </w:t>
      </w:r>
      <w:r w:rsidR="003B00B4">
        <w:t>“Behind you, Benjamin” might be a warning or an encouragement.</w:t>
      </w:r>
    </w:p>
    <w:p w:rsidR="00BD039D" w:rsidRDefault="00104FB8" w:rsidP="001920FA">
      <w:r>
        <w:t>On this occasion (v. 9</w:t>
      </w:r>
      <w:r w:rsidR="00BD039D">
        <w:t>a</w:t>
      </w:r>
      <w:r>
        <w:t xml:space="preserve">) </w:t>
      </w:r>
      <w:r w:rsidR="008E56E4">
        <w:t xml:space="preserve">the </w:t>
      </w:r>
      <w:r w:rsidR="008312A3">
        <w:t xml:space="preserve">coming battle </w:t>
      </w:r>
      <w:r w:rsidR="008E56E4">
        <w:t>is one Ephraim will lose (cf. the promise to Judah in Isa</w:t>
      </w:r>
      <w:r w:rsidR="00B042B8">
        <w:t>.</w:t>
      </w:r>
      <w:r w:rsidR="008E56E4">
        <w:t xml:space="preserve"> 7:1-17). Ephraim is</w:t>
      </w:r>
      <w:r w:rsidR="0041028D">
        <w:t xml:space="preserve"> going to be desolated: the noun</w:t>
      </w:r>
      <w:r w:rsidR="008E56E4">
        <w:t xml:space="preserve"> (</w:t>
      </w:r>
      <w:r w:rsidR="008E56E4">
        <w:rPr>
          <w:i/>
        </w:rPr>
        <w:t>šammāh</w:t>
      </w:r>
      <w:r w:rsidR="008E56E4">
        <w:t>) can refer both to physical devastation and to the loss of morale that follows. It will not be just</w:t>
      </w:r>
      <w:r w:rsidR="00B042B8">
        <w:t xml:space="preserve"> a military reversal but</w:t>
      </w:r>
      <w:r w:rsidR="008E56E4">
        <w:t xml:space="preserve"> a day of reproof. Yahweh is by impl</w:t>
      </w:r>
      <w:r w:rsidR="008312A3">
        <w:t xml:space="preserve">ication the reprover. He is </w:t>
      </w:r>
      <w:r w:rsidR="00B042B8">
        <w:t xml:space="preserve">implementing the </w:t>
      </w:r>
      <w:r w:rsidR="008E56E4">
        <w:t xml:space="preserve">threats Hosea has uttered (there is an ironic link with </w:t>
      </w:r>
      <w:r w:rsidR="00783A54">
        <w:t>4:4) and the curses threatened in Deuteronomy 28 (for “</w:t>
      </w:r>
      <w:r w:rsidR="008312A3">
        <w:t>desolation,” see Deut</w:t>
      </w:r>
      <w:r w:rsidR="00B042B8">
        <w:t>.</w:t>
      </w:r>
      <w:r w:rsidR="008312A3">
        <w:t xml:space="preserve"> 28:37</w:t>
      </w:r>
      <w:r w:rsidR="00783A54">
        <w:t xml:space="preserve">). </w:t>
      </w:r>
    </w:p>
    <w:p w:rsidR="005B0D3B" w:rsidRDefault="005B0D3B" w:rsidP="00BD039D"/>
    <w:p w:rsidR="00BD039D" w:rsidRPr="00BD039D" w:rsidRDefault="00AA7A0C" w:rsidP="00BD039D">
      <w:r>
        <w:rPr>
          <w:b/>
        </w:rPr>
        <w:t>Hosea 5:9b-13a</w:t>
      </w:r>
      <w:r w:rsidRPr="00AA7A0C">
        <w:rPr>
          <w:b/>
        </w:rPr>
        <w:t>αβ</w:t>
      </w:r>
      <w:r w:rsidR="005B0D3B">
        <w:rPr>
          <w:b/>
        </w:rPr>
        <w:t xml:space="preserve">. </w:t>
      </w:r>
      <w:r w:rsidR="00BA4B7E">
        <w:t xml:space="preserve">When Hosea </w:t>
      </w:r>
      <w:r w:rsidR="00BD039D">
        <w:t>goes on to allude</w:t>
      </w:r>
      <w:r w:rsidR="005B0D3B">
        <w:t xml:space="preserve"> to the clans of Israel </w:t>
      </w:r>
      <w:r w:rsidR="0026431F">
        <w:t xml:space="preserve">(5:9b) </w:t>
      </w:r>
      <w:r w:rsidR="00BA4B7E">
        <w:t xml:space="preserve">one would </w:t>
      </w:r>
      <w:r w:rsidR="00B042B8">
        <w:t>initially</w:t>
      </w:r>
      <w:r w:rsidR="00BD039D">
        <w:t xml:space="preserve"> </w:t>
      </w:r>
      <w:r w:rsidR="00BA4B7E">
        <w:t xml:space="preserve">assume </w:t>
      </w:r>
      <w:r w:rsidR="00BD039D">
        <w:t xml:space="preserve">that “Israel” </w:t>
      </w:r>
      <w:r w:rsidR="00B042B8">
        <w:t>denotes</w:t>
      </w:r>
      <w:r w:rsidR="00BA4B7E">
        <w:t xml:space="preserve"> </w:t>
      </w:r>
      <w:r w:rsidR="00BD039D">
        <w:t>“</w:t>
      </w:r>
      <w:r w:rsidR="00E72E4A">
        <w:t>Ephraim</w:t>
      </w:r>
      <w:r w:rsidR="00BD039D">
        <w:t>”</w:t>
      </w:r>
      <w:r w:rsidR="00BA4B7E">
        <w:t xml:space="preserve"> </w:t>
      </w:r>
      <w:r w:rsidR="00E72E4A">
        <w:t>as in previous sections, but he will later use</w:t>
      </w:r>
      <w:r w:rsidR="00BA4B7E">
        <w:t xml:space="preserve"> “Israel”</w:t>
      </w:r>
      <w:r w:rsidR="00E72E4A">
        <w:t xml:space="preserve"> to denote</w:t>
      </w:r>
      <w:r w:rsidR="00BA4B7E">
        <w:t xml:space="preserve"> </w:t>
      </w:r>
      <w:r w:rsidR="00BA4B7E">
        <w:lastRenderedPageBreak/>
        <w:t xml:space="preserve">the entire people of God (see 6:11b—7:1; 9:10; </w:t>
      </w:r>
      <w:r w:rsidR="0041028D">
        <w:t>11:1; 12:13; 14:1, 5). H</w:t>
      </w:r>
      <w:r w:rsidR="00E72E4A">
        <w:t xml:space="preserve">ere the allusion prepares the way for the </w:t>
      </w:r>
      <w:r w:rsidR="00B042B8">
        <w:t>next verse and the concern</w:t>
      </w:r>
      <w:r w:rsidR="00E72E4A">
        <w:t xml:space="preserve"> with both Ephraim and Judah in this section.</w:t>
      </w:r>
      <w:r w:rsidR="0041028D">
        <w:t xml:space="preserve"> “M</w:t>
      </w:r>
      <w:r w:rsidR="00B45779">
        <w:t>aking known</w:t>
      </w:r>
      <w:r w:rsidR="00B042B8">
        <w:t xml:space="preserve"> s</w:t>
      </w:r>
      <w:r w:rsidR="0041028D">
        <w:t>omething truthful” applies to Hosea’</w:t>
      </w:r>
      <w:r w:rsidR="00B042B8">
        <w:t>s declarations</w:t>
      </w:r>
      <w:r w:rsidR="00B45779">
        <w:t xml:space="preserve"> about Ephraim but</w:t>
      </w:r>
      <w:r w:rsidR="00B042B8">
        <w:t xml:space="preserve"> also to his imminent declarations</w:t>
      </w:r>
      <w:r w:rsidR="00B45779">
        <w:t xml:space="preserve"> about Judah. </w:t>
      </w:r>
      <w:r w:rsidR="00BD039D">
        <w:t>All Israel</w:t>
      </w:r>
      <w:r w:rsidR="00BD039D" w:rsidRPr="00BD039D">
        <w:t xml:space="preserve"> will be wise </w:t>
      </w:r>
      <w:r w:rsidR="00BD039D">
        <w:t>to take notice of what Yahweh i</w:t>
      </w:r>
      <w:r w:rsidR="00BD039D" w:rsidRPr="00BD039D">
        <w:t xml:space="preserve">s </w:t>
      </w:r>
      <w:r w:rsidR="00BD039D">
        <w:t>here reliably declaring</w:t>
      </w:r>
      <w:r w:rsidR="00BD039D" w:rsidRPr="00BD039D">
        <w:t>. When Yahweh says that something is going to happen, it happens</w:t>
      </w:r>
      <w:r w:rsidR="00B042B8">
        <w:t xml:space="preserve"> (even if not in the literal way in which the words speak)</w:t>
      </w:r>
      <w:r w:rsidR="00BD039D" w:rsidRPr="00BD039D">
        <w:t>. The metaphorical alarm needs to be heeded in the appropriate literal way, and not merely by shutting the gates of the towns that have been named</w:t>
      </w:r>
      <w:r w:rsidR="00BD039D">
        <w:t>, and not merely in Benjamin</w:t>
      </w:r>
      <w:r w:rsidR="00BD039D" w:rsidRPr="00BD039D">
        <w:t xml:space="preserve">. </w:t>
      </w:r>
    </w:p>
    <w:p w:rsidR="00C75A6F" w:rsidRDefault="00B042B8" w:rsidP="001920FA">
      <w:r>
        <w:t>O</w:t>
      </w:r>
      <w:r w:rsidR="00053B6F">
        <w:t>n this occasion Judah is appropriatin</w:t>
      </w:r>
      <w:r>
        <w:t>g territory (v. 10a). “B</w:t>
      </w:r>
      <w:r w:rsidR="00053B6F">
        <w:t>oundary-mover</w:t>
      </w:r>
      <w:r>
        <w:t>”</w:t>
      </w:r>
      <w:r w:rsidR="00053B6F">
        <w:t xml:space="preserve"> elsewhere refers to someone surreptitiously moving the </w:t>
      </w:r>
      <w:r>
        <w:t xml:space="preserve">boundary stone </w:t>
      </w:r>
      <w:r w:rsidR="00053B6F">
        <w:t>between his family’s land and his neighbor’s (e.g., Deut</w:t>
      </w:r>
      <w:r>
        <w:t>.</w:t>
      </w:r>
      <w:r w:rsidR="00053B6F">
        <w:t xml:space="preserve"> 19:14; Prov</w:t>
      </w:r>
      <w:r>
        <w:t>.</w:t>
      </w:r>
      <w:r w:rsidR="00053B6F">
        <w:t xml:space="preserve"> 22:28)</w:t>
      </w:r>
      <w:r>
        <w:t>. Hosea applies the idea</w:t>
      </w:r>
      <w:r w:rsidR="0041028D">
        <w:t xml:space="preserve"> to a</w:t>
      </w:r>
      <w:r w:rsidR="00EF1715">
        <w:t xml:space="preserve"> larger-scale appropriation of land by Judah</w:t>
      </w:r>
      <w:r w:rsidR="00BD039D">
        <w:t>,</w:t>
      </w:r>
      <w:r>
        <w:t xml:space="preserve"> which Hosea pictures </w:t>
      </w:r>
      <w:r w:rsidR="00C75A6F">
        <w:t>happening in</w:t>
      </w:r>
      <w:r w:rsidR="00EF1715">
        <w:t xml:space="preserve"> Benjamin</w:t>
      </w:r>
      <w:r w:rsidR="00C75A6F">
        <w:t xml:space="preserve"> and/or in</w:t>
      </w:r>
      <w:r w:rsidR="004742BF">
        <w:t xml:space="preserve"> area</w:t>
      </w:r>
      <w:r>
        <w:t>s</w:t>
      </w:r>
      <w:r w:rsidR="004742BF">
        <w:t xml:space="preserve"> within Ephraim itself</w:t>
      </w:r>
      <w:r w:rsidR="00EF1715">
        <w:t xml:space="preserve">. </w:t>
      </w:r>
    </w:p>
    <w:p w:rsidR="005B0D3B" w:rsidRDefault="00C75A6F" w:rsidP="001920FA">
      <w:r>
        <w:t xml:space="preserve">Judah </w:t>
      </w:r>
      <w:r w:rsidR="00EF1715">
        <w:t xml:space="preserve">will pay the penalty (v. 10b). No penalty is laid down for </w:t>
      </w:r>
      <w:r w:rsidR="00A93EC6">
        <w:t>s</w:t>
      </w:r>
      <w:r w:rsidR="00BD039D">
        <w:t xml:space="preserve">omeone who undertakes </w:t>
      </w:r>
      <w:r w:rsidR="00EF1715">
        <w:t>the literal action in</w:t>
      </w:r>
      <w:r w:rsidR="00BD039D">
        <w:t xml:space="preserve"> the Torah and in Proverbs; </w:t>
      </w:r>
      <w:r w:rsidR="0041028D">
        <w:t xml:space="preserve">perhaps </w:t>
      </w:r>
      <w:r w:rsidR="00BD039D">
        <w:t xml:space="preserve">the </w:t>
      </w:r>
      <w:r w:rsidR="00EF1715">
        <w:t xml:space="preserve">implication </w:t>
      </w:r>
      <w:r w:rsidR="00BD039D">
        <w:t xml:space="preserve">is </w:t>
      </w:r>
      <w:r w:rsidR="00EF1715">
        <w:t xml:space="preserve">that it’s not something anyone would think about. </w:t>
      </w:r>
      <w:r>
        <w:t>I</w:t>
      </w:r>
      <w:r w:rsidR="00BD039D">
        <w:t xml:space="preserve">n connection with this boundary-moving, </w:t>
      </w:r>
      <w:r w:rsidRPr="00C75A6F">
        <w:t xml:space="preserve">the Ephraimite audience will be glad to hear </w:t>
      </w:r>
      <w:r>
        <w:t xml:space="preserve">that </w:t>
      </w:r>
      <w:r w:rsidR="00BD039D">
        <w:t>t</w:t>
      </w:r>
      <w:r w:rsidR="00EF1715">
        <w:t>errible punis</w:t>
      </w:r>
      <w:r>
        <w:t>hment will be imposed on Judah</w:t>
      </w:r>
      <w:r w:rsidR="0041028D">
        <w:t>.</w:t>
      </w:r>
      <w:r w:rsidR="00BD039D">
        <w:t xml:space="preserve"> Hosea</w:t>
      </w:r>
      <w:r w:rsidR="00BD039D" w:rsidRPr="00BD039D">
        <w:t xml:space="preserve"> is not some Judahite sympathizer but the messenger of the One who is God of all the clans of Israel.</w:t>
      </w:r>
      <w:r w:rsidR="00BD039D" w:rsidRPr="00BD039D">
        <w:rPr>
          <w:vertAlign w:val="superscript"/>
        </w:rPr>
        <w:footnoteReference w:id="274"/>
      </w:r>
      <w:r>
        <w:t xml:space="preserve"> The action </w:t>
      </w:r>
      <w:r w:rsidR="00BD039D">
        <w:t>will involve</w:t>
      </w:r>
      <w:r>
        <w:t xml:space="preserve"> fury </w:t>
      </w:r>
      <w:r w:rsidR="00EF1715">
        <w:t>like an overwhelming flash flood pouring out</w:t>
      </w:r>
      <w:r w:rsidR="0041028D">
        <w:t xml:space="preserve"> (the word for fury recalls another</w:t>
      </w:r>
      <w:r w:rsidRPr="00C75A6F">
        <w:t xml:space="preserve"> verb meanin</w:t>
      </w:r>
      <w:r>
        <w:t>g overflow)</w:t>
      </w:r>
      <w:r w:rsidR="00EF1715">
        <w:t>. Yahweh will personally bring it about.</w:t>
      </w:r>
    </w:p>
    <w:p w:rsidR="002B5A3D" w:rsidRDefault="00615587" w:rsidP="001920FA">
      <w:r>
        <w:t>Hosea goes on to invite people</w:t>
      </w:r>
      <w:r w:rsidRPr="00615587">
        <w:t xml:space="preserve"> into a different act of imagination</w:t>
      </w:r>
      <w:r>
        <w:t xml:space="preserve"> (v. 11</w:t>
      </w:r>
      <w:r w:rsidR="00131616">
        <w:t>a</w:t>
      </w:r>
      <w:r>
        <w:t xml:space="preserve">) from the </w:t>
      </w:r>
      <w:r w:rsidR="0041028D">
        <w:t>one in v. 8</w:t>
      </w:r>
      <w:r w:rsidR="00131616" w:rsidRPr="00131616">
        <w:t>.</w:t>
      </w:r>
      <w:r w:rsidR="00131616">
        <w:t xml:space="preserve"> </w:t>
      </w:r>
      <w:r w:rsidR="005B0D3B">
        <w:t>T</w:t>
      </w:r>
      <w:r w:rsidR="00131616">
        <w:t xml:space="preserve">he verbs </w:t>
      </w:r>
      <w:r w:rsidR="009C2948">
        <w:t>are participles</w:t>
      </w:r>
      <w:r w:rsidR="00D90AA9">
        <w:t xml:space="preserve"> and there ar</w:t>
      </w:r>
      <w:r w:rsidR="00D018A6">
        <w:t>e no verbs in v. 12</w:t>
      </w:r>
      <w:r w:rsidR="00277CA8">
        <w:t xml:space="preserve">; </w:t>
      </w:r>
      <w:r w:rsidR="00110AB9">
        <w:t xml:space="preserve">the absence of any marker </w:t>
      </w:r>
      <w:r w:rsidR="00277CA8">
        <w:t>of a change in perspective suggests</w:t>
      </w:r>
      <w:r w:rsidR="00C75A6F">
        <w:t xml:space="preserve"> that Hosea </w:t>
      </w:r>
      <w:r w:rsidR="005B0D3B">
        <w:t>continu</w:t>
      </w:r>
      <w:r w:rsidR="00C75A6F">
        <w:t>es to speak of the future</w:t>
      </w:r>
      <w:r w:rsidR="00AD0E01">
        <w:t>. H</w:t>
      </w:r>
      <w:r w:rsidR="00C75A6F">
        <w:t>e</w:t>
      </w:r>
      <w:r w:rsidR="005B0D3B">
        <w:t xml:space="preserve"> is </w:t>
      </w:r>
      <w:r w:rsidR="00110AB9">
        <w:t>projecting himself a</w:t>
      </w:r>
      <w:r w:rsidR="005B0D3B">
        <w:t xml:space="preserve">nd his audience into the </w:t>
      </w:r>
      <w:r w:rsidR="00C75A6F">
        <w:t xml:space="preserve">situation </w:t>
      </w:r>
      <w:r w:rsidR="00110AB9">
        <w:t>when disaster</w:t>
      </w:r>
      <w:r w:rsidR="00277CA8">
        <w:t xml:space="preserve"> has</w:t>
      </w:r>
      <w:r w:rsidR="005B0D3B">
        <w:t xml:space="preserve"> happened. </w:t>
      </w:r>
      <w:r w:rsidR="009C2948">
        <w:t>They are to picture themselves oppressed: the word describes the repressive and harsh treatment o</w:t>
      </w:r>
      <w:r w:rsidR="005B0D3B">
        <w:t>f the powerless by the powerful</w:t>
      </w:r>
      <w:r w:rsidR="009C2948">
        <w:t xml:space="preserve"> within the community or by a big</w:t>
      </w:r>
      <w:r w:rsidR="00AD0E01">
        <w:t>ger national power, typically through</w:t>
      </w:r>
      <w:r w:rsidR="009C2948">
        <w:t xml:space="preserve"> </w:t>
      </w:r>
      <w:r w:rsidR="001760FB">
        <w:t>appropriating their resources</w:t>
      </w:r>
      <w:r w:rsidR="009C2948">
        <w:t xml:space="preserve"> (e.g., </w:t>
      </w:r>
      <w:r w:rsidR="00E828F2">
        <w:t>1 Sam</w:t>
      </w:r>
      <w:r w:rsidR="00AD0E01">
        <w:t>.</w:t>
      </w:r>
      <w:r w:rsidR="00E828F2">
        <w:t xml:space="preserve"> 12:3, 4; </w:t>
      </w:r>
      <w:r w:rsidR="009C2948">
        <w:t>Isa</w:t>
      </w:r>
      <w:r w:rsidR="00AD0E01">
        <w:t>.</w:t>
      </w:r>
      <w:r w:rsidR="009C2948">
        <w:t xml:space="preserve"> 52:4; Mic</w:t>
      </w:r>
      <w:r w:rsidR="00AD0E01">
        <w:t>.</w:t>
      </w:r>
      <w:r w:rsidR="009C2948">
        <w:t xml:space="preserve"> 2:2)</w:t>
      </w:r>
      <w:r w:rsidR="00AD0E01">
        <w:t xml:space="preserve">. </w:t>
      </w:r>
      <w:r w:rsidR="001760FB">
        <w:t xml:space="preserve">Ephraim is </w:t>
      </w:r>
      <w:r w:rsidR="00AD0E01">
        <w:t xml:space="preserve">itself </w:t>
      </w:r>
      <w:r w:rsidR="001760FB">
        <w:t xml:space="preserve">guilty </w:t>
      </w:r>
      <w:r w:rsidR="00AD0E01">
        <w:t xml:space="preserve">of oppression </w:t>
      </w:r>
      <w:r w:rsidR="001760FB">
        <w:t>(Hos</w:t>
      </w:r>
      <w:r w:rsidR="00AD0E01">
        <w:t xml:space="preserve">. 12:7 [8]; Amos 4:1), so there’s </w:t>
      </w:r>
      <w:r w:rsidR="001760FB">
        <w:t xml:space="preserve">poetic justice in oppression being its </w:t>
      </w:r>
      <w:r w:rsidR="00277CA8">
        <w:t>fate. I</w:t>
      </w:r>
      <w:r w:rsidR="00AD0E01">
        <w:t xml:space="preserve">f it seems unfair to </w:t>
      </w:r>
      <w:r w:rsidR="00131616">
        <w:t>people within Ephraim who are already</w:t>
      </w:r>
      <w:r w:rsidR="005B0D3B">
        <w:t xml:space="preserve"> </w:t>
      </w:r>
      <w:r w:rsidR="001760FB">
        <w:t xml:space="preserve">oppressed, one might hypothesize that by definition they </w:t>
      </w:r>
      <w:r w:rsidR="005B0D3B">
        <w:t xml:space="preserve">actually </w:t>
      </w:r>
      <w:r w:rsidR="001760FB">
        <w:t>have little to lose, but in speaking of the fate of Ephraim or Judah as a whole, the Prophets do not take this consideration into acco</w:t>
      </w:r>
      <w:r w:rsidR="00277CA8">
        <w:t>unt</w:t>
      </w:r>
      <w:r w:rsidR="001760FB">
        <w:t xml:space="preserve">. The rarer and more concrete </w:t>
      </w:r>
      <w:r w:rsidR="0027498E">
        <w:t xml:space="preserve">“harassed” or </w:t>
      </w:r>
      <w:r w:rsidR="001760FB">
        <w:t>“crushed” or “broken” then underlines the point (</w:t>
      </w:r>
      <w:r w:rsidR="00E828F2">
        <w:t xml:space="preserve">it accompanies “oppressed” in </w:t>
      </w:r>
      <w:r w:rsidR="00E828F2" w:rsidRPr="00E828F2">
        <w:t>1 Sam</w:t>
      </w:r>
      <w:r w:rsidR="00AD0E01">
        <w:t>.</w:t>
      </w:r>
      <w:r w:rsidR="00E828F2" w:rsidRPr="00E828F2">
        <w:t xml:space="preserve"> 12:3, 4</w:t>
      </w:r>
      <w:r w:rsidR="00E828F2">
        <w:t xml:space="preserve">; </w:t>
      </w:r>
      <w:r w:rsidR="001760FB">
        <w:t>Amos 4:1</w:t>
      </w:r>
      <w:r w:rsidR="00E828F2">
        <w:t xml:space="preserve">). </w:t>
      </w:r>
      <w:r w:rsidR="00131616">
        <w:t>T</w:t>
      </w:r>
      <w:r w:rsidR="00AD0E01">
        <w:t xml:space="preserve">he two </w:t>
      </w:r>
      <w:r w:rsidR="00D90AA9">
        <w:t xml:space="preserve">participles </w:t>
      </w:r>
      <w:r w:rsidR="00131616">
        <w:t xml:space="preserve">come together </w:t>
      </w:r>
      <w:r w:rsidR="00D90AA9">
        <w:t>in De</w:t>
      </w:r>
      <w:r w:rsidR="00131616">
        <w:t>uteronomy 28:33:</w:t>
      </w:r>
      <w:r w:rsidR="005B0D3B">
        <w:t xml:space="preserve"> </w:t>
      </w:r>
      <w:r w:rsidR="00D90AA9">
        <w:t xml:space="preserve">Hosea </w:t>
      </w:r>
      <w:r w:rsidR="005B0D3B">
        <w:t>is again portraying</w:t>
      </w:r>
      <w:r w:rsidR="00D90AA9">
        <w:t xml:space="preserve"> </w:t>
      </w:r>
      <w:r w:rsidR="00AD0E01">
        <w:t>an</w:t>
      </w:r>
      <w:r w:rsidR="00A24CC8">
        <w:t xml:space="preserve"> </w:t>
      </w:r>
      <w:r w:rsidR="00AD0E01">
        <w:t>implementation of the kind of curses that appear in</w:t>
      </w:r>
      <w:r w:rsidR="00A24CC8">
        <w:t xml:space="preserve"> </w:t>
      </w:r>
      <w:r w:rsidR="00277CA8">
        <w:t>the Torah</w:t>
      </w:r>
      <w:r w:rsidR="00D90AA9">
        <w:t>.</w:t>
      </w:r>
      <w:r w:rsidR="00131616">
        <w:t xml:space="preserve"> </w:t>
      </w:r>
      <w:r w:rsidR="00131616" w:rsidRPr="00131616">
        <w:t>Yahweh is the unspecified subject of the passive verbs</w:t>
      </w:r>
      <w:r w:rsidR="00131616">
        <w:t xml:space="preserve"> here, but reticence about quite </w:t>
      </w:r>
      <w:r w:rsidR="00131616" w:rsidRPr="00131616">
        <w:t>saying so is appropriate; the only passage where Yahweh is explicitly the agent of oppression or harassment is an accusation in Job 10:3</w:t>
      </w:r>
      <w:r w:rsidR="00131616">
        <w:t xml:space="preserve">. </w:t>
      </w:r>
      <w:r w:rsidR="005B0D3B">
        <w:t>Like “reproof” in v. 9</w:t>
      </w:r>
      <w:r w:rsidR="00131616">
        <w:t xml:space="preserve">, reference to </w:t>
      </w:r>
      <w:r w:rsidR="00E828F2">
        <w:t>“</w:t>
      </w:r>
      <w:r w:rsidR="000E7E54">
        <w:t>the making of decisions</w:t>
      </w:r>
      <w:r w:rsidR="00277CA8">
        <w:t xml:space="preserve">,” </w:t>
      </w:r>
      <w:r w:rsidR="000E7E54">
        <w:t>the exercise of authority</w:t>
      </w:r>
      <w:r w:rsidR="00E828F2">
        <w:t xml:space="preserve"> or judgment (</w:t>
      </w:r>
      <w:r w:rsidR="00E828F2">
        <w:rPr>
          <w:i/>
        </w:rPr>
        <w:t>mišpāṭ</w:t>
      </w:r>
      <w:r w:rsidR="00E828F2">
        <w:t>)</w:t>
      </w:r>
      <w:r w:rsidR="00277CA8">
        <w:t>,</w:t>
      </w:r>
      <w:r w:rsidR="00E828F2">
        <w:t xml:space="preserve"> reaffirms that Hosea is not talking about a mere military or political re</w:t>
      </w:r>
      <w:r w:rsidR="00AD0E01">
        <w:t xml:space="preserve">versal but about something </w:t>
      </w:r>
      <w:r w:rsidR="00E828F2">
        <w:t xml:space="preserve">Yahweh has brought about as an expression of his governing the world in the right way. Ephraim was supposed to be responsible for </w:t>
      </w:r>
      <w:r w:rsidR="009E131B">
        <w:t xml:space="preserve">the proper exercise of authority in its own life but </w:t>
      </w:r>
      <w:r w:rsidR="00277CA8">
        <w:t xml:space="preserve">it </w:t>
      </w:r>
      <w:r w:rsidR="009E131B">
        <w:t>has fai</w:t>
      </w:r>
      <w:r w:rsidR="00277CA8">
        <w:t xml:space="preserve">led (cf. </w:t>
      </w:r>
      <w:r w:rsidR="00277CA8" w:rsidRPr="00277CA8">
        <w:t>5:1</w:t>
      </w:r>
      <w:r w:rsidR="00277CA8">
        <w:t xml:space="preserve">; </w:t>
      </w:r>
      <w:r w:rsidR="00131616">
        <w:t xml:space="preserve">10:4; </w:t>
      </w:r>
      <w:r w:rsidR="00277CA8" w:rsidRPr="00277CA8">
        <w:t>the promise in 2:19 [21]; a</w:t>
      </w:r>
      <w:r w:rsidR="00131616">
        <w:t>nd the exhortation in 12:6 [7])</w:t>
      </w:r>
      <w:r w:rsidR="00277CA8">
        <w:t xml:space="preserve">; </w:t>
      </w:r>
      <w:r w:rsidR="00131616">
        <w:t xml:space="preserve">also </w:t>
      </w:r>
      <w:r w:rsidR="00277CA8">
        <w:t>Amos 5:7; 6:12). I</w:t>
      </w:r>
      <w:r w:rsidR="00131616">
        <w:t>ts being the victim of Yahweh’s</w:t>
      </w:r>
      <w:r w:rsidR="009E131B">
        <w:t xml:space="preserve"> </w:t>
      </w:r>
      <w:r w:rsidR="009E131B" w:rsidRPr="009E131B">
        <w:t xml:space="preserve">exercise of authority </w:t>
      </w:r>
      <w:r w:rsidR="00E828F2">
        <w:t xml:space="preserve">is a further </w:t>
      </w:r>
      <w:r w:rsidR="009E131B">
        <w:t xml:space="preserve">act of </w:t>
      </w:r>
      <w:r w:rsidR="00E828F2">
        <w:t xml:space="preserve">poetic </w:t>
      </w:r>
      <w:r w:rsidR="009E131B">
        <w:t>justice (</w:t>
      </w:r>
      <w:r w:rsidR="009E131B">
        <w:rPr>
          <w:i/>
        </w:rPr>
        <w:t>sic</w:t>
      </w:r>
      <w:r w:rsidR="00277CA8">
        <w:t xml:space="preserve">). </w:t>
      </w:r>
    </w:p>
    <w:p w:rsidR="009E131B" w:rsidRPr="009E131B" w:rsidRDefault="009E131B" w:rsidP="001920FA">
      <w:r>
        <w:t>The reason why Ephraim will be in this state</w:t>
      </w:r>
      <w:r w:rsidR="00C73228">
        <w:t xml:space="preserve"> </w:t>
      </w:r>
      <w:r w:rsidR="00AD0E01" w:rsidRPr="00AD0E01">
        <w:t>(v. 11b</w:t>
      </w:r>
      <w:r w:rsidR="00AD0E01">
        <w:t>)</w:t>
      </w:r>
      <w:r w:rsidR="00AD0E01" w:rsidRPr="00AD0E01">
        <w:t xml:space="preserve"> </w:t>
      </w:r>
      <w:r w:rsidR="00C73228">
        <w:t>is not that it lac</w:t>
      </w:r>
      <w:r w:rsidR="00AD0E01">
        <w:t>ked leadership or decisiveness. I</w:t>
      </w:r>
      <w:r w:rsidR="00D018A6">
        <w:t>t has acted decisively but in the wrong direction.</w:t>
      </w:r>
      <w:r w:rsidR="00AD0E01">
        <w:t xml:space="preserve"> “Emptiness”</w:t>
      </w:r>
      <w:r w:rsidR="00131616">
        <w:t xml:space="preserve"> </w:t>
      </w:r>
      <w:r w:rsidR="004742BF">
        <w:t>refer</w:t>
      </w:r>
      <w:r w:rsidR="00131616">
        <w:t xml:space="preserve">s </w:t>
      </w:r>
      <w:r w:rsidR="004742BF">
        <w:t>to th</w:t>
      </w:r>
      <w:r w:rsidR="00131616">
        <w:t>e usual Ephraimite inclination to go</w:t>
      </w:r>
      <w:r w:rsidR="004742BF">
        <w:t xml:space="preserve"> after other gods or (more likely in the present conte</w:t>
      </w:r>
      <w:r w:rsidR="00131616">
        <w:t>xt) seek</w:t>
      </w:r>
      <w:r w:rsidR="00AD0E01">
        <w:t xml:space="preserve"> political alliances: perhaps a present</w:t>
      </w:r>
      <w:r w:rsidR="005B5333">
        <w:t xml:space="preserve"> alliance with Aram (cf. Isa</w:t>
      </w:r>
      <w:r w:rsidR="00AD0E01">
        <w:t>.</w:t>
      </w:r>
      <w:r w:rsidR="005B5333">
        <w:t xml:space="preserve"> 7), </w:t>
      </w:r>
      <w:r w:rsidR="00AD0E01">
        <w:t xml:space="preserve">but more likely (v. 13 will suggest) its </w:t>
      </w:r>
      <w:r w:rsidR="005B0D3B">
        <w:t>past recourse to Assyria</w:t>
      </w:r>
      <w:r w:rsidR="005B5333">
        <w:t>.</w:t>
      </w:r>
      <w:r w:rsidR="005B0D3B">
        <w:t xml:space="preserve"> </w:t>
      </w:r>
    </w:p>
    <w:p w:rsidR="003A7095" w:rsidRDefault="00AD0E01" w:rsidP="001920FA">
      <w:r w:rsidRPr="00AD0E01">
        <w:t xml:space="preserve">Yahweh goes on to describe his action </w:t>
      </w:r>
      <w:r w:rsidR="001F4C51">
        <w:t xml:space="preserve">even </w:t>
      </w:r>
      <w:r w:rsidRPr="00AD0E01">
        <w:t>more concretely and vividly (v. 12)</w:t>
      </w:r>
      <w:r w:rsidR="00D018A6">
        <w:t xml:space="preserve">. </w:t>
      </w:r>
      <w:r w:rsidR="00324CF7">
        <w:t>M</w:t>
      </w:r>
      <w:r w:rsidR="002B5A3D">
        <w:t>oth</w:t>
      </w:r>
      <w:r w:rsidR="001F4C51">
        <w:t xml:space="preserve"> and </w:t>
      </w:r>
      <w:r w:rsidR="001B3AB3">
        <w:t>decay</w:t>
      </w:r>
      <w:r w:rsidR="001F4C51">
        <w:t xml:space="preserve"> form a natural pair</w:t>
      </w:r>
      <w:r w:rsidR="0053584B">
        <w:t xml:space="preserve"> (cf. Job 13:28)</w:t>
      </w:r>
      <w:r w:rsidR="00324CF7">
        <w:t>. M</w:t>
      </w:r>
      <w:r w:rsidR="0053584B">
        <w:t>oth (like locust)</w:t>
      </w:r>
      <w:r w:rsidR="00EE168D">
        <w:t xml:space="preserve"> is a devastating affliction that</w:t>
      </w:r>
      <w:r w:rsidR="0053584B">
        <w:t xml:space="preserve"> totally destroys </w:t>
      </w:r>
      <w:r w:rsidR="0053584B">
        <w:lastRenderedPageBreak/>
        <w:t>things.</w:t>
      </w:r>
      <w:r w:rsidR="00750450">
        <w:t xml:space="preserve"> The further reference to Judah reaffirms that its being the agent whe</w:t>
      </w:r>
      <w:r w:rsidR="00324CF7">
        <w:t xml:space="preserve">reby Yahweh chastises Ephraim </w:t>
      </w:r>
      <w:r w:rsidR="001F4C51">
        <w:t>doesn’</w:t>
      </w:r>
      <w:r w:rsidR="005B5333">
        <w:t>t exempt Judah</w:t>
      </w:r>
      <w:r w:rsidR="00750450">
        <w:t xml:space="preserve"> from punishment for the wrongful act whereb</w:t>
      </w:r>
      <w:r w:rsidR="00324CF7">
        <w:t>y it fulfilled this role</w:t>
      </w:r>
      <w:r w:rsidR="00750450">
        <w:t>.</w:t>
      </w:r>
      <w:r w:rsidR="00DC4C10">
        <w:t xml:space="preserve"> </w:t>
      </w:r>
    </w:p>
    <w:p w:rsidR="001C6ADC" w:rsidRDefault="00EE168D" w:rsidP="001920FA">
      <w:r>
        <w:t>In the</w:t>
      </w:r>
      <w:r w:rsidR="00DC4C10">
        <w:t xml:space="preserve"> further, more conventional double image (v. 13a</w:t>
      </w:r>
      <w:r w:rsidR="004F4BCF">
        <w:t>αβ</w:t>
      </w:r>
      <w:r>
        <w:t>)</w:t>
      </w:r>
      <w:r w:rsidR="00DC4C10">
        <w:t xml:space="preserve"> the verbs are qatal, instances of the “prophetic perfect” which “imparts to descriptions of the future a forcible and expressive touch of reality, and reproduces vividly the certainty with which the occurrence of a yet future event is contemplated by the speaker.”</w:t>
      </w:r>
      <w:r w:rsidR="00DC4C10">
        <w:rPr>
          <w:rStyle w:val="FootnoteReference"/>
        </w:rPr>
        <w:footnoteReference w:id="275"/>
      </w:r>
      <w:r w:rsidR="00324CF7">
        <w:t xml:space="preserve"> “A</w:t>
      </w:r>
      <w:r w:rsidR="005B5333">
        <w:t>ilment</w:t>
      </w:r>
      <w:r w:rsidR="00324CF7">
        <w:t>”</w:t>
      </w:r>
      <w:r w:rsidR="005B5333">
        <w:t xml:space="preserve"> and </w:t>
      </w:r>
      <w:r w:rsidR="00324CF7">
        <w:t>“</w:t>
      </w:r>
      <w:r w:rsidR="005B5333">
        <w:t>woun</w:t>
      </w:r>
      <w:r w:rsidR="00C929F8">
        <w:t>d</w:t>
      </w:r>
      <w:r w:rsidR="00324CF7">
        <w:t>”</w:t>
      </w:r>
      <w:r w:rsidR="00C929F8">
        <w:t xml:space="preserve"> </w:t>
      </w:r>
      <w:r w:rsidR="00324CF7">
        <w:t>compare</w:t>
      </w:r>
      <w:r w:rsidR="00DC4C10">
        <w:t xml:space="preserve"> with Isaiah 1:5</w:t>
      </w:r>
      <w:r w:rsidR="00324CF7">
        <w:t>-6 but they are</w:t>
      </w:r>
      <w:r w:rsidR="00C929F8">
        <w:t xml:space="preserve"> the kind of </w:t>
      </w:r>
      <w:r w:rsidR="00324CF7">
        <w:t>thing that issue</w:t>
      </w:r>
      <w:r w:rsidR="00FA06A9">
        <w:t xml:space="preserve"> from </w:t>
      </w:r>
      <w:r w:rsidR="00C929F8">
        <w:t xml:space="preserve">failure </w:t>
      </w:r>
      <w:r w:rsidR="00FA06A9">
        <w:t xml:space="preserve">to keep the pact </w:t>
      </w:r>
      <w:r w:rsidR="00C929F8">
        <w:t>(Deut</w:t>
      </w:r>
      <w:r w:rsidR="00324CF7">
        <w:t>.</w:t>
      </w:r>
      <w:r w:rsidR="00C929F8">
        <w:t xml:space="preserve"> 28:69, 61).</w:t>
      </w:r>
      <w:r w:rsidR="005B5333">
        <w:t xml:space="preserve"> </w:t>
      </w:r>
      <w:r w:rsidR="001C6ADC">
        <w:t xml:space="preserve">While they have </w:t>
      </w:r>
      <w:r w:rsidR="00324CF7">
        <w:t>seen their lesions, otherwise “a</w:t>
      </w:r>
      <w:r w:rsidR="001C6ADC">
        <w:t xml:space="preserve"> blindness has fallen upon Ephraim and Judah.”</w:t>
      </w:r>
      <w:r w:rsidR="001C6ADC">
        <w:rPr>
          <w:rStyle w:val="FootnoteReference"/>
        </w:rPr>
        <w:footnoteReference w:id="276"/>
      </w:r>
    </w:p>
    <w:p w:rsidR="00AA7A0C" w:rsidRPr="002B5A3D" w:rsidRDefault="00AA7A0C" w:rsidP="001920FA"/>
    <w:p w:rsidR="0064273C" w:rsidRDefault="00AA7A0C" w:rsidP="003225B3">
      <w:r>
        <w:rPr>
          <w:b/>
        </w:rPr>
        <w:t>Hosea 5:13a</w:t>
      </w:r>
      <w:r w:rsidRPr="00AA7A0C">
        <w:rPr>
          <w:b/>
        </w:rPr>
        <w:t>γδ</w:t>
      </w:r>
      <w:r>
        <w:rPr>
          <w:b/>
        </w:rPr>
        <w:t xml:space="preserve">-15. </w:t>
      </w:r>
      <w:r w:rsidR="00324CF7">
        <w:t>How is one to respond</w:t>
      </w:r>
      <w:r w:rsidR="00C929F8">
        <w:t xml:space="preserve"> </w:t>
      </w:r>
      <w:r w:rsidR="00324CF7">
        <w:t xml:space="preserve">to </w:t>
      </w:r>
      <w:r w:rsidR="00C929F8">
        <w:t xml:space="preserve">a situation of this kind? In the past Ephraim </w:t>
      </w:r>
      <w:r w:rsidR="007A7437">
        <w:t>has</w:t>
      </w:r>
      <w:r>
        <w:t xml:space="preserve"> sent envoys off to Assyria</w:t>
      </w:r>
      <w:r w:rsidR="00BD4016">
        <w:t xml:space="preserve">. </w:t>
      </w:r>
      <w:r w:rsidR="001921E3">
        <w:t xml:space="preserve">Assyrian records </w:t>
      </w:r>
      <w:r w:rsidR="00BD4016">
        <w:t xml:space="preserve">relate </w:t>
      </w:r>
      <w:r w:rsidR="001921E3">
        <w:t>that Jehu paid tribute to the Assyrian king in the ninth century</w:t>
      </w:r>
      <w:r w:rsidR="007A7437">
        <w:t>.</w:t>
      </w:r>
      <w:r w:rsidR="001921E3">
        <w:rPr>
          <w:rStyle w:val="FootnoteReference"/>
        </w:rPr>
        <w:footnoteReference w:id="277"/>
      </w:r>
      <w:r w:rsidR="007A7437">
        <w:t xml:space="preserve"> </w:t>
      </w:r>
      <w:r w:rsidR="00BD4016">
        <w:t xml:space="preserve">Second Kings 15:17-22 relates how one of Jeroboam’s immediate successors did so to </w:t>
      </w:r>
      <w:r w:rsidR="00C813EB">
        <w:t>g</w:t>
      </w:r>
      <w:r w:rsidR="00BD4016">
        <w:t xml:space="preserve">ain Assyria’s support. </w:t>
      </w:r>
    </w:p>
    <w:p w:rsidR="003225B3" w:rsidRPr="003225B3" w:rsidRDefault="00324CF7" w:rsidP="003225B3">
      <w:r>
        <w:t>The hope would be that Assyria</w:t>
      </w:r>
      <w:r w:rsidR="007A7437">
        <w:t xml:space="preserve"> would take Ephra</w:t>
      </w:r>
      <w:r w:rsidR="00C813EB">
        <w:t>im’s side</w:t>
      </w:r>
      <w:r w:rsidR="005D724B">
        <w:t xml:space="preserve">, </w:t>
      </w:r>
      <w:r w:rsidR="005D724B" w:rsidRPr="005D724B">
        <w:t>for a consideration</w:t>
      </w:r>
      <w:r w:rsidR="0064273C">
        <w:t xml:space="preserve"> (v</w:t>
      </w:r>
      <w:r w:rsidR="0064273C" w:rsidRPr="0064273C">
        <w:t>. 13aγδ</w:t>
      </w:r>
      <w:r w:rsidR="0064273C">
        <w:t>)</w:t>
      </w:r>
      <w:r w:rsidRPr="0064273C">
        <w:t>.</w:t>
      </w:r>
      <w:r>
        <w:t xml:space="preserve"> Judah </w:t>
      </w:r>
      <w:r w:rsidR="00C813EB">
        <w:t>used</w:t>
      </w:r>
      <w:r w:rsidR="007A7437">
        <w:t xml:space="preserve"> the same mo</w:t>
      </w:r>
      <w:r w:rsidR="00C813EB">
        <w:t>ve against Ephraim (2 Kings 16:5-9)</w:t>
      </w:r>
      <w:r w:rsidR="007A7437">
        <w:t xml:space="preserve">. </w:t>
      </w:r>
      <w:r w:rsidR="00CE4EF9">
        <w:t>But s</w:t>
      </w:r>
      <w:r w:rsidR="004F4BCF">
        <w:t xml:space="preserve">uch hopes </w:t>
      </w:r>
      <w:r w:rsidR="00CE4EF9">
        <w:t>depend on forgetting who will be</w:t>
      </w:r>
      <w:r w:rsidR="004F4BCF">
        <w:t xml:space="preserve"> behind Ephraim’s troubles—not a human attacker but a King rathe</w:t>
      </w:r>
      <w:r w:rsidR="00EE168D">
        <w:t xml:space="preserve">r bigger than Assyria’s. He </w:t>
      </w:r>
      <w:r w:rsidR="00CE4EF9">
        <w:t>wo</w:t>
      </w:r>
      <w:r w:rsidR="00EE168D">
        <w:t>n’t be able to</w:t>
      </w:r>
      <w:r w:rsidR="004F4BCF">
        <w:t xml:space="preserve"> heal Ephraim or make its wound go away.</w:t>
      </w:r>
      <w:r>
        <w:t xml:space="preserve"> The talk of healing, </w:t>
      </w:r>
      <w:r w:rsidR="003225B3">
        <w:t>with the coming declaration that there will be no rescuer</w:t>
      </w:r>
      <w:r>
        <w:t>,</w:t>
      </w:r>
      <w:r w:rsidR="003225B3" w:rsidRPr="003225B3">
        <w:t xml:space="preserve"> again parallels Deuteronomy (see Deut</w:t>
      </w:r>
      <w:r>
        <w:t>.</w:t>
      </w:r>
      <w:r w:rsidR="003225B3" w:rsidRPr="003225B3">
        <w:t xml:space="preserve"> 32:39</w:t>
      </w:r>
      <w:r w:rsidR="003225B3">
        <w:t>, which also speaks of Yahweh</w:t>
      </w:r>
      <w:r>
        <w:t xml:space="preserve"> as the one who brings to life: </w:t>
      </w:r>
      <w:r w:rsidR="003225B3">
        <w:t>cf. Hos 6:1).</w:t>
      </w:r>
    </w:p>
    <w:p w:rsidR="003225B3" w:rsidRDefault="004F4BCF" w:rsidP="001920FA">
      <w:r>
        <w:t>Yahweh</w:t>
      </w:r>
      <w:r w:rsidR="00007897">
        <w:t xml:space="preserve"> reinforces the declaration </w:t>
      </w:r>
      <w:r w:rsidR="00EE168D">
        <w:t xml:space="preserve">(v. 14) </w:t>
      </w:r>
      <w:r w:rsidR="00007897">
        <w:t xml:space="preserve">with </w:t>
      </w:r>
      <w:r>
        <w:t>yet another image</w:t>
      </w:r>
      <w:r w:rsidR="00226AEA">
        <w:t>. Yes,</w:t>
      </w:r>
      <w:r w:rsidR="0007776E">
        <w:t xml:space="preserve"> trouble is on the way to both households</w:t>
      </w:r>
      <w:r>
        <w:t>.</w:t>
      </w:r>
      <w:r w:rsidR="00007897">
        <w:t xml:space="preserve"> While an opposing army can wound, so can a fierce animal like a lion or</w:t>
      </w:r>
      <w:r w:rsidR="0007776E">
        <w:t xml:space="preserve"> especially a “teenage lion,” not fully-grown but with a big appetite and full of energy, </w:t>
      </w:r>
      <w:r w:rsidR="0007776E" w:rsidRPr="0007776E">
        <w:t>old enough to hunt it</w:t>
      </w:r>
      <w:r w:rsidR="0007776E">
        <w:t xml:space="preserve">s prey and be </w:t>
      </w:r>
      <w:r w:rsidR="0007776E" w:rsidRPr="0007776E">
        <w:t>very dangerous to meet</w:t>
      </w:r>
      <w:r w:rsidR="0007776E">
        <w:t xml:space="preserve">. </w:t>
      </w:r>
      <w:r w:rsidR="00226AEA">
        <w:t>Yahweh declares the intention to behave like such an animal, which will maul and thus kill, then</w:t>
      </w:r>
      <w:r w:rsidR="005D724B">
        <w:t xml:space="preserve"> go, and carry the prey off, with no one </w:t>
      </w:r>
      <w:r w:rsidR="00226AEA">
        <w:t>able to rescue it.</w:t>
      </w:r>
      <w:r w:rsidR="003225B3">
        <w:t xml:space="preserve"> </w:t>
      </w:r>
      <w:r w:rsidR="00AA7A0C">
        <w:t>Whereas p</w:t>
      </w:r>
      <w:r w:rsidR="005B14E1">
        <w:t>eople might think of Assyria or its king as a lion (cf. Nah</w:t>
      </w:r>
      <w:r w:rsidR="003A5002">
        <w:t>.</w:t>
      </w:r>
      <w:r w:rsidR="00CE4EF9">
        <w:t xml:space="preserve"> 2:11-13 [13-15]), and </w:t>
      </w:r>
      <w:r w:rsidR="005B14E1">
        <w:t xml:space="preserve">might </w:t>
      </w:r>
      <w:r w:rsidR="00CE4EF9">
        <w:t xml:space="preserve">even </w:t>
      </w:r>
      <w:r w:rsidR="005B14E1">
        <w:t>think of themselves that w</w:t>
      </w:r>
      <w:r w:rsidR="00AA7A0C">
        <w:t xml:space="preserve">ay, </w:t>
      </w:r>
      <w:r w:rsidR="005B14E1">
        <w:t>Yahweh is the real lion to be afraid of.</w:t>
      </w:r>
    </w:p>
    <w:p w:rsidR="004F4BCF" w:rsidRDefault="008424DD" w:rsidP="00CE4EF9">
      <w:r>
        <w:t>In seguing</w:t>
      </w:r>
      <w:r w:rsidR="00226AEA">
        <w:t xml:space="preserve"> from the simile </w:t>
      </w:r>
      <w:r w:rsidR="00CE4EF9">
        <w:t xml:space="preserve">(v. 15) </w:t>
      </w:r>
      <w:r>
        <w:t>Yahweh keeps</w:t>
      </w:r>
      <w:r w:rsidR="00226AEA">
        <w:t xml:space="preserve"> the </w:t>
      </w:r>
      <w:r>
        <w:t>verb “I will go” and thus implies that his “place” to whic</w:t>
      </w:r>
      <w:r w:rsidR="00CE4EF9">
        <w:t>h he returns is his lair</w:t>
      </w:r>
      <w:r w:rsidR="003B481B">
        <w:t>, though Tg nicely has “his holy home in the heavens</w:t>
      </w:r>
      <w:r>
        <w:t>.</w:t>
      </w:r>
      <w:r w:rsidR="003B481B">
        <w:t>”</w:t>
      </w:r>
      <w:r>
        <w:t xml:space="preserve"> </w:t>
      </w:r>
      <w:r w:rsidR="00CE4EF9">
        <w:t xml:space="preserve">Perhaps </w:t>
      </w:r>
      <w:r w:rsidR="00AA7A0C">
        <w:t>t</w:t>
      </w:r>
      <w:r w:rsidR="00497C44">
        <w:t xml:space="preserve">his second going “represents a failure of nerve…. No matter how fully he enters into the role of the lion, this does </w:t>
      </w:r>
      <w:r w:rsidR="00CE4EF9">
        <w:t xml:space="preserve">not seem to be what he wants.” While he goes, </w:t>
      </w:r>
      <w:r w:rsidR="00497C44">
        <w:t>“he still waits.”</w:t>
      </w:r>
      <w:r w:rsidR="00497C44">
        <w:rPr>
          <w:rStyle w:val="FootnoteReference"/>
        </w:rPr>
        <w:footnoteReference w:id="278"/>
      </w:r>
      <w:r w:rsidR="00497C44">
        <w:t xml:space="preserve"> </w:t>
      </w:r>
      <w:r w:rsidR="00AA7A0C">
        <w:t>And he reverts</w:t>
      </w:r>
      <w:r>
        <w:t xml:space="preserve"> to speak</w:t>
      </w:r>
      <w:r w:rsidR="00AA7A0C">
        <w:t xml:space="preserve">ing </w:t>
      </w:r>
      <w:r>
        <w:t>about Ephraim’s relationship wi</w:t>
      </w:r>
      <w:r w:rsidR="00027A92">
        <w:t xml:space="preserve">th him. </w:t>
      </w:r>
      <w:r w:rsidR="003A5002">
        <w:t>It will be by g</w:t>
      </w:r>
      <w:r w:rsidR="00027A92">
        <w:t>oing through the</w:t>
      </w:r>
      <w:r w:rsidR="00F17DFF">
        <w:t xml:space="preserve"> savaging that he intends </w:t>
      </w:r>
      <w:r w:rsidR="003A5002">
        <w:t xml:space="preserve">that Ephraim </w:t>
      </w:r>
      <w:r w:rsidR="00F17DFF">
        <w:t xml:space="preserve">will </w:t>
      </w:r>
      <w:r w:rsidR="00AA7A0C">
        <w:t>“</w:t>
      </w:r>
      <w:r w:rsidR="00F17DFF">
        <w:t>make restitution</w:t>
      </w:r>
      <w:r w:rsidR="00AA7A0C">
        <w:t>”</w:t>
      </w:r>
      <w:r w:rsidR="00F17DFF">
        <w:t xml:space="preserve"> for their wrongdoing. </w:t>
      </w:r>
      <w:r w:rsidR="00AA7A0C">
        <w:t>Having does so, t</w:t>
      </w:r>
      <w:r w:rsidR="00F17DFF">
        <w:t xml:space="preserve">hey will </w:t>
      </w:r>
      <w:r w:rsidR="00027A92">
        <w:t>be in a position to turn and seek help from him rather than from the polit</w:t>
      </w:r>
      <w:r w:rsidR="00AA7A0C">
        <w:t xml:space="preserve">ical resources that tempt them. It will happen </w:t>
      </w:r>
      <w:r w:rsidR="00027A92">
        <w:t>when the distress he put</w:t>
      </w:r>
      <w:r w:rsidR="00AA7A0C">
        <w:t>s</w:t>
      </w:r>
      <w:r w:rsidR="00027A92">
        <w:t xml:space="preserve"> t</w:t>
      </w:r>
      <w:r w:rsidR="00AA7A0C">
        <w:t>hem through drives them to</w:t>
      </w:r>
      <w:r w:rsidR="00027A92">
        <w:t>.</w:t>
      </w:r>
      <w:r w:rsidR="00785BB8">
        <w:t xml:space="preserve"> Seeking help from “my face”</w:t>
      </w:r>
      <w:r w:rsidR="003A5002">
        <w:t xml:space="preserve"> suggests looking to him in the way one looks to</w:t>
      </w:r>
      <w:r w:rsidR="00785BB8">
        <w:t xml:space="preserve"> a king whose face i</w:t>
      </w:r>
      <w:r w:rsidR="00AA7A0C">
        <w:t>s key to beneficent provision. If the</w:t>
      </w:r>
      <w:r w:rsidR="00785BB8">
        <w:t xml:space="preserve"> look from the king </w:t>
      </w:r>
      <w:r w:rsidR="00AA7A0C">
        <w:t xml:space="preserve">is a frown, it </w:t>
      </w:r>
      <w:r w:rsidR="00785BB8">
        <w:t xml:space="preserve">can mean denial </w:t>
      </w:r>
      <w:r w:rsidR="00AA7A0C">
        <w:t xml:space="preserve">of a request, </w:t>
      </w:r>
      <w:r w:rsidR="00785BB8">
        <w:t>or even death</w:t>
      </w:r>
      <w:r w:rsidR="003A5002">
        <w:t>, and t</w:t>
      </w:r>
      <w:r w:rsidR="00AA7A0C" w:rsidRPr="00AA7A0C">
        <w:t>he Ephraimites’ chastisement means that their majesty is being put dow</w:t>
      </w:r>
      <w:r w:rsidR="00AA7A0C">
        <w:t xml:space="preserve">n “before his face” (v. 5). But </w:t>
      </w:r>
      <w:r w:rsidR="00AA7A0C" w:rsidRPr="00AA7A0C">
        <w:t>the</w:t>
      </w:r>
      <w:r w:rsidR="00AA7A0C">
        <w:t xml:space="preserve"> look from the </w:t>
      </w:r>
      <w:r w:rsidR="00AA7A0C" w:rsidRPr="00AA7A0C">
        <w:t xml:space="preserve">king </w:t>
      </w:r>
      <w:r w:rsidR="00AA7A0C">
        <w:t>can mean life if</w:t>
      </w:r>
      <w:r w:rsidR="00785BB8">
        <w:t xml:space="preserve"> he smiles and gives the n</w:t>
      </w:r>
      <w:r w:rsidR="00AA7A0C">
        <w:t>od to his aides to provide for the</w:t>
      </w:r>
      <w:r w:rsidR="00785BB8">
        <w:t xml:space="preserve"> suppliant.</w:t>
      </w:r>
      <w:r w:rsidR="00AA7A0C">
        <w:t xml:space="preserve"> Be</w:t>
      </w:r>
      <w:r w:rsidR="00AA7A0C" w:rsidRPr="00AA7A0C">
        <w:t xml:space="preserve">ing put down </w:t>
      </w:r>
      <w:r w:rsidR="00CE3050">
        <w:t>need not be the end of the story.</w:t>
      </w:r>
    </w:p>
    <w:p w:rsidR="002F7F8B" w:rsidRDefault="002F7F8B" w:rsidP="001920FA"/>
    <w:p w:rsidR="003D6CAF" w:rsidRDefault="00027A92" w:rsidP="001920FA">
      <w:r>
        <w:rPr>
          <w:b/>
        </w:rPr>
        <w:t>6:1-3</w:t>
      </w:r>
      <w:r>
        <w:t>.</w:t>
      </w:r>
      <w:r w:rsidR="00384E4C">
        <w:t xml:space="preserve"> Hosea is not explicit</w:t>
      </w:r>
      <w:r w:rsidR="00AA7A0C">
        <w:t xml:space="preserve"> that 6:1-3 are the </w:t>
      </w:r>
      <w:r w:rsidR="002F7F8B">
        <w:t xml:space="preserve">words people will need to speak to Yahweh when they come to look urgently for him, but </w:t>
      </w:r>
      <w:r w:rsidR="00AA7A0C">
        <w:t>the</w:t>
      </w:r>
      <w:r w:rsidR="00AE1F52">
        <w:t xml:space="preserve"> verses</w:t>
      </w:r>
      <w:r w:rsidR="005B14E1">
        <w:t xml:space="preserve"> have no other introduction</w:t>
      </w:r>
      <w:r w:rsidR="00BD2389">
        <w:t xml:space="preserve">, and I follow LXX </w:t>
      </w:r>
      <w:r w:rsidR="00573C7F">
        <w:t xml:space="preserve">and Tg </w:t>
      </w:r>
      <w:r w:rsidR="00BD2389">
        <w:t>in inferring that they are such words</w:t>
      </w:r>
      <w:r w:rsidR="00384E4C">
        <w:t xml:space="preserve">. </w:t>
      </w:r>
      <w:r w:rsidR="00823F34">
        <w:t xml:space="preserve">MT has no </w:t>
      </w:r>
      <w:r w:rsidR="00CE4EF9">
        <w:t>break</w:t>
      </w:r>
      <w:r w:rsidR="002F7F8B">
        <w:t xml:space="preserve"> at th</w:t>
      </w:r>
      <w:r w:rsidR="003A5002">
        <w:t>is point and vv. 1-3</w:t>
      </w:r>
      <w:r w:rsidR="00384E4C">
        <w:t xml:space="preserve"> take up Yahweh’s words </w:t>
      </w:r>
      <w:r w:rsidR="00384E4C">
        <w:lastRenderedPageBreak/>
        <w:t>from</w:t>
      </w:r>
      <w:r w:rsidR="002F7F8B">
        <w:t xml:space="preserve"> the immediate pas</w:t>
      </w:r>
      <w:r w:rsidR="00AE1F52">
        <w:t>t lin</w:t>
      </w:r>
      <w:r w:rsidR="002F7F8B">
        <w:t>es as well as earlier</w:t>
      </w:r>
      <w:r w:rsidR="00384E4C">
        <w:t xml:space="preserve"> sections</w:t>
      </w:r>
      <w:r w:rsidR="00AE1F52">
        <w:t>. They are</w:t>
      </w:r>
      <w:r w:rsidR="002F7F8B">
        <w:t xml:space="preserve"> the words Yahweh wants to put on people’s lips.</w:t>
      </w:r>
      <w:r w:rsidR="003D6CAF">
        <w:t xml:space="preserve"> </w:t>
      </w:r>
    </w:p>
    <w:p w:rsidR="003D6CAF" w:rsidRDefault="003D6CAF" w:rsidP="001920FA"/>
    <w:p w:rsidR="00027A92" w:rsidRDefault="003D6CAF" w:rsidP="003D6CAF">
      <w:pPr>
        <w:pStyle w:val="Quote"/>
      </w:pPr>
      <w:r>
        <w:t>The language is exquisite, the religious practice thoughtful, the theology apt, t</w:t>
      </w:r>
      <w:r w:rsidR="006F3887">
        <w:t>he repentance</w:t>
      </w:r>
      <w:r>
        <w:t xml:space="preserve"> explicit, the recognition of appropria</w:t>
      </w:r>
      <w:r w:rsidR="006F3887">
        <w:t xml:space="preserve">te divine judgment </w:t>
      </w:r>
      <w:r>
        <w:t xml:space="preserve">evident, </w:t>
      </w:r>
      <w:r w:rsidR="006F3887">
        <w:t xml:space="preserve">and </w:t>
      </w:r>
      <w:r>
        <w:t>the quest for knowledge of the Lord in tune w</w:t>
      </w:r>
      <w:r w:rsidR="006F3887">
        <w:t>ith Hosea's most basic concerns. Moreover,</w:t>
      </w:r>
      <w:r>
        <w:t xml:space="preserve"> creation is related to God and not Baal, there are no signs of apostate worship, and their hope in God is voiced clearly. Indeed, the people do what 3:5 anticipates they will do.</w:t>
      </w:r>
      <w:r w:rsidR="006F3887">
        <w:rPr>
          <w:rStyle w:val="FootnoteReference"/>
        </w:rPr>
        <w:footnoteReference w:id="279"/>
      </w:r>
    </w:p>
    <w:p w:rsidR="003D6CAF" w:rsidRPr="003D6CAF" w:rsidRDefault="003D6CAF" w:rsidP="003D6CAF">
      <w:pPr>
        <w:rPr>
          <w:lang w:bidi="he-IL"/>
        </w:rPr>
      </w:pPr>
    </w:p>
    <w:p w:rsidR="00931A4C" w:rsidRDefault="00E76F91" w:rsidP="001920FA">
      <w:r>
        <w:t xml:space="preserve">They </w:t>
      </w:r>
      <w:r w:rsidR="005B14E1">
        <w:t>need to turn back</w:t>
      </w:r>
      <w:r>
        <w:t>,</w:t>
      </w:r>
      <w:r w:rsidR="005B14E1">
        <w:t xml:space="preserve"> in a positive sense</w:t>
      </w:r>
      <w:r w:rsidR="003A5002">
        <w:t xml:space="preserve"> (v. </w:t>
      </w:r>
      <w:r w:rsidR="00AE1F52">
        <w:t>1)</w:t>
      </w:r>
      <w:r>
        <w:t xml:space="preserve">, given that </w:t>
      </w:r>
      <w:r w:rsidRPr="00E76F91">
        <w:t>Yahweh has turned back in a bad sense (5:15)</w:t>
      </w:r>
      <w:r w:rsidR="005B14E1">
        <w:t xml:space="preserve">. </w:t>
      </w:r>
      <w:r w:rsidR="00AE1F52">
        <w:t>The interrelationship between</w:t>
      </w:r>
      <w:r w:rsidR="0093720C">
        <w:t xml:space="preserve"> 5:8</w:t>
      </w:r>
      <w:r w:rsidR="00E03DA9">
        <w:t>-15 a</w:t>
      </w:r>
      <w:r w:rsidR="003A5002">
        <w:t xml:space="preserve">nd vv. </w:t>
      </w:r>
      <w:r w:rsidR="00AE1F52">
        <w:t>1-3 is further signal</w:t>
      </w:r>
      <w:r w:rsidR="00E03DA9">
        <w:t xml:space="preserve">ed by the fact that </w:t>
      </w:r>
      <w:r w:rsidR="00AE1F52" w:rsidRPr="00AE1F52">
        <w:t xml:space="preserve">seeking help </w:t>
      </w:r>
      <w:r w:rsidR="00AE1F52">
        <w:t>and turning back</w:t>
      </w:r>
      <w:r w:rsidR="00384E4C">
        <w:t xml:space="preserve"> (5:5 and 6:1) </w:t>
      </w:r>
      <w:r w:rsidR="00E03DA9">
        <w:t xml:space="preserve">are interrelated motifs (see </w:t>
      </w:r>
      <w:r w:rsidR="00384E4C">
        <w:t>2:7 [9]; 3:5; 5:4-6; they will reappear in 7:10</w:t>
      </w:r>
      <w:r w:rsidR="00931A4C">
        <w:t>). Seeking help from Yahweh rather than from other political or religious resources is basic to Israel’</w:t>
      </w:r>
      <w:r w:rsidR="003A5002">
        <w:t>s ident</w:t>
      </w:r>
      <w:r>
        <w:t>ity. Therefore when Ephraim ha</w:t>
      </w:r>
      <w:r w:rsidR="00931A4C">
        <w:t>s been looking elsewhere</w:t>
      </w:r>
      <w:r w:rsidR="003A5002">
        <w:t>,</w:t>
      </w:r>
      <w:r w:rsidR="00931A4C">
        <w:t xml:space="preserve"> it has</w:t>
      </w:r>
      <w:r w:rsidR="003A5002">
        <w:t xml:space="preserve"> to turn back to Yahweh in order</w:t>
      </w:r>
      <w:r w:rsidR="00931A4C">
        <w:t xml:space="preserve"> to look to him again. It needs to turn </w:t>
      </w:r>
      <w:r w:rsidR="00AE1F52">
        <w:t xml:space="preserve">back </w:t>
      </w:r>
      <w:r w:rsidR="00931A4C">
        <w:t>to Yahweh</w:t>
      </w:r>
      <w:r>
        <w:t xml:space="preserve"> as the one who tore </w:t>
      </w:r>
      <w:r w:rsidR="00931A4C">
        <w:t>and who can heal as no one else can (cf. 5:13</w:t>
      </w:r>
      <w:r>
        <w:t>-14</w:t>
      </w:r>
      <w:r w:rsidR="00931A4C">
        <w:t>)</w:t>
      </w:r>
      <w:r w:rsidR="00CD0EE8">
        <w:t>. T</w:t>
      </w:r>
      <w:r w:rsidR="001E6215">
        <w:t>he para</w:t>
      </w:r>
      <w:r w:rsidR="00CD0EE8">
        <w:t xml:space="preserve">llel colon </w:t>
      </w:r>
      <w:r w:rsidR="00AE1F52">
        <w:t>that makes</w:t>
      </w:r>
      <w:r w:rsidR="001E6215">
        <w:t xml:space="preserve"> v. 1 a tricolon</w:t>
      </w:r>
      <w:r w:rsidR="00CD0EE8">
        <w:t xml:space="preserve"> then expresses the negative and the positive in new terms—Yahweh struck down, Yahweh can bandage.</w:t>
      </w:r>
    </w:p>
    <w:p w:rsidR="00CD0EE8" w:rsidRDefault="003A5002" w:rsidP="001920FA">
      <w:r>
        <w:t>Yahweh’s prescribed words (</w:t>
      </w:r>
      <w:r w:rsidR="00CD0EE8">
        <w:t>v. 2</w:t>
      </w:r>
      <w:r>
        <w:t>)</w:t>
      </w:r>
      <w:r w:rsidR="00CD0EE8">
        <w:t xml:space="preserve"> </w:t>
      </w:r>
      <w:r w:rsidR="00144697">
        <w:t xml:space="preserve">first </w:t>
      </w:r>
      <w:r>
        <w:t>restate</w:t>
      </w:r>
      <w:r w:rsidR="00CD0EE8">
        <w:t xml:space="preserve"> that positive point</w:t>
      </w:r>
      <w:r w:rsidR="00E76F91">
        <w:t>,</w:t>
      </w:r>
      <w:r w:rsidR="00CD0EE8">
        <w:t xml:space="preserve"> in parallel </w:t>
      </w:r>
      <w:r w:rsidR="00144697">
        <w:t xml:space="preserve">abb’a’ </w:t>
      </w:r>
      <w:r w:rsidR="00CD0EE8">
        <w:t>cola</w:t>
      </w:r>
      <w:r w:rsidR="00144697">
        <w:t>. T</w:t>
      </w:r>
      <w:r w:rsidR="00CD0EE8">
        <w:t xml:space="preserve">wo days and a third day resembles the English expression “two or three days” in </w:t>
      </w:r>
      <w:r w:rsidR="00144697">
        <w:t>simply suggesting a short time</w:t>
      </w:r>
      <w:r w:rsidR="00AE1F52">
        <w:t xml:space="preserve">, though </w:t>
      </w:r>
      <w:r w:rsidR="00E76F91">
        <w:t xml:space="preserve">here </w:t>
      </w:r>
      <w:r w:rsidR="00AE1F52">
        <w:t xml:space="preserve">“after two days” and “on the third day” are parallel expressions </w:t>
      </w:r>
      <w:r>
        <w:t>referring to the same day. T</w:t>
      </w:r>
      <w:r w:rsidR="00AE1F52">
        <w:t>hey are not</w:t>
      </w:r>
      <w:r w:rsidR="00144697">
        <w:t xml:space="preserve"> strict arithmetical expression</w:t>
      </w:r>
      <w:r w:rsidR="00AE1F52">
        <w:t>s</w:t>
      </w:r>
      <w:r w:rsidR="00144697">
        <w:t xml:space="preserve"> (cf. Isa</w:t>
      </w:r>
      <w:r>
        <w:t>.</w:t>
      </w:r>
      <w:r w:rsidR="00144697">
        <w:t xml:space="preserve"> 17:6; Amos 4:8).</w:t>
      </w:r>
      <w:r w:rsidR="00144697">
        <w:rPr>
          <w:rStyle w:val="FootnoteReference"/>
        </w:rPr>
        <w:footnoteReference w:id="280"/>
      </w:r>
      <w:r w:rsidR="00AE1F52">
        <w:t xml:space="preserve"> Metaphorically speaking, </w:t>
      </w:r>
      <w:r w:rsidR="00144697">
        <w:t xml:space="preserve">the </w:t>
      </w:r>
      <w:r w:rsidR="00903475">
        <w:t>wounded p</w:t>
      </w:r>
      <w:r w:rsidR="00AE1F52">
        <w:t xml:space="preserve">eople will </w:t>
      </w:r>
      <w:r>
        <w:t xml:space="preserve">soon </w:t>
      </w:r>
      <w:r w:rsidR="00E76F91">
        <w:t>be revived</w:t>
      </w:r>
      <w:r w:rsidR="00AE1F52">
        <w:t xml:space="preserve"> and</w:t>
      </w:r>
      <w:r w:rsidR="00903475">
        <w:t xml:space="preserve"> helped to </w:t>
      </w:r>
      <w:r w:rsidR="00AE1F52">
        <w:t>stand. Or possibly the two verbs</w:t>
      </w:r>
      <w:r w:rsidR="00903475">
        <w:t xml:space="preserve"> are </w:t>
      </w:r>
      <w:r w:rsidR="00AE1F52">
        <w:t xml:space="preserve">also </w:t>
      </w:r>
      <w:r w:rsidR="00903475">
        <w:t xml:space="preserve">parallel: the people </w:t>
      </w:r>
      <w:r w:rsidR="00AE1F52">
        <w:t xml:space="preserve">who </w:t>
      </w:r>
      <w:r w:rsidR="00903475">
        <w:t xml:space="preserve">are </w:t>
      </w:r>
      <w:r w:rsidR="00144697">
        <w:t>corpse</w:t>
      </w:r>
      <w:r w:rsidR="00AE1F52">
        <w:t xml:space="preserve">s </w:t>
      </w:r>
      <w:r w:rsidR="00144697">
        <w:t xml:space="preserve">will </w:t>
      </w:r>
      <w:r w:rsidR="00903475">
        <w:t>be re</w:t>
      </w:r>
      <w:r>
        <w:t>vived and thus</w:t>
      </w:r>
      <w:r w:rsidR="00903475">
        <w:t xml:space="preserve"> lifted up from Sheol</w:t>
      </w:r>
      <w:r w:rsidR="00A21584">
        <w:t xml:space="preserve"> (cf. Isa</w:t>
      </w:r>
      <w:r>
        <w:t>.</w:t>
      </w:r>
      <w:r w:rsidR="00A21584">
        <w:t xml:space="preserve"> 26:14, 19</w:t>
      </w:r>
      <w:r w:rsidR="00903475">
        <w:t>). Or perhaps the corpses will first have new life breathed into them, then</w:t>
      </w:r>
      <w:r w:rsidR="00144697">
        <w:t xml:space="preserve"> </w:t>
      </w:r>
      <w:r>
        <w:t xml:space="preserve">be </w:t>
      </w:r>
      <w:r w:rsidR="00144697">
        <w:t>stood up so as to be active (cf. Ezek</w:t>
      </w:r>
      <w:r>
        <w:t>.</w:t>
      </w:r>
      <w:r w:rsidR="00144697">
        <w:t xml:space="preserve"> 37:4-10). </w:t>
      </w:r>
      <w:r w:rsidR="00A21584">
        <w:t xml:space="preserve">In one conceptuality or another, a people that is severely ill or dead will be brought back to life. </w:t>
      </w:r>
      <w:r w:rsidR="003B7877">
        <w:t>Once more</w:t>
      </w:r>
      <w:r w:rsidR="00144697">
        <w:t xml:space="preserve"> an unexpected third colon comp</w:t>
      </w:r>
      <w:r w:rsidR="003B7877">
        <w:t>letes a tricolon that first pick</w:t>
      </w:r>
      <w:r w:rsidR="00144697">
        <w:t xml:space="preserve">s up the verb “live” again </w:t>
      </w:r>
      <w:r w:rsidR="00785BB8">
        <w:t xml:space="preserve">but importantly adds “before his face,” </w:t>
      </w:r>
      <w:r w:rsidR="0071150D">
        <w:t xml:space="preserve">which </w:t>
      </w:r>
      <w:r w:rsidR="00CE3050">
        <w:t xml:space="preserve">takes up the references </w:t>
      </w:r>
      <w:r w:rsidR="00785BB8">
        <w:t>in 5:</w:t>
      </w:r>
      <w:r w:rsidR="00CE3050">
        <w:t xml:space="preserve">5, </w:t>
      </w:r>
      <w:r w:rsidR="00E76F91">
        <w:t>15. This seeking help from Yahweh’</w:t>
      </w:r>
      <w:r w:rsidR="00785BB8">
        <w:t>s face means looking to him as the one who wil</w:t>
      </w:r>
      <w:r w:rsidR="00CE3050">
        <w:t>l smile again and will provide</w:t>
      </w:r>
      <w:r w:rsidR="009B7C7D">
        <w:t>. At least as</w:t>
      </w:r>
      <w:r w:rsidR="0071150D">
        <w:t xml:space="preserve"> importantly</w:t>
      </w:r>
      <w:r w:rsidR="00CE3050">
        <w:t xml:space="preserve"> the third colon</w:t>
      </w:r>
      <w:r w:rsidR="0071150D">
        <w:t xml:space="preserve"> </w:t>
      </w:r>
      <w:r w:rsidR="007E2A29">
        <w:t>adds the end that</w:t>
      </w:r>
      <w:r w:rsidR="00E76F91">
        <w:t xml:space="preserve"> people</w:t>
      </w:r>
      <w:r w:rsidR="0071150D">
        <w:t xml:space="preserve"> </w:t>
      </w:r>
      <w:r w:rsidR="007E2A29">
        <w:t xml:space="preserve">may </w:t>
      </w:r>
      <w:r w:rsidR="0071150D">
        <w:t>acknowled</w:t>
      </w:r>
      <w:r w:rsidR="009B7C7D">
        <w:t>ge him</w:t>
      </w:r>
      <w:r w:rsidR="003B7877">
        <w:t>. It takes</w:t>
      </w:r>
      <w:r w:rsidR="0071150D">
        <w:t xml:space="preserve"> up the importance of that expression </w:t>
      </w:r>
      <w:r>
        <w:t>in Hosea</w:t>
      </w:r>
      <w:r w:rsidR="00CE3050">
        <w:t xml:space="preserve">, not least in association with the reference to Ephraim’s majesty being humbled </w:t>
      </w:r>
      <w:r w:rsidR="0071150D">
        <w:t>(</w:t>
      </w:r>
      <w:r w:rsidR="00CE3050">
        <w:t>5:4; also e.g., 4:6a, 6b</w:t>
      </w:r>
      <w:r w:rsidR="0071150D">
        <w:t xml:space="preserve">). </w:t>
      </w:r>
      <w:r w:rsidR="007E2A29">
        <w:t xml:space="preserve">While acknowledging is a key to experiencing Yahweh’s blessing, Yahweh’s blessing also issues in acknowledging. </w:t>
      </w:r>
    </w:p>
    <w:p w:rsidR="00384E4C" w:rsidRDefault="00BE00CB" w:rsidP="001920FA">
      <w:r>
        <w:t>Restating the point again (v. 3), more forcefully,</w:t>
      </w:r>
      <w:r w:rsidR="00B65FFF">
        <w:t xml:space="preserve"> </w:t>
      </w:r>
      <w:r>
        <w:t>the people need to pursue, chase, go</w:t>
      </w:r>
      <w:r w:rsidR="00567D4D">
        <w:t xml:space="preserve"> after </w:t>
      </w:r>
      <w:r w:rsidR="00B65FFF">
        <w:t xml:space="preserve">the acknowledgment of Yahweh, which </w:t>
      </w:r>
      <w:r w:rsidR="00567D4D">
        <w:t xml:space="preserve">on one hand </w:t>
      </w:r>
      <w:r w:rsidR="00B65FFF">
        <w:t xml:space="preserve">is </w:t>
      </w:r>
      <w:r w:rsidR="00567D4D">
        <w:t xml:space="preserve">at the other extreme from ignoring it </w:t>
      </w:r>
      <w:r w:rsidR="0051649F">
        <w:t xml:space="preserve">or rejecting it </w:t>
      </w:r>
      <w:r w:rsidR="00567D4D">
        <w:t>and on the other hand</w:t>
      </w:r>
      <w:r w:rsidR="00B65FFF">
        <w:t xml:space="preserve"> involves a different object of </w:t>
      </w:r>
      <w:r w:rsidR="00567D4D">
        <w:t>“</w:t>
      </w:r>
      <w:r w:rsidR="00B65FFF">
        <w:t>pursuit</w:t>
      </w:r>
      <w:r w:rsidR="00567D4D">
        <w:t>”</w:t>
      </w:r>
      <w:r w:rsidR="00B65FFF">
        <w:t xml:space="preserve"> from the one mentioned earlier (2:7 [9]). </w:t>
      </w:r>
      <w:r w:rsidR="0051649F">
        <w:t>The secon</w:t>
      </w:r>
      <w:r w:rsidR="006D6CE7">
        <w:t>d colon offers a</w:t>
      </w:r>
      <w:r w:rsidR="0051649F">
        <w:t xml:space="preserve"> self-reassuring affirmation</w:t>
      </w:r>
      <w:r w:rsidR="006D6CE7">
        <w:t xml:space="preserve">. Like English, </w:t>
      </w:r>
      <w:r w:rsidR="00936BEF">
        <w:t xml:space="preserve">Hebrew </w:t>
      </w:r>
      <w:r w:rsidR="006D6CE7">
        <w:t>speak</w:t>
      </w:r>
      <w:r w:rsidR="00936BEF">
        <w:t>s</w:t>
      </w:r>
      <w:r w:rsidR="006D6CE7">
        <w:t xml:space="preserve"> of </w:t>
      </w:r>
      <w:r w:rsidR="00936BEF">
        <w:t xml:space="preserve">dawn or </w:t>
      </w:r>
      <w:r w:rsidR="006D6CE7">
        <w:t>the sun</w:t>
      </w:r>
      <w:r w:rsidR="006D6CE7" w:rsidRPr="006D6CE7">
        <w:t xml:space="preserve"> “</w:t>
      </w:r>
      <w:r w:rsidR="006D6CE7">
        <w:t>coming</w:t>
      </w:r>
      <w:r w:rsidR="006D6CE7" w:rsidRPr="006D6CE7">
        <w:t xml:space="preserve"> up</w:t>
      </w:r>
      <w:r w:rsidR="006D6CE7">
        <w:t>,</w:t>
      </w:r>
      <w:r w:rsidR="006D6CE7" w:rsidRPr="006D6CE7">
        <w:t>”</w:t>
      </w:r>
      <w:r w:rsidR="006D6CE7">
        <w:t xml:space="preserve"> but </w:t>
      </w:r>
      <w:r w:rsidR="00936BEF">
        <w:t>it can also speak of the sun</w:t>
      </w:r>
      <w:r w:rsidR="006D6CE7">
        <w:t xml:space="preserve"> “</w:t>
      </w:r>
      <w:r w:rsidR="003B7877">
        <w:t>coming out</w:t>
      </w:r>
      <w:r w:rsidR="006D6CE7">
        <w:t>”</w:t>
      </w:r>
      <w:r w:rsidR="0051649F">
        <w:t xml:space="preserve"> </w:t>
      </w:r>
      <w:r w:rsidR="006D6CE7">
        <w:t xml:space="preserve">in the morning </w:t>
      </w:r>
      <w:r w:rsidR="00936BEF">
        <w:t>(</w:t>
      </w:r>
      <w:r w:rsidR="006D6CE7">
        <w:t>Gen</w:t>
      </w:r>
      <w:r>
        <w:t>.</w:t>
      </w:r>
      <w:r w:rsidR="006D6CE7">
        <w:t xml:space="preserve"> 19:23), which facilitates the drawing of an </w:t>
      </w:r>
      <w:r w:rsidR="006D6CE7" w:rsidRPr="006D6CE7">
        <w:t>an</w:t>
      </w:r>
      <w:r w:rsidR="006D6CE7">
        <w:t>alogy with</w:t>
      </w:r>
      <w:r w:rsidR="0051649F">
        <w:t xml:space="preserve"> Yahweh </w:t>
      </w:r>
      <w:r w:rsidR="00936BEF">
        <w:t>“</w:t>
      </w:r>
      <w:r w:rsidR="0051649F">
        <w:t>coming out</w:t>
      </w:r>
      <w:r w:rsidR="006D6CE7">
        <w:t>,</w:t>
      </w:r>
      <w:r w:rsidR="00936BEF">
        <w:t>”</w:t>
      </w:r>
      <w:r w:rsidR="003B7877">
        <w:t xml:space="preserve"> from the place to which he has withdrawn (5:15)</w:t>
      </w:r>
      <w:r w:rsidR="006D6CE7">
        <w:t xml:space="preserve">. </w:t>
      </w:r>
      <w:r w:rsidR="007E4B37">
        <w:t>R</w:t>
      </w:r>
      <w:r w:rsidR="00C23A4D">
        <w:t xml:space="preserve">ain </w:t>
      </w:r>
      <w:r w:rsidR="00936BEF">
        <w:t xml:space="preserve">offers </w:t>
      </w:r>
      <w:r w:rsidR="007E4B37">
        <w:t>an</w:t>
      </w:r>
      <w:r w:rsidR="00E76F91">
        <w:t>other</w:t>
      </w:r>
      <w:r w:rsidR="007E4B37">
        <w:t xml:space="preserve"> </w:t>
      </w:r>
      <w:r w:rsidR="00C23A4D">
        <w:t xml:space="preserve">analogy, </w:t>
      </w:r>
      <w:r w:rsidR="006D6CE7">
        <w:t xml:space="preserve">arguably a </w:t>
      </w:r>
      <w:r w:rsidR="006D6CE7" w:rsidRPr="006D6CE7">
        <w:t xml:space="preserve">more promising </w:t>
      </w:r>
      <w:r w:rsidR="00711AD7">
        <w:t>one</w:t>
      </w:r>
      <w:r w:rsidR="006D6CE7">
        <w:t>. While t</w:t>
      </w:r>
      <w:r w:rsidR="00C23A4D">
        <w:t>he reliability of rain is less “es</w:t>
      </w:r>
      <w:r w:rsidR="006D6CE7">
        <w:t>tablished,”</w:t>
      </w:r>
      <w:r w:rsidR="00C23A4D">
        <w:t xml:space="preserve"> its life-giv</w:t>
      </w:r>
      <w:r w:rsidR="00711AD7">
        <w:t xml:space="preserve">ing effect is </w:t>
      </w:r>
      <w:r w:rsidR="00C23A4D">
        <w:t>the more noticeable. That principle applies to rain i</w:t>
      </w:r>
      <w:r w:rsidR="003B7877">
        <w:t>n general; the second colon</w:t>
      </w:r>
      <w:r w:rsidR="00C23A4D">
        <w:t xml:space="preserve"> give</w:t>
      </w:r>
      <w:r w:rsidR="003B7877">
        <w:t>s precision to the point by referring</w:t>
      </w:r>
      <w:r w:rsidR="00C23A4D">
        <w:t xml:space="preserve"> to the spring rain that plays a key role in making the crops come to maturity.</w:t>
      </w:r>
      <w:r w:rsidR="00497C44">
        <w:t xml:space="preserve"> </w:t>
      </w:r>
    </w:p>
    <w:p w:rsidR="001920FA" w:rsidRDefault="001920FA" w:rsidP="001D3546">
      <w:pPr>
        <w:pStyle w:val="Heading2"/>
      </w:pPr>
      <w:r>
        <w:lastRenderedPageBreak/>
        <w:t>Theological Implications</w:t>
      </w:r>
    </w:p>
    <w:p w:rsidR="002E2881" w:rsidRDefault="002E2881" w:rsidP="009652A7">
      <w:pPr>
        <w:pStyle w:val="ListParagraph"/>
        <w:numPr>
          <w:ilvl w:val="0"/>
          <w:numId w:val="2"/>
        </w:numPr>
        <w:ind w:left="360"/>
      </w:pPr>
      <w:r>
        <w:t>God’s decla</w:t>
      </w:r>
      <w:r w:rsidR="00BE00CB">
        <w:t xml:space="preserve">rations </w:t>
      </w:r>
      <w:r>
        <w:t xml:space="preserve">give his people concrete imaginative portraits of what God intends and of its meaning. </w:t>
      </w:r>
      <w:r w:rsidR="00BC4F0C">
        <w:t xml:space="preserve">They are designed to provoke people into hope, trust, and repentance. </w:t>
      </w:r>
      <w:r w:rsidR="00BE00CB">
        <w:t xml:space="preserve">In inspiring </w:t>
      </w:r>
      <w:r w:rsidR="00DA034A" w:rsidRPr="00DA034A">
        <w:t>prophet</w:t>
      </w:r>
      <w:r w:rsidR="00BE00CB">
        <w:t>s</w:t>
      </w:r>
      <w:r w:rsidR="00DA034A" w:rsidRPr="00DA034A">
        <w:t xml:space="preserve"> to speak about coming events, </w:t>
      </w:r>
      <w:r w:rsidR="00DA034A">
        <w:t>God</w:t>
      </w:r>
      <w:r>
        <w:t xml:space="preserve"> do</w:t>
      </w:r>
      <w:r w:rsidR="00DA034A">
        <w:t>es</w:t>
      </w:r>
      <w:r>
        <w:t xml:space="preserve"> not </w:t>
      </w:r>
      <w:r w:rsidR="00BC4F0C">
        <w:t xml:space="preserve">generally </w:t>
      </w:r>
      <w:r>
        <w:t xml:space="preserve">provide </w:t>
      </w:r>
      <w:r w:rsidR="00BE00CB">
        <w:t>them</w:t>
      </w:r>
      <w:r w:rsidR="00DA034A">
        <w:t xml:space="preserve"> </w:t>
      </w:r>
      <w:r w:rsidR="00BE00CB">
        <w:t xml:space="preserve">simply </w:t>
      </w:r>
      <w:r w:rsidR="00DA034A">
        <w:t>with an</w:t>
      </w:r>
      <w:r>
        <w:t xml:space="preserve"> </w:t>
      </w:r>
      <w:r w:rsidR="001E3994">
        <w:t>advance report</w:t>
      </w:r>
      <w:r w:rsidR="00DA034A" w:rsidRPr="00DA034A">
        <w:t xml:space="preserve">. </w:t>
      </w:r>
      <w:r w:rsidR="00BC4F0C">
        <w:t>One reason is that they are sometimes designed to mislead (see 1 Kings 22). Another reason is that their fulfillment depends on an interaction with the response of the addressees (see Jer</w:t>
      </w:r>
      <w:r w:rsidR="00BE00CB">
        <w:t>.</w:t>
      </w:r>
      <w:r w:rsidR="00BC4F0C">
        <w:t xml:space="preserve"> 18). Another reason is that their fulfillment depends on an interaction with other people involved (see </w:t>
      </w:r>
      <w:r w:rsidR="00C66181">
        <w:t>Ezek</w:t>
      </w:r>
      <w:r w:rsidR="00BE00CB">
        <w:t>.</w:t>
      </w:r>
      <w:r w:rsidR="00C66181">
        <w:t xml:space="preserve"> 26 and 29). Another reason is that they use imagery and scriptural allusion because their aim is to bring home the meaning of events for their hearers not merely the concrete nature of events. Thus o</w:t>
      </w:r>
      <w:r w:rsidR="00BC4F0C">
        <w:t xml:space="preserve">ne could not work out in advance from </w:t>
      </w:r>
      <w:r w:rsidR="00725349">
        <w:t>First T</w:t>
      </w:r>
      <w:r w:rsidR="00BC4F0C">
        <w:t xml:space="preserve">estament prophecies what would be the literal nature of the fall of Jerusalem, of its restoration, of its deliverance from Antiochus, or of sort of person Jesus would be (hence John the Baptizer’s puzzlement at what Jesus did), nor from the New Testament can one </w:t>
      </w:r>
      <w:r w:rsidR="00C66181">
        <w:t>work out</w:t>
      </w:r>
      <w:r w:rsidR="00BC4F0C">
        <w:t xml:space="preserve"> what </w:t>
      </w:r>
      <w:r w:rsidR="0081702C">
        <w:t xml:space="preserve">Jesus’s </w:t>
      </w:r>
      <w:r w:rsidR="00BC4F0C">
        <w:t>final appearing or the new heavens and the new earth will be like.</w:t>
      </w:r>
      <w:r w:rsidR="00BE00CB">
        <w:t xml:space="preserve"> But on the basis of God’s declarations o</w:t>
      </w:r>
      <w:r w:rsidR="00C66181">
        <w:t>ne can respond to invitations to repentance before God, trust in God, and hope in God.</w:t>
      </w:r>
    </w:p>
    <w:p w:rsidR="00F952CC" w:rsidRDefault="00CF618D" w:rsidP="009652A7">
      <w:pPr>
        <w:pStyle w:val="ListParagraph"/>
        <w:numPr>
          <w:ilvl w:val="0"/>
          <w:numId w:val="2"/>
        </w:numPr>
        <w:ind w:left="360"/>
      </w:pPr>
      <w:r>
        <w:t>So</w:t>
      </w:r>
      <w:r w:rsidR="00F952CC">
        <w:t xml:space="preserve"> God warns his people about coming disaster in order to</w:t>
      </w:r>
      <w:r>
        <w:t xml:space="preserve"> urge them to turn back to him, and </w:t>
      </w:r>
      <w:r w:rsidR="00F952CC">
        <w:t>appeal</w:t>
      </w:r>
      <w:r>
        <w:t xml:space="preserve">s to their imagination </w:t>
      </w:r>
      <w:r w:rsidR="00F952CC">
        <w:t>to reinforce that urging. God’s warnings are those of someone with power, like those of a teacher or a parent; they need to be treated as trustworthy and reliable, not as questionable or moot.</w:t>
      </w:r>
    </w:p>
    <w:p w:rsidR="00CC1A47" w:rsidRDefault="00F952CC" w:rsidP="009652A7">
      <w:pPr>
        <w:pStyle w:val="ListParagraph"/>
        <w:numPr>
          <w:ilvl w:val="0"/>
          <w:numId w:val="2"/>
        </w:numPr>
        <w:ind w:left="360"/>
      </w:pPr>
      <w:r>
        <w:t>When such disaster comes to the people of God, it is palpably experienced as calamity</w:t>
      </w:r>
      <w:r w:rsidR="004A7E77">
        <w:t xml:space="preserve"> and as comparable to oppression by a superpower</w:t>
      </w:r>
      <w:r>
        <w:t>, but it also needs to be understood as reproof or chastisement</w:t>
      </w:r>
      <w:r w:rsidR="004A7E77">
        <w:t xml:space="preserve"> and as an expression of the proper governmental authority that belongs to God</w:t>
      </w:r>
      <w:r w:rsidR="00CF618D">
        <w:t>. It is not on</w:t>
      </w:r>
      <w:r>
        <w:t xml:space="preserve">ly punishment imposed for the sake of reasserting the moral and theological order that is affirmed in the community but </w:t>
      </w:r>
      <w:r w:rsidR="00CF618D">
        <w:t xml:space="preserve">also </w:t>
      </w:r>
      <w:r>
        <w:t>discipline designed for the shaping and upbuilding of the people of God itself.</w:t>
      </w:r>
      <w:r w:rsidR="009024D6">
        <w:t xml:space="preserve"> Thus</w:t>
      </w:r>
      <w:r w:rsidR="009024D6" w:rsidRPr="009024D6">
        <w:t xml:space="preserve"> the word “reproof” conceals good news, because reproof wants to achieve something in the life of the person reproved.</w:t>
      </w:r>
      <w:r w:rsidR="009024D6">
        <w:t xml:space="preserve"> It cannot be said that wrath is always an expression of love designed to bring change, but repr</w:t>
      </w:r>
      <w:r w:rsidR="00CC1A47">
        <w:t>oof always has that implication.</w:t>
      </w:r>
    </w:p>
    <w:p w:rsidR="00A11850" w:rsidRDefault="00A11850" w:rsidP="009652A7">
      <w:pPr>
        <w:pStyle w:val="ListParagraph"/>
        <w:numPr>
          <w:ilvl w:val="0"/>
          <w:numId w:val="2"/>
        </w:numPr>
        <w:ind w:left="360"/>
      </w:pPr>
      <w:r>
        <w:t>Honoring people’s right to their land is a principle that applies not only within the nation but between nations. We seek the freedom of others as well as our own freedom.</w:t>
      </w:r>
      <w:r>
        <w:rPr>
          <w:rStyle w:val="FootnoteReference"/>
        </w:rPr>
        <w:footnoteReference w:id="281"/>
      </w:r>
    </w:p>
    <w:p w:rsidR="00BE00CB" w:rsidRPr="00AC3DD5" w:rsidRDefault="00BE00CB" w:rsidP="009652A7">
      <w:pPr>
        <w:pStyle w:val="ListParagraph"/>
        <w:numPr>
          <w:ilvl w:val="0"/>
          <w:numId w:val="2"/>
        </w:numPr>
        <w:ind w:left="360"/>
      </w:pPr>
      <w:r>
        <w:t xml:space="preserve">In </w:t>
      </w:r>
      <w:r w:rsidR="001B253F">
        <w:t>talk</w:t>
      </w:r>
      <w:r>
        <w:t>ing</w:t>
      </w:r>
      <w:r w:rsidR="001B253F">
        <w:t xml:space="preserve"> of God </w:t>
      </w:r>
      <w:r w:rsidR="00CC1A47">
        <w:t>as lio</w:t>
      </w:r>
      <w:r w:rsidR="002A49CF">
        <w:t>n and even as consuming disease,</w:t>
      </w:r>
      <w:r w:rsidR="001B253F">
        <w:t xml:space="preserve"> </w:t>
      </w:r>
      <w:r w:rsidR="002A49CF">
        <w:t>“</w:t>
      </w:r>
      <w:r w:rsidR="00CC1A47">
        <w:t>with Hosea,… the prophet of God’s love, the element of dreadfulness in the Nature of God stands out clearly.”</w:t>
      </w:r>
      <w:r w:rsidR="00CC1A47">
        <w:rPr>
          <w:rStyle w:val="FootnoteReference"/>
        </w:rPr>
        <w:footnoteReference w:id="282"/>
      </w:r>
      <w:r w:rsidR="002A49CF">
        <w:t xml:space="preserve"> Then “‘God’s returning to his place’… is the ‘turning’ to end all turnings.</w:t>
      </w:r>
      <w:r w:rsidR="00CF618D">
        <w:t>”</w:t>
      </w:r>
      <w:r w:rsidR="002A49CF" w:rsidRPr="002A49CF">
        <w:rPr>
          <w:vertAlign w:val="superscript"/>
        </w:rPr>
        <w:footnoteReference w:id="283"/>
      </w:r>
      <w:r>
        <w:t xml:space="preserve"> There is a much loved quote from C. S. Lewis: “‘Aslan is a lion—</w:t>
      </w:r>
      <w:r w:rsidRPr="0076743B">
        <w:rPr>
          <w:i/>
        </w:rPr>
        <w:t>the</w:t>
      </w:r>
      <w:r>
        <w:t xml:space="preserve"> Lion, the great Lion</w:t>
      </w:r>
      <w:r w:rsidR="001741C1">
        <w:t>….</w:t>
      </w:r>
      <w:r>
        <w:t>’ ‘</w:t>
      </w:r>
      <w:r w:rsidRPr="00BE00CB">
        <w:t>Is he</w:t>
      </w:r>
      <w:r>
        <w:t>—</w:t>
      </w:r>
      <w:r w:rsidRPr="00BE00CB">
        <w:t>q</w:t>
      </w:r>
      <w:r>
        <w:t>uite safe?</w:t>
      </w:r>
      <w:r w:rsidR="001741C1">
        <w:t>...</w:t>
      </w:r>
      <w:r>
        <w:t>’ ‘Safe?’ said Mr</w:t>
      </w:r>
      <w:r w:rsidR="0076743B">
        <w:t>.</w:t>
      </w:r>
      <w:r>
        <w:t xml:space="preserve"> Beaver…. ‘</w:t>
      </w:r>
      <w:r w:rsidRPr="00BE00CB">
        <w:t>Who said anything about safe? 'Course h</w:t>
      </w:r>
      <w:r w:rsidR="001741C1">
        <w:t>e isn't safe. But he's good. He’</w:t>
      </w:r>
      <w:r w:rsidRPr="00BE00CB">
        <w:t>s the King, I tell you.</w:t>
      </w:r>
      <w:r w:rsidR="001741C1">
        <w:t>’”</w:t>
      </w:r>
      <w:r w:rsidR="001741C1">
        <w:rPr>
          <w:rStyle w:val="FootnoteReference"/>
        </w:rPr>
        <w:footnoteReference w:id="284"/>
      </w:r>
      <w:r w:rsidR="00CF618D">
        <w:t xml:space="preserve"> Christians appeal to t</w:t>
      </w:r>
      <w:r w:rsidR="001741C1">
        <w:t>he quo</w:t>
      </w:r>
      <w:r w:rsidR="00CF618D">
        <w:t xml:space="preserve">te </w:t>
      </w:r>
      <w:r w:rsidR="001741C1">
        <w:t>rather easily, and the first part must not</w:t>
      </w:r>
      <w:r w:rsidR="0076743B">
        <w:t xml:space="preserve"> have its teeth pulled. </w:t>
      </w:r>
    </w:p>
    <w:p w:rsidR="00F952CC" w:rsidRDefault="00F952CC" w:rsidP="009652A7">
      <w:pPr>
        <w:pStyle w:val="ListParagraph"/>
        <w:numPr>
          <w:ilvl w:val="0"/>
          <w:numId w:val="2"/>
        </w:numPr>
        <w:ind w:left="360"/>
      </w:pPr>
      <w:r>
        <w:t xml:space="preserve">God may use one party within the people of God to bring trouble to another, but the one he uses will then find itself under chastisement even though used by God in this way, if its </w:t>
      </w:r>
      <w:r w:rsidR="00CF618D">
        <w:t xml:space="preserve">own </w:t>
      </w:r>
      <w:r>
        <w:t>aim in the action took was its own advance. The principle that applies outside the people of God (e.g., to one of the great empires) also applies within it.</w:t>
      </w:r>
    </w:p>
    <w:p w:rsidR="004A7E77" w:rsidRDefault="004A7E77" w:rsidP="009652A7">
      <w:pPr>
        <w:pStyle w:val="ListParagraph"/>
        <w:numPr>
          <w:ilvl w:val="0"/>
          <w:numId w:val="2"/>
        </w:numPr>
        <w:ind w:left="360"/>
      </w:pPr>
      <w:r>
        <w:lastRenderedPageBreak/>
        <w:t>When the people of God are in trouble, their temptation is to look elsewhere for support, but it won’t work. God is more powerful than other tempting resources. There is no one can rescue the people of God from God.</w:t>
      </w:r>
    </w:p>
    <w:p w:rsidR="004A7E77" w:rsidRDefault="004A7E77" w:rsidP="00C36D73">
      <w:pPr>
        <w:pStyle w:val="ListParagraph"/>
        <w:numPr>
          <w:ilvl w:val="0"/>
          <w:numId w:val="2"/>
        </w:numPr>
        <w:ind w:left="360"/>
      </w:pPr>
      <w:r>
        <w:t>When the people of God make no response to his warnings and he imposes his chastisement, he may then simply go away and leave them for a while until he deems the chastisement to be long enough (cf. Isa</w:t>
      </w:r>
      <w:r w:rsidR="00FB51DD">
        <w:t>.</w:t>
      </w:r>
      <w:r>
        <w:t xml:space="preserve"> 40:1-2).</w:t>
      </w:r>
      <w:r w:rsidR="00C36D73">
        <w:t xml:space="preserve"> If God doesn’t immediately revive his people, he doesn’t delay that reviving for too long, in case our spirits fail.</w:t>
      </w:r>
      <w:r w:rsidR="00C36D73">
        <w:rPr>
          <w:rStyle w:val="FootnoteReference"/>
        </w:rPr>
        <w:footnoteReference w:id="285"/>
      </w:r>
    </w:p>
    <w:p w:rsidR="004A7E77" w:rsidRDefault="004A7E77" w:rsidP="009652A7">
      <w:pPr>
        <w:pStyle w:val="ListParagraph"/>
        <w:numPr>
          <w:ilvl w:val="0"/>
          <w:numId w:val="2"/>
        </w:numPr>
        <w:ind w:left="360"/>
      </w:pPr>
      <w:r>
        <w:t>The time may then come when they come to their senses and recognize that the one who struck them is the one to whom they should have been looking all the time.</w:t>
      </w:r>
    </w:p>
    <w:p w:rsidR="004A7E77" w:rsidRDefault="004A7E77" w:rsidP="009652A7">
      <w:pPr>
        <w:pStyle w:val="ListParagraph"/>
        <w:numPr>
          <w:ilvl w:val="0"/>
          <w:numId w:val="2"/>
        </w:numPr>
        <w:ind w:left="360"/>
      </w:pPr>
      <w:r>
        <w:t>In his graciousness God provides them with the words to say when they come back. They involve a resolution to turn back and to commit themselves in a serious way to giving God the acknowledgment that they had been denying him as they turned to other resources.</w:t>
      </w:r>
    </w:p>
    <w:p w:rsidR="003501DC" w:rsidRDefault="003A3ED4" w:rsidP="009652A7">
      <w:pPr>
        <w:pStyle w:val="ListParagraph"/>
        <w:numPr>
          <w:ilvl w:val="0"/>
          <w:numId w:val="2"/>
        </w:numPr>
        <w:ind w:left="360"/>
      </w:pPr>
      <w:r>
        <w:t>More important are the facts about God that th</w:t>
      </w:r>
      <w:r w:rsidR="00FB51DD">
        <w:t xml:space="preserve">ey can </w:t>
      </w:r>
      <w:r w:rsidR="00C36D73">
        <w:t xml:space="preserve">then </w:t>
      </w:r>
      <w:r w:rsidR="00FB51DD">
        <w:t xml:space="preserve">lay hold of, which </w:t>
      </w:r>
      <w:r>
        <w:t xml:space="preserve">God </w:t>
      </w:r>
      <w:r w:rsidR="00FB51DD">
        <w:t xml:space="preserve">also </w:t>
      </w:r>
      <w:r>
        <w:t xml:space="preserve">reminds them of my giving them these words. The </w:t>
      </w:r>
      <w:r w:rsidR="00C36D73">
        <w:t>proposed prayer</w:t>
      </w:r>
      <w:r>
        <w:t>’s theological implications in the narrow sense lie here. God is one who wounds, but then heals.</w:t>
      </w:r>
      <w:r w:rsidR="00C36D73">
        <w:t xml:space="preserve"> </w:t>
      </w:r>
      <w:r>
        <w:t>God is one who gives life and stands people up.</w:t>
      </w:r>
      <w:r w:rsidR="00C36D73">
        <w:t xml:space="preserve"> </w:t>
      </w:r>
      <w:r>
        <w:t>The shining of God’s light is as reliable as that of the sunrise.</w:t>
      </w:r>
      <w:r w:rsidR="00C36D73">
        <w:t xml:space="preserve"> </w:t>
      </w:r>
      <w:r>
        <w:t>The refreshing and enlivening that God can bring is as remarkable as that of the rain.</w:t>
      </w:r>
      <w:r w:rsidR="00C36D73">
        <w:t xml:space="preserve"> </w:t>
      </w:r>
      <w:r w:rsidR="003501DC">
        <w:t>It will be possible thus to live before God, to live in the s</w:t>
      </w:r>
      <w:r w:rsidR="007E2A29">
        <w:t>phere of his blessing, and to liv</w:t>
      </w:r>
      <w:r w:rsidR="009024D6">
        <w:t>e</w:t>
      </w:r>
      <w:r w:rsidR="007E2A29">
        <w:t xml:space="preserve"> a life that acknowledges him</w:t>
      </w:r>
      <w:r w:rsidR="00A21584">
        <w:t>.</w:t>
      </w:r>
    </w:p>
    <w:p w:rsidR="005E1174" w:rsidRDefault="005E1174" w:rsidP="009652A7">
      <w:pPr>
        <w:pStyle w:val="ListParagraph"/>
        <w:numPr>
          <w:ilvl w:val="0"/>
          <w:numId w:val="2"/>
        </w:numPr>
        <w:ind w:left="360"/>
      </w:pPr>
      <w:r>
        <w:t>I</w:t>
      </w:r>
      <w:r w:rsidRPr="005E1174">
        <w:t>t’s oka</w:t>
      </w:r>
      <w:r w:rsidR="00B75873">
        <w:t>y for Israel to attach to God</w:t>
      </w:r>
      <w:r w:rsidRPr="005E1174">
        <w:t xml:space="preserve"> the hopes that other people would have regarding the Master. “Hosea’s religion, too, is a ‘fertility religion’ in which the blessings of the deity will be manifest in agricultural abundance and fertile wombs.”</w:t>
      </w:r>
      <w:r w:rsidRPr="005E1174">
        <w:rPr>
          <w:vertAlign w:val="superscript"/>
        </w:rPr>
        <w:footnoteReference w:id="286"/>
      </w:r>
      <w:r w:rsidR="006849EF">
        <w:t xml:space="preserve"> Yahweh is a weather God, and they have put the weather God out of mind.</w:t>
      </w:r>
      <w:r w:rsidR="006849EF">
        <w:rPr>
          <w:rStyle w:val="FootnoteReference"/>
        </w:rPr>
        <w:footnoteReference w:id="287"/>
      </w:r>
    </w:p>
    <w:p w:rsidR="00A21584" w:rsidRDefault="00C25A09" w:rsidP="009652A7">
      <w:pPr>
        <w:pStyle w:val="ListParagraph"/>
        <w:numPr>
          <w:ilvl w:val="0"/>
          <w:numId w:val="2"/>
        </w:numPr>
        <w:ind w:left="360"/>
      </w:pPr>
      <w:r>
        <w:t xml:space="preserve">Possibly </w:t>
      </w:r>
      <w:r w:rsidR="00BB7399">
        <w:t>Paul’s declaration that Jesus “was raised on the third day in accordance with the Scriptures” implies a link with Hosea 6:</w:t>
      </w:r>
      <w:r w:rsidR="00741544">
        <w:t xml:space="preserve">2. Certainly Tertullian makes </w:t>
      </w:r>
      <w:r w:rsidR="00BB7399">
        <w:t>link</w:t>
      </w:r>
      <w:r w:rsidR="00741544">
        <w:t>s</w:t>
      </w:r>
      <w:r w:rsidR="00BB7399">
        <w:t xml:space="preserve"> of this</w:t>
      </w:r>
      <w:r w:rsidR="00741544">
        <w:t xml:space="preserve"> kind. In one passage he</w:t>
      </w:r>
      <w:r w:rsidR="00BB7399">
        <w:t xml:space="preserve"> relates it to the women disciples:</w:t>
      </w:r>
    </w:p>
    <w:p w:rsidR="00BB7399" w:rsidRDefault="00BB7399" w:rsidP="00BB7399">
      <w:pPr>
        <w:pStyle w:val="ListParagraph"/>
        <w:ind w:left="360" w:firstLine="0"/>
      </w:pPr>
    </w:p>
    <w:p w:rsidR="00741544" w:rsidRDefault="00BB7399" w:rsidP="00BB7399">
      <w:pPr>
        <w:pStyle w:val="ListParagraph"/>
        <w:ind w:left="720" w:firstLine="0"/>
      </w:pPr>
      <w:r>
        <w:t>Prophecy does not omit the (pious) office of the women who resorted before day-break to the sepulchre with the spices which they had prepared. For of this incident it is said by Hosea: “To seek my face they will watch till day-light, saying unto me, Come, and let us return to the Lord: for He hath taken away, and He will heal us; He hath smitten, and He will bind us up; after two days will He revive us: in the third day He will raise us up.” For who can refuse to believe that these words often revolved in the thought of those women between the sorrow of that desertion with which at present they seemed to themselves to have been smitten by the Lord, and the hope of the resurrection itself, by which they rightly supposed that all would be restored to them?</w:t>
      </w:r>
      <w:r w:rsidR="00C36D73">
        <w:rPr>
          <w:rStyle w:val="FootnoteReference"/>
        </w:rPr>
        <w:footnoteReference w:id="288"/>
      </w:r>
      <w:r>
        <w:t xml:space="preserve"> </w:t>
      </w:r>
    </w:p>
    <w:p w:rsidR="00741544" w:rsidRDefault="00741544" w:rsidP="00BB7399">
      <w:pPr>
        <w:pStyle w:val="ListParagraph"/>
        <w:ind w:left="720" w:firstLine="0"/>
      </w:pPr>
    </w:p>
    <w:p w:rsidR="00741544" w:rsidRDefault="00C36D73" w:rsidP="00741544">
      <w:pPr>
        <w:pStyle w:val="ListParagraph"/>
        <w:ind w:left="360" w:firstLine="0"/>
      </w:pPr>
      <w:r>
        <w:t>Elsewhere</w:t>
      </w:r>
      <w:r w:rsidR="00741544">
        <w:t xml:space="preserve"> he relates it to Jesus’</w:t>
      </w:r>
      <w:r>
        <w:t>s</w:t>
      </w:r>
      <w:r w:rsidR="00741544">
        <w:t xml:space="preserve"> return to heaven:</w:t>
      </w:r>
    </w:p>
    <w:p w:rsidR="00741544" w:rsidRDefault="00741544" w:rsidP="00741544">
      <w:pPr>
        <w:pStyle w:val="ListParagraph"/>
        <w:ind w:left="360" w:firstLine="0"/>
      </w:pPr>
    </w:p>
    <w:p w:rsidR="00741544" w:rsidRDefault="00741544" w:rsidP="00741544">
      <w:pPr>
        <w:pStyle w:val="ListParagraph"/>
        <w:ind w:left="720" w:firstLine="0"/>
      </w:pPr>
      <w:r>
        <w:t xml:space="preserve">Why, accordingly, after His </w:t>
      </w:r>
      <w:r w:rsidRPr="00741544">
        <w:t>resurrection</w:t>
      </w:r>
      <w:r>
        <w:t xml:space="preserve"> from the dead, which was effected on the third day, did the heavens receive Him back? It was in accordance with a </w:t>
      </w:r>
      <w:r w:rsidRPr="00741544">
        <w:t>prophecy</w:t>
      </w:r>
      <w:r>
        <w:t xml:space="preserve"> of Hosea, uttered on this wise: Before daybreak </w:t>
      </w:r>
      <w:r w:rsidR="001C19DD">
        <w:t>will</w:t>
      </w:r>
      <w:r>
        <w:t xml:space="preserve"> they arise unto Me, saying, Let us go and return unto the Lord our </w:t>
      </w:r>
      <w:r w:rsidRPr="00741544">
        <w:lastRenderedPageBreak/>
        <w:t>God</w:t>
      </w:r>
      <w:r>
        <w:t xml:space="preserve">, because Himself will draw </w:t>
      </w:r>
      <w:r>
        <w:rPr>
          <w:rStyle w:val="Emphasis"/>
        </w:rPr>
        <w:t>us</w:t>
      </w:r>
      <w:r>
        <w:t xml:space="preserve"> out and free us. After a space of two days, on the third day — which is His </w:t>
      </w:r>
      <w:r w:rsidRPr="00741544">
        <w:t>glorious</w:t>
      </w:r>
      <w:r>
        <w:t xml:space="preserve"> resurrection— He received [Him] back into the heavens.</w:t>
      </w:r>
      <w:r w:rsidR="00C36D73">
        <w:rPr>
          <w:rStyle w:val="FootnoteReference"/>
        </w:rPr>
        <w:footnoteReference w:id="289"/>
      </w:r>
      <w:r>
        <w:t xml:space="preserve"> </w:t>
      </w:r>
    </w:p>
    <w:p w:rsidR="00876F3D" w:rsidRDefault="00C36D73" w:rsidP="00C36D73">
      <w:pPr>
        <w:pStyle w:val="ListParagraph"/>
        <w:tabs>
          <w:tab w:val="left" w:pos="3285"/>
        </w:tabs>
        <w:ind w:left="720" w:firstLine="0"/>
      </w:pPr>
      <w:r>
        <w:tab/>
      </w:r>
    </w:p>
    <w:p w:rsidR="00876F3D" w:rsidRDefault="00876F3D" w:rsidP="00876F3D">
      <w:pPr>
        <w:pStyle w:val="ListParagraph"/>
        <w:ind w:left="360" w:firstLine="0"/>
      </w:pPr>
      <w:r>
        <w:t>Both passages illustrate the fruitfulness of the inspiration of Hosea.</w:t>
      </w:r>
      <w:r>
        <w:rPr>
          <w:rStyle w:val="FootnoteReference"/>
        </w:rPr>
        <w:footnoteReference w:id="290"/>
      </w:r>
      <w:r>
        <w:t xml:space="preserve"> Perhaps there was a twinkle in the Holy Spirit’s eye when he inspired Hosea to lay before Israel the possibility of Yahweh’s bringing the people back to life after two or three days, because he knew how this God would raise Jesus after two or three days, and restore him to his place in the heavenly realm, and restore the women who believed in him.</w:t>
      </w:r>
    </w:p>
    <w:p w:rsidR="001920FA" w:rsidRDefault="00567D4D" w:rsidP="00EF7B98">
      <w:pPr>
        <w:pStyle w:val="Heading1"/>
      </w:pPr>
      <w:r>
        <w:t>Hosea 6:4</w:t>
      </w:r>
      <w:r w:rsidR="001920FA">
        <w:t>—7:16</w:t>
      </w:r>
      <w:r w:rsidR="002F7216">
        <w:t xml:space="preserve">: </w:t>
      </w:r>
      <w:r w:rsidR="005B057C">
        <w:t xml:space="preserve">Will You </w:t>
      </w:r>
      <w:r w:rsidR="00D02E8B">
        <w:t xml:space="preserve">Answer (A Puzzling </w:t>
      </w:r>
      <w:r w:rsidR="002F7216">
        <w:t>Question</w:t>
      </w:r>
      <w:r w:rsidR="005B057C">
        <w:t xml:space="preserve"> about </w:t>
      </w:r>
      <w:r w:rsidR="00D02E8B">
        <w:t>You)</w:t>
      </w:r>
    </w:p>
    <w:p w:rsidR="001920FA" w:rsidRDefault="001920FA" w:rsidP="001D3546">
      <w:pPr>
        <w:pStyle w:val="Heading2"/>
      </w:pPr>
      <w:r>
        <w:t xml:space="preserve">Translation </w:t>
      </w:r>
    </w:p>
    <w:p w:rsidR="00567D4D" w:rsidRPr="00567D4D" w:rsidRDefault="00567D4D" w:rsidP="00567D4D">
      <w:r w:rsidRPr="00567D4D">
        <w:rPr>
          <w:vertAlign w:val="superscript"/>
        </w:rPr>
        <w:t>4</w:t>
      </w:r>
      <w:r w:rsidRPr="00567D4D">
        <w:t xml:space="preserve">What </w:t>
      </w:r>
      <w:r w:rsidR="00C05FB6">
        <w:t>sha</w:t>
      </w:r>
      <w:r w:rsidR="001C19DD">
        <w:t>ll</w:t>
      </w:r>
      <w:r w:rsidRPr="00567D4D">
        <w:t xml:space="preserve"> I do about you, ’Eprayim, </w:t>
      </w:r>
    </w:p>
    <w:p w:rsidR="00567D4D" w:rsidRPr="00567D4D" w:rsidRDefault="00567D4D" w:rsidP="00567D4D">
      <w:r w:rsidRPr="00567D4D">
        <w:tab/>
        <w:t xml:space="preserve">what </w:t>
      </w:r>
      <w:r w:rsidR="00C05FB6">
        <w:t>sha</w:t>
      </w:r>
      <w:r w:rsidR="001C19DD">
        <w:t>ll</w:t>
      </w:r>
      <w:r w:rsidRPr="00567D4D">
        <w:t xml:space="preserve"> I do about you, Yəhûdāh,</w:t>
      </w:r>
    </w:p>
    <w:p w:rsidR="00567D4D" w:rsidRPr="00567D4D" w:rsidRDefault="00567D4D" w:rsidP="00567D4D">
      <w:r w:rsidRPr="00567D4D">
        <w:t>When</w:t>
      </w:r>
      <w:r w:rsidRPr="00567D4D">
        <w:rPr>
          <w:vertAlign w:val="superscript"/>
        </w:rPr>
        <w:footnoteReference w:id="291"/>
      </w:r>
      <w:r w:rsidR="00BD1EC7">
        <w:t xml:space="preserve"> your commitment </w:t>
      </w:r>
      <w:r w:rsidR="007D3A25">
        <w:t>i</w:t>
      </w:r>
      <w:r w:rsidR="00BD1EC7">
        <w:t>s</w:t>
      </w:r>
      <w:r w:rsidRPr="00567D4D">
        <w:t xml:space="preserve"> like morning cloud, </w:t>
      </w:r>
    </w:p>
    <w:p w:rsidR="00567D4D" w:rsidRPr="00567D4D" w:rsidRDefault="00567D4D" w:rsidP="00567D4D">
      <w:r w:rsidRPr="00567D4D">
        <w:tab/>
        <w:t>like the d</w:t>
      </w:r>
      <w:r w:rsidR="00BD1EC7">
        <w:t>ew, goin</w:t>
      </w:r>
      <w:r w:rsidR="0040196F">
        <w:t>g early in the day</w:t>
      </w:r>
      <w:r w:rsidR="00BD1EC7">
        <w:t>?</w:t>
      </w:r>
      <w:r w:rsidRPr="00567D4D">
        <w:rPr>
          <w:vertAlign w:val="superscript"/>
        </w:rPr>
        <w:footnoteReference w:id="292"/>
      </w:r>
    </w:p>
    <w:p w:rsidR="00567D4D" w:rsidRPr="00567D4D" w:rsidRDefault="00567D4D" w:rsidP="00567D4D">
      <w:r w:rsidRPr="00567D4D">
        <w:rPr>
          <w:vertAlign w:val="superscript"/>
        </w:rPr>
        <w:t>5</w:t>
      </w:r>
      <w:r w:rsidR="00C36D73">
        <w:t>That’s why I ha</w:t>
      </w:r>
      <w:r w:rsidR="00A5125F">
        <w:t xml:space="preserve">ve </w:t>
      </w:r>
      <w:r w:rsidR="0018300D">
        <w:t>cut them</w:t>
      </w:r>
      <w:r w:rsidR="00C602C8">
        <w:t xml:space="preserve"> </w:t>
      </w:r>
      <w:r w:rsidRPr="00567D4D">
        <w:t>down</w:t>
      </w:r>
      <w:r w:rsidR="00C602C8" w:rsidRPr="00C602C8">
        <w:rPr>
          <w:vertAlign w:val="superscript"/>
        </w:rPr>
        <w:footnoteReference w:id="293"/>
      </w:r>
      <w:r w:rsidRPr="00567D4D">
        <w:t xml:space="preserve"> with prophets, </w:t>
      </w:r>
    </w:p>
    <w:p w:rsidR="00567D4D" w:rsidRPr="00567D4D" w:rsidRDefault="00567D4D" w:rsidP="00567D4D">
      <w:r w:rsidRPr="00567D4D">
        <w:tab/>
        <w:t xml:space="preserve">slaughtered </w:t>
      </w:r>
      <w:r w:rsidR="0018300D">
        <w:t>them</w:t>
      </w:r>
      <w:r w:rsidR="00C43792">
        <w:t xml:space="preserve"> with the words of my mouth.</w:t>
      </w:r>
    </w:p>
    <w:p w:rsidR="00567D4D" w:rsidRPr="00567D4D" w:rsidRDefault="00C43792" w:rsidP="00567D4D">
      <w:r>
        <w:t>A</w:t>
      </w:r>
      <w:r w:rsidR="00567D4D" w:rsidRPr="00567D4D">
        <w:t xml:space="preserve">nd </w:t>
      </w:r>
      <w:r w:rsidR="00D8484A" w:rsidRPr="00D8484A">
        <w:t>decisions about you</w:t>
      </w:r>
      <w:r w:rsidR="002933F8" w:rsidRPr="002933F8">
        <w:rPr>
          <w:vertAlign w:val="superscript"/>
        </w:rPr>
        <w:footnoteReference w:id="294"/>
      </w:r>
      <w:r w:rsidR="00D8484A" w:rsidRPr="00D8484A">
        <w:t xml:space="preserve"> </w:t>
      </w:r>
      <w:r w:rsidR="00BE2297">
        <w:t>should</w:t>
      </w:r>
      <w:r>
        <w:t xml:space="preserve"> go</w:t>
      </w:r>
      <w:r w:rsidR="00D8484A">
        <w:t xml:space="preserve"> out as light</w:t>
      </w:r>
      <w:r w:rsidR="002933F8">
        <w:t>,</w:t>
      </w:r>
      <w:r w:rsidR="00A217F5" w:rsidRPr="00A217F5">
        <w:rPr>
          <w:vertAlign w:val="superscript"/>
        </w:rPr>
        <w:footnoteReference w:id="295"/>
      </w:r>
      <w:r w:rsidR="0049732C">
        <w:rPr>
          <w:vertAlign w:val="superscript"/>
        </w:rPr>
        <w:t xml:space="preserve"> </w:t>
      </w:r>
    </w:p>
    <w:p w:rsidR="00567D4D" w:rsidRPr="00567D4D" w:rsidRDefault="00C43792" w:rsidP="00567D4D">
      <w:r>
        <w:rPr>
          <w:vertAlign w:val="superscript"/>
        </w:rPr>
        <w:tab/>
      </w:r>
      <w:r w:rsidR="00567D4D" w:rsidRPr="00567D4D">
        <w:rPr>
          <w:vertAlign w:val="superscript"/>
        </w:rPr>
        <w:t>6</w:t>
      </w:r>
      <w:r>
        <w:t>when</w:t>
      </w:r>
      <w:r w:rsidR="00F276A5">
        <w:t xml:space="preserve"> I want</w:t>
      </w:r>
      <w:r w:rsidR="00567D4D" w:rsidRPr="00567D4D">
        <w:t xml:space="preserve"> commitment not sacrifice, </w:t>
      </w:r>
    </w:p>
    <w:p w:rsidR="00567D4D" w:rsidRDefault="00FC0BA6" w:rsidP="00567D4D">
      <w:r>
        <w:tab/>
        <w:t>acknowledging</w:t>
      </w:r>
      <w:r w:rsidR="00567D4D" w:rsidRPr="00567D4D">
        <w:t xml:space="preserve"> of God rather than burnt of</w:t>
      </w:r>
      <w:r w:rsidR="002933F8">
        <w:t>ferings?</w:t>
      </w:r>
    </w:p>
    <w:p w:rsidR="00350481" w:rsidRPr="00567D4D" w:rsidRDefault="00C37AA0" w:rsidP="00C37AA0">
      <w:pPr>
        <w:tabs>
          <w:tab w:val="left" w:pos="3315"/>
        </w:tabs>
      </w:pPr>
      <w:r>
        <w:tab/>
      </w:r>
    </w:p>
    <w:p w:rsidR="00567D4D" w:rsidRPr="00567D4D" w:rsidRDefault="00567D4D" w:rsidP="00567D4D">
      <w:r w:rsidRPr="00567D4D">
        <w:rPr>
          <w:vertAlign w:val="superscript"/>
        </w:rPr>
        <w:t>7</w:t>
      </w:r>
      <w:r w:rsidR="003E55F5">
        <w:t>But those people—they’v</w:t>
      </w:r>
      <w:r w:rsidR="008F1BD4">
        <w:t xml:space="preserve">e </w:t>
      </w:r>
      <w:r w:rsidR="001A77DD">
        <w:t>transgressed a</w:t>
      </w:r>
      <w:r w:rsidRPr="00567D4D">
        <w:t xml:space="preserve"> pact </w:t>
      </w:r>
      <w:r w:rsidR="006A53FE">
        <w:t xml:space="preserve">as </w:t>
      </w:r>
      <w:r w:rsidRPr="00567D4D">
        <w:t>at Adam,</w:t>
      </w:r>
      <w:r w:rsidR="00353422">
        <w:rPr>
          <w:rStyle w:val="FootnoteReference"/>
        </w:rPr>
        <w:footnoteReference w:id="296"/>
      </w:r>
      <w:r w:rsidRPr="00567D4D">
        <w:t xml:space="preserve"> </w:t>
      </w:r>
    </w:p>
    <w:p w:rsidR="00567D4D" w:rsidRPr="00567D4D" w:rsidRDefault="00567D4D" w:rsidP="00567D4D">
      <w:r w:rsidRPr="00567D4D">
        <w:tab/>
        <w:t>they broke faith with me there.</w:t>
      </w:r>
    </w:p>
    <w:p w:rsidR="00567D4D" w:rsidRPr="00567D4D" w:rsidRDefault="00567D4D" w:rsidP="00567D4D">
      <w:r w:rsidRPr="00567D4D">
        <w:rPr>
          <w:vertAlign w:val="superscript"/>
        </w:rPr>
        <w:t>8</w:t>
      </w:r>
      <w:r w:rsidRPr="00567D4D">
        <w:t xml:space="preserve">Gil‘ad is a town of evildoers, </w:t>
      </w:r>
    </w:p>
    <w:p w:rsidR="00567D4D" w:rsidRPr="00567D4D" w:rsidRDefault="00567D4D" w:rsidP="00567D4D">
      <w:r w:rsidRPr="00567D4D">
        <w:tab/>
        <w:t>footprinted</w:t>
      </w:r>
      <w:r w:rsidR="0021467B">
        <w:rPr>
          <w:rStyle w:val="FootnoteReference"/>
        </w:rPr>
        <w:footnoteReference w:id="297"/>
      </w:r>
      <w:r w:rsidRPr="00567D4D">
        <w:t xml:space="preserve"> with blood.</w:t>
      </w:r>
    </w:p>
    <w:p w:rsidR="00567D4D" w:rsidRPr="00567D4D" w:rsidRDefault="00567D4D" w:rsidP="00567D4D">
      <w:r w:rsidRPr="00567D4D">
        <w:rPr>
          <w:vertAlign w:val="superscript"/>
        </w:rPr>
        <w:t>9</w:t>
      </w:r>
      <w:r w:rsidR="00181022">
        <w:t>Like people waiting for</w:t>
      </w:r>
      <w:r w:rsidR="00A942EB">
        <w:rPr>
          <w:rStyle w:val="FootnoteReference"/>
        </w:rPr>
        <w:footnoteReference w:id="298"/>
      </w:r>
      <w:r w:rsidR="00925D8F">
        <w:t xml:space="preserve"> someone</w:t>
      </w:r>
      <w:r w:rsidRPr="00567D4D">
        <w:t xml:space="preserve">, </w:t>
      </w:r>
    </w:p>
    <w:p w:rsidR="00567D4D" w:rsidRPr="00567D4D" w:rsidRDefault="00567D4D" w:rsidP="00567D4D">
      <w:r w:rsidRPr="00567D4D">
        <w:tab/>
        <w:t>the company of priests are raiding gangs.</w:t>
      </w:r>
    </w:p>
    <w:p w:rsidR="00567D4D" w:rsidRPr="00567D4D" w:rsidRDefault="00567D4D" w:rsidP="00567D4D">
      <w:r w:rsidRPr="00567D4D">
        <w:lastRenderedPageBreak/>
        <w:t>They mur</w:t>
      </w:r>
      <w:r w:rsidR="00A84AC5">
        <w:t>der on the road to Šekem;</w:t>
      </w:r>
      <w:r w:rsidRPr="00567D4D">
        <w:rPr>
          <w:vertAlign w:val="superscript"/>
        </w:rPr>
        <w:footnoteReference w:id="299"/>
      </w:r>
      <w:r w:rsidRPr="00567D4D">
        <w:t xml:space="preserve"> </w:t>
      </w:r>
    </w:p>
    <w:p w:rsidR="00567D4D" w:rsidRPr="00567D4D" w:rsidRDefault="00A84AC5" w:rsidP="00567D4D">
      <w:r>
        <w:tab/>
        <w:t>indeed</w:t>
      </w:r>
      <w:r w:rsidR="00C91842">
        <w:t xml:space="preserve"> they’</w:t>
      </w:r>
      <w:r w:rsidR="00A349E4">
        <w:t xml:space="preserve">ve </w:t>
      </w:r>
      <w:r>
        <w:t>per</w:t>
      </w:r>
      <w:r w:rsidR="00A349E4">
        <w:t>formed</w:t>
      </w:r>
      <w:r>
        <w:t xml:space="preserve"> a deliberate atrocity</w:t>
      </w:r>
      <w:r w:rsidR="00567D4D" w:rsidRPr="00567D4D">
        <w:t>.</w:t>
      </w:r>
    </w:p>
    <w:p w:rsidR="00567D4D" w:rsidRPr="00567D4D" w:rsidRDefault="00567D4D" w:rsidP="00567D4D">
      <w:r w:rsidRPr="00567D4D">
        <w:rPr>
          <w:vertAlign w:val="superscript"/>
        </w:rPr>
        <w:t>10</w:t>
      </w:r>
      <w:r w:rsidRPr="00567D4D">
        <w:t>In Yiśrā’ēl’s household I saw a horror</w:t>
      </w:r>
      <w:r w:rsidR="001D1B02">
        <w:rPr>
          <w:rStyle w:val="FootnoteReference"/>
        </w:rPr>
        <w:footnoteReference w:id="300"/>
      </w:r>
      <w:r w:rsidRPr="00567D4D">
        <w:t>—</w:t>
      </w:r>
    </w:p>
    <w:p w:rsidR="00567D4D" w:rsidRPr="00567D4D" w:rsidRDefault="001D1B02" w:rsidP="00567D4D">
      <w:r>
        <w:tab/>
        <w:t>’Ep</w:t>
      </w:r>
      <w:r w:rsidR="00567D4D" w:rsidRPr="00567D4D">
        <w:t>ra</w:t>
      </w:r>
      <w:r>
        <w:t>y</w:t>
      </w:r>
      <w:r w:rsidR="00567D4D" w:rsidRPr="00567D4D">
        <w:t>im’s whoring there.</w:t>
      </w:r>
    </w:p>
    <w:p w:rsidR="00A349E4" w:rsidRDefault="001D1B02" w:rsidP="00567D4D">
      <w:r w:rsidRPr="001D1B02">
        <w:t>Yiśrā’ēl</w:t>
      </w:r>
      <w:r w:rsidR="00567D4D" w:rsidRPr="00567D4D">
        <w:t xml:space="preserve"> defiled itself</w:t>
      </w:r>
      <w:r>
        <w:t xml:space="preserve">, </w:t>
      </w:r>
      <w:r w:rsidR="00567D4D" w:rsidRPr="00567D4D">
        <w:rPr>
          <w:vertAlign w:val="superscript"/>
        </w:rPr>
        <w:t>11</w:t>
      </w:r>
      <w:r w:rsidR="00567D4D" w:rsidRPr="00567D4D">
        <w:t>Yə</w:t>
      </w:r>
      <w:r w:rsidR="001B02E1">
        <w:t xml:space="preserve">hûdāh </w:t>
      </w:r>
      <w:r w:rsidR="00A349E4">
        <w:t>too;</w:t>
      </w:r>
      <w:r w:rsidR="00856C80" w:rsidRPr="00856C80">
        <w:rPr>
          <w:vertAlign w:val="superscript"/>
        </w:rPr>
        <w:footnoteReference w:id="301"/>
      </w:r>
    </w:p>
    <w:p w:rsidR="00567D4D" w:rsidRPr="00567D4D" w:rsidRDefault="00A349E4" w:rsidP="00567D4D">
      <w:r>
        <w:tab/>
      </w:r>
      <w:r w:rsidR="001D1B02">
        <w:t>h</w:t>
      </w:r>
      <w:r>
        <w:t xml:space="preserve">e has </w:t>
      </w:r>
      <w:r w:rsidR="001B02E1">
        <w:t xml:space="preserve">set a </w:t>
      </w:r>
      <w:r w:rsidR="00567D4D" w:rsidRPr="00567D4D">
        <w:t>harvest</w:t>
      </w:r>
      <w:r w:rsidR="001B02E1">
        <w:t xml:space="preserve"> for you</w:t>
      </w:r>
      <w:r w:rsidR="00567D4D" w:rsidRPr="00567D4D">
        <w:t>.</w:t>
      </w:r>
      <w:r w:rsidR="00856C80" w:rsidRPr="00856C80">
        <w:rPr>
          <w:vertAlign w:val="superscript"/>
        </w:rPr>
        <w:footnoteReference w:id="302"/>
      </w:r>
    </w:p>
    <w:p w:rsidR="00567D4D" w:rsidRPr="00567D4D" w:rsidRDefault="00567D4D" w:rsidP="00567D4D"/>
    <w:p w:rsidR="00C80B4F" w:rsidRDefault="00C80B4F" w:rsidP="001920FA">
      <w:r>
        <w:rPr>
          <w:vertAlign w:val="superscript"/>
        </w:rPr>
        <w:t>11b</w:t>
      </w:r>
      <w:r w:rsidR="00925CF1">
        <w:t>When I turn back</w:t>
      </w:r>
      <w:r w:rsidR="008B15E4">
        <w:rPr>
          <w:rStyle w:val="FootnoteReference"/>
        </w:rPr>
        <w:footnoteReference w:id="303"/>
      </w:r>
      <w:r>
        <w:t xml:space="preserve"> my people’s fortunes,</w:t>
      </w:r>
      <w:r w:rsidR="00D444D5">
        <w:rPr>
          <w:rStyle w:val="FootnoteReference"/>
        </w:rPr>
        <w:footnoteReference w:id="304"/>
      </w:r>
      <w:r>
        <w:t xml:space="preserve"> </w:t>
      </w:r>
    </w:p>
    <w:p w:rsidR="001920FA" w:rsidRDefault="00C80B4F" w:rsidP="001920FA">
      <w:r>
        <w:tab/>
      </w:r>
      <w:r>
        <w:rPr>
          <w:vertAlign w:val="superscript"/>
        </w:rPr>
        <w:t>7:1</w:t>
      </w:r>
      <w:r w:rsidR="0084146B">
        <w:t>as I heal</w:t>
      </w:r>
      <w:r>
        <w:t xml:space="preserve"> </w:t>
      </w:r>
      <w:r w:rsidRPr="00C80B4F">
        <w:t>Yiśrā’ēl</w:t>
      </w:r>
      <w:r>
        <w:t>,</w:t>
      </w:r>
    </w:p>
    <w:p w:rsidR="003E674D" w:rsidRDefault="0084146B" w:rsidP="001920FA">
      <w:r>
        <w:t>’Eprayim’s waywardness reveals</w:t>
      </w:r>
      <w:r w:rsidR="00C80B4F">
        <w:t xml:space="preserve"> itself</w:t>
      </w:r>
      <w:r w:rsidR="003E674D">
        <w:t>,</w:t>
      </w:r>
      <w:r w:rsidR="00265B17">
        <w:rPr>
          <w:rStyle w:val="FootnoteReference"/>
        </w:rPr>
        <w:footnoteReference w:id="305"/>
      </w:r>
      <w:r w:rsidR="003E674D">
        <w:t xml:space="preserve"> </w:t>
      </w:r>
    </w:p>
    <w:p w:rsidR="003E674D" w:rsidRDefault="003D1135" w:rsidP="001920FA">
      <w:r>
        <w:tab/>
        <w:t>Šōm</w:t>
      </w:r>
      <w:r w:rsidR="00334BC2">
        <w:t>ə</w:t>
      </w:r>
      <w:r>
        <w:t>rōn’s bad dealing,</w:t>
      </w:r>
    </w:p>
    <w:p w:rsidR="00C80B4F" w:rsidRDefault="003D1135" w:rsidP="001920FA">
      <w:r>
        <w:tab/>
        <w:t>b</w:t>
      </w:r>
      <w:r w:rsidR="001B02E1">
        <w:t>ecause they’</w:t>
      </w:r>
      <w:r>
        <w:t>ve practiced falsehood.</w:t>
      </w:r>
    </w:p>
    <w:p w:rsidR="003E674D" w:rsidRDefault="003D1135" w:rsidP="001920FA">
      <w:r>
        <w:t>A</w:t>
      </w:r>
      <w:r w:rsidR="00FA590C">
        <w:t>s a</w:t>
      </w:r>
      <w:r w:rsidR="003E674D">
        <w:t xml:space="preserve"> thief comes in, </w:t>
      </w:r>
    </w:p>
    <w:p w:rsidR="003E674D" w:rsidRDefault="003D1135" w:rsidP="001920FA">
      <w:r>
        <w:tab/>
      </w:r>
      <w:r w:rsidR="00FA590C">
        <w:t>a raiding band has been maraud</w:t>
      </w:r>
      <w:r w:rsidR="00EE7E1E">
        <w:t>ing</w:t>
      </w:r>
      <w:r w:rsidR="003E674D">
        <w:t xml:space="preserve"> outside.</w:t>
      </w:r>
      <w:r w:rsidR="00EE7E1E">
        <w:rPr>
          <w:rStyle w:val="FootnoteReference"/>
        </w:rPr>
        <w:footnoteReference w:id="306"/>
      </w:r>
      <w:r w:rsidR="003E674D">
        <w:t xml:space="preserve"> </w:t>
      </w:r>
    </w:p>
    <w:p w:rsidR="003E674D" w:rsidRDefault="003E674D" w:rsidP="001920FA">
      <w:r>
        <w:rPr>
          <w:vertAlign w:val="superscript"/>
        </w:rPr>
        <w:t>2</w:t>
      </w:r>
      <w:r w:rsidR="0082545F">
        <w:t>And</w:t>
      </w:r>
      <w:r w:rsidR="009E569D">
        <w:t xml:space="preserve"> they just don’t</w:t>
      </w:r>
      <w:r w:rsidR="00EE2DD4">
        <w:rPr>
          <w:rStyle w:val="FootnoteReference"/>
        </w:rPr>
        <w:footnoteReference w:id="307"/>
      </w:r>
      <w:r w:rsidR="00EE2DD4">
        <w:t xml:space="preserve"> </w:t>
      </w:r>
      <w:r w:rsidR="007E35BD">
        <w:t>say to themselves</w:t>
      </w:r>
      <w:r w:rsidR="007E35BD">
        <w:rPr>
          <w:rStyle w:val="FootnoteReference"/>
        </w:rPr>
        <w:footnoteReference w:id="308"/>
      </w:r>
      <w:r>
        <w:t xml:space="preserve"> </w:t>
      </w:r>
    </w:p>
    <w:p w:rsidR="003E674D" w:rsidRDefault="003E55F5" w:rsidP="001920FA">
      <w:r>
        <w:tab/>
        <w:t>that</w:t>
      </w:r>
      <w:r w:rsidR="00E4272E">
        <w:rPr>
          <w:rStyle w:val="FootnoteReference"/>
        </w:rPr>
        <w:footnoteReference w:id="309"/>
      </w:r>
      <w:r w:rsidR="007E35BD">
        <w:t xml:space="preserve"> </w:t>
      </w:r>
      <w:r w:rsidR="003E674D">
        <w:t>I am mindful of all th</w:t>
      </w:r>
      <w:r w:rsidR="007E35BD">
        <w:t>eir bad dealing.</w:t>
      </w:r>
    </w:p>
    <w:p w:rsidR="003E674D" w:rsidRDefault="002923B3" w:rsidP="001920FA">
      <w:r>
        <w:t>Now their deeds have sur</w:t>
      </w:r>
      <w:r w:rsidR="003E674D">
        <w:t>round</w:t>
      </w:r>
      <w:r>
        <w:t>ed</w:t>
      </w:r>
      <w:r w:rsidR="00320F7A">
        <w:t xml:space="preserve"> them,</w:t>
      </w:r>
      <w:r w:rsidR="003E674D">
        <w:t xml:space="preserve"> </w:t>
      </w:r>
    </w:p>
    <w:p w:rsidR="003E674D" w:rsidRDefault="00AE2B85" w:rsidP="001920FA">
      <w:r>
        <w:tab/>
      </w:r>
      <w:r w:rsidR="00320F7A">
        <w:t xml:space="preserve">as </w:t>
      </w:r>
      <w:r>
        <w:t>t</w:t>
      </w:r>
      <w:r w:rsidR="00EC3903">
        <w:t>hey’</w:t>
      </w:r>
      <w:r w:rsidR="003E674D">
        <w:t>ve been in front of my face.</w:t>
      </w:r>
    </w:p>
    <w:p w:rsidR="006C03D1" w:rsidRDefault="006C03D1" w:rsidP="001920FA"/>
    <w:p w:rsidR="000A4518" w:rsidRDefault="000A4518" w:rsidP="001920FA">
      <w:r>
        <w:rPr>
          <w:vertAlign w:val="superscript"/>
        </w:rPr>
        <w:t>3</w:t>
      </w:r>
      <w:r w:rsidR="0041089A">
        <w:t>Through</w:t>
      </w:r>
      <w:r>
        <w:t xml:space="preserve"> th</w:t>
      </w:r>
      <w:r w:rsidR="009727B8">
        <w:t>eir bad dealing</w:t>
      </w:r>
      <w:r w:rsidR="0041089A">
        <w:t>,</w:t>
      </w:r>
      <w:r w:rsidR="009727B8">
        <w:t xml:space="preserve"> they make </w:t>
      </w:r>
      <w:r w:rsidR="002303C1">
        <w:t>a</w:t>
      </w:r>
      <w:r>
        <w:t xml:space="preserve"> king</w:t>
      </w:r>
      <w:r w:rsidR="009727B8">
        <w:t xml:space="preserve"> happy</w:t>
      </w:r>
      <w:r>
        <w:t xml:space="preserve">, </w:t>
      </w:r>
    </w:p>
    <w:p w:rsidR="003E674D" w:rsidRDefault="000A4518" w:rsidP="001920FA">
      <w:r>
        <w:tab/>
        <w:t>and officials</w:t>
      </w:r>
      <w:r w:rsidR="000114D2">
        <w:t>,</w:t>
      </w:r>
      <w:r w:rsidR="00095806">
        <w:t xml:space="preserve"> with their deception</w:t>
      </w:r>
      <w:r>
        <w:t>.</w:t>
      </w:r>
    </w:p>
    <w:p w:rsidR="000A4518" w:rsidRDefault="00C706BC" w:rsidP="001920FA">
      <w:r>
        <w:rPr>
          <w:vertAlign w:val="superscript"/>
        </w:rPr>
        <w:t>4</w:t>
      </w:r>
      <w:r w:rsidR="00C91842">
        <w:t xml:space="preserve">They’re all of them </w:t>
      </w:r>
      <w:r w:rsidR="000A4518">
        <w:t xml:space="preserve">committing adultery, </w:t>
      </w:r>
    </w:p>
    <w:p w:rsidR="000A4518" w:rsidRDefault="000A4518" w:rsidP="001920FA">
      <w:r>
        <w:tab/>
        <w:t>like an oven burning</w:t>
      </w:r>
      <w:r w:rsidR="00F816BA">
        <w:t xml:space="preserve"> without</w:t>
      </w:r>
      <w:r w:rsidR="004C366A">
        <w:rPr>
          <w:rStyle w:val="FootnoteReference"/>
        </w:rPr>
        <w:footnoteReference w:id="310"/>
      </w:r>
      <w:r w:rsidR="00F816BA">
        <w:t xml:space="preserve"> a baker,</w:t>
      </w:r>
    </w:p>
    <w:p w:rsidR="000A4518" w:rsidRDefault="00F816BA" w:rsidP="001920FA">
      <w:r>
        <w:lastRenderedPageBreak/>
        <w:t>W</w:t>
      </w:r>
      <w:r w:rsidR="000A4518">
        <w:t xml:space="preserve">ho stops stirring </w:t>
      </w:r>
    </w:p>
    <w:p w:rsidR="000A4518" w:rsidRDefault="000A4518" w:rsidP="001920FA">
      <w:r>
        <w:tab/>
        <w:t xml:space="preserve">from the kneading of the dough </w:t>
      </w:r>
      <w:r w:rsidR="005E6FCE">
        <w:t>until its leavening.</w:t>
      </w:r>
    </w:p>
    <w:p w:rsidR="00C706BC" w:rsidRDefault="00C706BC" w:rsidP="001920FA">
      <w:r>
        <w:rPr>
          <w:vertAlign w:val="superscript"/>
        </w:rPr>
        <w:t>5</w:t>
      </w:r>
      <w:r w:rsidR="009B1AE1">
        <w:t>On our king’s day they made the off</w:t>
      </w:r>
      <w:r w:rsidR="00920339">
        <w:t>i</w:t>
      </w:r>
      <w:r w:rsidR="009B1AE1">
        <w:t xml:space="preserve">cials </w:t>
      </w:r>
      <w:r w:rsidR="00B439DB">
        <w:t>sick</w:t>
      </w:r>
      <w:r w:rsidR="00E4272E">
        <w:rPr>
          <w:rStyle w:val="FootnoteReference"/>
        </w:rPr>
        <w:footnoteReference w:id="311"/>
      </w:r>
      <w:r>
        <w:t xml:space="preserve"> </w:t>
      </w:r>
    </w:p>
    <w:p w:rsidR="00C706BC" w:rsidRDefault="009B1AE1" w:rsidP="001920FA">
      <w:r>
        <w:tab/>
      </w:r>
      <w:r w:rsidR="00A71AE3">
        <w:t>with poison from wine.</w:t>
      </w:r>
      <w:r w:rsidR="00C706BC">
        <w:t xml:space="preserve"> </w:t>
      </w:r>
    </w:p>
    <w:p w:rsidR="00A67788" w:rsidRDefault="00531AD7" w:rsidP="001920FA">
      <w:r>
        <w:t>He joined his hand with mockers</w:t>
      </w:r>
      <w:r w:rsidR="00C706BC">
        <w:t xml:space="preserve"> </w:t>
      </w:r>
    </w:p>
    <w:p w:rsidR="00C706BC" w:rsidRDefault="00A67788" w:rsidP="001920FA">
      <w:r>
        <w:tab/>
      </w:r>
      <w:r w:rsidR="00C706BC">
        <w:rPr>
          <w:vertAlign w:val="superscript"/>
        </w:rPr>
        <w:t>6</w:t>
      </w:r>
      <w:r w:rsidR="00CD4785">
        <w:t xml:space="preserve">when they </w:t>
      </w:r>
      <w:r w:rsidR="00C762B1">
        <w:t>came near,</w:t>
      </w:r>
      <w:r w:rsidR="00CD4785">
        <w:rPr>
          <w:rStyle w:val="FootnoteReference"/>
        </w:rPr>
        <w:footnoteReference w:id="312"/>
      </w:r>
      <w:r w:rsidR="002B4561">
        <w:t xml:space="preserve"> their mind like an oven</w:t>
      </w:r>
      <w:r w:rsidR="00A27BEF">
        <w:t>,</w:t>
      </w:r>
      <w:r w:rsidR="002B4561">
        <w:t xml:space="preserve"> with their </w:t>
      </w:r>
      <w:r w:rsidR="00A27BEF">
        <w:t>trick</w:t>
      </w:r>
      <w:r w:rsidR="002B4561">
        <w:t>.</w:t>
      </w:r>
    </w:p>
    <w:p w:rsidR="002B4561" w:rsidRDefault="000160B8" w:rsidP="001920FA">
      <w:r>
        <w:t>Though</w:t>
      </w:r>
      <w:r w:rsidR="002B4561">
        <w:t xml:space="preserve"> their baker</w:t>
      </w:r>
      <w:r w:rsidR="00CD2063">
        <w:rPr>
          <w:rStyle w:val="FootnoteReference"/>
        </w:rPr>
        <w:footnoteReference w:id="313"/>
      </w:r>
      <w:r w:rsidR="002B4561">
        <w:t xml:space="preserve"> slept</w:t>
      </w:r>
      <w:r>
        <w:t xml:space="preserve"> all night</w:t>
      </w:r>
      <w:r w:rsidR="002B4561">
        <w:t xml:space="preserve">, </w:t>
      </w:r>
    </w:p>
    <w:p w:rsidR="002B4561" w:rsidRDefault="00BE55A4" w:rsidP="001920FA">
      <w:r>
        <w:tab/>
        <w:t>in the morning it</w:t>
      </w:r>
      <w:r w:rsidR="002B4561">
        <w:t xml:space="preserve"> was burning,</w:t>
      </w:r>
    </w:p>
    <w:p w:rsidR="002B4561" w:rsidRDefault="000160B8" w:rsidP="001920FA">
      <w:r>
        <w:tab/>
        <w:t>as a blazing fire.</w:t>
      </w:r>
    </w:p>
    <w:p w:rsidR="002B4561" w:rsidRDefault="002B4561" w:rsidP="001920FA">
      <w:r>
        <w:rPr>
          <w:vertAlign w:val="superscript"/>
        </w:rPr>
        <w:t>7</w:t>
      </w:r>
      <w:r w:rsidR="000160B8">
        <w:t>A</w:t>
      </w:r>
      <w:r>
        <w:t>ll of them get hot like an oven,</w:t>
      </w:r>
    </w:p>
    <w:p w:rsidR="002B4561" w:rsidRDefault="000160B8" w:rsidP="001920FA">
      <w:r>
        <w:tab/>
        <w:t>a</w:t>
      </w:r>
      <w:r w:rsidR="002B4561">
        <w:t>n</w:t>
      </w:r>
      <w:r w:rsidR="00BE55A4">
        <w:t xml:space="preserve">d </w:t>
      </w:r>
      <w:r w:rsidR="001B02E1">
        <w:t>consu</w:t>
      </w:r>
      <w:r w:rsidR="0046653F">
        <w:t>me their governing authorities</w:t>
      </w:r>
      <w:r>
        <w:t>.</w:t>
      </w:r>
    </w:p>
    <w:p w:rsidR="002B4561" w:rsidRDefault="000160B8" w:rsidP="001920FA">
      <w:r>
        <w:t>A</w:t>
      </w:r>
      <w:r w:rsidR="002B4561">
        <w:t xml:space="preserve">ll their kings have fallen, </w:t>
      </w:r>
    </w:p>
    <w:p w:rsidR="002B4561" w:rsidRDefault="002B4561" w:rsidP="001920FA">
      <w:r>
        <w:tab/>
        <w:t>though there is no one among them calling to me.</w:t>
      </w:r>
      <w:r w:rsidR="00A225F7">
        <w:rPr>
          <w:rStyle w:val="FootnoteReference"/>
        </w:rPr>
        <w:footnoteReference w:id="314"/>
      </w:r>
    </w:p>
    <w:p w:rsidR="002B4561" w:rsidRDefault="002B4561" w:rsidP="001920FA"/>
    <w:p w:rsidR="008B6DA4" w:rsidRDefault="002B4561" w:rsidP="001920FA">
      <w:r>
        <w:rPr>
          <w:vertAlign w:val="superscript"/>
        </w:rPr>
        <w:t>8</w:t>
      </w:r>
      <w:r w:rsidR="003217FB">
        <w:t>’E</w:t>
      </w:r>
      <w:r w:rsidR="008C31CB">
        <w:t>prayim</w:t>
      </w:r>
      <w:r w:rsidR="008B6DA4">
        <w:t xml:space="preserve"> is </w:t>
      </w:r>
      <w:r w:rsidR="008C31CB">
        <w:t>amo</w:t>
      </w:r>
      <w:r w:rsidR="008B6DA4">
        <w:t>ng the peoples,</w:t>
      </w:r>
      <w:r w:rsidR="008B6DA4">
        <w:rPr>
          <w:rStyle w:val="FootnoteReference"/>
        </w:rPr>
        <w:footnoteReference w:id="315"/>
      </w:r>
    </w:p>
    <w:p w:rsidR="008B6DA4" w:rsidRDefault="008B6DA4" w:rsidP="001920FA">
      <w:r>
        <w:tab/>
      </w:r>
      <w:r w:rsidR="003217FB">
        <w:t>’</w:t>
      </w:r>
      <w:r w:rsidR="008C31CB">
        <w:t xml:space="preserve">Eprayim </w:t>
      </w:r>
      <w:r>
        <w:t>mixes,</w:t>
      </w:r>
      <w:r w:rsidR="00FA4878">
        <w:rPr>
          <w:rStyle w:val="FootnoteReference"/>
        </w:rPr>
        <w:footnoteReference w:id="316"/>
      </w:r>
    </w:p>
    <w:p w:rsidR="002B4561" w:rsidRDefault="00C91842" w:rsidP="001920FA">
      <w:r>
        <w:tab/>
        <w:t>he’</w:t>
      </w:r>
      <w:r w:rsidR="00BC7F65">
        <w:t>s become</w:t>
      </w:r>
      <w:r w:rsidR="008C31CB">
        <w:t xml:space="preserve"> a pita not turned.</w:t>
      </w:r>
    </w:p>
    <w:p w:rsidR="008C31CB" w:rsidRDefault="008C31CB" w:rsidP="001920FA">
      <w:r>
        <w:rPr>
          <w:vertAlign w:val="superscript"/>
        </w:rPr>
        <w:t>9</w:t>
      </w:r>
      <w:r>
        <w:t xml:space="preserve">Aliens have consumed his vigor, </w:t>
      </w:r>
    </w:p>
    <w:p w:rsidR="008C31CB" w:rsidRDefault="008C31CB" w:rsidP="001920FA">
      <w:r>
        <w:tab/>
        <w:t>but he himself has not acknowledged it.</w:t>
      </w:r>
    </w:p>
    <w:p w:rsidR="008C31CB" w:rsidRDefault="008C31CB" w:rsidP="001920FA">
      <w:r>
        <w:t xml:space="preserve">Gray hair has tossed over him, too, </w:t>
      </w:r>
    </w:p>
    <w:p w:rsidR="008C31CB" w:rsidRDefault="008C31CB" w:rsidP="001920FA">
      <w:r>
        <w:tab/>
      </w:r>
      <w:r w:rsidRPr="008C31CB">
        <w:t>but he himself</w:t>
      </w:r>
      <w:r>
        <w:t xml:space="preserve"> has</w:t>
      </w:r>
      <w:r w:rsidRPr="008C31CB">
        <w:t xml:space="preserve"> not acknowledge</w:t>
      </w:r>
      <w:r>
        <w:t>d</w:t>
      </w:r>
      <w:r w:rsidRPr="008C31CB">
        <w:t xml:space="preserve"> it.</w:t>
      </w:r>
    </w:p>
    <w:p w:rsidR="008C31CB" w:rsidRDefault="008C31CB" w:rsidP="001920FA">
      <w:r>
        <w:rPr>
          <w:vertAlign w:val="superscript"/>
        </w:rPr>
        <w:t>10</w:t>
      </w:r>
      <w:r w:rsidR="0044728D">
        <w:t xml:space="preserve">So </w:t>
      </w:r>
      <w:r w:rsidRPr="008C31CB">
        <w:t>Yiśrā’ēl</w:t>
      </w:r>
      <w:r>
        <w:t>’s majesty is humbled</w:t>
      </w:r>
      <w:r w:rsidR="00EA7D4E" w:rsidRPr="00EA7D4E">
        <w:rPr>
          <w:vertAlign w:val="superscript"/>
        </w:rPr>
        <w:footnoteReference w:id="317"/>
      </w:r>
      <w:r>
        <w:t xml:space="preserve"> before it, </w:t>
      </w:r>
    </w:p>
    <w:p w:rsidR="008C31CB" w:rsidRDefault="00925EF3" w:rsidP="001920FA">
      <w:r>
        <w:tab/>
        <w:t>but they haven’</w:t>
      </w:r>
      <w:r w:rsidR="00462970">
        <w:t>t turned</w:t>
      </w:r>
      <w:r w:rsidR="008C31CB">
        <w:t xml:space="preserve"> back to Yahweh their God,</w:t>
      </w:r>
    </w:p>
    <w:p w:rsidR="008C31CB" w:rsidRDefault="008C31CB" w:rsidP="001920FA">
      <w:r>
        <w:tab/>
      </w:r>
      <w:r w:rsidR="00925EF3">
        <w:t>they haven’</w:t>
      </w:r>
      <w:r w:rsidR="00EC0992">
        <w:t>t sought help from</w:t>
      </w:r>
      <w:r>
        <w:t xml:space="preserve"> him</w:t>
      </w:r>
      <w:r w:rsidR="00C56F6A">
        <w:t>,</w:t>
      </w:r>
      <w:r w:rsidR="00787ACB">
        <w:t xml:space="preserve"> with</w:t>
      </w:r>
      <w:r w:rsidR="00EC0992">
        <w:t xml:space="preserve"> all this.</w:t>
      </w:r>
    </w:p>
    <w:p w:rsidR="00EC0992" w:rsidRDefault="00EC0992" w:rsidP="001920FA">
      <w:r>
        <w:rPr>
          <w:vertAlign w:val="superscript"/>
        </w:rPr>
        <w:t>11</w:t>
      </w:r>
      <w:r w:rsidR="008B6DA4">
        <w:t>’Ep</w:t>
      </w:r>
      <w:r>
        <w:t xml:space="preserve">rayim has become like a pigeon, </w:t>
      </w:r>
    </w:p>
    <w:p w:rsidR="00EC0992" w:rsidRDefault="00AB485E" w:rsidP="001920FA">
      <w:r>
        <w:tab/>
        <w:t>simple, no</w:t>
      </w:r>
      <w:r w:rsidR="00EC0992">
        <w:t xml:space="preserve"> sense.</w:t>
      </w:r>
    </w:p>
    <w:p w:rsidR="00EC0992" w:rsidRDefault="006B715E" w:rsidP="001920FA">
      <w:r>
        <w:t>They’</w:t>
      </w:r>
      <w:r w:rsidR="00EC0992">
        <w:t xml:space="preserve">ve called </w:t>
      </w:r>
      <w:r w:rsidR="00015F19">
        <w:t>Miṣrayim</w:t>
      </w:r>
      <w:r w:rsidR="00EC0992">
        <w:t xml:space="preserve">, </w:t>
      </w:r>
    </w:p>
    <w:p w:rsidR="00EC0992" w:rsidRDefault="006B715E" w:rsidP="001920FA">
      <w:r>
        <w:tab/>
        <w:t>they’</w:t>
      </w:r>
      <w:r w:rsidR="00015F19">
        <w:t>ve gone to Aššûr</w:t>
      </w:r>
      <w:r w:rsidR="00EC0992">
        <w:t>!</w:t>
      </w:r>
    </w:p>
    <w:p w:rsidR="00EC0992" w:rsidRDefault="00EC0992" w:rsidP="001920FA">
      <w:r>
        <w:rPr>
          <w:vertAlign w:val="superscript"/>
        </w:rPr>
        <w:t>12</w:t>
      </w:r>
      <w:r>
        <w:t xml:space="preserve">When they go, </w:t>
      </w:r>
    </w:p>
    <w:p w:rsidR="00EC0992" w:rsidRDefault="00696BF1" w:rsidP="001920FA">
      <w:r>
        <w:tab/>
        <w:t>I’</w:t>
      </w:r>
      <w:r w:rsidR="00EC0992">
        <w:t>ll spread my net over them.</w:t>
      </w:r>
    </w:p>
    <w:p w:rsidR="00EC0992" w:rsidRDefault="00696BF1" w:rsidP="001920FA">
      <w:r>
        <w:t>Like a bird of the heavens I’</w:t>
      </w:r>
      <w:r w:rsidR="00EC0992">
        <w:t>ll bring them down;</w:t>
      </w:r>
    </w:p>
    <w:p w:rsidR="00EC0992" w:rsidRDefault="00696BF1" w:rsidP="001920FA">
      <w:r>
        <w:tab/>
        <w:t>I’</w:t>
      </w:r>
      <w:r w:rsidR="00A208A1">
        <w:t xml:space="preserve">ll discipline them </w:t>
      </w:r>
      <w:r w:rsidR="002C1BB9">
        <w:t xml:space="preserve">in accordance with the report </w:t>
      </w:r>
      <w:r w:rsidR="002F60FC">
        <w:t>to</w:t>
      </w:r>
      <w:r w:rsidR="0047275A">
        <w:t xml:space="preserve"> their meeting</w:t>
      </w:r>
      <w:r w:rsidR="00EC0992">
        <w:t>.</w:t>
      </w:r>
      <w:r w:rsidR="003C53C5">
        <w:rPr>
          <w:rStyle w:val="FootnoteReference"/>
        </w:rPr>
        <w:footnoteReference w:id="318"/>
      </w:r>
    </w:p>
    <w:p w:rsidR="00ED6C74" w:rsidRDefault="00ED6C74" w:rsidP="001920FA"/>
    <w:p w:rsidR="00EC0992" w:rsidRDefault="00EC0992" w:rsidP="001920FA">
      <w:r>
        <w:rPr>
          <w:vertAlign w:val="superscript"/>
        </w:rPr>
        <w:lastRenderedPageBreak/>
        <w:t>13</w:t>
      </w:r>
      <w:r w:rsidR="001E6545">
        <w:t>Alas for</w:t>
      </w:r>
      <w:r w:rsidR="007724EA">
        <w:t xml:space="preserve"> </w:t>
      </w:r>
      <w:r w:rsidR="00D50D32">
        <w:t>those people, because</w:t>
      </w:r>
      <w:r w:rsidR="004A3907">
        <w:t xml:space="preserve"> they</w:t>
      </w:r>
      <w:r w:rsidR="009A7DA1">
        <w:t>’ve</w:t>
      </w:r>
      <w:r w:rsidR="004A3907">
        <w:t xml:space="preserve"> fled from me;</w:t>
      </w:r>
    </w:p>
    <w:p w:rsidR="00EC0992" w:rsidRDefault="005C28CA" w:rsidP="001920FA">
      <w:r>
        <w:tab/>
        <w:t>destruc</w:t>
      </w:r>
      <w:r w:rsidR="00EC0992">
        <w:t>tion for them, because they</w:t>
      </w:r>
      <w:r w:rsidR="009A7DA1">
        <w:t>’ve</w:t>
      </w:r>
      <w:r w:rsidR="00EC0992">
        <w:t xml:space="preserve"> rebelled against me!</w:t>
      </w:r>
    </w:p>
    <w:p w:rsidR="00840A3D" w:rsidRDefault="00C326FF" w:rsidP="001920FA">
      <w:r>
        <w:t>And I—I</w:t>
      </w:r>
      <w:r w:rsidR="00840A3D">
        <w:t xml:space="preserve"> c</w:t>
      </w:r>
      <w:r>
        <w:t>ould redeem</w:t>
      </w:r>
      <w:r w:rsidR="00EC0992">
        <w:t xml:space="preserve"> them</w:t>
      </w:r>
      <w:r w:rsidR="00840A3D">
        <w:t xml:space="preserve">, </w:t>
      </w:r>
    </w:p>
    <w:p w:rsidR="00EC0992" w:rsidRDefault="009A7DA1" w:rsidP="001920FA">
      <w:r>
        <w:tab/>
        <w:t xml:space="preserve">but they—they’ve </w:t>
      </w:r>
      <w:r w:rsidR="00840A3D">
        <w:t>spoke</w:t>
      </w:r>
      <w:r>
        <w:t>n</w:t>
      </w:r>
      <w:r w:rsidR="00840A3D">
        <w:t xml:space="preserve"> lies about me.</w:t>
      </w:r>
    </w:p>
    <w:p w:rsidR="00840A3D" w:rsidRDefault="00840A3D" w:rsidP="001920FA">
      <w:r>
        <w:rPr>
          <w:vertAlign w:val="superscript"/>
        </w:rPr>
        <w:t>14</w:t>
      </w:r>
      <w:r w:rsidR="009A7DA1">
        <w:t>They haven’</w:t>
      </w:r>
      <w:r w:rsidR="00CD291E">
        <w:t>t cried</w:t>
      </w:r>
      <w:r>
        <w:t xml:space="preserve"> out to me with their heart</w:t>
      </w:r>
      <w:r w:rsidR="00921358">
        <w:t>,</w:t>
      </w:r>
      <w:r>
        <w:t xml:space="preserve"> </w:t>
      </w:r>
    </w:p>
    <w:p w:rsidR="00840A3D" w:rsidRDefault="00BF0657" w:rsidP="001920FA">
      <w:r>
        <w:tab/>
        <w:t>when</w:t>
      </w:r>
      <w:r w:rsidR="00921358">
        <w:t xml:space="preserve"> they wail</w:t>
      </w:r>
      <w:r w:rsidR="00840A3D">
        <w:t xml:space="preserve"> on their beds.</w:t>
      </w:r>
    </w:p>
    <w:p w:rsidR="00840A3D" w:rsidRDefault="00C7329D" w:rsidP="001920FA">
      <w:r>
        <w:t>As</w:t>
      </w:r>
      <w:r w:rsidR="00CD291E">
        <w:t xml:space="preserve"> they rage</w:t>
      </w:r>
      <w:r w:rsidR="0059226B">
        <w:rPr>
          <w:rStyle w:val="FootnoteReference"/>
        </w:rPr>
        <w:footnoteReference w:id="319"/>
      </w:r>
      <w:r w:rsidR="009441E6">
        <w:t xml:space="preserve"> over wheat</w:t>
      </w:r>
      <w:r w:rsidR="00840A3D">
        <w:t xml:space="preserve"> and new wine, </w:t>
      </w:r>
    </w:p>
    <w:p w:rsidR="00840A3D" w:rsidRDefault="00F33342" w:rsidP="001920FA">
      <w:r>
        <w:tab/>
        <w:t>they turn away</w:t>
      </w:r>
      <w:r w:rsidR="000A21B8">
        <w:rPr>
          <w:rStyle w:val="FootnoteReference"/>
        </w:rPr>
        <w:footnoteReference w:id="320"/>
      </w:r>
      <w:r w:rsidR="000A21B8">
        <w:t>against</w:t>
      </w:r>
      <w:r w:rsidR="00EA507B">
        <w:t xml:space="preserve"> </w:t>
      </w:r>
      <w:r w:rsidR="00840A3D">
        <w:t>me.</w:t>
      </w:r>
    </w:p>
    <w:p w:rsidR="00840A3D" w:rsidRDefault="00840A3D" w:rsidP="001920FA">
      <w:r>
        <w:rPr>
          <w:vertAlign w:val="superscript"/>
        </w:rPr>
        <w:t>15</w:t>
      </w:r>
      <w:r w:rsidR="00AB64D9">
        <w:t>Whe</w:t>
      </w:r>
      <w:r w:rsidR="002D7F6F">
        <w:t>n</w:t>
      </w:r>
      <w:r w:rsidR="00AB64D9">
        <w:t xml:space="preserve"> I </w:t>
      </w:r>
      <w:r w:rsidR="00D4336D">
        <w:t xml:space="preserve">myself </w:t>
      </w:r>
      <w:r w:rsidR="00AB485E">
        <w:t>disciplined</w:t>
      </w:r>
      <w:r>
        <w:t xml:space="preserve">, </w:t>
      </w:r>
      <w:r w:rsidR="00AB64D9">
        <w:t xml:space="preserve">I </w:t>
      </w:r>
      <w:r>
        <w:t>strengthened their arm</w:t>
      </w:r>
      <w:r w:rsidR="00C73B67">
        <w:t>s</w:t>
      </w:r>
      <w:r>
        <w:t xml:space="preserve">, </w:t>
      </w:r>
    </w:p>
    <w:p w:rsidR="00840A3D" w:rsidRDefault="00840A3D" w:rsidP="001920FA">
      <w:r>
        <w:tab/>
      </w:r>
      <w:r w:rsidR="00AB64D9">
        <w:t>but they thought up something that was bad</w:t>
      </w:r>
      <w:r w:rsidR="00A24F49">
        <w:t xml:space="preserve"> regarding</w:t>
      </w:r>
      <w:r>
        <w:t xml:space="preserve"> me.</w:t>
      </w:r>
    </w:p>
    <w:p w:rsidR="00840A3D" w:rsidRDefault="00840A3D" w:rsidP="001920FA">
      <w:r>
        <w:rPr>
          <w:vertAlign w:val="superscript"/>
        </w:rPr>
        <w:t>16</w:t>
      </w:r>
      <w:r w:rsidR="00462970">
        <w:t>They turn</w:t>
      </w:r>
      <w:r w:rsidR="00150BD9">
        <w:t xml:space="preserve"> back, to o</w:t>
      </w:r>
      <w:r>
        <w:t xml:space="preserve">ne </w:t>
      </w:r>
      <w:r w:rsidR="00150BD9">
        <w:t>who is not on high;</w:t>
      </w:r>
      <w:r w:rsidR="004A3DA1">
        <w:rPr>
          <w:rStyle w:val="FootnoteReference"/>
        </w:rPr>
        <w:footnoteReference w:id="321"/>
      </w:r>
      <w:r>
        <w:t xml:space="preserve"> </w:t>
      </w:r>
    </w:p>
    <w:p w:rsidR="00840A3D" w:rsidRDefault="00BC7F65" w:rsidP="001920FA">
      <w:r>
        <w:tab/>
        <w:t>they’</w:t>
      </w:r>
      <w:r w:rsidR="00225D15">
        <w:t>ve been</w:t>
      </w:r>
      <w:r w:rsidR="00840A3D">
        <w:t xml:space="preserve"> like a </w:t>
      </w:r>
      <w:r w:rsidR="005926A3">
        <w:t>bow that lies.</w:t>
      </w:r>
      <w:r w:rsidR="003C53C5">
        <w:rPr>
          <w:rStyle w:val="FootnoteReference"/>
        </w:rPr>
        <w:footnoteReference w:id="322"/>
      </w:r>
    </w:p>
    <w:p w:rsidR="001508A0" w:rsidRDefault="001508A0" w:rsidP="001920FA">
      <w:r>
        <w:t xml:space="preserve">Their officials will fall by the sword, </w:t>
      </w:r>
    </w:p>
    <w:p w:rsidR="001508A0" w:rsidRDefault="001508A0" w:rsidP="001920FA">
      <w:r>
        <w:tab/>
        <w:t>because of the</w:t>
      </w:r>
      <w:r w:rsidR="00225D15">
        <w:t>ir tongue’s condemnation</w:t>
      </w:r>
      <w:r w:rsidR="00C6344D">
        <w:t>,</w:t>
      </w:r>
    </w:p>
    <w:p w:rsidR="001508A0" w:rsidRPr="00840A3D" w:rsidRDefault="00C6344D" w:rsidP="001920FA">
      <w:r>
        <w:tab/>
      </w:r>
      <w:r w:rsidR="0005474A">
        <w:t>that is, their mocking</w:t>
      </w:r>
      <w:r>
        <w:t>,</w:t>
      </w:r>
      <w:r w:rsidR="00C96738">
        <w:t xml:space="preserve"> in the country of </w:t>
      </w:r>
      <w:r w:rsidR="00C96738" w:rsidRPr="00C96738">
        <w:t>Miṣrayim</w:t>
      </w:r>
      <w:r w:rsidR="001508A0">
        <w:t>.</w:t>
      </w:r>
    </w:p>
    <w:p w:rsidR="001920FA" w:rsidRDefault="001920FA" w:rsidP="001D3546">
      <w:pPr>
        <w:pStyle w:val="Heading2"/>
      </w:pPr>
      <w:r>
        <w:t xml:space="preserve">Interpretation </w:t>
      </w:r>
    </w:p>
    <w:p w:rsidR="00F859C7" w:rsidRDefault="0064273C" w:rsidP="001920FA">
      <w:r>
        <w:t>Whereas t</w:t>
      </w:r>
      <w:r w:rsidR="0093720C" w:rsidRPr="0093720C">
        <w:t xml:space="preserve">he English chapter division </w:t>
      </w:r>
      <w:r w:rsidR="00823F34">
        <w:t>separating 6:1-3 from 5:8-15</w:t>
      </w:r>
      <w:r w:rsidR="0093720C">
        <w:t xml:space="preserve"> </w:t>
      </w:r>
      <w:r w:rsidR="0093720C" w:rsidRPr="0093720C">
        <w:t>makes a link between 6:1-3 and 6:4-6</w:t>
      </w:r>
      <w:r w:rsidR="0093720C">
        <w:t>,</w:t>
      </w:r>
      <w:r w:rsidR="0093720C" w:rsidRPr="0093720C">
        <w:t xml:space="preserve"> and thus suggests that 6:4-6 is</w:t>
      </w:r>
      <w:r>
        <w:t xml:space="preserve"> Yahweh’s response to 6:1-3,</w:t>
      </w:r>
      <w:r w:rsidR="0093720C" w:rsidRPr="0093720C">
        <w:t xml:space="preserve"> there is no verbal link between 6:4-6 and 6:1-3 and except the word “acknowledgment.” </w:t>
      </w:r>
      <w:r w:rsidR="00823F34">
        <w:t>A</w:t>
      </w:r>
      <w:r>
        <w:t xml:space="preserve"> jump is</w:t>
      </w:r>
      <w:r w:rsidR="00F71270">
        <w:t xml:space="preserve"> needed to see 6:4-6 as a response to 6:1-3, which did not refer to “commitment” </w:t>
      </w:r>
      <w:r w:rsidR="00D46AA1">
        <w:t xml:space="preserve">or </w:t>
      </w:r>
      <w:r w:rsidR="00823F34">
        <w:t>sacrifice</w:t>
      </w:r>
      <w:r w:rsidR="00BD1EC7">
        <w:t>.</w:t>
      </w:r>
      <w:r w:rsidR="00823F34">
        <w:t xml:space="preserve"> Rather,</w:t>
      </w:r>
      <w:r w:rsidR="00046023">
        <w:t xml:space="preserve"> </w:t>
      </w:r>
      <w:r w:rsidR="00BD1EC7">
        <w:t>6:4-6 is the beginning of a new sect</w:t>
      </w:r>
      <w:r w:rsidR="00D46AA1">
        <w:t>ion</w:t>
      </w:r>
      <w:r w:rsidR="00046023">
        <w:t xml:space="preserve"> (so LXX)</w:t>
      </w:r>
      <w:r w:rsidR="00046023">
        <w:rPr>
          <w:rStyle w:val="FootnoteReference"/>
        </w:rPr>
        <w:footnoteReference w:id="323"/>
      </w:r>
      <w:r w:rsidR="003F7F39">
        <w:t xml:space="preserve"> one of whose</w:t>
      </w:r>
      <w:r w:rsidR="00D46AA1">
        <w:t xml:space="preserve"> effect</w:t>
      </w:r>
      <w:r w:rsidR="00BD1EC7">
        <w:t xml:space="preserve">s is to indicate why Yahweh needed to make the </w:t>
      </w:r>
      <w:r>
        <w:t xml:space="preserve">kind of </w:t>
      </w:r>
      <w:r w:rsidR="00BD1EC7">
        <w:t>undertakings expressed in 2:14-23 [16-25]</w:t>
      </w:r>
      <w:r w:rsidR="00823F34">
        <w:t>, which also spoke of</w:t>
      </w:r>
      <w:r w:rsidR="00823F34" w:rsidRPr="00823F34">
        <w:t xml:space="preserve"> commitment, acknowledgment, pact, </w:t>
      </w:r>
      <w:r w:rsidR="00823F34">
        <w:t>and decision. The</w:t>
      </w:r>
      <w:r w:rsidR="00BD1EC7">
        <w:t xml:space="preserve"> protest </w:t>
      </w:r>
      <w:r w:rsidR="00823F34">
        <w:t xml:space="preserve">in 6:4-6 </w:t>
      </w:r>
      <w:r w:rsidR="00BD1EC7">
        <w:t>relates not</w:t>
      </w:r>
      <w:r w:rsidR="007776DD">
        <w:t xml:space="preserve"> to the unreliability of Israel’s </w:t>
      </w:r>
      <w:r w:rsidR="00BD1EC7">
        <w:t xml:space="preserve">words in </w:t>
      </w:r>
      <w:r w:rsidR="007776DD">
        <w:t>6:1-3 (which in any case Israel</w:t>
      </w:r>
      <w:r w:rsidR="003F7F39">
        <w:t xml:space="preserve"> hasn’t uttered) but</w:t>
      </w:r>
      <w:r w:rsidR="00BD1EC7">
        <w:t xml:space="preserve"> to </w:t>
      </w:r>
      <w:r w:rsidR="007776DD">
        <w:t>Israel</w:t>
      </w:r>
      <w:r w:rsidR="00BD1EC7">
        <w:t>’s g</w:t>
      </w:r>
      <w:r w:rsidR="00D46AA1">
        <w:t>eneral unreliability</w:t>
      </w:r>
      <w:r w:rsidR="00823F34">
        <w:t>, of which 6:4-6</w:t>
      </w:r>
      <w:r w:rsidR="00D46AA1">
        <w:t xml:space="preserve"> </w:t>
      </w:r>
      <w:r w:rsidR="004620D0">
        <w:t xml:space="preserve">introduces a sequence of </w:t>
      </w:r>
      <w:r w:rsidR="003F7F39">
        <w:t xml:space="preserve">instances. The English </w:t>
      </w:r>
      <w:r w:rsidR="00D46AA1">
        <w:t xml:space="preserve">division between chapters 6 and 7 </w:t>
      </w:r>
      <w:r w:rsidR="00823F34">
        <w:t xml:space="preserve">does </w:t>
      </w:r>
      <w:r w:rsidR="00D46AA1">
        <w:t>correspo</w:t>
      </w:r>
      <w:r w:rsidR="00823F34">
        <w:t>nd</w:t>
      </w:r>
      <w:r w:rsidR="00F859C7">
        <w:t xml:space="preserve"> to a division in MT (either </w:t>
      </w:r>
      <w:r w:rsidR="006454D0">
        <w:t>petu</w:t>
      </w:r>
      <w:r w:rsidR="00F859C7">
        <w:t>ha</w:t>
      </w:r>
      <w:r w:rsidR="006454D0">
        <w:t>h</w:t>
      </w:r>
      <w:r w:rsidR="00F859C7">
        <w:t xml:space="preserve"> or setuma</w:t>
      </w:r>
      <w:r w:rsidR="006454D0">
        <w:t>h</w:t>
      </w:r>
      <w:r w:rsidR="00F859C7">
        <w:t>) but the sequence of instances continues in chapter 7</w:t>
      </w:r>
      <w:r w:rsidR="00823F34">
        <w:t>,</w:t>
      </w:r>
      <w:r w:rsidR="00F859C7">
        <w:t xml:space="preserve"> and in chapter 8. But while MT has no break after 7:16, </w:t>
      </w:r>
      <w:r w:rsidR="00D46AA1">
        <w:t xml:space="preserve">the </w:t>
      </w:r>
      <w:r w:rsidR="00F859C7">
        <w:t>new summons at 8:1 (paralleling the on</w:t>
      </w:r>
      <w:r w:rsidR="003F7F39">
        <w:t xml:space="preserve">e in 5:8) suggests </w:t>
      </w:r>
      <w:r w:rsidR="00F859C7">
        <w:t xml:space="preserve">a break there. </w:t>
      </w:r>
    </w:p>
    <w:p w:rsidR="00C602C8" w:rsidRDefault="003F7F39" w:rsidP="001920FA">
      <w:r w:rsidRPr="003F7F39">
        <w:t xml:space="preserve">Luther comments </w:t>
      </w:r>
      <w:r>
        <w:t>a</w:t>
      </w:r>
      <w:r w:rsidR="0040196F">
        <w:t>s he moves</w:t>
      </w:r>
      <w:r>
        <w:t xml:space="preserve"> </w:t>
      </w:r>
      <w:r w:rsidR="00F859C7">
        <w:t xml:space="preserve">to chapter 7, </w:t>
      </w:r>
      <w:r w:rsidR="00F859C7" w:rsidRPr="00F859C7">
        <w:t>“This is also an obscure chapter.”</w:t>
      </w:r>
      <w:r w:rsidR="00F859C7" w:rsidRPr="00F859C7">
        <w:rPr>
          <w:vertAlign w:val="superscript"/>
        </w:rPr>
        <w:footnoteReference w:id="324"/>
      </w:r>
      <w:r w:rsidR="00F859C7">
        <w:t xml:space="preserve"> But a sequence of concrete allusions suggests links with events </w:t>
      </w:r>
      <w:r w:rsidR="009B42E1">
        <w:t xml:space="preserve">towards </w:t>
      </w:r>
      <w:r w:rsidR="00F859C7">
        <w:t>the end of Eph</w:t>
      </w:r>
      <w:r>
        <w:t xml:space="preserve">raim’s existence as a nation. The section </w:t>
      </w:r>
      <w:r w:rsidR="00F859C7">
        <w:t>make</w:t>
      </w:r>
      <w:r>
        <w:t>s</w:t>
      </w:r>
      <w:r w:rsidR="00F859C7">
        <w:t xml:space="preserve"> sense as </w:t>
      </w:r>
      <w:r w:rsidR="007C51E5">
        <w:t>a reflection fr</w:t>
      </w:r>
      <w:r w:rsidR="00D46AA1">
        <w:t xml:space="preserve">om 734-732, when </w:t>
      </w:r>
      <w:r w:rsidR="00C01890">
        <w:t>Assyria</w:t>
      </w:r>
      <w:r w:rsidR="00D46AA1">
        <w:t xml:space="preserve"> </w:t>
      </w:r>
      <w:r w:rsidR="007C51E5">
        <w:t>several times invade</w:t>
      </w:r>
      <w:r w:rsidR="00F859C7">
        <w:t xml:space="preserve">d and cut Ephraim down to size. </w:t>
      </w:r>
      <w:r w:rsidR="007C51E5">
        <w:t>Hosea challenges Ephraim to recognize that its interna</w:t>
      </w:r>
      <w:r w:rsidR="00F859C7">
        <w:t xml:space="preserve">l and external policies </w:t>
      </w:r>
      <w:r w:rsidR="007C51E5">
        <w:t>in that deca</w:t>
      </w:r>
      <w:r w:rsidR="00F859C7">
        <w:t xml:space="preserve">de lie behind what is happening, and </w:t>
      </w:r>
      <w:r w:rsidR="0040196F">
        <w:t xml:space="preserve">to give Yahweh the commitment and acknowledgment of which 6:4-6 speaks. It would have partially similar implications when taken to Judah in the context of late eighth century politics </w:t>
      </w:r>
      <w:r w:rsidR="00823F34">
        <w:t>(</w:t>
      </w:r>
      <w:r w:rsidR="0040196F">
        <w:t xml:space="preserve">or late seventh century politics or the aftermath of the fall of Jerusalem in </w:t>
      </w:r>
      <w:r w:rsidR="0040196F">
        <w:lastRenderedPageBreak/>
        <w:t>the sixth century</w:t>
      </w:r>
      <w:r w:rsidR="00823F34">
        <w:t>)</w:t>
      </w:r>
      <w:r w:rsidR="0040196F">
        <w:t xml:space="preserve">. </w:t>
      </w:r>
      <w:r w:rsidR="00C602C8">
        <w:t xml:space="preserve">The </w:t>
      </w:r>
      <w:r>
        <w:t xml:space="preserve">section </w:t>
      </w:r>
      <w:r w:rsidR="00C602C8">
        <w:t>aim</w:t>
      </w:r>
      <w:r>
        <w:t xml:space="preserve">s </w:t>
      </w:r>
      <w:r w:rsidR="00C602C8">
        <w:t>to get Israel to acknowledge the facts and turn back, so that the disasters that Yahweh has brought may functi</w:t>
      </w:r>
      <w:r w:rsidR="00823F34">
        <w:t xml:space="preserve">on as discipline rather than </w:t>
      </w:r>
      <w:r w:rsidR="00C602C8">
        <w:t>mere punishment.</w:t>
      </w:r>
    </w:p>
    <w:p w:rsidR="007776DD" w:rsidRDefault="007776DD" w:rsidP="001920FA"/>
    <w:p w:rsidR="00327762" w:rsidRDefault="008F1BD4" w:rsidP="001920FA">
      <w:r>
        <w:rPr>
          <w:b/>
        </w:rPr>
        <w:t xml:space="preserve">Hosea </w:t>
      </w:r>
      <w:r w:rsidR="007776DD">
        <w:rPr>
          <w:b/>
        </w:rPr>
        <w:t>6:4-6</w:t>
      </w:r>
      <w:r w:rsidR="007776DD">
        <w:t xml:space="preserve">. </w:t>
      </w:r>
      <w:r w:rsidR="00F069D6">
        <w:t>Hosea continues to concern himself wi</w:t>
      </w:r>
      <w:r w:rsidR="003F7F39">
        <w:t>th both Ephraim and Judah. I</w:t>
      </w:r>
      <w:r w:rsidR="00F069D6">
        <w:t xml:space="preserve">n Ephraim </w:t>
      </w:r>
      <w:r w:rsidR="003F7F39">
        <w:t>it would again</w:t>
      </w:r>
      <w:r w:rsidR="00F069D6">
        <w:t xml:space="preserve"> indicate that</w:t>
      </w:r>
      <w:r w:rsidR="00F822B9">
        <w:t xml:space="preserve"> he is not just </w:t>
      </w:r>
      <w:r w:rsidR="003F7F39">
        <w:t>anti-Ephraimite, and in Judah it would</w:t>
      </w:r>
      <w:r w:rsidR="00F822B9">
        <w:t xml:space="preserve"> hinder people</w:t>
      </w:r>
      <w:r w:rsidR="00F069D6">
        <w:t xml:space="preserve"> from feeling superior. </w:t>
      </w:r>
      <w:r w:rsidR="00E00676">
        <w:t>While Yahweh’s words are not a response to vv. 1-3, t</w:t>
      </w:r>
      <w:r w:rsidR="00F822B9">
        <w:t>hey could be</w:t>
      </w:r>
      <w:r w:rsidR="00E00676">
        <w:t xml:space="preserve"> a response to the kind of prayer </w:t>
      </w:r>
      <w:r w:rsidR="00F069D6">
        <w:t>Israel</w:t>
      </w:r>
      <w:r w:rsidR="00F822B9">
        <w:t>ites</w:t>
      </w:r>
      <w:r w:rsidR="00F069D6">
        <w:t xml:space="preserve"> </w:t>
      </w:r>
      <w:r w:rsidR="003F7F39">
        <w:t>did pray</w:t>
      </w:r>
      <w:r w:rsidR="00F069D6">
        <w:t>. Both peoples have</w:t>
      </w:r>
      <w:r w:rsidR="00E00676">
        <w:t xml:space="preserve"> been coming to Yahweh</w:t>
      </w:r>
      <w:r w:rsidR="00F069D6">
        <w:t xml:space="preserve"> with their sacrifices and </w:t>
      </w:r>
      <w:r w:rsidR="00E00676">
        <w:t>burnt offerings</w:t>
      </w:r>
      <w:r w:rsidR="00F069D6">
        <w:t>, pleading with</w:t>
      </w:r>
      <w:r w:rsidR="00F822B9">
        <w:t xml:space="preserve"> Yahweh about being</w:t>
      </w:r>
      <w:r w:rsidR="00F069D6">
        <w:t xml:space="preserve"> cut down and slaughtered, beseeching Yahweh to act decisively on t</w:t>
      </w:r>
      <w:r w:rsidR="00F822B9">
        <w:t>heir behalf to bring light rather than darkness and thus</w:t>
      </w:r>
      <w:r w:rsidR="007720B6">
        <w:t xml:space="preserve"> show commitment to them (</w:t>
      </w:r>
      <w:r w:rsidR="00F822B9">
        <w:t xml:space="preserve">see </w:t>
      </w:r>
      <w:r w:rsidR="007720B6">
        <w:t>e.g., Pss</w:t>
      </w:r>
      <w:r w:rsidR="00045793">
        <w:t>.</w:t>
      </w:r>
      <w:r w:rsidR="007720B6">
        <w:t xml:space="preserve"> 25:7; 44:26 [27]), </w:t>
      </w:r>
      <w:r w:rsidR="00F069D6">
        <w:t xml:space="preserve">and </w:t>
      </w:r>
      <w:r w:rsidR="00F822B9">
        <w:t xml:space="preserve">claiming or </w:t>
      </w:r>
      <w:r w:rsidR="00F069D6">
        <w:t xml:space="preserve">promising their acknowledgment of Yahweh and their commitment. </w:t>
      </w:r>
      <w:r w:rsidR="00327762">
        <w:t xml:space="preserve">The response </w:t>
      </w:r>
      <w:r w:rsidR="00F822B9">
        <w:t xml:space="preserve">in vv. 4-6 </w:t>
      </w:r>
      <w:r w:rsidR="00327762">
        <w:t xml:space="preserve">is </w:t>
      </w:r>
      <w:r w:rsidR="00F822B9">
        <w:t xml:space="preserve">then </w:t>
      </w:r>
      <w:r w:rsidR="00327762">
        <w:t>other than the one they hoped for.</w:t>
      </w:r>
    </w:p>
    <w:p w:rsidR="007776DD" w:rsidRDefault="007776DD" w:rsidP="001920FA">
      <w:r>
        <w:t>B</w:t>
      </w:r>
      <w:r w:rsidR="00F069D6">
        <w:t>ehind Yahweh’s opening</w:t>
      </w:r>
      <w:r>
        <w:t xml:space="preserve"> question </w:t>
      </w:r>
      <w:r w:rsidR="00F822B9">
        <w:t xml:space="preserve">(v. 4) </w:t>
      </w:r>
      <w:r>
        <w:t>is th</w:t>
      </w:r>
      <w:r w:rsidR="00F069D6">
        <w:t>e unreliability of their</w:t>
      </w:r>
      <w:r>
        <w:t xml:space="preserve"> commitment</w:t>
      </w:r>
      <w:r w:rsidR="00F13CE7">
        <w:t xml:space="preserve"> (</w:t>
      </w:r>
      <w:r w:rsidR="00F13CE7">
        <w:rPr>
          <w:i/>
        </w:rPr>
        <w:t>ḥesed</w:t>
      </w:r>
      <w:r w:rsidR="0083031F">
        <w:t xml:space="preserve">). Elsewhere the word </w:t>
      </w:r>
      <w:r w:rsidR="00F13CE7">
        <w:t xml:space="preserve">denotes Yahweh’s commitment to the world and to Israel, </w:t>
      </w:r>
      <w:r w:rsidR="0083031F">
        <w:t xml:space="preserve">or </w:t>
      </w:r>
      <w:r w:rsidR="00F13CE7">
        <w:t>people’s commitment to one another (see</w:t>
      </w:r>
      <w:r>
        <w:t xml:space="preserve"> 2:19 [21]</w:t>
      </w:r>
      <w:r w:rsidR="00F13CE7">
        <w:t xml:space="preserve"> and the </w:t>
      </w:r>
      <w:r w:rsidR="00F14F90">
        <w:t>comments</w:t>
      </w:r>
      <w:r w:rsidR="0083031F">
        <w:t>; also 4:1</w:t>
      </w:r>
      <w:r>
        <w:t xml:space="preserve">). </w:t>
      </w:r>
      <w:r w:rsidR="0083031F">
        <w:t>There is no</w:t>
      </w:r>
      <w:r w:rsidR="00B21E54">
        <w:t xml:space="preserve"> parallel</w:t>
      </w:r>
      <w:r w:rsidR="0083031F">
        <w:t xml:space="preserve"> </w:t>
      </w:r>
      <w:r w:rsidR="00B21E54">
        <w:t xml:space="preserve">in the Torah or the eighth-century Prophets </w:t>
      </w:r>
      <w:r w:rsidR="006F7246">
        <w:t xml:space="preserve">for understanding </w:t>
      </w:r>
      <w:r w:rsidR="00B21E54">
        <w:t>commitment to denote</w:t>
      </w:r>
      <w:r w:rsidR="0083031F">
        <w:t xml:space="preserve"> an attitude to Yahweh,</w:t>
      </w:r>
      <w:r w:rsidR="00045793">
        <w:rPr>
          <w:rStyle w:val="FootnoteReference"/>
        </w:rPr>
        <w:footnoteReference w:id="325"/>
      </w:r>
      <w:r w:rsidR="0083031F">
        <w:t xml:space="preserve"> though the rest of this section will illustrate how Hosea closely associates acknowledgment of Yahweh and faithfulness in the community.</w:t>
      </w:r>
      <w:r w:rsidR="00412AAC">
        <w:t xml:space="preserve"> </w:t>
      </w:r>
      <w:r w:rsidR="00327762">
        <w:t xml:space="preserve">While Yahweh may </w:t>
      </w:r>
      <w:r w:rsidR="00412AAC">
        <w:t xml:space="preserve">then </w:t>
      </w:r>
      <w:r w:rsidR="00327762">
        <w:t>be referring to morning mist</w:t>
      </w:r>
      <w:r w:rsidR="005E4CA9">
        <w:t>, his point is</w:t>
      </w:r>
      <w:r w:rsidR="00327762">
        <w:t xml:space="preserve"> stronger if he is speaking of the m</w:t>
      </w:r>
      <w:r w:rsidR="00552839">
        <w:t xml:space="preserve">orning cloud in Israel’s highlands </w:t>
      </w:r>
      <w:r w:rsidR="00327762">
        <w:t xml:space="preserve">that </w:t>
      </w:r>
      <w:r w:rsidR="00552839">
        <w:t>can look as i</w:t>
      </w:r>
      <w:r w:rsidR="00B21E54">
        <w:t>f it promises rain but whose appearance is</w:t>
      </w:r>
      <w:r w:rsidR="00327762">
        <w:t xml:space="preserve"> </w:t>
      </w:r>
      <w:r w:rsidR="00B21E54">
        <w:t xml:space="preserve">more often than not </w:t>
      </w:r>
      <w:r w:rsidR="005E4CA9">
        <w:t xml:space="preserve">deceptive. Dew </w:t>
      </w:r>
      <w:r w:rsidR="00552839">
        <w:t>play</w:t>
      </w:r>
      <w:r w:rsidR="005E4CA9">
        <w:t>s</w:t>
      </w:r>
      <w:r w:rsidR="00552839">
        <w:t xml:space="preserve"> a ke</w:t>
      </w:r>
      <w:r w:rsidR="005E4CA9">
        <w:t xml:space="preserve">y role in the dry summer months </w:t>
      </w:r>
      <w:r w:rsidR="00552839">
        <w:t>in bringing crops to fruition, but it soon disappears. Israel’s commitment has</w:t>
      </w:r>
      <w:r w:rsidR="005E4CA9">
        <w:t xml:space="preserve"> been similar</w:t>
      </w:r>
      <w:r w:rsidR="003F7F39">
        <w:t xml:space="preserve"> to both</w:t>
      </w:r>
      <w:r w:rsidR="005E4CA9">
        <w:t>, as its story from the beginning shows</w:t>
      </w:r>
      <w:r w:rsidR="00552839">
        <w:t xml:space="preserve">. </w:t>
      </w:r>
    </w:p>
    <w:p w:rsidR="00B21E54" w:rsidRDefault="00B10695" w:rsidP="001920FA">
      <w:r>
        <w:t>Hence Yahweh’s butchering of</w:t>
      </w:r>
      <w:r w:rsidR="00350481">
        <w:t xml:space="preserve"> Israel</w:t>
      </w:r>
      <w:r w:rsidR="005E4CA9">
        <w:t xml:space="preserve"> (v. 5)</w:t>
      </w:r>
      <w:r w:rsidR="00BE2297">
        <w:t>; it’s a vicious word (cf. Isa</w:t>
      </w:r>
      <w:r>
        <w:t>. 51:9). Yahweh</w:t>
      </w:r>
      <w:r w:rsidR="00BE2297">
        <w:t xml:space="preserve"> has taken this action</w:t>
      </w:r>
      <w:r w:rsidR="00350481">
        <w:t xml:space="preserve"> by means of his prophets</w:t>
      </w:r>
      <w:r w:rsidR="005E4CA9">
        <w:t>: t</w:t>
      </w:r>
      <w:r w:rsidR="00350481">
        <w:t xml:space="preserve">hat is, he has declared what he was intending to do and has thereby implemented </w:t>
      </w:r>
      <w:r>
        <w:t xml:space="preserve">it. </w:t>
      </w:r>
      <w:r w:rsidR="001A304D" w:rsidRPr="001A304D">
        <w:t>“Prophetic speech” i</w:t>
      </w:r>
      <w:r w:rsidR="001A304D">
        <w:t>s “the agent of death</w:t>
      </w:r>
      <w:r w:rsidR="001A304D" w:rsidRPr="001A304D">
        <w:t>.</w:t>
      </w:r>
      <w:r w:rsidR="001A304D">
        <w:t>”</w:t>
      </w:r>
      <w:r w:rsidR="001A304D" w:rsidRPr="001A304D">
        <w:rPr>
          <w:vertAlign w:val="superscript"/>
        </w:rPr>
        <w:footnoteReference w:id="326"/>
      </w:r>
      <w:r w:rsidR="001A304D">
        <w:t xml:space="preserve"> </w:t>
      </w:r>
      <w:r w:rsidR="005E4CA9">
        <w:t>Yahweh brought</w:t>
      </w:r>
      <w:r w:rsidR="00D8484A">
        <w:t xml:space="preserve"> judgment </w:t>
      </w:r>
      <w:r w:rsidR="005E4CA9">
        <w:t xml:space="preserve">on </w:t>
      </w:r>
      <w:r w:rsidR="00D8484A">
        <w:t xml:space="preserve">kings and </w:t>
      </w:r>
      <w:r w:rsidR="005E4CA9">
        <w:t>other prophets by means of people</w:t>
      </w:r>
      <w:r w:rsidR="005E4CA9" w:rsidRPr="005E4CA9">
        <w:t xml:space="preserve"> such as Elijah, Elisha, and M</w:t>
      </w:r>
      <w:r w:rsidR="005E4CA9">
        <w:t>icaiah, though not so much on the people as a whole</w:t>
      </w:r>
      <w:r w:rsidR="005E4CA9" w:rsidRPr="005E4CA9">
        <w:t xml:space="preserve">. </w:t>
      </w:r>
      <w:r w:rsidR="00D8484A">
        <w:t>Hosea</w:t>
      </w:r>
      <w:r w:rsidR="0075175D">
        <w:t>’s</w:t>
      </w:r>
      <w:r w:rsidR="005E4CA9">
        <w:t xml:space="preserve"> words </w:t>
      </w:r>
      <w:r w:rsidR="00B21E54">
        <w:t xml:space="preserve">thus </w:t>
      </w:r>
      <w:r w:rsidR="005E4CA9">
        <w:t xml:space="preserve">make us think rather </w:t>
      </w:r>
      <w:r w:rsidR="00D8484A">
        <w:t>of prophets such as himself</w:t>
      </w:r>
      <w:r w:rsidR="00BD7DC1">
        <w:t>, Amos, Micah, and Isaiah, whose words were implemented in the events of the 730s</w:t>
      </w:r>
      <w:r w:rsidR="00D8484A">
        <w:t>.</w:t>
      </w:r>
      <w:r w:rsidR="00DF33E1">
        <w:t xml:space="preserve"> </w:t>
      </w:r>
    </w:p>
    <w:p w:rsidR="00380AAC" w:rsidRDefault="00DF33E1" w:rsidP="001920FA">
      <w:r>
        <w:t xml:space="preserve">Yahweh makes his decision go out like the light </w:t>
      </w:r>
      <w:r w:rsidR="00B21E54">
        <w:t>(vv. 5b-6). But that applies to</w:t>
      </w:r>
      <w:r>
        <w:t xml:space="preserve"> people who trust in him (Ps</w:t>
      </w:r>
      <w:r w:rsidR="00B21E54">
        <w:t>. 37:6), and</w:t>
      </w:r>
      <w:r w:rsidR="00B10695">
        <w:t xml:space="preserve"> Israel does not</w:t>
      </w:r>
      <w:r w:rsidR="00672671">
        <w:t xml:space="preserve"> belong</w:t>
      </w:r>
      <w:r w:rsidR="00B10695">
        <w:t xml:space="preserve"> to this category</w:t>
      </w:r>
      <w:r w:rsidR="00672671">
        <w:t>, so i</w:t>
      </w:r>
      <w:r w:rsidR="00672671" w:rsidRPr="00672671">
        <w:t>s there any reason why things s</w:t>
      </w:r>
      <w:r w:rsidR="00B21E54">
        <w:t xml:space="preserve">hould suddenly become different? </w:t>
      </w:r>
      <w:r w:rsidR="00752551">
        <w:t>The reason why Yahweh can hardly</w:t>
      </w:r>
      <w:r w:rsidR="003F697D">
        <w:t xml:space="preserve"> issue such positive decisio</w:t>
      </w:r>
      <w:r w:rsidR="00752551">
        <w:t xml:space="preserve">ns is the absence of commitment </w:t>
      </w:r>
      <w:r w:rsidR="003F697D">
        <w:t>and</w:t>
      </w:r>
      <w:r w:rsidR="00B21E54">
        <w:t xml:space="preserve"> of acknowledgement of God (</w:t>
      </w:r>
      <w:r w:rsidR="00412AAC">
        <w:t>cf. 4:1</w:t>
      </w:r>
      <w:r w:rsidR="003F697D">
        <w:t xml:space="preserve">). </w:t>
      </w:r>
      <w:r w:rsidR="00B21E54">
        <w:t>Sacrifice and burnt offering</w:t>
      </w:r>
      <w:r w:rsidR="00412AAC" w:rsidRPr="00412AAC">
        <w:t xml:space="preserve"> </w:t>
      </w:r>
      <w:r w:rsidR="00752551">
        <w:t>s</w:t>
      </w:r>
      <w:r w:rsidR="00752551" w:rsidRPr="00752551">
        <w:t xml:space="preserve">trictly denote sacrifices shared by Yahweh and the offerers at a fellowship meal, and sacrifices wholly given over to God. </w:t>
      </w:r>
      <w:r w:rsidR="00B21E54">
        <w:t xml:space="preserve"> The pair of terms</w:t>
      </w:r>
      <w:r w:rsidR="00752551">
        <w:t xml:space="preserve"> </w:t>
      </w:r>
      <w:r w:rsidR="00412AAC" w:rsidRPr="00412AAC">
        <w:t>constitute a c</w:t>
      </w:r>
      <w:r w:rsidR="00412AAC">
        <w:t>ommon First Testament summary</w:t>
      </w:r>
      <w:r w:rsidR="00412AAC" w:rsidRPr="00412AAC">
        <w:t xml:space="preserve"> of the nature of liturgical worsh</w:t>
      </w:r>
      <w:r w:rsidR="00B10695">
        <w:t>ip (e.g., Pss. 50:8; 51:16 [18],</w:t>
      </w:r>
      <w:r w:rsidR="00412AAC" w:rsidRPr="00412AAC">
        <w:t xml:space="preserve"> in contexts like the present one). </w:t>
      </w:r>
      <w:r w:rsidR="00820D8A">
        <w:t>Usually in Hosea, worship is problematic because it’s</w:t>
      </w:r>
      <w:r w:rsidR="003F697D">
        <w:t xml:space="preserve"> offered</w:t>
      </w:r>
      <w:r w:rsidR="00B21E54">
        <w:t xml:space="preserve"> to the Masters. Here, Hosea</w:t>
      </w:r>
      <w:r w:rsidR="00681DE6">
        <w:t xml:space="preserve"> refers to</w:t>
      </w:r>
      <w:r w:rsidR="00820D8A">
        <w:t xml:space="preserve"> wor</w:t>
      </w:r>
      <w:r w:rsidR="002B522B">
        <w:t>ship offere</w:t>
      </w:r>
      <w:r w:rsidR="00B10695">
        <w:t xml:space="preserve">d to Yahweh, but </w:t>
      </w:r>
      <w:r w:rsidR="003F697D">
        <w:t xml:space="preserve">still unacceptable as </w:t>
      </w:r>
      <w:r w:rsidR="00820D8A">
        <w:t>an alternative</w:t>
      </w:r>
      <w:r w:rsidR="003F697D">
        <w:t xml:space="preserve"> to commitment and acknowledgment of Yahweh</w:t>
      </w:r>
      <w:r w:rsidR="00412AAC">
        <w:t>.</w:t>
      </w:r>
    </w:p>
    <w:p w:rsidR="008F1BD4" w:rsidRDefault="008F1BD4" w:rsidP="001920FA"/>
    <w:p w:rsidR="00B86A10" w:rsidRDefault="00D41ACE" w:rsidP="00AF6C85">
      <w:r>
        <w:rPr>
          <w:b/>
        </w:rPr>
        <w:t>Hosea 6:7-11a</w:t>
      </w:r>
      <w:r w:rsidR="008F1BD4">
        <w:rPr>
          <w:b/>
        </w:rPr>
        <w:t xml:space="preserve">. </w:t>
      </w:r>
      <w:r w:rsidR="008F1BD4">
        <w:t>The resumptive “those people” are Ephraim and Judah (as vv. 10-11 will confirm)</w:t>
      </w:r>
      <w:r w:rsidR="00752551">
        <w:t>. What will follow through the rest of the s</w:t>
      </w:r>
      <w:r w:rsidR="00B10695">
        <w:t xml:space="preserve">ection is the facts behind the conclusion in vv. </w:t>
      </w:r>
      <w:r w:rsidR="00752551">
        <w:t xml:space="preserve">4-6. </w:t>
      </w:r>
    </w:p>
    <w:p w:rsidR="00AF6C85" w:rsidRDefault="00752551" w:rsidP="00AF6C85">
      <w:r>
        <w:t>I</w:t>
      </w:r>
      <w:r w:rsidR="00361364">
        <w:t>f Hosea’s audience knew the Ed</w:t>
      </w:r>
      <w:r w:rsidR="00B86A10">
        <w:t>en Garden story, the opening (</w:t>
      </w:r>
      <w:r w:rsidR="00361364">
        <w:t>v. 7</w:t>
      </w:r>
      <w:r w:rsidR="00B86A10">
        <w:t>)</w:t>
      </w:r>
      <w:r w:rsidR="00361364">
        <w:t xml:space="preserve"> might </w:t>
      </w:r>
      <w:r w:rsidR="00B86A10">
        <w:t xml:space="preserve">at first </w:t>
      </w:r>
      <w:r w:rsidR="00361364">
        <w:t>make them think of Adam the m</w:t>
      </w:r>
      <w:r>
        <w:t xml:space="preserve">an, but the </w:t>
      </w:r>
      <w:r w:rsidR="00B86A10">
        <w:t xml:space="preserve">line’s parallelism </w:t>
      </w:r>
      <w:r>
        <w:t xml:space="preserve">would </w:t>
      </w:r>
      <w:r w:rsidR="00361364">
        <w:t xml:space="preserve">make them realize that it refers to Adam the place, </w:t>
      </w:r>
      <w:r w:rsidR="001A77DD">
        <w:t xml:space="preserve">a Jordan River </w:t>
      </w:r>
      <w:r w:rsidR="00C37AA0">
        <w:t>crossing (modern Damiyah). T</w:t>
      </w:r>
      <w:r w:rsidR="00AF6C85">
        <w:t xml:space="preserve">he </w:t>
      </w:r>
      <w:r w:rsidR="00B86A10">
        <w:t xml:space="preserve">parallelism’s </w:t>
      </w:r>
      <w:r>
        <w:t>furt</w:t>
      </w:r>
      <w:r w:rsidR="00B86A10">
        <w:t>her reference</w:t>
      </w:r>
      <w:r>
        <w:t xml:space="preserve"> </w:t>
      </w:r>
      <w:r w:rsidR="00AF6C85">
        <w:t>to brea</w:t>
      </w:r>
      <w:r w:rsidR="00C37AA0">
        <w:t>king faith and transgressing a</w:t>
      </w:r>
      <w:r w:rsidR="00FA06A9">
        <w:t xml:space="preserve"> pact</w:t>
      </w:r>
      <w:r w:rsidR="00AF6C85">
        <w:t xml:space="preserve"> might make the audien</w:t>
      </w:r>
      <w:r w:rsidR="00B86A10">
        <w:t>ce think then</w:t>
      </w:r>
      <w:r w:rsidR="00C37AA0">
        <w:t xml:space="preserve"> of </w:t>
      </w:r>
      <w:r w:rsidR="00AF6C85">
        <w:t>the Israelites</w:t>
      </w:r>
      <w:r w:rsidR="00B86A10">
        <w:t xml:space="preserve">’ </w:t>
      </w:r>
      <w:r w:rsidR="00C37AA0">
        <w:t>crossing</w:t>
      </w:r>
      <w:r w:rsidR="00AF6C85">
        <w:t xml:space="preserve"> </w:t>
      </w:r>
      <w:r w:rsidR="00C37AA0">
        <w:t xml:space="preserve">of </w:t>
      </w:r>
      <w:r w:rsidR="00B86A10">
        <w:t xml:space="preserve">the Jordan to come </w:t>
      </w:r>
      <w:r w:rsidR="00C37AA0">
        <w:t>after resealing</w:t>
      </w:r>
      <w:r w:rsidR="00F46918">
        <w:t xml:space="preserve"> their pact or commitment with Yah</w:t>
      </w:r>
      <w:r w:rsidR="00C37AA0">
        <w:t>weh</w:t>
      </w:r>
      <w:r w:rsidR="00AF6C85">
        <w:t xml:space="preserve">. </w:t>
      </w:r>
      <w:r w:rsidR="00F46918">
        <w:t xml:space="preserve">The </w:t>
      </w:r>
      <w:r w:rsidR="00AF6C85" w:rsidRPr="00AF6C85">
        <w:t xml:space="preserve">crossing at Adam was where the </w:t>
      </w:r>
      <w:r w:rsidR="00AF6C85" w:rsidRPr="00AF6C85">
        <w:lastRenderedPageBreak/>
        <w:t>Jordan’s water stopp</w:t>
      </w:r>
      <w:r w:rsidR="00B86A10">
        <w:t>ed to facilitate that</w:t>
      </w:r>
      <w:r w:rsidR="00AF6C85" w:rsidRPr="00AF6C85">
        <w:t xml:space="preserve"> crossing</w:t>
      </w:r>
      <w:r w:rsidR="00B10695">
        <w:t>,</w:t>
      </w:r>
      <w:r w:rsidR="00AF6C85" w:rsidRPr="00AF6C85">
        <w:t xml:space="preserve"> </w:t>
      </w:r>
      <w:r w:rsidR="00B86A10">
        <w:t xml:space="preserve">further </w:t>
      </w:r>
      <w:r w:rsidR="00AF6C85">
        <w:t xml:space="preserve">down the river by Jericho </w:t>
      </w:r>
      <w:r w:rsidR="00AF6C85" w:rsidRPr="00AF6C85">
        <w:t>(Josh</w:t>
      </w:r>
      <w:r w:rsidR="00B10695">
        <w:t>.</w:t>
      </w:r>
      <w:r w:rsidR="00AF6C85" w:rsidRPr="00AF6C85">
        <w:t xml:space="preserve"> 3:16).</w:t>
      </w:r>
      <w:r w:rsidR="00AF6C85">
        <w:t xml:space="preserve"> That crossing was soo</w:t>
      </w:r>
      <w:r w:rsidR="00F46918">
        <w:t>n followed by the</w:t>
      </w:r>
      <w:r w:rsidR="00B86A10">
        <w:t xml:space="preserve">ir transgressing </w:t>
      </w:r>
      <w:r w:rsidR="00F46918">
        <w:t>the pact</w:t>
      </w:r>
      <w:r w:rsidR="00AF6C85">
        <w:t xml:space="preserve"> at Trouble Vale </w:t>
      </w:r>
      <w:r w:rsidR="00F46918">
        <w:t>(Josh</w:t>
      </w:r>
      <w:r w:rsidR="00B10695">
        <w:t>.</w:t>
      </w:r>
      <w:r w:rsidR="00F46918">
        <w:t xml:space="preserve"> 7) </w:t>
      </w:r>
      <w:r w:rsidR="00AF6C85">
        <w:t>to which Hosea referred earlier</w:t>
      </w:r>
      <w:r>
        <w:t xml:space="preserve"> (</w:t>
      </w:r>
      <w:r w:rsidR="00F46918">
        <w:t xml:space="preserve">2:15 [17]) </w:t>
      </w:r>
      <w:r w:rsidR="00F46918" w:rsidRPr="00F46918">
        <w:t xml:space="preserve">and </w:t>
      </w:r>
      <w:r w:rsidR="00F46918">
        <w:t>by their making their</w:t>
      </w:r>
      <w:r w:rsidR="00F46918" w:rsidRPr="00F46918">
        <w:t xml:space="preserve"> way to Shechem (</w:t>
      </w:r>
      <w:r>
        <w:t xml:space="preserve">cf. </w:t>
      </w:r>
      <w:r w:rsidR="00F46918" w:rsidRPr="00F46918">
        <w:t xml:space="preserve">v. 9b) where they </w:t>
      </w:r>
      <w:r>
        <w:t>re</w:t>
      </w:r>
      <w:r w:rsidR="00F46918">
        <w:t>affirmed the obligations of the pact (Josh</w:t>
      </w:r>
      <w:r w:rsidR="00B10695">
        <w:t>.</w:t>
      </w:r>
      <w:r w:rsidR="00F46918">
        <w:t xml:space="preserve"> 8:30-35).</w:t>
      </w:r>
    </w:p>
    <w:p w:rsidR="00A84AC5" w:rsidRDefault="0064273C" w:rsidP="001920FA">
      <w:pPr>
        <w:rPr>
          <w:i/>
        </w:rPr>
      </w:pPr>
      <w:r>
        <w:t>Hosea’</w:t>
      </w:r>
      <w:r w:rsidR="00C728AE">
        <w:t>s reference to Gilead (v. 8) contrasts with the way his</w:t>
      </w:r>
      <w:r w:rsidR="009F1731">
        <w:t xml:space="preserve"> expressions are generally too open and indefinite to link </w:t>
      </w:r>
      <w:r w:rsidR="00C728AE">
        <w:t xml:space="preserve">with particular events This reference </w:t>
      </w:r>
      <w:r w:rsidR="008E0E58">
        <w:t>might</w:t>
      </w:r>
      <w:r w:rsidR="00AF6C85">
        <w:t xml:space="preserve"> </w:t>
      </w:r>
      <w:r w:rsidR="00B10695">
        <w:t xml:space="preserve">make his audience </w:t>
      </w:r>
      <w:r w:rsidR="00C728AE">
        <w:t xml:space="preserve">also </w:t>
      </w:r>
      <w:r w:rsidR="008E0E58">
        <w:t xml:space="preserve">think of a more recent </w:t>
      </w:r>
      <w:r w:rsidR="008F1BD4">
        <w:t>failure of commitment and acknowledgment on the part of Ephraim</w:t>
      </w:r>
      <w:r w:rsidR="008E0E58">
        <w:t xml:space="preserve"> in particular </w:t>
      </w:r>
      <w:r w:rsidR="008E0E58" w:rsidRPr="008E0E58">
        <w:t>(</w:t>
      </w:r>
      <w:r w:rsidR="008E0E58">
        <w:t xml:space="preserve">see </w:t>
      </w:r>
      <w:r w:rsidR="008E0E58" w:rsidRPr="008E0E58">
        <w:t xml:space="preserve">2 </w:t>
      </w:r>
      <w:r w:rsidR="00D06435">
        <w:t>Kings</w:t>
      </w:r>
      <w:r w:rsidR="008E0E58" w:rsidRPr="008E0E58">
        <w:t xml:space="preserve"> 15:23-25)</w:t>
      </w:r>
      <w:r w:rsidR="008E0E58">
        <w:t>: hence the comparison, “as at Adam</w:t>
      </w:r>
      <w:r w:rsidR="008E0E58" w:rsidRPr="008E0E58">
        <w:t>.</w:t>
      </w:r>
      <w:r w:rsidR="006747E1">
        <w:t>” About</w:t>
      </w:r>
      <w:r w:rsidR="00E40690">
        <w:t xml:space="preserve"> 738, </w:t>
      </w:r>
      <w:r w:rsidR="0009461E" w:rsidRPr="0009461E">
        <w:t xml:space="preserve">the Ephraimite king Pekahiah </w:t>
      </w:r>
      <w:r w:rsidR="0009461E">
        <w:t xml:space="preserve">was killed by an aide, </w:t>
      </w:r>
      <w:r w:rsidR="00E40690">
        <w:t>Peka</w:t>
      </w:r>
      <w:r w:rsidR="0009461E">
        <w:t>h</w:t>
      </w:r>
      <w:r w:rsidR="00E40690">
        <w:t xml:space="preserve"> ben R</w:t>
      </w:r>
      <w:r w:rsidR="006747E1">
        <w:t>e</w:t>
      </w:r>
      <w:r w:rsidR="00E40690">
        <w:t>maly</w:t>
      </w:r>
      <w:r w:rsidR="0009461E">
        <w:t>a</w:t>
      </w:r>
      <w:r w:rsidR="00E40690">
        <w:t>h</w:t>
      </w:r>
      <w:r w:rsidR="0009461E">
        <w:t xml:space="preserve">u, </w:t>
      </w:r>
      <w:r w:rsidR="00D15226">
        <w:t>with the support of f</w:t>
      </w:r>
      <w:r w:rsidR="00AC1056">
        <w:t>ifty men from Gilead (see v. 8)</w:t>
      </w:r>
      <w:r w:rsidR="008E0E58">
        <w:t xml:space="preserve">. </w:t>
      </w:r>
      <w:r w:rsidR="00B10695">
        <w:t>“A</w:t>
      </w:r>
      <w:r w:rsidR="008E0E58" w:rsidRPr="008E0E58">
        <w:t xml:space="preserve"> </w:t>
      </w:r>
      <w:r w:rsidR="008E0E58" w:rsidRPr="008E0E58">
        <w:rPr>
          <w:i/>
        </w:rPr>
        <w:t>town</w:t>
      </w:r>
      <w:r w:rsidR="00B10695">
        <w:t xml:space="preserve"> of evildoers” may be</w:t>
      </w:r>
      <w:r w:rsidR="003315EB">
        <w:t xml:space="preserve"> figurative</w:t>
      </w:r>
      <w:r w:rsidR="008E0E58" w:rsidRPr="008E0E58">
        <w:t xml:space="preserve"> description of the Gilead </w:t>
      </w:r>
      <w:r w:rsidR="008E0E58" w:rsidRPr="008E0E58">
        <w:rPr>
          <w:i/>
        </w:rPr>
        <w:t>region</w:t>
      </w:r>
      <w:r w:rsidR="00306676">
        <w:rPr>
          <w:i/>
        </w:rPr>
        <w:t xml:space="preserve"> </w:t>
      </w:r>
      <w:r w:rsidR="006747E1">
        <w:t>(comparable to his saying</w:t>
      </w:r>
      <w:r w:rsidR="00306676">
        <w:t xml:space="preserve"> that “Gilead is a den of robbers”)</w:t>
      </w:r>
      <w:r w:rsidR="003315EB">
        <w:t>,</w:t>
      </w:r>
      <w:r w:rsidR="00306676">
        <w:rPr>
          <w:rStyle w:val="FootnoteReference"/>
        </w:rPr>
        <w:footnoteReference w:id="327"/>
      </w:r>
      <w:r w:rsidR="00B10695">
        <w:t xml:space="preserve"> or</w:t>
      </w:r>
      <w:r w:rsidR="006747E1">
        <w:t xml:space="preserve"> it may allude to</w:t>
      </w:r>
      <w:r w:rsidR="003315EB">
        <w:t xml:space="preserve"> a town such as Heights-in-Gilead</w:t>
      </w:r>
      <w:r w:rsidR="00713666">
        <w:t xml:space="preserve"> where J</w:t>
      </w:r>
      <w:r w:rsidR="00320F7A">
        <w:t>ehu’s bloodshedding received it</w:t>
      </w:r>
      <w:r w:rsidR="00713666">
        <w:t xml:space="preserve">s commission (2 </w:t>
      </w:r>
      <w:r w:rsidR="00D06435">
        <w:t>Kings</w:t>
      </w:r>
      <w:r w:rsidR="00713666">
        <w:t xml:space="preserve"> 9)</w:t>
      </w:r>
      <w:r w:rsidR="003315EB">
        <w:t xml:space="preserve">; there is </w:t>
      </w:r>
      <w:r w:rsidR="006747E1">
        <w:t xml:space="preserve">also </w:t>
      </w:r>
      <w:r w:rsidR="003315EB">
        <w:t>some e</w:t>
      </w:r>
      <w:r w:rsidR="00B10695">
        <w:t>vidence of there being</w:t>
      </w:r>
      <w:r w:rsidR="003315EB">
        <w:t xml:space="preserve"> a town </w:t>
      </w:r>
      <w:r w:rsidR="00B86A10">
        <w:t xml:space="preserve">actually </w:t>
      </w:r>
      <w:r w:rsidR="003315EB">
        <w:t>called Gilead</w:t>
      </w:r>
      <w:r w:rsidR="00A942EB">
        <w:t xml:space="preserve"> </w:t>
      </w:r>
      <w:r w:rsidR="003315EB">
        <w:t>as there was later a region called Samaria as well as a town of that name.</w:t>
      </w:r>
      <w:r w:rsidR="00A942EB">
        <w:rPr>
          <w:rStyle w:val="FootnoteReference"/>
        </w:rPr>
        <w:footnoteReference w:id="328"/>
      </w:r>
      <w:r w:rsidR="008E0E58" w:rsidRPr="008E0E58">
        <w:t xml:space="preserve"> </w:t>
      </w:r>
      <w:r w:rsidR="00AC1056" w:rsidRPr="00AC1056">
        <w:t>The slayers</w:t>
      </w:r>
      <w:r w:rsidR="00CF3A11">
        <w:t xml:space="preserve">, people </w:t>
      </w:r>
      <w:r w:rsidR="00135DAE">
        <w:t>whose feet have trodden through blood in doing their dastardly work,</w:t>
      </w:r>
      <w:r w:rsidR="00B10695">
        <w:t xml:space="preserve"> were </w:t>
      </w:r>
      <w:r w:rsidR="00AC1056" w:rsidRPr="00AC1056">
        <w:t>involved in breaking their pact or loyal commitment to their king</w:t>
      </w:r>
      <w:r w:rsidR="00AC1056">
        <w:t>; and as they took their oath of allegiance in Yahweh’s name, they were also breaking faith with Yahweh</w:t>
      </w:r>
      <w:r w:rsidR="00CF3A11" w:rsidRPr="00CF3A11">
        <w:t xml:space="preserve">. </w:t>
      </w:r>
      <w:r w:rsidR="006747E1">
        <w:t xml:space="preserve">Adam </w:t>
      </w:r>
      <w:r w:rsidR="008E0E58" w:rsidRPr="008E0E58">
        <w:t xml:space="preserve">would be a natural place for Gileadites to cross the Jordan on the </w:t>
      </w:r>
      <w:r w:rsidR="00B86A10">
        <w:t>way to Samaria via Shechem</w:t>
      </w:r>
      <w:r w:rsidR="008E0E58" w:rsidRPr="008E0E58">
        <w:t>.</w:t>
      </w:r>
      <w:r w:rsidR="008E0E58">
        <w:t xml:space="preserve"> </w:t>
      </w:r>
      <w:r w:rsidR="008B0088">
        <w:t>C</w:t>
      </w:r>
      <w:r w:rsidR="004620D0">
        <w:t>losing v. 8 with a reference to blood (</w:t>
      </w:r>
      <w:r w:rsidR="004620D0">
        <w:rPr>
          <w:i/>
        </w:rPr>
        <w:t>dām</w:t>
      </w:r>
      <w:r w:rsidR="00B86A10">
        <w:t>) follows nicely on the way</w:t>
      </w:r>
      <w:r w:rsidR="004620D0">
        <w:t xml:space="preserve"> v. 7 almost opened with </w:t>
      </w:r>
      <w:r w:rsidR="004620D0">
        <w:rPr>
          <w:i/>
        </w:rPr>
        <w:t>’ādām</w:t>
      </w:r>
      <w:r w:rsidR="00713666">
        <w:t>: the</w:t>
      </w:r>
      <w:r w:rsidR="008B0088">
        <w:t xml:space="preserve"> place of crossing </w:t>
      </w:r>
      <w:r w:rsidR="00713666">
        <w:t>became a place of blood.</w:t>
      </w:r>
      <w:r w:rsidR="004620D0">
        <w:rPr>
          <w:i/>
        </w:rPr>
        <w:t xml:space="preserve"> </w:t>
      </w:r>
    </w:p>
    <w:p w:rsidR="00CF3A11" w:rsidRPr="00A84AC5" w:rsidRDefault="00135DAE" w:rsidP="001920FA">
      <w:r>
        <w:t>Apparently</w:t>
      </w:r>
      <w:r w:rsidR="008E0E58" w:rsidRPr="008E0E58">
        <w:t xml:space="preserve"> the coup had the support of some priests</w:t>
      </w:r>
      <w:r w:rsidR="006747E1">
        <w:t xml:space="preserve"> (v. 9)</w:t>
      </w:r>
      <w:r w:rsidR="008E0E58" w:rsidRPr="008E0E58">
        <w:t xml:space="preserve">, who were thus </w:t>
      </w:r>
      <w:r>
        <w:t xml:space="preserve">involved in </w:t>
      </w:r>
      <w:r w:rsidR="008E0E58" w:rsidRPr="008E0E58">
        <w:t>behaving like a rai</w:t>
      </w:r>
      <w:r w:rsidR="008B0088">
        <w:t>ding gang laying an ambush, w</w:t>
      </w:r>
      <w:r>
        <w:t xml:space="preserve">hether or not they </w:t>
      </w:r>
      <w:r w:rsidR="008E0E58" w:rsidRPr="008E0E58">
        <w:t>wield</w:t>
      </w:r>
      <w:r>
        <w:t>ed</w:t>
      </w:r>
      <w:r w:rsidR="008E0E58" w:rsidRPr="008E0E58">
        <w:t xml:space="preserve"> t</w:t>
      </w:r>
      <w:r w:rsidR="008B0088">
        <w:t>he weapons. T</w:t>
      </w:r>
      <w:r>
        <w:t>hey were taking part</w:t>
      </w:r>
      <w:r w:rsidR="008E0E58" w:rsidRPr="008E0E58">
        <w:t xml:space="preserve"> in the schem</w:t>
      </w:r>
      <w:r>
        <w:t>e and thus in the killing</w:t>
      </w:r>
      <w:r w:rsidR="008B0088">
        <w:t>,</w:t>
      </w:r>
      <w:r w:rsidR="00A84AC5">
        <w:t xml:space="preserve"> a “deliberate atrocity,” a </w:t>
      </w:r>
      <w:r w:rsidR="00A84AC5">
        <w:rPr>
          <w:i/>
        </w:rPr>
        <w:t>zimmāh</w:t>
      </w:r>
      <w:r>
        <w:t>. While e</w:t>
      </w:r>
      <w:r w:rsidR="00A84AC5">
        <w:t>tymologic</w:t>
      </w:r>
      <w:r>
        <w:t xml:space="preserve">ally the word </w:t>
      </w:r>
      <w:r w:rsidR="00C9625A">
        <w:t xml:space="preserve">simply </w:t>
      </w:r>
      <w:r>
        <w:t>suggests</w:t>
      </w:r>
      <w:r w:rsidR="00A84AC5">
        <w:t xml:space="preserve"> something upon</w:t>
      </w:r>
      <w:r>
        <w:t xml:space="preserve"> which you have deliberated,</w:t>
      </w:r>
      <w:r w:rsidR="00C9625A">
        <w:t xml:space="preserve"> it </w:t>
      </w:r>
      <w:r w:rsidR="008B0088">
        <w:t>usually</w:t>
      </w:r>
      <w:r>
        <w:t xml:space="preserve"> applies to</w:t>
      </w:r>
      <w:r w:rsidR="00A84AC5">
        <w:t xml:space="preserve"> acts o</w:t>
      </w:r>
      <w:r>
        <w:t xml:space="preserve">f enormity, </w:t>
      </w:r>
      <w:r w:rsidR="00A84AC5">
        <w:t>particular</w:t>
      </w:r>
      <w:r>
        <w:t>ly</w:t>
      </w:r>
      <w:r w:rsidR="00A84AC5">
        <w:t xml:space="preserve"> acts of sexual </w:t>
      </w:r>
      <w:r w:rsidR="00C9625A">
        <w:t>flagrancy</w:t>
      </w:r>
      <w:r w:rsidR="00FA063D">
        <w:t xml:space="preserve">, which </w:t>
      </w:r>
      <w:r w:rsidR="008B0088">
        <w:t>fits the present context’</w:t>
      </w:r>
      <w:r w:rsidR="00FA063D">
        <w:t>s upcoming references to whoring and adultery (6:10; 7:4).</w:t>
      </w:r>
    </w:p>
    <w:p w:rsidR="00C007C6" w:rsidRDefault="00B86A10" w:rsidP="004A7C09">
      <w:r>
        <w:t>T</w:t>
      </w:r>
      <w:r w:rsidR="001D1B02">
        <w:t>he scheme a</w:t>
      </w:r>
      <w:r w:rsidR="0005625D">
        <w:t xml:space="preserve">nd its implementation </w:t>
      </w:r>
      <w:r>
        <w:t xml:space="preserve">were thus </w:t>
      </w:r>
      <w:r w:rsidR="001D1B02">
        <w:t>an extr</w:t>
      </w:r>
      <w:r w:rsidR="0005625D">
        <w:t>a</w:t>
      </w:r>
      <w:r w:rsidR="001D1B02">
        <w:t>ordinary horror</w:t>
      </w:r>
      <w:r w:rsidR="008B0088">
        <w:t xml:space="preserve"> (v. 10</w:t>
      </w:r>
      <w:r w:rsidR="009F1731">
        <w:t>abα</w:t>
      </w:r>
      <w:r w:rsidR="008B0088">
        <w:t xml:space="preserve">) which Yahweh or Hosea </w:t>
      </w:r>
      <w:r w:rsidR="00C9625A">
        <w:t>“</w:t>
      </w:r>
      <w:r w:rsidR="006952BA">
        <w:t>saw</w:t>
      </w:r>
      <w:r w:rsidR="00C9625A">
        <w:t>”</w:t>
      </w:r>
      <w:r w:rsidR="008B0088">
        <w:t xml:space="preserve"> </w:t>
      </w:r>
      <w:r w:rsidR="006952BA">
        <w:t>(in v. 7 “I” was Yah</w:t>
      </w:r>
      <w:r w:rsidR="008B0088">
        <w:t>weh, but in v. 11 Yahweh is</w:t>
      </w:r>
      <w:r w:rsidR="006952BA">
        <w:t xml:space="preserve"> “he”). </w:t>
      </w:r>
      <w:r w:rsidR="00C9625A">
        <w:t>“</w:t>
      </w:r>
      <w:r w:rsidR="0005625D">
        <w:t xml:space="preserve">Israel” and “Ephraim” </w:t>
      </w:r>
      <w:r w:rsidR="006952BA">
        <w:t xml:space="preserve">here </w:t>
      </w:r>
      <w:r w:rsidR="0005625D">
        <w:t>both</w:t>
      </w:r>
      <w:r w:rsidR="009F1731">
        <w:t xml:space="preserve"> refer to the northern kingdom. S</w:t>
      </w:r>
      <w:r w:rsidR="0005625D">
        <w:t xml:space="preserve">tarting with </w:t>
      </w:r>
      <w:r w:rsidR="0005625D" w:rsidRPr="0005625D">
        <w:t>“Israel” u</w:t>
      </w:r>
      <w:r w:rsidR="0005625D">
        <w:t>nderlines the horror because that</w:t>
      </w:r>
      <w:r w:rsidR="008B0088">
        <w:t xml:space="preserve"> name </w:t>
      </w:r>
      <w:r w:rsidR="0005625D" w:rsidRPr="0005625D">
        <w:t xml:space="preserve">marks </w:t>
      </w:r>
      <w:r w:rsidR="0005625D">
        <w:t>Ephraim as the people of God</w:t>
      </w:r>
      <w:r w:rsidR="009F1731">
        <w:t xml:space="preserve">, while </w:t>
      </w:r>
      <w:r w:rsidR="009F1731" w:rsidRPr="009F1731">
        <w:t>in the parallelism “Ephraim” makes the reference more specific</w:t>
      </w:r>
      <w:r w:rsidR="0005625D">
        <w:t xml:space="preserve">. More striking is the </w:t>
      </w:r>
      <w:r w:rsidR="00C007C6">
        <w:t xml:space="preserve">return to talk of </w:t>
      </w:r>
      <w:r w:rsidR="0005625D">
        <w:t>Ephraim</w:t>
      </w:r>
      <w:r w:rsidR="00C007C6">
        <w:t xml:space="preserve"> </w:t>
      </w:r>
      <w:r w:rsidR="00C9625A">
        <w:t>“</w:t>
      </w:r>
      <w:r w:rsidR="00C007C6">
        <w:t>whoring,</w:t>
      </w:r>
      <w:r w:rsidR="00C9625A">
        <w:t>”</w:t>
      </w:r>
      <w:r w:rsidR="00C007C6">
        <w:t xml:space="preserve"> originally </w:t>
      </w:r>
      <w:r w:rsidR="0005625D">
        <w:t>a metaphor f</w:t>
      </w:r>
      <w:r w:rsidR="00C9625A">
        <w:t xml:space="preserve">or </w:t>
      </w:r>
      <w:r w:rsidR="0042675D">
        <w:t xml:space="preserve">the </w:t>
      </w:r>
      <w:r w:rsidR="00C9625A">
        <w:t xml:space="preserve">religious unfaithfulness </w:t>
      </w:r>
      <w:r w:rsidR="0042675D">
        <w:t xml:space="preserve">involved </w:t>
      </w:r>
      <w:r w:rsidR="00C9625A">
        <w:t xml:space="preserve">in </w:t>
      </w:r>
      <w:r w:rsidR="0042675D">
        <w:t>having recourse to</w:t>
      </w:r>
      <w:r w:rsidR="00C007C6">
        <w:t xml:space="preserve"> other gods, </w:t>
      </w:r>
      <w:r w:rsidR="00C9625A">
        <w:t>then for</w:t>
      </w:r>
      <w:r w:rsidR="00C007C6">
        <w:t xml:space="preserve"> seeking </w:t>
      </w:r>
      <w:r w:rsidR="00C9625A">
        <w:t>help from human allies and/or for</w:t>
      </w:r>
      <w:r w:rsidR="00C007C6">
        <w:t xml:space="preserve"> the recogn</w:t>
      </w:r>
      <w:r w:rsidR="009F1731">
        <w:t xml:space="preserve">ition of other deities </w:t>
      </w:r>
      <w:r w:rsidR="00C007C6">
        <w:t xml:space="preserve">involved in making such alliances. It would be suggestive if Hosea has further extended the word’s meaning, to </w:t>
      </w:r>
      <w:r w:rsidR="0042675D">
        <w:t xml:space="preserve">describe </w:t>
      </w:r>
      <w:r w:rsidR="00C007C6">
        <w:t>internal political violence</w:t>
      </w:r>
      <w:r w:rsidR="0042675D">
        <w:t xml:space="preserve"> as another way of having recourse to</w:t>
      </w:r>
      <w:r w:rsidR="008B0088">
        <w:t xml:space="preserve"> human political action,</w:t>
      </w:r>
      <w:r w:rsidR="0042675D">
        <w:t xml:space="preserve"> to fulfill your hopes</w:t>
      </w:r>
      <w:r w:rsidR="00C007C6">
        <w:t>, but this understanding requires some rea</w:t>
      </w:r>
      <w:r w:rsidR="0042675D">
        <w:t>ding into his words. M</w:t>
      </w:r>
      <w:r w:rsidR="00C007C6">
        <w:t xml:space="preserve">ore likely the metaphor continues to have </w:t>
      </w:r>
      <w:r w:rsidR="008B0088">
        <w:t>the</w:t>
      </w:r>
      <w:r w:rsidR="0042675D">
        <w:t xml:space="preserve"> earlier set of references: </w:t>
      </w:r>
      <w:r w:rsidR="00C007C6">
        <w:t xml:space="preserve">the irony of the coup in Samaria was that it brought no change </w:t>
      </w:r>
      <w:r w:rsidR="009F1731">
        <w:t>in the realm</w:t>
      </w:r>
      <w:r w:rsidR="0042675D">
        <w:t xml:space="preserve"> that really mattered (2 Kings 15), since</w:t>
      </w:r>
      <w:r w:rsidR="004A7C09">
        <w:t xml:space="preserve"> </w:t>
      </w:r>
      <w:r w:rsidR="0042675D">
        <w:t xml:space="preserve">Pekah the assassin continued to follow </w:t>
      </w:r>
      <w:r w:rsidR="00D50222">
        <w:t>the ways of his victim</w:t>
      </w:r>
      <w:r w:rsidR="0042675D">
        <w:t xml:space="preserve"> Pekahiah,</w:t>
      </w:r>
      <w:r w:rsidR="004A7C09">
        <w:t xml:space="preserve"> </w:t>
      </w:r>
      <w:r w:rsidR="0042675D">
        <w:t>who had learned them from his father Menahem</w:t>
      </w:r>
      <w:r w:rsidR="004A7C09">
        <w:t>. The more things change</w:t>
      </w:r>
      <w:r w:rsidR="00EB6040">
        <w:t>d</w:t>
      </w:r>
      <w:r w:rsidR="004A7C09">
        <w:t>, the more they stay</w:t>
      </w:r>
      <w:r w:rsidR="00EB6040">
        <w:t>ed</w:t>
      </w:r>
      <w:r w:rsidR="004A7C09">
        <w:t xml:space="preserve"> the same.</w:t>
      </w:r>
      <w:r w:rsidR="00EB6040">
        <w:t xml:space="preserve"> Ephraim was still involved in horrific whoring.</w:t>
      </w:r>
    </w:p>
    <w:p w:rsidR="00EB6040" w:rsidRDefault="00D50222" w:rsidP="004A7C09">
      <w:r>
        <w:t>The nation</w:t>
      </w:r>
      <w:r w:rsidR="00EB6040">
        <w:t xml:space="preserve"> was still therefore engaged in defiling itself</w:t>
      </w:r>
      <w:r w:rsidR="00A76CF2">
        <w:t xml:space="preserve"> (</w:t>
      </w:r>
      <w:r w:rsidR="00A76CF2" w:rsidRPr="00A76CF2">
        <w:t>v. 10bβ</w:t>
      </w:r>
      <w:r w:rsidR="009F1731">
        <w:t>-11a</w:t>
      </w:r>
      <w:r w:rsidR="00A76CF2">
        <w:t>)</w:t>
      </w:r>
      <w:r w:rsidR="00EB6040">
        <w:t>: d</w:t>
      </w:r>
      <w:r w:rsidR="006952BA">
        <w:t>efilement issues from whoring</w:t>
      </w:r>
      <w:r w:rsidR="00EB6040">
        <w:t xml:space="preserve"> (</w:t>
      </w:r>
      <w:r w:rsidR="008B0088">
        <w:t xml:space="preserve">cf. 5:3; </w:t>
      </w:r>
      <w:r w:rsidR="006952BA">
        <w:t>5:7 also</w:t>
      </w:r>
      <w:r w:rsidR="00EB6040">
        <w:t xml:space="preserve"> includes refe</w:t>
      </w:r>
      <w:r w:rsidR="006952BA">
        <w:t>rence to breaking faith</w:t>
      </w:r>
      <w:r w:rsidR="00EB6040">
        <w:t>).</w:t>
      </w:r>
      <w:r w:rsidR="008B0088">
        <w:t xml:space="preserve"> </w:t>
      </w:r>
      <w:r>
        <w:t xml:space="preserve">“Israel” continues to denote </w:t>
      </w:r>
      <w:r w:rsidR="00EB6040">
        <w:t>Ephraim, s</w:t>
      </w:r>
      <w:r w:rsidR="006952BA">
        <w:t>ince ref</w:t>
      </w:r>
      <w:r w:rsidR="009F1731">
        <w:t>erence to Judah follows</w:t>
      </w:r>
      <w:r w:rsidR="00F6128B">
        <w:t xml:space="preserve">. </w:t>
      </w:r>
      <w:r w:rsidR="008B0088">
        <w:t xml:space="preserve">Hosea has </w:t>
      </w:r>
      <w:r w:rsidR="00D41ACE">
        <w:t>used ingathering a</w:t>
      </w:r>
      <w:r w:rsidR="009F1731">
        <w:t>s a negative image (4:3), and h</w:t>
      </w:r>
      <w:r>
        <w:t>ere “</w:t>
      </w:r>
      <w:r w:rsidR="00D41ACE">
        <w:t>harvest</w:t>
      </w:r>
      <w:r>
        <w:t>” functions in the same way</w:t>
      </w:r>
      <w:r w:rsidR="00D41ACE">
        <w:t xml:space="preserve">; </w:t>
      </w:r>
      <w:r>
        <w:t xml:space="preserve">being </w:t>
      </w:r>
      <w:r w:rsidR="00D41ACE">
        <w:t>harvest</w:t>
      </w:r>
      <w:r>
        <w:t>ed</w:t>
      </w:r>
      <w:r w:rsidR="009441E6">
        <w:t xml:space="preserve"> is not much fun for wheat</w:t>
      </w:r>
      <w:r w:rsidR="008B0088">
        <w:t xml:space="preserve"> or fruit. T</w:t>
      </w:r>
      <w:r w:rsidR="00D41ACE">
        <w:t xml:space="preserve">he image </w:t>
      </w:r>
      <w:r w:rsidR="008B0088">
        <w:t xml:space="preserve">can apply </w:t>
      </w:r>
      <w:r w:rsidR="00D41ACE">
        <w:t>to other nations</w:t>
      </w:r>
      <w:r w:rsidR="008B0088">
        <w:t xml:space="preserve"> (Jer. 51:33; Joel 3:13 [4:13]); </w:t>
      </w:r>
      <w:r w:rsidR="00D41ACE">
        <w:t>Hosea applies it to Ephraim and/or Judah (“you” in v. 11</w:t>
      </w:r>
      <w:r w:rsidR="008B0088">
        <w:t>a</w:t>
      </w:r>
      <w:r w:rsidR="00D41ACE">
        <w:t xml:space="preserve"> is singular).</w:t>
      </w:r>
    </w:p>
    <w:p w:rsidR="00610424" w:rsidRDefault="00610424" w:rsidP="004A7C09">
      <w:r>
        <w:lastRenderedPageBreak/>
        <w:t>The “long tirade” with its “remarkable profusion” of expressions for wrongdoing (transgress a pact, break faith, evil, footprinted in blo</w:t>
      </w:r>
      <w:r w:rsidR="00AD6758">
        <w:t>od, raiding gang, murder, deliberate atrocity</w:t>
      </w:r>
      <w:r>
        <w:t>, horror, whoring, defilement) will continue in the next subsection (</w:t>
      </w:r>
      <w:r w:rsidRPr="00610424">
        <w:t>waywardness, bad dealing, falsehood</w:t>
      </w:r>
      <w:r>
        <w:t>, theft, raiding band, marauding, bad dealing).</w:t>
      </w:r>
      <w:r w:rsidRPr="00610424">
        <w:rPr>
          <w:vertAlign w:val="superscript"/>
        </w:rPr>
        <w:footnoteReference w:id="329"/>
      </w:r>
    </w:p>
    <w:p w:rsidR="0084146B" w:rsidRDefault="0084146B" w:rsidP="004A7C09"/>
    <w:p w:rsidR="009F1731" w:rsidRDefault="0084146B" w:rsidP="004A7C09">
      <w:r>
        <w:rPr>
          <w:b/>
        </w:rPr>
        <w:t xml:space="preserve">Hosea 6:11b—7:2. </w:t>
      </w:r>
      <w:r w:rsidR="00D444D5">
        <w:t xml:space="preserve">Yahweh goes on to make a </w:t>
      </w:r>
      <w:r w:rsidR="00824C3E">
        <w:t xml:space="preserve">general statement paralleling 6:4-6 regarding the dynamic which 6:7-11a has concretely illustrated. </w:t>
      </w:r>
      <w:r w:rsidR="001735CC">
        <w:t>It</w:t>
      </w:r>
      <w:r w:rsidR="00AD6758">
        <w:t xml:space="preserve"> reads like</w:t>
      </w:r>
      <w:r w:rsidR="00A16EB6">
        <w:t xml:space="preserve"> a further response to Israel’s pr</w:t>
      </w:r>
      <w:r w:rsidR="00AD6758">
        <w:t>otests about his treatment of</w:t>
      </w:r>
      <w:r w:rsidR="009F1731">
        <w:t xml:space="preserve"> his people.</w:t>
      </w:r>
    </w:p>
    <w:p w:rsidR="0084146B" w:rsidRDefault="009F1731" w:rsidP="004A7C09">
      <w:r>
        <w:t>A</w:t>
      </w:r>
      <w:r w:rsidR="00AD6758">
        <w:t>ctually</w:t>
      </w:r>
      <w:r>
        <w:t xml:space="preserve"> (6:11b-7:1aα)</w:t>
      </w:r>
      <w:r w:rsidR="00AD6758">
        <w:t>, he</w:t>
      </w:r>
      <w:r w:rsidR="00824C3E">
        <w:t xml:space="preserve"> is not in the habit </w:t>
      </w:r>
      <w:r w:rsidR="001735CC">
        <w:t>of neglecting his people Israel</w:t>
      </w:r>
      <w:r>
        <w:t xml:space="preserve">; </w:t>
      </w:r>
      <w:r w:rsidR="00824C3E">
        <w:t xml:space="preserve">the parallelism </w:t>
      </w:r>
      <w:r>
        <w:t>suggests that Israel here</w:t>
      </w:r>
      <w:r w:rsidR="00824C3E">
        <w:t xml:space="preserve"> denotes the people of Go</w:t>
      </w:r>
      <w:r w:rsidR="00925CF1">
        <w:t>d as a whole</w:t>
      </w:r>
      <w:r w:rsidR="001735CC">
        <w:t>. “T</w:t>
      </w:r>
      <w:r w:rsidR="00925CF1">
        <w:t>urn</w:t>
      </w:r>
      <w:r w:rsidR="00824C3E">
        <w:t xml:space="preserve">ing </w:t>
      </w:r>
      <w:r w:rsidR="00925CF1">
        <w:t xml:space="preserve">back </w:t>
      </w:r>
      <w:r w:rsidR="00824C3E">
        <w:t xml:space="preserve">the fortunes” </w:t>
      </w:r>
      <w:r w:rsidR="00AD6758">
        <w:t>is</w:t>
      </w:r>
      <w:r w:rsidR="00C96220">
        <w:t xml:space="preserve"> a standard term for putting things right for the </w:t>
      </w:r>
      <w:r w:rsidR="001735CC">
        <w:t>people, especially after they’</w:t>
      </w:r>
      <w:r w:rsidR="00C96220">
        <w:t xml:space="preserve">ve been </w:t>
      </w:r>
      <w:r w:rsidR="001735CC">
        <w:t xml:space="preserve">cut down by Yahweh. “Healing” </w:t>
      </w:r>
      <w:r w:rsidR="00C96220">
        <w:t xml:space="preserve">provides a </w:t>
      </w:r>
      <w:r w:rsidR="00925CF1">
        <w:t>parallel image, with which</w:t>
      </w:r>
      <w:r w:rsidR="00AD6758">
        <w:t xml:space="preserve"> </w:t>
      </w:r>
      <w:r w:rsidR="00925CF1">
        <w:t>“turn back” has been associated earlier (see 5:13—6:1 and the comments on 6:1).</w:t>
      </w:r>
    </w:p>
    <w:p w:rsidR="002E315E" w:rsidRDefault="00C96220" w:rsidP="004A7C09">
      <w:r>
        <w:t xml:space="preserve">The problem is </w:t>
      </w:r>
      <w:r w:rsidR="00AD6758">
        <w:t>on the other foot</w:t>
      </w:r>
      <w:r w:rsidR="00C728AE">
        <w:t xml:space="preserve"> </w:t>
      </w:r>
      <w:r w:rsidR="00C728AE" w:rsidRPr="00C728AE">
        <w:t>(v. 1aβγδb</w:t>
      </w:r>
      <w:r w:rsidR="00C728AE">
        <w:t>)</w:t>
      </w:r>
      <w:r w:rsidR="00AD6758">
        <w:t xml:space="preserve">. </w:t>
      </w:r>
      <w:r>
        <w:t xml:space="preserve">Yahweh’s restoring and healing </w:t>
      </w:r>
      <w:r w:rsidR="0082545F">
        <w:t>doesn’</w:t>
      </w:r>
      <w:r w:rsidR="00B4450A">
        <w:t>t lead to the people’s turning back to Yahweh</w:t>
      </w:r>
      <w:r w:rsidR="00AD6758">
        <w:t>. It</w:t>
      </w:r>
      <w:r w:rsidR="00B4450A">
        <w:t xml:space="preserve"> almost</w:t>
      </w:r>
      <w:r w:rsidR="00AD6758">
        <w:t xml:space="preserve"> seems to stimulate</w:t>
      </w:r>
      <w:r w:rsidR="0082545F">
        <w:t xml:space="preserve"> waywardness or bad dealing. It brings them</w:t>
      </w:r>
      <w:r w:rsidR="00B4450A">
        <w:t xml:space="preserve"> out.</w:t>
      </w:r>
      <w:r w:rsidR="00F45F54">
        <w:t xml:space="preserve"> Given that</w:t>
      </w:r>
      <w:r w:rsidR="0082545F">
        <w:t xml:space="preserve"> </w:t>
      </w:r>
      <w:r w:rsidR="00F45F54">
        <w:t>“</w:t>
      </w:r>
      <w:r w:rsidR="0082545F">
        <w:t>Israel</w:t>
      </w:r>
      <w:r w:rsidR="00F45F54">
        <w:t>”</w:t>
      </w:r>
      <w:r w:rsidR="0082545F">
        <w:t xml:space="preserve"> denoted the people of God as a whole</w:t>
      </w:r>
      <w:r w:rsidR="00F45F54">
        <w:t xml:space="preserve"> in the previous line</w:t>
      </w:r>
      <w:r w:rsidR="0082545F">
        <w:t xml:space="preserve">, Hosea naturally goes on to speak of Ephraim in particular and of its capital, which as such is the focus of its bad dealing. </w:t>
      </w:r>
      <w:r w:rsidR="002E315E">
        <w:t>It is his first explicit reference to Samaria</w:t>
      </w:r>
      <w:r w:rsidR="00F45F54">
        <w:t xml:space="preserve"> </w:t>
      </w:r>
      <w:r w:rsidR="00F45F54" w:rsidRPr="00F45F54">
        <w:t>(the Greek version of Šōmərōn</w:t>
      </w:r>
      <w:r w:rsidR="00F45F54">
        <w:t>)</w:t>
      </w:r>
      <w:r w:rsidR="002E315E">
        <w:t>, though the town was the actual location of the slayi</w:t>
      </w:r>
      <w:r w:rsidR="00AD6758">
        <w:t>ng to which the previous subsection alluded</w:t>
      </w:r>
      <w:r w:rsidR="002E315E">
        <w:t xml:space="preserve">. </w:t>
      </w:r>
      <w:r w:rsidR="0082545F">
        <w:t xml:space="preserve">Hosea walks a careful line in both safeguarding the principle that both Ephraim and Judah comprise Yahweh’s people and </w:t>
      </w:r>
      <w:r w:rsidR="00AD6758">
        <w:t xml:space="preserve">in </w:t>
      </w:r>
      <w:r w:rsidR="0082545F">
        <w:t>focusing on his own people in accordance with his vocation</w:t>
      </w:r>
      <w:r w:rsidR="00A46666">
        <w:t xml:space="preserve"> and location</w:t>
      </w:r>
      <w:r w:rsidR="0082545F">
        <w:t xml:space="preserve">. </w:t>
      </w:r>
      <w:r w:rsidR="002E315E">
        <w:t>Hi</w:t>
      </w:r>
      <w:r w:rsidR="001735CC">
        <w:t xml:space="preserve">s allusions to falsehood and </w:t>
      </w:r>
      <w:r w:rsidR="00F45F54">
        <w:t xml:space="preserve">to a raiding band does </w:t>
      </w:r>
      <w:r w:rsidR="001735CC">
        <w:t>suggest</w:t>
      </w:r>
      <w:r w:rsidR="00FA590C">
        <w:t xml:space="preserve"> </w:t>
      </w:r>
      <w:r w:rsidR="00A46666">
        <w:t>he is referring back to an event such as that slaying, though it also</w:t>
      </w:r>
      <w:r w:rsidR="00FA590C">
        <w:t xml:space="preserve"> looks like an aphorism: trouble is attacking inside and outside.</w:t>
      </w:r>
      <w:r w:rsidR="00A46666">
        <w:t xml:space="preserve"> </w:t>
      </w:r>
      <w:r w:rsidR="00A46666" w:rsidRPr="00A46666">
        <w:t>A coup entails falsehood, going about things as thieves and bandits do, coming in from outside in order to “steal” the throne.</w:t>
      </w:r>
    </w:p>
    <w:p w:rsidR="007E35BD" w:rsidRDefault="009C1BB6" w:rsidP="004A7C09">
      <w:r>
        <w:t>T</w:t>
      </w:r>
      <w:r w:rsidR="00A46666">
        <w:t xml:space="preserve">he </w:t>
      </w:r>
      <w:r w:rsidR="00FA590C">
        <w:t>Ephraimites</w:t>
      </w:r>
      <w:r w:rsidR="007E35BD">
        <w:t xml:space="preserve"> </w:t>
      </w:r>
      <w:r w:rsidR="00A46666">
        <w:t>act as</w:t>
      </w:r>
      <w:r>
        <w:t xml:space="preserve"> they do </w:t>
      </w:r>
      <w:r w:rsidR="00F45F54">
        <w:t xml:space="preserve">(v. 2) </w:t>
      </w:r>
      <w:r w:rsidR="007E35BD">
        <w:t xml:space="preserve">without taking into </w:t>
      </w:r>
      <w:r w:rsidR="00F45F54">
        <w:t>account the possibility that Yahweh</w:t>
      </w:r>
      <w:r w:rsidR="007E35BD">
        <w:t xml:space="preserve"> </w:t>
      </w:r>
      <w:r w:rsidR="00F45F54">
        <w:t>may notice</w:t>
      </w:r>
      <w:r w:rsidR="007E35BD">
        <w:t xml:space="preserve">. </w:t>
      </w:r>
      <w:r>
        <w:t>A</w:t>
      </w:r>
      <w:r w:rsidR="007E35BD">
        <w:t>s a result</w:t>
      </w:r>
      <w:r w:rsidR="002923B3">
        <w:t>, with poetic justice</w:t>
      </w:r>
      <w:r w:rsidR="007E35BD">
        <w:t xml:space="preserve"> their wayward deeds </w:t>
      </w:r>
      <w:r w:rsidR="002923B3">
        <w:t>have come to surround the “thieves” like besieging enemies (e.g., Ps</w:t>
      </w:r>
      <w:r w:rsidR="001735CC">
        <w:t>.</w:t>
      </w:r>
      <w:r w:rsidR="002923B3">
        <w:t xml:space="preserve"> 118:10-12)</w:t>
      </w:r>
      <w:r w:rsidR="001735CC">
        <w:t xml:space="preserve">, </w:t>
      </w:r>
      <w:r w:rsidR="00A46666">
        <w:t xml:space="preserve">as </w:t>
      </w:r>
      <w:r w:rsidR="002923B3">
        <w:t xml:space="preserve">they </w:t>
      </w:r>
      <w:r w:rsidR="00F45F54">
        <w:t xml:space="preserve">themselves </w:t>
      </w:r>
      <w:r w:rsidR="002923B3">
        <w:t>had encircled and overwhelmed their victim, because in reality their deeds have been done right before Yahweh’s face.</w:t>
      </w:r>
      <w:r w:rsidR="009727B8">
        <w:t xml:space="preserve"> </w:t>
      </w:r>
    </w:p>
    <w:p w:rsidR="009727B8" w:rsidRDefault="009727B8" w:rsidP="004A7C09"/>
    <w:p w:rsidR="000114D2" w:rsidRDefault="009727B8" w:rsidP="009A4580">
      <w:r>
        <w:rPr>
          <w:b/>
        </w:rPr>
        <w:t xml:space="preserve">Hosea 7:3-7. </w:t>
      </w:r>
      <w:r w:rsidR="009C1BB6">
        <w:t xml:space="preserve">Hosea goes on to describe further the </w:t>
      </w:r>
      <w:r w:rsidR="000114D2">
        <w:t>behavior of the people involve</w:t>
      </w:r>
      <w:r w:rsidR="001C3A7E">
        <w:t>d in a</w:t>
      </w:r>
      <w:r w:rsidR="009C1BB6">
        <w:t xml:space="preserve"> coup</w:t>
      </w:r>
      <w:r w:rsidR="0041089A">
        <w:t xml:space="preserve"> (v. 3), which might be the one just referred to</w:t>
      </w:r>
      <w:r w:rsidR="001C3A7E">
        <w:t>, or might be the next one when Pekah was in turn assassinated by Hoshea ben Elah (see 2 Kings 15:30)</w:t>
      </w:r>
      <w:r w:rsidR="009C1BB6">
        <w:t xml:space="preserve">. </w:t>
      </w:r>
      <w:r w:rsidR="001735CC">
        <w:t>Through the lying with</w:t>
      </w:r>
      <w:r w:rsidR="0041089A">
        <w:t xml:space="preserve"> which they initiate their</w:t>
      </w:r>
      <w:r w:rsidR="009C14C1">
        <w:t xml:space="preserve"> wrongful action </w:t>
      </w:r>
      <w:r w:rsidR="0041089A">
        <w:t xml:space="preserve">they </w:t>
      </w:r>
      <w:r w:rsidR="000114D2">
        <w:t>give a false sense of security to the king and his administration</w:t>
      </w:r>
      <w:r w:rsidR="009C14C1">
        <w:t xml:space="preserve"> in Samaria.</w:t>
      </w:r>
    </w:p>
    <w:p w:rsidR="009727B8" w:rsidRDefault="001735CC" w:rsidP="004A7C09">
      <w:r>
        <w:t xml:space="preserve"> I</w:t>
      </w:r>
      <w:r w:rsidR="0041089A">
        <w:t xml:space="preserve">n </w:t>
      </w:r>
      <w:r w:rsidR="009C14C1">
        <w:t xml:space="preserve">effect </w:t>
      </w:r>
      <w:r w:rsidR="00642081">
        <w:t>they are all adulterers</w:t>
      </w:r>
      <w:r w:rsidR="000114D2">
        <w:t xml:space="preserve"> (v. 4)</w:t>
      </w:r>
      <w:r w:rsidR="00642081">
        <w:t xml:space="preserve">. </w:t>
      </w:r>
      <w:r w:rsidR="0041089A">
        <w:t xml:space="preserve">Whereas </w:t>
      </w:r>
      <w:r w:rsidR="009C14C1">
        <w:t>Hosea has used this metaphor to describe unfaithfulness to Yahweh (</w:t>
      </w:r>
      <w:r w:rsidR="0041089A">
        <w:t>2:</w:t>
      </w:r>
      <w:r>
        <w:t>2 [</w:t>
      </w:r>
      <w:r w:rsidR="0041089A">
        <w:t>4</w:t>
      </w:r>
      <w:r>
        <w:t xml:space="preserve">] </w:t>
      </w:r>
      <w:r w:rsidR="0041089A">
        <w:t>; 3:1; 4:13-14), h</w:t>
      </w:r>
      <w:r w:rsidR="00642081">
        <w:t xml:space="preserve">ere it describes unfaithfulness to </w:t>
      </w:r>
      <w:r w:rsidR="009C14C1">
        <w:t>committed rela</w:t>
      </w:r>
      <w:r w:rsidR="002303C1">
        <w:t>tionships in the political realm</w:t>
      </w:r>
      <w:r w:rsidR="0041089A">
        <w:t>, and/or with the implication noted above that their involvement in political machinations designed to take their future into their own hands implies abandoning trust in Yahweh</w:t>
      </w:r>
      <w:r w:rsidR="002303C1">
        <w:t>. W</w:t>
      </w:r>
      <w:r w:rsidR="00642081">
        <w:t>ith hindsight on</w:t>
      </w:r>
      <w:r w:rsidR="009C14C1">
        <w:t>e</w:t>
      </w:r>
      <w:r w:rsidR="00642081">
        <w:t xml:space="preserve"> </w:t>
      </w:r>
      <w:r w:rsidR="009C14C1">
        <w:t xml:space="preserve">might wonder whether </w:t>
      </w:r>
      <w:r w:rsidR="00642081">
        <w:t xml:space="preserve">this </w:t>
      </w:r>
      <w:r w:rsidR="00DB0A12">
        <w:t>application of the metaphor also ca</w:t>
      </w:r>
      <w:r w:rsidR="00642081">
        <w:t>me earlier</w:t>
      </w:r>
      <w:r w:rsidR="000114D2">
        <w:t xml:space="preserve"> </w:t>
      </w:r>
      <w:r w:rsidR="002303C1">
        <w:t>(</w:t>
      </w:r>
      <w:r>
        <w:t>see 4:2; and</w:t>
      </w:r>
      <w:r w:rsidR="00642081">
        <w:t xml:space="preserve"> e.g., Jer</w:t>
      </w:r>
      <w:r>
        <w:t>.</w:t>
      </w:r>
      <w:r w:rsidR="00642081">
        <w:t xml:space="preserve"> 9:2 [1]; 23:10).</w:t>
      </w:r>
      <w:r w:rsidR="000114D2">
        <w:t xml:space="preserve"> </w:t>
      </w:r>
      <w:r w:rsidR="00A71AE3">
        <w:t xml:space="preserve">The plotters’ faithlessness </w:t>
      </w:r>
      <w:r w:rsidR="00F816BA">
        <w:t xml:space="preserve">makes them as </w:t>
      </w:r>
      <w:r w:rsidR="00E56B0F">
        <w:t>menacing</w:t>
      </w:r>
      <w:r w:rsidR="00F816BA">
        <w:t xml:space="preserve"> and treacherous as a hot oven</w:t>
      </w:r>
      <w:r w:rsidR="00773326">
        <w:t>. Th</w:t>
      </w:r>
      <w:r w:rsidR="00A71AE3">
        <w:t>e oven will be cylindrical</w:t>
      </w:r>
      <w:r w:rsidR="00773326">
        <w:t xml:space="preserve"> with the fire in the bottom; </w:t>
      </w:r>
      <w:r w:rsidR="004B1511">
        <w:t xml:space="preserve">in the morning </w:t>
      </w:r>
      <w:r w:rsidR="00773326">
        <w:t>the baker inserts a piece of dough from the top and slaps it on one of the hot sides.  The</w:t>
      </w:r>
      <w:r w:rsidR="00F816BA">
        <w:t xml:space="preserve"> </w:t>
      </w:r>
      <w:r w:rsidR="00E56B0F">
        <w:t>danger</w:t>
      </w:r>
      <w:r w:rsidR="00F816BA">
        <w:t xml:space="preserve"> </w:t>
      </w:r>
      <w:r w:rsidR="00773326">
        <w:t xml:space="preserve">of its heat </w:t>
      </w:r>
      <w:r w:rsidR="00F816BA">
        <w:t>might not be obvious</w:t>
      </w:r>
      <w:r w:rsidR="00A71AE3">
        <w:t xml:space="preserve"> when he stops </w:t>
      </w:r>
      <w:r w:rsidR="00773326">
        <w:t xml:space="preserve">stirring the fire </w:t>
      </w:r>
      <w:r w:rsidR="00366529">
        <w:t>(or stop</w:t>
      </w:r>
      <w:r w:rsidR="00A71AE3">
        <w:t>s</w:t>
      </w:r>
      <w:r w:rsidR="00366529">
        <w:t xml:space="preserve"> stirring the dough or stop</w:t>
      </w:r>
      <w:r w:rsidR="00A71AE3">
        <w:t>s</w:t>
      </w:r>
      <w:r w:rsidR="00366529">
        <w:t xml:space="preserve"> stirring himself)</w:t>
      </w:r>
      <w:r w:rsidR="004B1511">
        <w:t xml:space="preserve"> </w:t>
      </w:r>
      <w:r w:rsidR="00773326">
        <w:t>and</w:t>
      </w:r>
      <w:r w:rsidR="00773326" w:rsidRPr="00773326">
        <w:t xml:space="preserve"> </w:t>
      </w:r>
      <w:r w:rsidR="004B1511">
        <w:t>leave</w:t>
      </w:r>
      <w:r w:rsidR="00A71AE3">
        <w:t>s</w:t>
      </w:r>
      <w:r w:rsidR="004B1511">
        <w:t xml:space="preserve"> the fire</w:t>
      </w:r>
      <w:r w:rsidR="00E56B0F">
        <w:t xml:space="preserve"> </w:t>
      </w:r>
      <w:r w:rsidR="00773326">
        <w:t xml:space="preserve">unattended </w:t>
      </w:r>
      <w:r w:rsidR="00E56B0F">
        <w:t>while the dough is rising.</w:t>
      </w:r>
    </w:p>
    <w:p w:rsidR="00BE55A4" w:rsidRDefault="00DB0A12" w:rsidP="004A7C09">
      <w:r>
        <w:t>The</w:t>
      </w:r>
      <w:r w:rsidR="00E56B0F">
        <w:t xml:space="preserve"> </w:t>
      </w:r>
      <w:r w:rsidR="009B1AE1">
        <w:t xml:space="preserve">coup was apparently effected </w:t>
      </w:r>
      <w:r w:rsidR="00920339">
        <w:t>at a dinner (v</w:t>
      </w:r>
      <w:r>
        <w:t>v</w:t>
      </w:r>
      <w:r w:rsidR="00920339">
        <w:t>. 5</w:t>
      </w:r>
      <w:r>
        <w:t>-6a</w:t>
      </w:r>
      <w:r w:rsidR="00920339">
        <w:t xml:space="preserve">): “our king’s day” might be his birthday, or </w:t>
      </w:r>
      <w:r w:rsidR="00A71AE3">
        <w:t xml:space="preserve">his accession anniversary, or the </w:t>
      </w:r>
      <w:r w:rsidR="001735CC">
        <w:t>actual day of his assassination</w:t>
      </w:r>
      <w:r w:rsidR="00920339">
        <w:t xml:space="preserve">. The slayers first got the officials </w:t>
      </w:r>
      <w:r w:rsidR="00531AD7">
        <w:t xml:space="preserve">ill with poisoned wine (or perhaps just with the wine’s heat—that is, they got them drunk). The king </w:t>
      </w:r>
      <w:r w:rsidR="00531AD7">
        <w:lastRenderedPageBreak/>
        <w:t>himself</w:t>
      </w:r>
      <w:r>
        <w:t>,</w:t>
      </w:r>
      <w:r w:rsidR="00531AD7">
        <w:t xml:space="preserve"> </w:t>
      </w:r>
      <w:r>
        <w:t>having</w:t>
      </w:r>
      <w:r w:rsidR="00531AD7">
        <w:t xml:space="preserve"> no idea what was going on </w:t>
      </w:r>
      <w:r w:rsidR="00A71AE3">
        <w:t>(cf. v. 3)</w:t>
      </w:r>
      <w:r>
        <w:t>,</w:t>
      </w:r>
      <w:r w:rsidR="00531AD7">
        <w:t xml:space="preserve"> was prepared to shake hands with the slayers, unaware that behind their gesture </w:t>
      </w:r>
      <w:r>
        <w:t>of loyalty was mockery. W</w:t>
      </w:r>
      <w:r w:rsidR="00875437">
        <w:t>ith their trick</w:t>
      </w:r>
      <w:r>
        <w:t>ery</w:t>
      </w:r>
      <w:r w:rsidR="00875437">
        <w:t xml:space="preserve"> </w:t>
      </w:r>
      <w:r w:rsidR="00A67788">
        <w:t xml:space="preserve">their mind was </w:t>
      </w:r>
      <w:r w:rsidR="00A71AE3">
        <w:t xml:space="preserve">hot and dangerous </w:t>
      </w:r>
      <w:r w:rsidR="00A67788">
        <w:t xml:space="preserve">like an oven when they </w:t>
      </w:r>
      <w:r w:rsidR="00A71AE3">
        <w:t>came</w:t>
      </w:r>
      <w:r w:rsidR="00BE55A4">
        <w:t xml:space="preserve"> near</w:t>
      </w:r>
      <w:r w:rsidR="00A71AE3">
        <w:t xml:space="preserve"> to him</w:t>
      </w:r>
      <w:r>
        <w:t>: t</w:t>
      </w:r>
      <w:r w:rsidR="00875437">
        <w:t xml:space="preserve">hey </w:t>
      </w:r>
      <w:r w:rsidR="00A71AE3">
        <w:t xml:space="preserve">themselves </w:t>
      </w:r>
      <w:r w:rsidR="00875437">
        <w:t xml:space="preserve">were like a </w:t>
      </w:r>
      <w:r w:rsidR="00BE55A4">
        <w:t xml:space="preserve">baker </w:t>
      </w:r>
      <w:r w:rsidR="00875437">
        <w:t xml:space="preserve">who </w:t>
      </w:r>
      <w:r w:rsidR="00BE55A4">
        <w:t>stoke</w:t>
      </w:r>
      <w:r w:rsidR="000160B8">
        <w:t>s</w:t>
      </w:r>
      <w:r w:rsidR="00BE55A4">
        <w:t xml:space="preserve"> his</w:t>
      </w:r>
      <w:r w:rsidR="00875437">
        <w:t xml:space="preserve"> fire in the evening but </w:t>
      </w:r>
      <w:r w:rsidR="00BE55A4">
        <w:t>then sleep</w:t>
      </w:r>
      <w:r w:rsidR="00875437">
        <w:t>s</w:t>
      </w:r>
      <w:r w:rsidR="000160B8">
        <w:t xml:space="preserve"> through the</w:t>
      </w:r>
      <w:r w:rsidR="00BE55A4">
        <w:t xml:space="preserve"> night knowing that all will be</w:t>
      </w:r>
      <w:r w:rsidR="00875437">
        <w:t xml:space="preserve"> ready when it is needed; the fire can be fanned to a flame and the </w:t>
      </w:r>
      <w:r w:rsidR="00A71AE3">
        <w:t>bread baked. T</w:t>
      </w:r>
      <w:r w:rsidR="00875437">
        <w:t xml:space="preserve">he plotters have made their </w:t>
      </w:r>
      <w:r w:rsidR="00A71AE3">
        <w:t xml:space="preserve">parallel </w:t>
      </w:r>
      <w:r w:rsidR="00875437">
        <w:t>preparations carefully and can implement them quickly when the moment comes (the image recurs in more straightforward form, without the baker complicating it, in Mic</w:t>
      </w:r>
      <w:r w:rsidR="001A2E38">
        <w:t>.</w:t>
      </w:r>
      <w:r w:rsidR="00875437">
        <w:t xml:space="preserve"> 2:1).</w:t>
      </w:r>
    </w:p>
    <w:p w:rsidR="00130594" w:rsidRDefault="00875437" w:rsidP="004A7C09">
      <w:r>
        <w:t>So</w:t>
      </w:r>
      <w:r w:rsidR="005D40E8">
        <w:t xml:space="preserve"> (v. 7),</w:t>
      </w:r>
      <w:r w:rsidR="000160B8">
        <w:t xml:space="preserve"> when the moment comes, th</w:t>
      </w:r>
      <w:r w:rsidR="005D40E8">
        <w:t>ey’</w:t>
      </w:r>
      <w:r w:rsidR="00A71AE3">
        <w:t>re all heated up</w:t>
      </w:r>
      <w:r w:rsidR="000160B8">
        <w:t xml:space="preserve"> and </w:t>
      </w:r>
      <w:r w:rsidR="000160B8" w:rsidRPr="000160B8">
        <w:t>ready to take action</w:t>
      </w:r>
      <w:r w:rsidR="00A225F7">
        <w:t xml:space="preserve"> to consume </w:t>
      </w:r>
      <w:r w:rsidR="00995535">
        <w:t xml:space="preserve">like fire </w:t>
      </w:r>
      <w:r w:rsidR="00A225F7">
        <w:t xml:space="preserve">the governing authorities </w:t>
      </w:r>
      <w:r w:rsidR="00D55924">
        <w:t xml:space="preserve">(the </w:t>
      </w:r>
      <w:r w:rsidR="00D55924">
        <w:rPr>
          <w:i/>
        </w:rPr>
        <w:t>šōpəṭîm</w:t>
      </w:r>
      <w:r w:rsidR="00D55924">
        <w:t xml:space="preserve">, the people responsible for </w:t>
      </w:r>
      <w:r w:rsidR="00D55924">
        <w:rPr>
          <w:i/>
        </w:rPr>
        <w:t>mišpāṭ</w:t>
      </w:r>
      <w:r w:rsidR="00D55924">
        <w:t xml:space="preserve">: see 2:19 [21]; 5:1, 11; </w:t>
      </w:r>
      <w:r w:rsidR="00995535">
        <w:t>6:5)</w:t>
      </w:r>
      <w:r w:rsidR="00A225F7">
        <w:t>.</w:t>
      </w:r>
      <w:r w:rsidR="00995535">
        <w:t xml:space="preserve"> Hosea moves </w:t>
      </w:r>
      <w:r w:rsidR="00A225F7">
        <w:t xml:space="preserve">once again </w:t>
      </w:r>
      <w:r w:rsidR="000160B8">
        <w:t xml:space="preserve">to </w:t>
      </w:r>
      <w:r w:rsidR="00995535">
        <w:t xml:space="preserve">speak in </w:t>
      </w:r>
      <w:r w:rsidR="00E57482">
        <w:t>general terms</w:t>
      </w:r>
      <w:r w:rsidR="00A225F7">
        <w:t xml:space="preserve">. </w:t>
      </w:r>
      <w:r w:rsidR="00E57482" w:rsidRPr="00E57482">
        <w:t>“</w:t>
      </w:r>
      <w:r w:rsidR="00E57482" w:rsidRPr="00E57482">
        <w:rPr>
          <w:bCs/>
        </w:rPr>
        <w:t>Regicide has become fashionable; one after another the kings of Ephraim have fallen only to be replaced by their assassins.”</w:t>
      </w:r>
      <w:r w:rsidR="00E57482" w:rsidRPr="00E57482">
        <w:rPr>
          <w:bCs/>
          <w:vertAlign w:val="superscript"/>
        </w:rPr>
        <w:footnoteReference w:id="330"/>
      </w:r>
      <w:r w:rsidR="00E57482" w:rsidRPr="00E57482">
        <w:rPr>
          <w:b/>
          <w:bCs/>
        </w:rPr>
        <w:t xml:space="preserve"> </w:t>
      </w:r>
      <w:r w:rsidR="001C3A7E">
        <w:t>After Jeroboam, a sequence of kings fell to coups: Ze</w:t>
      </w:r>
      <w:r w:rsidR="00B43664">
        <w:t>chariah and</w:t>
      </w:r>
      <w:r w:rsidR="001C3A7E">
        <w:t xml:space="preserve"> </w:t>
      </w:r>
      <w:r w:rsidR="00C05FB6">
        <w:t>Shallu</w:t>
      </w:r>
      <w:r w:rsidR="00B43664">
        <w:t xml:space="preserve">m </w:t>
      </w:r>
      <w:r w:rsidR="005B5BE5">
        <w:t xml:space="preserve">in </w:t>
      </w:r>
      <w:r w:rsidR="00995535">
        <w:t xml:space="preserve">about </w:t>
      </w:r>
      <w:r w:rsidR="005B5BE5">
        <w:t>750, then</w:t>
      </w:r>
      <w:r w:rsidR="00B43664">
        <w:t xml:space="preserve"> Pekahiah and Pekah </w:t>
      </w:r>
      <w:r w:rsidR="005B5BE5">
        <w:t>in the 730s</w:t>
      </w:r>
      <w:r w:rsidR="00130594">
        <w:t xml:space="preserve">; the last king, Hoshea, was removed by </w:t>
      </w:r>
      <w:r w:rsidR="00C01890">
        <w:t>Assyria</w:t>
      </w:r>
      <w:r w:rsidR="00130594">
        <w:t xml:space="preserve"> but we don’t know how he died.</w:t>
      </w:r>
      <w:r w:rsidR="00995535">
        <w:t xml:space="preserve"> Ye</w:t>
      </w:r>
      <w:r w:rsidR="00366529">
        <w:t xml:space="preserve">t it didn’t make people in Ephraim turn to Yahweh. </w:t>
      </w:r>
    </w:p>
    <w:p w:rsidR="00130594" w:rsidRDefault="00130594" w:rsidP="004A7C09"/>
    <w:p w:rsidR="00DB0A12" w:rsidRDefault="00130594" w:rsidP="004A7C09">
      <w:r>
        <w:rPr>
          <w:b/>
        </w:rPr>
        <w:t xml:space="preserve">Hosea </w:t>
      </w:r>
      <w:r w:rsidR="00ED6C74">
        <w:rPr>
          <w:b/>
        </w:rPr>
        <w:t>7:8-12</w:t>
      </w:r>
      <w:r>
        <w:rPr>
          <w:b/>
        </w:rPr>
        <w:t xml:space="preserve">. </w:t>
      </w:r>
      <w:r w:rsidRPr="00130594">
        <w:t>Hosea</w:t>
      </w:r>
      <w:r>
        <w:t xml:space="preserve"> moves from talking about domestic intrigue to talking about international pol</w:t>
      </w:r>
      <w:r w:rsidR="001E214A">
        <w:t>itics. Ephraim was involved with Assyria, then</w:t>
      </w:r>
      <w:r w:rsidR="00FA4878">
        <w:t xml:space="preserve"> with Aram </w:t>
      </w:r>
      <w:r w:rsidR="006B715E">
        <w:t xml:space="preserve">and then with Egypt </w:t>
      </w:r>
      <w:r w:rsidR="00FA4878">
        <w:t>in</w:t>
      </w:r>
      <w:r w:rsidR="001E214A">
        <w:t xml:space="preserve"> resisting Assyria (cf. 2 </w:t>
      </w:r>
      <w:r w:rsidR="00D06435">
        <w:t>Kings</w:t>
      </w:r>
      <w:r w:rsidR="001E214A">
        <w:t xml:space="preserve"> 15</w:t>
      </w:r>
      <w:r w:rsidR="006B715E">
        <w:t>—17</w:t>
      </w:r>
      <w:r w:rsidR="00FA4878">
        <w:t>; Isa</w:t>
      </w:r>
      <w:r w:rsidR="001A2E38">
        <w:t>.</w:t>
      </w:r>
      <w:r w:rsidR="00FA4878">
        <w:t xml:space="preserve"> 7). </w:t>
      </w:r>
    </w:p>
    <w:p w:rsidR="00130594" w:rsidRDefault="00E57482" w:rsidP="004A7C09">
      <w:r>
        <w:t>“M</w:t>
      </w:r>
      <w:r w:rsidR="00ED5FF5">
        <w:t>ixes” (</w:t>
      </w:r>
      <w:r w:rsidR="00ED5FF5">
        <w:rPr>
          <w:i/>
        </w:rPr>
        <w:t>bālal</w:t>
      </w:r>
      <w:r w:rsidR="00DB0A12">
        <w:t>; v. 8)</w:t>
      </w:r>
      <w:r w:rsidR="00ED5FF5">
        <w:rPr>
          <w:i/>
        </w:rPr>
        <w:t xml:space="preserve"> </w:t>
      </w:r>
      <w:r w:rsidR="00ED5FF5">
        <w:t>elsewhere refers to mixing flour and oil to make bre</w:t>
      </w:r>
      <w:r w:rsidR="00DB0A12">
        <w:t>ad, which fits the context</w:t>
      </w:r>
      <w:r>
        <w:t xml:space="preserve">. It </w:t>
      </w:r>
      <w:r w:rsidR="00C56F6A">
        <w:t>might have fur</w:t>
      </w:r>
      <w:r w:rsidR="00ED5FF5">
        <w:t>ther resonances for Hosea’s hearers</w:t>
      </w:r>
      <w:r>
        <w:t>: m</w:t>
      </w:r>
      <w:r w:rsidR="000948B0">
        <w:t xml:space="preserve">ore or less the only other </w:t>
      </w:r>
      <w:r w:rsidR="00C56F6A">
        <w:t xml:space="preserve">metaphorical </w:t>
      </w:r>
      <w:r w:rsidR="000948B0">
        <w:t xml:space="preserve">occurrence of the verb </w:t>
      </w:r>
      <w:r w:rsidR="00DB0A12">
        <w:t xml:space="preserve">in the First Testament </w:t>
      </w:r>
      <w:r w:rsidR="000948B0">
        <w:t>describes the mixing up of languages at Babel (Gen</w:t>
      </w:r>
      <w:r w:rsidR="001A2E38">
        <w:t>.</w:t>
      </w:r>
      <w:r w:rsidR="000948B0">
        <w:t xml:space="preserve"> 11:7, 9). It also recalls</w:t>
      </w:r>
      <w:r>
        <w:t xml:space="preserve"> </w:t>
      </w:r>
      <w:r w:rsidR="00E64E37">
        <w:t>verb</w:t>
      </w:r>
      <w:r w:rsidR="002F4FEB">
        <w:t xml:space="preserve">s </w:t>
      </w:r>
      <w:r w:rsidR="00E64E37">
        <w:t>mean</w:t>
      </w:r>
      <w:r>
        <w:t>ing</w:t>
      </w:r>
      <w:r w:rsidR="00E64E37">
        <w:t xml:space="preserve"> “be swallowed up” (</w:t>
      </w:r>
      <w:r w:rsidR="00E64E37">
        <w:rPr>
          <w:i/>
        </w:rPr>
        <w:t>bāla‘</w:t>
      </w:r>
      <w:r>
        <w:t xml:space="preserve">) or </w:t>
      </w:r>
      <w:r w:rsidR="00E64E37">
        <w:t>“wear out” (</w:t>
      </w:r>
      <w:r w:rsidR="00E64E37">
        <w:rPr>
          <w:i/>
        </w:rPr>
        <w:t>bālāh</w:t>
      </w:r>
      <w:r w:rsidR="00E64E37">
        <w:t xml:space="preserve">). </w:t>
      </w:r>
      <w:r w:rsidR="00B403E7">
        <w:t xml:space="preserve">But Hosea again </w:t>
      </w:r>
      <w:r w:rsidR="00E64E37">
        <w:t>takes up the baking metaphor to declare Ephra</w:t>
      </w:r>
      <w:r>
        <w:t>im a piece of flat bread that’</w:t>
      </w:r>
      <w:r w:rsidR="00B403E7">
        <w:t xml:space="preserve">s been cooked on only one side or whose dough was not properly turned over. </w:t>
      </w:r>
    </w:p>
    <w:p w:rsidR="00C56F6A" w:rsidRDefault="00E57482" w:rsidP="004A7C09">
      <w:r>
        <w:t>The f</w:t>
      </w:r>
      <w:r w:rsidR="00B403E7">
        <w:t xml:space="preserve">oreigners </w:t>
      </w:r>
      <w:r>
        <w:t xml:space="preserve">(v. 9) </w:t>
      </w:r>
      <w:r w:rsidR="00B403E7">
        <w:t xml:space="preserve">are people Ephraim has been willing to ally with and seek help </w:t>
      </w:r>
      <w:r w:rsidR="001E214A">
        <w:t xml:space="preserve">and strength </w:t>
      </w:r>
      <w:r w:rsidR="00B403E7">
        <w:t>from, but</w:t>
      </w:r>
      <w:r>
        <w:t xml:space="preserve"> who have</w:t>
      </w:r>
      <w:r w:rsidR="00B403E7">
        <w:t xml:space="preserve"> </w:t>
      </w:r>
      <w:r>
        <w:t xml:space="preserve">instead </w:t>
      </w:r>
      <w:r w:rsidR="00B403E7">
        <w:t xml:space="preserve">fatally weakened the </w:t>
      </w:r>
      <w:r w:rsidR="002F4FEB">
        <w:t xml:space="preserve">nation through the tribute they’ve required and/or through the </w:t>
      </w:r>
      <w:r w:rsidR="00B403E7">
        <w:t>l</w:t>
      </w:r>
      <w:r w:rsidR="002F4FEB">
        <w:t>and they’ve appropriated</w:t>
      </w:r>
      <w:r w:rsidR="00B403E7">
        <w:t xml:space="preserve">. To put it another way, </w:t>
      </w:r>
      <w:r w:rsidR="002F4FEB">
        <w:t>Ephraim</w:t>
      </w:r>
      <w:r w:rsidR="0044728D">
        <w:t xml:space="preserve"> has lost it</w:t>
      </w:r>
      <w:r w:rsidR="004C3189">
        <w:t>s</w:t>
      </w:r>
      <w:r w:rsidR="0044728D">
        <w:t xml:space="preserve"> youthful strength. </w:t>
      </w:r>
      <w:r w:rsidR="00C56F6A">
        <w:t>But</w:t>
      </w:r>
      <w:r w:rsidR="002F4FEB">
        <w:t xml:space="preserve"> it</w:t>
      </w:r>
      <w:r w:rsidR="0044728D" w:rsidRPr="0044728D">
        <w:t xml:space="preserve"> won’t acknowle</w:t>
      </w:r>
      <w:r w:rsidR="00925EF3">
        <w:t>dge the facts</w:t>
      </w:r>
      <w:r w:rsidR="0044728D" w:rsidRPr="0044728D">
        <w:t xml:space="preserve">, and </w:t>
      </w:r>
      <w:r w:rsidR="00C56F6A">
        <w:t xml:space="preserve">it </w:t>
      </w:r>
      <w:r w:rsidR="00925EF3">
        <w:t>continues</w:t>
      </w:r>
      <w:r w:rsidR="0044728D">
        <w:t xml:space="preserve"> the same policies. </w:t>
      </w:r>
    </w:p>
    <w:p w:rsidR="006B715E" w:rsidRDefault="0044728D" w:rsidP="004A7C09">
      <w:r>
        <w:t>To put it yet another way</w:t>
      </w:r>
      <w:r w:rsidR="002F4FEB">
        <w:t xml:space="preserve"> (v. 10)</w:t>
      </w:r>
      <w:r>
        <w:t>, as a consequence its impr</w:t>
      </w:r>
      <w:r w:rsidR="002F4FEB">
        <w:t>essiveness has disappeared</w:t>
      </w:r>
      <w:r w:rsidR="00C91842">
        <w:t xml:space="preserve">. </w:t>
      </w:r>
      <w:r>
        <w:t xml:space="preserve">Ephraim </w:t>
      </w:r>
      <w:r w:rsidR="00C56F6A">
        <w:t>used to be</w:t>
      </w:r>
      <w:r w:rsidR="00925EF3">
        <w:t xml:space="preserve"> </w:t>
      </w:r>
      <w:r>
        <w:t>more imposing</w:t>
      </w:r>
      <w:r w:rsidR="00C56F6A">
        <w:t xml:space="preserve"> than little Judah</w:t>
      </w:r>
      <w:r>
        <w:t xml:space="preserve">, but no longer (see 2 </w:t>
      </w:r>
      <w:r w:rsidR="00D06435">
        <w:t>Kings</w:t>
      </w:r>
      <w:r>
        <w:t xml:space="preserve"> 15:19-20, 29; 17:3). </w:t>
      </w:r>
      <w:r w:rsidR="00D06E77">
        <w:t>As Hosea threatened, i</w:t>
      </w:r>
      <w:r>
        <w:t>t’</w:t>
      </w:r>
      <w:r w:rsidR="00D06E77">
        <w:t>s happened before its own e</w:t>
      </w:r>
      <w:r>
        <w:t>yes</w:t>
      </w:r>
      <w:r w:rsidR="00D06E77">
        <w:t xml:space="preserve"> (5:5)</w:t>
      </w:r>
      <w:r w:rsidR="001A2E38">
        <w:t>, but Ephraim</w:t>
      </w:r>
      <w:r>
        <w:t xml:space="preserve"> </w:t>
      </w:r>
      <w:r w:rsidR="00D06E77">
        <w:t xml:space="preserve">still </w:t>
      </w:r>
      <w:r>
        <w:t>hasn’t returned to Yahweh or sought help from him</w:t>
      </w:r>
      <w:r w:rsidR="00F05C23">
        <w:t xml:space="preserve">. Hosea again takes up the </w:t>
      </w:r>
      <w:r w:rsidR="00EA7D4E">
        <w:t xml:space="preserve">verb </w:t>
      </w:r>
      <w:r w:rsidR="00EA7D4E">
        <w:rPr>
          <w:i/>
        </w:rPr>
        <w:t xml:space="preserve">‘ānāh </w:t>
      </w:r>
      <w:r w:rsidR="00EA7D4E">
        <w:t>(</w:t>
      </w:r>
      <w:r w:rsidR="00E84156">
        <w:t xml:space="preserve">is humbled) </w:t>
      </w:r>
      <w:r w:rsidR="00EA7D4E">
        <w:t xml:space="preserve">and the </w:t>
      </w:r>
      <w:r w:rsidR="00F05C23">
        <w:t>linked expressions “turn back”</w:t>
      </w:r>
      <w:r>
        <w:t xml:space="preserve"> </w:t>
      </w:r>
      <w:r w:rsidR="00D06E77" w:rsidRPr="00D06E77">
        <w:t xml:space="preserve">and “seek help” </w:t>
      </w:r>
      <w:r w:rsidR="00D06E77">
        <w:t xml:space="preserve">that were used in that connection </w:t>
      </w:r>
      <w:r w:rsidR="006B715E">
        <w:t>(5:4-</w:t>
      </w:r>
      <w:r w:rsidR="002F4FEB">
        <w:t xml:space="preserve">6; cf. </w:t>
      </w:r>
      <w:r w:rsidR="00D06E77">
        <w:t>2:7 [9]; 3:</w:t>
      </w:r>
      <w:r w:rsidR="00F05C23">
        <w:t xml:space="preserve">5; </w:t>
      </w:r>
      <w:r w:rsidR="00D06E77">
        <w:t>5:15—</w:t>
      </w:r>
      <w:r w:rsidR="00F05C23">
        <w:t>6:1</w:t>
      </w:r>
      <w:r w:rsidR="00EA7D4E">
        <w:t>)</w:t>
      </w:r>
      <w:r w:rsidR="0065143A">
        <w:t>.</w:t>
      </w:r>
    </w:p>
    <w:p w:rsidR="009A3D56" w:rsidRDefault="00915241" w:rsidP="004A7C09">
      <w:r>
        <w:t>Ephraim has as</w:t>
      </w:r>
      <w:r w:rsidR="007720B6">
        <w:t xml:space="preserve"> muc</w:t>
      </w:r>
      <w:r w:rsidR="00C56F6A">
        <w:t>h</w:t>
      </w:r>
      <w:r w:rsidR="00E84156">
        <w:t xml:space="preserve"> </w:t>
      </w:r>
      <w:r w:rsidR="002F4FEB">
        <w:t>sense as a pigeon (v. 11); it</w:t>
      </w:r>
      <w:r>
        <w:t xml:space="preserve"> advertises i</w:t>
      </w:r>
      <w:r w:rsidR="00235916">
        <w:t>ts presence by its cooing call, so</w:t>
      </w:r>
      <w:r w:rsidR="007720B6">
        <w:t xml:space="preserve"> it</w:t>
      </w:r>
      <w:r w:rsidR="00C56F6A">
        <w:t>’</w:t>
      </w:r>
      <w:r>
        <w:t xml:space="preserve">s easy to catch. </w:t>
      </w:r>
      <w:r w:rsidR="006B547C">
        <w:t xml:space="preserve">Historically, as far as we know Ephraim’s dealings with </w:t>
      </w:r>
      <w:r w:rsidR="0072442E">
        <w:t>Assyria preceded those with</w:t>
      </w:r>
      <w:r w:rsidR="009A3D56">
        <w:t xml:space="preserve"> Egypt</w:t>
      </w:r>
      <w:r w:rsidR="0072442E">
        <w:t xml:space="preserve"> (</w:t>
      </w:r>
      <w:r w:rsidR="00E84156">
        <w:t xml:space="preserve">for which </w:t>
      </w:r>
      <w:r w:rsidR="0072442E">
        <w:t xml:space="preserve">see 2 </w:t>
      </w:r>
      <w:r w:rsidR="00D06435">
        <w:t>Kings</w:t>
      </w:r>
      <w:r w:rsidR="0072442E">
        <w:t xml:space="preserve"> 17:3-4); maybe Hosea refers to </w:t>
      </w:r>
      <w:r w:rsidR="009A3D56">
        <w:t>action</w:t>
      </w:r>
      <w:r w:rsidR="00E84156">
        <w:t>s</w:t>
      </w:r>
      <w:r w:rsidR="006B547C">
        <w:t xml:space="preserve"> unmentioned in 2 Kings</w:t>
      </w:r>
      <w:r w:rsidR="009A3D56">
        <w:t xml:space="preserve"> or to </w:t>
      </w:r>
      <w:r w:rsidR="0072442E">
        <w:t xml:space="preserve">the policies of different </w:t>
      </w:r>
      <w:r w:rsidR="009A3D56">
        <w:t xml:space="preserve">contemporary </w:t>
      </w:r>
      <w:r w:rsidR="006B547C">
        <w:t>parties in Ephraim,</w:t>
      </w:r>
      <w:r w:rsidR="009A3D56">
        <w:rPr>
          <w:rStyle w:val="FootnoteReference"/>
        </w:rPr>
        <w:footnoteReference w:id="331"/>
      </w:r>
      <w:r w:rsidR="0072442E">
        <w:t xml:space="preserve"> </w:t>
      </w:r>
      <w:r w:rsidR="002F4FEB">
        <w:t>or speaks in general terms</w:t>
      </w:r>
      <w:r w:rsidR="006B547C" w:rsidRPr="006B547C">
        <w:t xml:space="preserve"> about the regular options open to little powers</w:t>
      </w:r>
      <w:r w:rsidR="006B547C">
        <w:t xml:space="preserve"> in the region (cf. 2 Kings 7:6).</w:t>
      </w:r>
    </w:p>
    <w:p w:rsidR="0044728D" w:rsidRDefault="009A3D56" w:rsidP="004A7C09">
      <w:r>
        <w:t>Either way, Ephraim’</w:t>
      </w:r>
      <w:r w:rsidR="00915241">
        <w:t>s real catcher is Ya</w:t>
      </w:r>
      <w:r>
        <w:t>hweh (v</w:t>
      </w:r>
      <w:r w:rsidR="006B547C">
        <w:t>. 12). He’s like a trapper snar</w:t>
      </w:r>
      <w:r>
        <w:t>ing</w:t>
      </w:r>
      <w:r w:rsidR="00915241">
        <w:t xml:space="preserve"> </w:t>
      </w:r>
      <w:r>
        <w:t>birds</w:t>
      </w:r>
      <w:r w:rsidR="002218C8">
        <w:t xml:space="preserve"> </w:t>
      </w:r>
      <w:r w:rsidR="00915241">
        <w:t>in a net s</w:t>
      </w:r>
      <w:r w:rsidR="002218C8">
        <w:t>o as to cook them and eat them</w:t>
      </w:r>
      <w:r>
        <w:t xml:space="preserve"> or trade them</w:t>
      </w:r>
      <w:r w:rsidR="002218C8">
        <w:t xml:space="preserve">.  </w:t>
      </w:r>
      <w:r w:rsidR="00ED6C74">
        <w:t>S</w:t>
      </w:r>
      <w:r w:rsidR="002218C8">
        <w:t xml:space="preserve">uch is the form that Yahweh’s severe </w:t>
      </w:r>
      <w:r w:rsidR="006B547C">
        <w:t>“</w:t>
      </w:r>
      <w:r>
        <w:t>disciplining</w:t>
      </w:r>
      <w:r w:rsidR="006B547C">
        <w:t>”</w:t>
      </w:r>
      <w:r w:rsidR="002218C8">
        <w:t xml:space="preserve"> </w:t>
      </w:r>
      <w:r w:rsidR="00A208A1">
        <w:t>will tak</w:t>
      </w:r>
      <w:r w:rsidR="00ED6C74">
        <w:t>e</w:t>
      </w:r>
      <w:r w:rsidR="002218C8">
        <w:t xml:space="preserve"> (cf. 5:2)</w:t>
      </w:r>
      <w:r w:rsidR="00DB16D4">
        <w:t>.Once again, Hosea’s hearers might h</w:t>
      </w:r>
      <w:r w:rsidR="006B547C">
        <w:t>ear him in two</w:t>
      </w:r>
      <w:r w:rsidR="00D50D32">
        <w:t xml:space="preserve"> way</w:t>
      </w:r>
      <w:r w:rsidR="006B547C">
        <w:t>s,</w:t>
      </w:r>
      <w:r>
        <w:t xml:space="preserve"> understand</w:t>
      </w:r>
      <w:r w:rsidR="006B547C">
        <w:t>ing</w:t>
      </w:r>
      <w:r>
        <w:t xml:space="preserve"> the verb</w:t>
      </w:r>
      <w:r w:rsidR="00D50D32">
        <w:t xml:space="preserve"> not as</w:t>
      </w:r>
      <w:r w:rsidR="00DB16D4">
        <w:t xml:space="preserve"> the word for discipline (</w:t>
      </w:r>
      <w:r w:rsidR="00DB16D4">
        <w:rPr>
          <w:i/>
        </w:rPr>
        <w:t>yāsar</w:t>
      </w:r>
      <w:r w:rsidR="00D50D32">
        <w:t xml:space="preserve">) but as </w:t>
      </w:r>
      <w:r w:rsidR="00DB16D4">
        <w:t>the word for bind (</w:t>
      </w:r>
      <w:r w:rsidR="00DB16D4">
        <w:rPr>
          <w:i/>
        </w:rPr>
        <w:t>’āsar</w:t>
      </w:r>
      <w:r w:rsidR="00DB16D4">
        <w:t>).</w:t>
      </w:r>
      <w:r w:rsidR="00BF0657" w:rsidRPr="00BF0657">
        <w:rPr>
          <w:vertAlign w:val="superscript"/>
        </w:rPr>
        <w:footnoteReference w:id="332"/>
      </w:r>
      <w:r w:rsidR="00DB16D4">
        <w:rPr>
          <w:i/>
        </w:rPr>
        <w:t xml:space="preserve"> </w:t>
      </w:r>
      <w:r w:rsidR="007724EA">
        <w:t xml:space="preserve"> Either way,</w:t>
      </w:r>
      <w:r w:rsidR="00D50D32">
        <w:t xml:space="preserve"> it</w:t>
      </w:r>
      <w:r w:rsidR="00DB16D4">
        <w:t xml:space="preserve"> will be</w:t>
      </w:r>
      <w:r w:rsidR="00D50D32">
        <w:t xml:space="preserve"> in fulfilment of</w:t>
      </w:r>
      <w:r w:rsidR="00ED6C74">
        <w:t xml:space="preserve"> </w:t>
      </w:r>
      <w:r w:rsidR="00ED6C74">
        <w:lastRenderedPageBreak/>
        <w:t>the report</w:t>
      </w:r>
      <w:r w:rsidR="002F60FC">
        <w:t xml:space="preserve"> (</w:t>
      </w:r>
      <w:r w:rsidR="002F60FC">
        <w:rPr>
          <w:i/>
        </w:rPr>
        <w:t>šēma‘</w:t>
      </w:r>
      <w:r w:rsidR="002F60FC">
        <w:t>), the thing the prophet has heard from Yahweh,</w:t>
      </w:r>
      <w:r w:rsidR="002F60FC">
        <w:rPr>
          <w:rStyle w:val="FootnoteReference"/>
        </w:rPr>
        <w:footnoteReference w:id="333"/>
      </w:r>
      <w:r w:rsidR="002F60FC">
        <w:t xml:space="preserve"> which</w:t>
      </w:r>
      <w:r w:rsidR="00ED6C74">
        <w:t xml:space="preserve"> </w:t>
      </w:r>
      <w:r w:rsidR="00D50D32">
        <w:t>Hosea has brought</w:t>
      </w:r>
      <w:r w:rsidR="00ED6C74">
        <w:t xml:space="preserve"> to their assembly.</w:t>
      </w:r>
    </w:p>
    <w:p w:rsidR="00E64E37" w:rsidRDefault="00E64E37" w:rsidP="004A7C09">
      <w:pPr>
        <w:rPr>
          <w:b/>
        </w:rPr>
      </w:pPr>
    </w:p>
    <w:p w:rsidR="007720B6" w:rsidRDefault="00ED6C74" w:rsidP="004A7C09">
      <w:r w:rsidRPr="00ED6C74">
        <w:rPr>
          <w:b/>
        </w:rPr>
        <w:t xml:space="preserve">Hosea </w:t>
      </w:r>
      <w:r>
        <w:rPr>
          <w:b/>
        </w:rPr>
        <w:t>7:13-16</w:t>
      </w:r>
      <w:r w:rsidRPr="00ED6C74">
        <w:rPr>
          <w:b/>
        </w:rPr>
        <w:t>.</w:t>
      </w:r>
      <w:r>
        <w:rPr>
          <w:b/>
        </w:rPr>
        <w:t xml:space="preserve"> </w:t>
      </w:r>
      <w:r w:rsidR="004A3907">
        <w:t>Yahweh brings the s</w:t>
      </w:r>
      <w:r w:rsidR="002F4FEB">
        <w:t>ection to an end with a protes</w:t>
      </w:r>
      <w:r w:rsidR="00D50D32">
        <w:t>t relating to</w:t>
      </w:r>
      <w:r w:rsidR="002F4FEB">
        <w:t xml:space="preserve"> their foreign policies, a protes</w:t>
      </w:r>
      <w:r w:rsidR="00D50D32">
        <w:t>t that</w:t>
      </w:r>
      <w:r w:rsidR="007720B6">
        <w:t xml:space="preserve"> may again respond to their prayers</w:t>
      </w:r>
      <w:r w:rsidR="00D50D32">
        <w:t xml:space="preserve">, to their </w:t>
      </w:r>
      <w:r w:rsidR="007724EA">
        <w:t xml:space="preserve">own </w:t>
      </w:r>
      <w:r w:rsidR="00D50D32">
        <w:t>lament</w:t>
      </w:r>
      <w:r w:rsidR="007724EA">
        <w:t>. Perhaps they’</w:t>
      </w:r>
      <w:r w:rsidR="007720B6">
        <w:t>ve urged Yahweh to redeem them (e.g., Pss</w:t>
      </w:r>
      <w:r w:rsidR="007724EA">
        <w:t>. 25:22; 44:26 [27], psalms mention</w:t>
      </w:r>
      <w:r w:rsidR="007720B6">
        <w:t>ed above in connection with an appeal to Yahweh’s “commitm</w:t>
      </w:r>
      <w:r w:rsidR="002F4FEB">
        <w:t xml:space="preserve">ent”). Perhaps they’ve </w:t>
      </w:r>
      <w:r w:rsidR="007724EA">
        <w:t>noted that they’</w:t>
      </w:r>
      <w:r w:rsidR="009A7DA1">
        <w:t xml:space="preserve">ve </w:t>
      </w:r>
      <w:r w:rsidR="00D50D32">
        <w:t>been</w:t>
      </w:r>
      <w:r w:rsidR="0039435E">
        <w:t xml:space="preserve"> crying out to him (e.g</w:t>
      </w:r>
      <w:r w:rsidR="009A7DA1">
        <w:t>., Ps</w:t>
      </w:r>
      <w:r w:rsidR="002F4FEB">
        <w:t>. 142:1, 5 [2, 6]) and</w:t>
      </w:r>
      <w:r w:rsidR="007724EA">
        <w:t xml:space="preserve"> </w:t>
      </w:r>
      <w:r w:rsidR="009A7DA1">
        <w:t>said that</w:t>
      </w:r>
      <w:r w:rsidR="007724EA">
        <w:t xml:space="preserve"> they’ve come back to him as he’</w:t>
      </w:r>
      <w:r w:rsidR="0039435E">
        <w:t xml:space="preserve">s urged. </w:t>
      </w:r>
    </w:p>
    <w:p w:rsidR="00ED6C74" w:rsidRDefault="007724EA" w:rsidP="004A7C09">
      <w:r>
        <w:t>If so, o</w:t>
      </w:r>
      <w:r w:rsidR="009A7DA1" w:rsidRPr="009A7DA1">
        <w:t xml:space="preserve">nce </w:t>
      </w:r>
      <w:r>
        <w:t>again</w:t>
      </w:r>
      <w:r w:rsidR="009A7DA1">
        <w:t xml:space="preserve"> Yahweh has a tough reply (v. 13). </w:t>
      </w:r>
      <w:r w:rsidR="004D6C96">
        <w:t>“Alas” (</w:t>
      </w:r>
      <w:r w:rsidR="004D6C96">
        <w:rPr>
          <w:i/>
        </w:rPr>
        <w:t>’ôy</w:t>
      </w:r>
      <w:r w:rsidR="004D6C96">
        <w:t>)</w:t>
      </w:r>
      <w:r w:rsidR="004D6C96">
        <w:rPr>
          <w:i/>
        </w:rPr>
        <w:t xml:space="preserve"> </w:t>
      </w:r>
      <w:r w:rsidR="004D6C96">
        <w:t xml:space="preserve">can signify </w:t>
      </w:r>
      <w:r w:rsidR="004A3907">
        <w:t>sadn</w:t>
      </w:r>
      <w:r w:rsidR="004D6C96">
        <w:t xml:space="preserve">ess or anger; </w:t>
      </w:r>
      <w:r w:rsidR="009A7DA1">
        <w:t xml:space="preserve">what follows </w:t>
      </w:r>
      <w:r w:rsidR="004D6C96">
        <w:t xml:space="preserve">here </w:t>
      </w:r>
      <w:r w:rsidR="009A7DA1">
        <w:t>implie</w:t>
      </w:r>
      <w:r w:rsidR="004D6C96">
        <w:t>s more the latter.</w:t>
      </w:r>
      <w:r w:rsidR="002F4FEB">
        <w:t xml:space="preserve"> Fleeing</w:t>
      </w:r>
      <w:r w:rsidR="009A7DA1">
        <w:t xml:space="preserve"> </w:t>
      </w:r>
      <w:r w:rsidR="004A3907">
        <w:t>suggests a continuation of the bird metaphor (cf. Jer</w:t>
      </w:r>
      <w:r>
        <w:t>. 4:25; 9:9); i</w:t>
      </w:r>
      <w:r w:rsidR="002F4FEB">
        <w:t>t may</w:t>
      </w:r>
      <w:r w:rsidR="007720B6">
        <w:t xml:space="preserve"> be another aspect of the pigeon’s lack of sense. </w:t>
      </w:r>
      <w:r w:rsidR="004A3907">
        <w:t xml:space="preserve">The </w:t>
      </w:r>
      <w:r w:rsidR="009A7DA1">
        <w:t>parallelism brings</w:t>
      </w:r>
      <w:r w:rsidR="004A3907">
        <w:t xml:space="preserve"> a doubl</w:t>
      </w:r>
      <w:r w:rsidR="005C28CA">
        <w:t>e heightening. “Destruc</w:t>
      </w:r>
      <w:r w:rsidR="00C326FF">
        <w:t xml:space="preserve">tion” makes clear that the “oh” is </w:t>
      </w:r>
      <w:r w:rsidR="009A7DA1">
        <w:t xml:space="preserve">indeed </w:t>
      </w:r>
      <w:r w:rsidR="00C326FF">
        <w:t xml:space="preserve">more anger than sadness, while “rebelling” makes </w:t>
      </w:r>
      <w:r w:rsidR="009A7DA1">
        <w:t>a va</w:t>
      </w:r>
      <w:r w:rsidR="002F4FEB">
        <w:t xml:space="preserve">lue judgment on “fleeing.” But </w:t>
      </w:r>
      <w:r>
        <w:t xml:space="preserve">pathos </w:t>
      </w:r>
      <w:r w:rsidR="00C326FF">
        <w:t>returns (v. 13b). Redeeming suggests doing whatever it takes to get people out of bondage, and ironical</w:t>
      </w:r>
      <w:r>
        <w:t>ly the</w:t>
      </w:r>
      <w:r w:rsidR="009A7DA1">
        <w:t xml:space="preserve"> verb </w:t>
      </w:r>
      <w:r>
        <w:t>is especially associated with</w:t>
      </w:r>
      <w:r w:rsidR="00C326FF">
        <w:t xml:space="preserve"> getting Israel out of</w:t>
      </w:r>
      <w:r w:rsidR="009A7DA1">
        <w:t xml:space="preserve"> the </w:t>
      </w:r>
      <w:r w:rsidR="00C326FF">
        <w:t>Egypt with whom Ephraim has now got itself into bondage. How grievous that Ephraim tells lies about its redeemer instead</w:t>
      </w:r>
      <w:r w:rsidR="002F4FEB">
        <w:t xml:space="preserve"> of looking him to act that way</w:t>
      </w:r>
      <w:r w:rsidR="00D25509">
        <w:t xml:space="preserve">, </w:t>
      </w:r>
      <w:r w:rsidR="002F4FEB">
        <w:t>and speaks</w:t>
      </w:r>
      <w:r w:rsidR="009A7DA1">
        <w:t xml:space="preserve"> as if</w:t>
      </w:r>
      <w:r w:rsidR="00D25509">
        <w:t xml:space="preserve"> he no longer had a hand strong enough to redeem (</w:t>
      </w:r>
      <w:r w:rsidR="009A7DA1">
        <w:t>see the references to redemption in</w:t>
      </w:r>
      <w:r w:rsidR="00D25509">
        <w:t xml:space="preserve"> Deut</w:t>
      </w:r>
      <w:r>
        <w:t>.</w:t>
      </w:r>
      <w:r w:rsidR="00D25509">
        <w:t xml:space="preserve"> 7:8; Jer</w:t>
      </w:r>
      <w:r>
        <w:t>.</w:t>
      </w:r>
      <w:r w:rsidR="00D25509">
        <w:t xml:space="preserve"> 31:11; Neh</w:t>
      </w:r>
      <w:r>
        <w:t>.</w:t>
      </w:r>
      <w:r w:rsidR="00D25509">
        <w:t xml:space="preserve"> 1:10).</w:t>
      </w:r>
    </w:p>
    <w:p w:rsidR="00D25509" w:rsidRDefault="009A7DA1" w:rsidP="004A7C09">
      <w:r>
        <w:t>Thus they haven’t cried</w:t>
      </w:r>
      <w:r w:rsidR="00D25509">
        <w:t xml:space="preserve"> out like the Israelites in Egypt (Exod</w:t>
      </w:r>
      <w:r w:rsidR="007724EA">
        <w:t>.</w:t>
      </w:r>
      <w:r w:rsidR="00D25509">
        <w:t xml:space="preserve"> 2:23)</w:t>
      </w:r>
      <w:r w:rsidR="00F33342">
        <w:t xml:space="preserve"> (v. 14)</w:t>
      </w:r>
      <w:r w:rsidR="00D25509">
        <w:t>. Instead they</w:t>
      </w:r>
      <w:r>
        <w:t>’ve</w:t>
      </w:r>
      <w:r w:rsidR="00D25509">
        <w:t xml:space="preserve"> </w:t>
      </w:r>
      <w:r w:rsidR="00C7329D">
        <w:t xml:space="preserve">cried out and </w:t>
      </w:r>
      <w:r w:rsidR="00D25509">
        <w:t xml:space="preserve">wailed like </w:t>
      </w:r>
      <w:r w:rsidR="0059226B">
        <w:t xml:space="preserve">the </w:t>
      </w:r>
      <w:r w:rsidR="00D25509">
        <w:t xml:space="preserve">victims of </w:t>
      </w:r>
      <w:r w:rsidR="00F33342">
        <w:t xml:space="preserve">trouble </w:t>
      </w:r>
      <w:r w:rsidR="007724EA">
        <w:t>that’</w:t>
      </w:r>
      <w:r>
        <w:t xml:space="preserve">s been </w:t>
      </w:r>
      <w:r w:rsidR="00F33342">
        <w:t xml:space="preserve">brought by </w:t>
      </w:r>
      <w:r w:rsidR="00D25509">
        <w:t xml:space="preserve">Yahweh: the </w:t>
      </w:r>
      <w:r w:rsidR="00C7329D">
        <w:t>verb</w:t>
      </w:r>
      <w:r w:rsidR="00D25509">
        <w:t xml:space="preserve">s </w:t>
      </w:r>
      <w:r w:rsidR="00C7329D">
        <w:t xml:space="preserve">are especially </w:t>
      </w:r>
      <w:r w:rsidR="0059226B">
        <w:t xml:space="preserve">used </w:t>
      </w:r>
      <w:r w:rsidR="00C7329D">
        <w:t xml:space="preserve">in parallelism </w:t>
      </w:r>
      <w:r w:rsidR="0059226B">
        <w:t>of other nations suffering at</w:t>
      </w:r>
      <w:r w:rsidR="00C7329D">
        <w:t xml:space="preserve"> Yahweh’s hand (e.g., Isa</w:t>
      </w:r>
      <w:r w:rsidR="007724EA">
        <w:t>.</w:t>
      </w:r>
      <w:r w:rsidR="00C7329D">
        <w:t xml:space="preserve"> 14:31; 15:</w:t>
      </w:r>
      <w:r w:rsidR="0059226B">
        <w:t>3</w:t>
      </w:r>
      <w:r w:rsidR="00C7329D">
        <w:t>; Jer</w:t>
      </w:r>
      <w:r w:rsidR="007724EA">
        <w:t>.</w:t>
      </w:r>
      <w:r w:rsidR="00C7329D">
        <w:t xml:space="preserve"> 47:2</w:t>
      </w:r>
      <w:r w:rsidR="0059226B">
        <w:t xml:space="preserve">). </w:t>
      </w:r>
      <w:r w:rsidR="00C7329D">
        <w:t>While crying out and wailing is</w:t>
      </w:r>
      <w:r w:rsidR="007724EA">
        <w:t xml:space="preserve"> quite appropriate, it</w:t>
      </w:r>
      <w:r>
        <w:t xml:space="preserve"> do</w:t>
      </w:r>
      <w:r w:rsidR="007724EA">
        <w:t>es</w:t>
      </w:r>
      <w:r>
        <w:t>n’t constitute</w:t>
      </w:r>
      <w:r w:rsidR="00F33342">
        <w:t xml:space="preserve"> turning to Yahweh as the one who struck them. </w:t>
      </w:r>
      <w:r w:rsidR="00C7329D">
        <w:t>Further, t</w:t>
      </w:r>
      <w:r>
        <w:t>he heart and the bed suggest</w:t>
      </w:r>
      <w:r w:rsidR="00152575">
        <w:t xml:space="preserve"> their response</w:t>
      </w:r>
      <w:r w:rsidR="00C7329D">
        <w:t xml:space="preserve"> in private.</w:t>
      </w:r>
      <w:r w:rsidR="00C7329D">
        <w:rPr>
          <w:rStyle w:val="FootnoteReference"/>
        </w:rPr>
        <w:footnoteReference w:id="334"/>
      </w:r>
      <w:r w:rsidR="00C7329D">
        <w:t xml:space="preserve"> In public,</w:t>
      </w:r>
      <w:r w:rsidR="00F33342">
        <w:t xml:space="preserve"> </w:t>
      </w:r>
      <w:r w:rsidR="004A53CC">
        <w:t xml:space="preserve">(v. 14b) </w:t>
      </w:r>
      <w:r w:rsidR="00F33342">
        <w:t>they co</w:t>
      </w:r>
      <w:r w:rsidR="00152575">
        <w:t>nsole themselves with drink,</w:t>
      </w:r>
      <w:r>
        <w:t xml:space="preserve"> </w:t>
      </w:r>
      <w:r w:rsidR="00F33342">
        <w:t>rage at their misfortun</w:t>
      </w:r>
      <w:r>
        <w:t>e</w:t>
      </w:r>
      <w:r w:rsidR="00152575">
        <w:t>,</w:t>
      </w:r>
      <w:r>
        <w:t xml:space="preserve"> and continue to resist</w:t>
      </w:r>
      <w:r w:rsidR="00F33342">
        <w:t xml:space="preserve"> Yahweh. </w:t>
      </w:r>
    </w:p>
    <w:p w:rsidR="00AB64D9" w:rsidRDefault="00AB64D9" w:rsidP="004A7C09">
      <w:r>
        <w:t>Yahweh</w:t>
      </w:r>
      <w:r w:rsidR="00152575">
        <w:t>’s further reference to discipline (v. 15) makes more expl</w:t>
      </w:r>
      <w:r w:rsidR="00964952">
        <w:t xml:space="preserve">icit that their snaring </w:t>
      </w:r>
      <w:r w:rsidR="00152575">
        <w:t xml:space="preserve">and even </w:t>
      </w:r>
      <w:r>
        <w:t>the</w:t>
      </w:r>
      <w:r w:rsidR="00152575">
        <w:t>ir</w:t>
      </w:r>
      <w:r>
        <w:t xml:space="preserve"> destructio</w:t>
      </w:r>
      <w:r w:rsidR="00152575">
        <w:t>n (v</w:t>
      </w:r>
      <w:r w:rsidR="00964952">
        <w:t>v. 12-</w:t>
      </w:r>
      <w:r w:rsidR="00152575">
        <w:t>13) were</w:t>
      </w:r>
      <w:r>
        <w:t xml:space="preserve"> de</w:t>
      </w:r>
      <w:r w:rsidR="00152575">
        <w:t xml:space="preserve">signed </w:t>
      </w:r>
      <w:r w:rsidR="009B42E1">
        <w:t xml:space="preserve">towards </w:t>
      </w:r>
      <w:r w:rsidR="00152575">
        <w:t>a positive end</w:t>
      </w:r>
      <w:r w:rsidR="00964952">
        <w:t xml:space="preserve">. </w:t>
      </w:r>
      <w:r w:rsidR="00152575">
        <w:t xml:space="preserve">Any </w:t>
      </w:r>
      <w:r>
        <w:t>discipl</w:t>
      </w:r>
      <w:r w:rsidR="00152575">
        <w:t>ine is designed to strengthen, b</w:t>
      </w:r>
      <w:r>
        <w:t>ut they responded t</w:t>
      </w:r>
      <w:r w:rsidR="00A24F49">
        <w:t>o it by think</w:t>
      </w:r>
      <w:r w:rsidR="00152575">
        <w:t>ing</w:t>
      </w:r>
      <w:r w:rsidR="00A24F49">
        <w:t xml:space="preserve"> up som</w:t>
      </w:r>
      <w:r w:rsidR="00152575">
        <w:t>ething bad</w:t>
      </w:r>
      <w:r w:rsidR="00A24F49">
        <w:t>. T</w:t>
      </w:r>
      <w:r>
        <w:t xml:space="preserve">hat </w:t>
      </w:r>
      <w:r w:rsidR="00A24F49">
        <w:t>expression would usually suggest devising</w:t>
      </w:r>
      <w:r>
        <w:t xml:space="preserve"> </w:t>
      </w:r>
      <w:r w:rsidR="00A24F49">
        <w:t>harm, which is odd when Yahweh is the victim (</w:t>
      </w:r>
      <w:r>
        <w:t>Nah</w:t>
      </w:r>
      <w:r w:rsidR="00152575">
        <w:t>.</w:t>
      </w:r>
      <w:r>
        <w:t xml:space="preserve"> 1:11</w:t>
      </w:r>
      <w:r w:rsidR="00A24F49">
        <w:t xml:space="preserve"> is the nearest parallel); more likely the idea is that they have been attributing bad intentions or incompetence to Yahweh (cf. v. 13).</w:t>
      </w:r>
    </w:p>
    <w:p w:rsidR="00C326FF" w:rsidRPr="004A3907" w:rsidRDefault="00152575" w:rsidP="004A7C09">
      <w:r>
        <w:t>If they’</w:t>
      </w:r>
      <w:r w:rsidR="00A24F49">
        <w:t xml:space="preserve">re doing </w:t>
      </w:r>
      <w:r w:rsidR="00225D15">
        <w:t>any returning (v. 16), it’</w:t>
      </w:r>
      <w:r w:rsidR="002D7F6F">
        <w:t>s not to the One on High</w:t>
      </w:r>
      <w:r w:rsidR="00225D15">
        <w:t xml:space="preserve"> but to the Master, who is not on high (‘</w:t>
      </w:r>
      <w:r w:rsidR="00225D15" w:rsidRPr="00225D15">
        <w:rPr>
          <w:i/>
        </w:rPr>
        <w:t>al</w:t>
      </w:r>
      <w:r w:rsidR="00225D15">
        <w:t>) despite his name (</w:t>
      </w:r>
      <w:r w:rsidR="00225D15">
        <w:rPr>
          <w:i/>
        </w:rPr>
        <w:t>ba‘al</w:t>
      </w:r>
      <w:r w:rsidR="00225D15">
        <w:t>)</w:t>
      </w:r>
      <w:r w:rsidR="002D7F6F">
        <w:t>. They’ve been like a bow that lets the archer down. The final judgment is that their officers</w:t>
      </w:r>
      <w:r w:rsidR="00225D15">
        <w:t xml:space="preserve"> will fall by the sword, because</w:t>
      </w:r>
      <w:r w:rsidR="00C602C8">
        <w:t xml:space="preserve"> t</w:t>
      </w:r>
      <w:r w:rsidR="00C602C8" w:rsidRPr="00C602C8">
        <w:t xml:space="preserve">heir tongue has </w:t>
      </w:r>
      <w:r w:rsidR="00C602C8">
        <w:t xml:space="preserve">rejected and </w:t>
      </w:r>
      <w:r w:rsidR="00C602C8" w:rsidRPr="00C602C8">
        <w:t>condemne</w:t>
      </w:r>
      <w:r w:rsidR="00C602C8">
        <w:t>d prophets such as Hosea (cf. 6:5</w:t>
      </w:r>
      <w:r w:rsidR="00C602C8" w:rsidRPr="00C602C8">
        <w:t>)</w:t>
      </w:r>
      <w:r w:rsidR="00C602C8">
        <w:t>.</w:t>
      </w:r>
      <w:r w:rsidR="00C602C8">
        <w:rPr>
          <w:rStyle w:val="FootnoteReference"/>
        </w:rPr>
        <w:footnoteReference w:id="335"/>
      </w:r>
      <w:r w:rsidR="00C602C8">
        <w:t xml:space="preserve"> T</w:t>
      </w:r>
      <w:r w:rsidR="002E7571">
        <w:t>oing and froing between the regional powers</w:t>
      </w:r>
      <w:r w:rsidR="00225D15">
        <w:t xml:space="preserve"> will </w:t>
      </w:r>
      <w:r w:rsidR="002D7F6F">
        <w:t>cost them their life</w:t>
      </w:r>
      <w:r w:rsidR="002E7571">
        <w:t>: see</w:t>
      </w:r>
      <w:r w:rsidR="00225D15">
        <w:t xml:space="preserve"> 2 K</w:t>
      </w:r>
      <w:r w:rsidR="002E7571">
        <w:t>in</w:t>
      </w:r>
      <w:r w:rsidR="00225D15">
        <w:t>gs 17:3-6</w:t>
      </w:r>
      <w:r>
        <w:t xml:space="preserve"> (that</w:t>
      </w:r>
      <w:r w:rsidR="00C6344D">
        <w:t xml:space="preserve"> passage</w:t>
      </w:r>
      <w:r>
        <w:t xml:space="preserve"> doesn’</w:t>
      </w:r>
      <w:r w:rsidR="00225D15">
        <w:t>t refer to execution</w:t>
      </w:r>
      <w:r w:rsidR="00C6344D">
        <w:t>,</w:t>
      </w:r>
      <w:r w:rsidR="002E7571">
        <w:t xml:space="preserve"> but anyway </w:t>
      </w:r>
      <w:r w:rsidR="003A4588">
        <w:t xml:space="preserve">Hosea will </w:t>
      </w:r>
      <w:r w:rsidR="002E7571">
        <w:t xml:space="preserve">again </w:t>
      </w:r>
      <w:r w:rsidR="003A4588">
        <w:t>assume that Yahweh rather than Assyria or Egypt is the real executioner</w:t>
      </w:r>
      <w:r w:rsidR="00C6344D">
        <w:t>)</w:t>
      </w:r>
      <w:r w:rsidR="002D7F6F">
        <w:t>.</w:t>
      </w:r>
      <w:r w:rsidR="001A032D">
        <w:t xml:space="preserve"> </w:t>
      </w:r>
      <w:r w:rsidR="00D35738">
        <w:t>While the Ephraimites’</w:t>
      </w:r>
      <w:r w:rsidR="002E7571">
        <w:t xml:space="preserve"> mocking might then mean the</w:t>
      </w:r>
      <w:r w:rsidR="00D35738">
        <w:t xml:space="preserve">ir mocking </w:t>
      </w:r>
      <w:r w:rsidR="002E7571">
        <w:t>by</w:t>
      </w:r>
      <w:r w:rsidR="001A032D">
        <w:t xml:space="preserve"> the Eg</w:t>
      </w:r>
      <w:r w:rsidR="002E7571">
        <w:t>yptians for the</w:t>
      </w:r>
      <w:r>
        <w:t>ir stupid</w:t>
      </w:r>
      <w:r w:rsidR="002E7571">
        <w:t xml:space="preserve"> policies, the p</w:t>
      </w:r>
      <w:r>
        <w:t>arallelism suggests</w:t>
      </w:r>
      <w:r w:rsidR="00D35738">
        <w:t xml:space="preserve"> </w:t>
      </w:r>
      <w:r w:rsidR="002E7571">
        <w:t xml:space="preserve">their </w:t>
      </w:r>
      <w:r w:rsidR="00D35738">
        <w:t xml:space="preserve">own </w:t>
      </w:r>
      <w:r w:rsidR="002E7571">
        <w:t xml:space="preserve">mocking </w:t>
      </w:r>
      <w:r w:rsidR="00D35738">
        <w:t>of Yahweh and his policy expectations of them (cf. Isa</w:t>
      </w:r>
      <w:r>
        <w:t>.</w:t>
      </w:r>
      <w:r w:rsidR="00D35738">
        <w:t xml:space="preserve"> 5:19-20).</w:t>
      </w:r>
    </w:p>
    <w:p w:rsidR="001920FA" w:rsidRDefault="001920FA" w:rsidP="001D3546">
      <w:pPr>
        <w:pStyle w:val="Heading2"/>
      </w:pPr>
      <w:r>
        <w:t>Theological Implications</w:t>
      </w:r>
      <w:r w:rsidR="007E35BD">
        <w:t xml:space="preserve"> </w:t>
      </w:r>
    </w:p>
    <w:p w:rsidR="00603CC3" w:rsidRPr="00603CC3" w:rsidRDefault="00603CC3" w:rsidP="009652A7">
      <w:pPr>
        <w:pStyle w:val="ListParagraph"/>
        <w:numPr>
          <w:ilvl w:val="0"/>
          <w:numId w:val="7"/>
        </w:numPr>
        <w:ind w:left="360"/>
      </w:pPr>
      <w:r w:rsidRPr="00603CC3">
        <w:t xml:space="preserve">God </w:t>
      </w:r>
      <w:r>
        <w:t>is one who has to think through</w:t>
      </w:r>
      <w:r w:rsidRPr="00603CC3">
        <w:t xml:space="preserve"> hard questions </w:t>
      </w:r>
      <w:r>
        <w:t xml:space="preserve">(“What </w:t>
      </w:r>
      <w:r w:rsidR="001C19DD">
        <w:t>will</w:t>
      </w:r>
      <w:r>
        <w:t xml:space="preserve"> I do about you?”); </w:t>
      </w:r>
      <w:r w:rsidRPr="00603CC3">
        <w:t>Hosea 11 will take up the self-questioning again.</w:t>
      </w:r>
      <w:r w:rsidR="00152575">
        <w:t xml:space="preserve"> The questions </w:t>
      </w:r>
      <w:r>
        <w:t>reflect the</w:t>
      </w:r>
      <w:r w:rsidR="00F672E2">
        <w:t xml:space="preserve"> mystery of</w:t>
      </w:r>
      <w:r w:rsidRPr="00603CC3">
        <w:t xml:space="preserve"> the rebelliousness and unreliabilit</w:t>
      </w:r>
      <w:r w:rsidR="00F672E2">
        <w:t xml:space="preserve">y of the people of God </w:t>
      </w:r>
      <w:r w:rsidR="00F672E2" w:rsidRPr="00F672E2">
        <w:t>(cf. Is</w:t>
      </w:r>
      <w:r w:rsidR="00F672E2">
        <w:t>a</w:t>
      </w:r>
      <w:r w:rsidR="00152575">
        <w:t>.</w:t>
      </w:r>
      <w:r w:rsidR="00F672E2">
        <w:t xml:space="preserve"> 5:4) and of what can change it</w:t>
      </w:r>
      <w:r w:rsidR="00936830">
        <w:t xml:space="preserve"> (cf. </w:t>
      </w:r>
      <w:r w:rsidR="00A2785C">
        <w:t xml:space="preserve">Hos. </w:t>
      </w:r>
      <w:r w:rsidR="00936830">
        <w:t>8:5)</w:t>
      </w:r>
      <w:r w:rsidR="00F672E2">
        <w:t xml:space="preserve">. </w:t>
      </w:r>
      <w:r w:rsidR="000E30F7" w:rsidRPr="000E30F7">
        <w:t>God’s question in the context of what follows implies a recogni</w:t>
      </w:r>
      <w:r w:rsidR="00152575">
        <w:t>tion that punishing people doesn’</w:t>
      </w:r>
      <w:r w:rsidR="000E30F7" w:rsidRPr="000E30F7">
        <w:t>t get God anywhere (cf. Gen</w:t>
      </w:r>
      <w:r w:rsidR="00152575">
        <w:t>.</w:t>
      </w:r>
      <w:r w:rsidR="000E30F7" w:rsidRPr="000E30F7">
        <w:t xml:space="preserve"> 8:21). God’s further hard question is whether to respond to intransigence with ble</w:t>
      </w:r>
      <w:r w:rsidR="00152575">
        <w:t>ssing instead of punishment, which</w:t>
      </w:r>
      <w:r w:rsidR="00B75873">
        <w:t xml:space="preserve"> is hi</w:t>
      </w:r>
      <w:r w:rsidR="000E30F7" w:rsidRPr="000E30F7">
        <w:t>s resolve through Jeremiah</w:t>
      </w:r>
      <w:r w:rsidR="000E30F7">
        <w:t xml:space="preserve"> (Jer</w:t>
      </w:r>
      <w:r w:rsidR="00152575">
        <w:t>.</w:t>
      </w:r>
      <w:r w:rsidR="000E30F7">
        <w:t xml:space="preserve"> 31:31-34); but i</w:t>
      </w:r>
      <w:r w:rsidR="000E30F7" w:rsidRPr="000E30F7">
        <w:t xml:space="preserve">t doesn’t </w:t>
      </w:r>
      <w:r w:rsidR="000E30F7" w:rsidRPr="000E30F7">
        <w:lastRenderedPageBreak/>
        <w:t xml:space="preserve">seem to work either. </w:t>
      </w:r>
      <w:r w:rsidR="00BD4225" w:rsidRPr="00BD4225">
        <w:t>God’s grace may succeed only in bringing out wrongdoing, like God’s imperatives.</w:t>
      </w:r>
      <w:r w:rsidR="00BD4225">
        <w:t xml:space="preserve"> </w:t>
      </w:r>
      <w:r w:rsidR="000E30F7">
        <w:t>God</w:t>
      </w:r>
      <w:r w:rsidR="00E436F7">
        <w:t xml:space="preserve"> could redeem us</w:t>
      </w:r>
      <w:r w:rsidR="00F672E2">
        <w:t xml:space="preserve"> (Hos 7:7), but we may not be open to his redeeming us and there are limits to what he can force upon us</w:t>
      </w:r>
      <w:r w:rsidR="00E436F7">
        <w:t>.</w:t>
      </w:r>
      <w:r w:rsidR="00F672E2">
        <w:t xml:space="preserve"> He</w:t>
      </w:r>
      <w:r w:rsidR="00F672E2" w:rsidRPr="00F672E2">
        <w:t xml:space="preserve"> is “a father who laments his inability to help </w:t>
      </w:r>
      <w:r w:rsidR="00554EA2">
        <w:t>wayward sons</w:t>
      </w:r>
      <w:r w:rsidR="00F672E2" w:rsidRPr="00F672E2">
        <w:t>.”</w:t>
      </w:r>
      <w:r w:rsidR="00F672E2" w:rsidRPr="00F672E2">
        <w:rPr>
          <w:vertAlign w:val="superscript"/>
        </w:rPr>
        <w:footnoteReference w:id="336"/>
      </w:r>
      <w:r w:rsidR="00140876">
        <w:t xml:space="preserve"> One might compare Jesus’s addressing the community in his day as an </w:t>
      </w:r>
      <w:r w:rsidR="0035639F">
        <w:t>“</w:t>
      </w:r>
      <w:r w:rsidR="00140876">
        <w:t>unbelieving generation” and asking “</w:t>
      </w:r>
      <w:r w:rsidR="0035639F">
        <w:t xml:space="preserve">How long </w:t>
      </w:r>
      <w:r w:rsidR="001C19DD">
        <w:t>will</w:t>
      </w:r>
      <w:r w:rsidR="0035639F">
        <w:t xml:space="preserve"> I be with you? How long </w:t>
      </w:r>
      <w:r w:rsidR="001C19DD">
        <w:t>will</w:t>
      </w:r>
      <w:r w:rsidR="0035639F">
        <w:t xml:space="preserve"> I p</w:t>
      </w:r>
      <w:r w:rsidR="00140876">
        <w:t>ut up with you?” (Mark 9:19).</w:t>
      </w:r>
      <w:r w:rsidR="00635883">
        <w:t xml:space="preserve"> </w:t>
      </w:r>
    </w:p>
    <w:p w:rsidR="00F069D6" w:rsidRDefault="00F069D6" w:rsidP="009652A7">
      <w:pPr>
        <w:pStyle w:val="ListParagraph"/>
        <w:numPr>
          <w:ilvl w:val="0"/>
          <w:numId w:val="7"/>
        </w:numPr>
        <w:ind w:left="360"/>
      </w:pPr>
      <w:r>
        <w:t>Prayin</w:t>
      </w:r>
      <w:r w:rsidR="00A2785C">
        <w:t>g is a risky business. When protesting</w:t>
      </w:r>
      <w:r>
        <w:t xml:space="preserve"> to God about things that have happened, one hopes for sympathy and a positive response. But prayer is an expression of a true relationship in which there can be str</w:t>
      </w:r>
      <w:r w:rsidR="00E62F08">
        <w:t xml:space="preserve">aight talking by both sides. </w:t>
      </w:r>
      <w:r w:rsidR="00327762">
        <w:t>When we</w:t>
      </w:r>
      <w:r w:rsidR="00327762" w:rsidRPr="00327762">
        <w:t xml:space="preserve"> hope for a positive</w:t>
      </w:r>
      <w:r w:rsidR="00327762">
        <w:t xml:space="preserve"> response, we may</w:t>
      </w:r>
      <w:r w:rsidR="00E62F08">
        <w:t xml:space="preserve"> get a snorting one (cf. </w:t>
      </w:r>
      <w:r w:rsidR="00E62F08" w:rsidRPr="00E62F08">
        <w:t>Isa</w:t>
      </w:r>
      <w:r w:rsidR="00F66CD7">
        <w:t>.</w:t>
      </w:r>
      <w:r w:rsidR="00E62F08" w:rsidRPr="00E62F08">
        <w:t xml:space="preserve"> 42:18-25; 43:22-28</w:t>
      </w:r>
      <w:r w:rsidR="0035639F">
        <w:t>; Matt</w:t>
      </w:r>
      <w:r w:rsidR="00F66CD7">
        <w:t>.</w:t>
      </w:r>
      <w:r w:rsidR="0035639F">
        <w:t xml:space="preserve"> 15:21-28</w:t>
      </w:r>
      <w:r w:rsidR="00E62F08">
        <w:t>).</w:t>
      </w:r>
      <w:r w:rsidR="00635883">
        <w:t xml:space="preserve"> </w:t>
      </w:r>
    </w:p>
    <w:p w:rsidR="00921358" w:rsidRDefault="00E62F08" w:rsidP="009652A7">
      <w:pPr>
        <w:pStyle w:val="ListParagraph"/>
        <w:numPr>
          <w:ilvl w:val="0"/>
          <w:numId w:val="7"/>
        </w:numPr>
        <w:ind w:left="360"/>
      </w:pPr>
      <w:r>
        <w:t>God’s snorting respons</w:t>
      </w:r>
      <w:r w:rsidR="00AE2B85">
        <w:t xml:space="preserve">e </w:t>
      </w:r>
      <w:r w:rsidR="005B4562">
        <w:t xml:space="preserve">may begin with a </w:t>
      </w:r>
      <w:r w:rsidR="00A2785C">
        <w:t>protest that we’</w:t>
      </w:r>
      <w:r>
        <w:t>re not committed in a long term way to one a</w:t>
      </w:r>
      <w:r w:rsidR="005B4562">
        <w:t>nother</w:t>
      </w:r>
      <w:r>
        <w:t xml:space="preserve">; we don’t keep </w:t>
      </w:r>
      <w:r w:rsidR="005B4562">
        <w:t>our word to one another</w:t>
      </w:r>
      <w:r>
        <w:t>; our feet hav</w:t>
      </w:r>
      <w:r w:rsidR="005B4562">
        <w:t>e trailed in blood.</w:t>
      </w:r>
      <w:r w:rsidR="00AE2B85">
        <w:t xml:space="preserve"> </w:t>
      </w:r>
      <w:r w:rsidR="00603CC3">
        <w:t>“Faith by itself cannot please God, since it cannot even exist without love to our neighbour.”</w:t>
      </w:r>
      <w:r w:rsidR="00603CC3">
        <w:rPr>
          <w:rStyle w:val="FootnoteReference"/>
        </w:rPr>
        <w:footnoteReference w:id="337"/>
      </w:r>
      <w:r w:rsidR="00603CC3">
        <w:t xml:space="preserve"> </w:t>
      </w:r>
    </w:p>
    <w:p w:rsidR="00603CC3" w:rsidRDefault="00A2785C" w:rsidP="009652A7">
      <w:pPr>
        <w:pStyle w:val="ListParagraph"/>
        <w:numPr>
          <w:ilvl w:val="0"/>
          <w:numId w:val="7"/>
        </w:numPr>
        <w:ind w:left="360"/>
      </w:pPr>
      <w:r>
        <w:t>The leaders</w:t>
      </w:r>
      <w:r w:rsidR="00603CC3">
        <w:t xml:space="preserve"> of the people of God commonly take the lead in wrongdoing, being convinced that they know what needs to happen and </w:t>
      </w:r>
      <w:r w:rsidR="00723641">
        <w:t>believing that they have responsibility to take the right action. Yet what they do may be a deliberately planned atrocity.</w:t>
      </w:r>
      <w:r w:rsidR="0035639F">
        <w:t xml:space="preserve"> The execution of Jesus is the great example.</w:t>
      </w:r>
    </w:p>
    <w:p w:rsidR="00550DEA" w:rsidRDefault="00550DEA" w:rsidP="009652A7">
      <w:pPr>
        <w:pStyle w:val="ListParagraph"/>
        <w:numPr>
          <w:ilvl w:val="0"/>
          <w:numId w:val="7"/>
        </w:numPr>
        <w:ind w:left="360"/>
      </w:pPr>
      <w:r>
        <w:t xml:space="preserve">This </w:t>
      </w:r>
      <w:r w:rsidR="0035639F">
        <w:t xml:space="preserve">leadership in wrongdoing </w:t>
      </w:r>
      <w:r>
        <w:t>particular</w:t>
      </w:r>
      <w:r w:rsidR="0035639F">
        <w:t>ly expresses itself in</w:t>
      </w:r>
      <w:r>
        <w:t xml:space="preserve"> internal and external political policies. While sometimes God commiss</w:t>
      </w:r>
      <w:r w:rsidR="00A2785C">
        <w:t xml:space="preserve">ions coups, more often </w:t>
      </w:r>
      <w:r>
        <w:t xml:space="preserve">they issue from human initiatives that God is not behind. </w:t>
      </w:r>
      <w:r w:rsidR="0032624A">
        <w:t>Likewise</w:t>
      </w:r>
      <w:r w:rsidR="00A2785C">
        <w:t>,</w:t>
      </w:r>
      <w:r w:rsidR="0032624A">
        <w:t xml:space="preserve"> seeking help from other groups or making alliances with them compromises trust in God and con</w:t>
      </w:r>
      <w:r w:rsidR="00A2785C">
        <w:t>stitutes whoring or adultery that</w:t>
      </w:r>
      <w:r w:rsidR="0032624A">
        <w:t xml:space="preserve"> brings defilement (cf. 2 Cor</w:t>
      </w:r>
      <w:r w:rsidR="00A2785C">
        <w:t>.</w:t>
      </w:r>
      <w:r w:rsidR="0032624A">
        <w:t xml:space="preserve"> 6:14—7:1).</w:t>
      </w:r>
      <w:r w:rsidR="00BD4225">
        <w:t xml:space="preserve"> Hosea’s declarations are paralleled by the prophecies about other nat</w:t>
      </w:r>
      <w:r w:rsidR="00A2785C">
        <w:t xml:space="preserve">ions </w:t>
      </w:r>
      <w:r w:rsidR="00BD4225">
        <w:t>in other prophetic books (e.g., Isa</w:t>
      </w:r>
      <w:r w:rsidR="00A2785C">
        <w:t>.</w:t>
      </w:r>
      <w:r w:rsidR="00BD4225">
        <w:t xml:space="preserve"> 13—23) and are designed in part to warn Israel off from alliances with other nations.</w:t>
      </w:r>
      <w:r w:rsidR="00A77B72">
        <w:t xml:space="preserve"> “Hosea’s politic</w:t>
      </w:r>
      <w:r w:rsidR="005C6415">
        <w:t>al theology is absolutely clear: Allegiance to YHWH involves no allegiance to international powers. Yet such an international policy was utterly impractical.”</w:t>
      </w:r>
      <w:r w:rsidR="005C6415" w:rsidRPr="005C6415">
        <w:rPr>
          <w:vertAlign w:val="superscript"/>
        </w:rPr>
        <w:footnoteReference w:id="338"/>
      </w:r>
      <w:r w:rsidR="005C6415">
        <w:t xml:space="preserve"> Tough.</w:t>
      </w:r>
    </w:p>
    <w:p w:rsidR="005B4562" w:rsidRDefault="0035639F" w:rsidP="009652A7">
      <w:pPr>
        <w:pStyle w:val="ListParagraph"/>
        <w:numPr>
          <w:ilvl w:val="0"/>
          <w:numId w:val="7"/>
        </w:numPr>
        <w:ind w:left="360"/>
      </w:pPr>
      <w:r>
        <w:t xml:space="preserve">God’s response </w:t>
      </w:r>
      <w:r w:rsidR="005B4562" w:rsidRPr="005B4562">
        <w:t xml:space="preserve">may </w:t>
      </w:r>
      <w:r w:rsidR="005B4562">
        <w:t xml:space="preserve">also </w:t>
      </w:r>
      <w:r>
        <w:t xml:space="preserve">be a </w:t>
      </w:r>
      <w:r w:rsidR="005B4562">
        <w:t>protest that in failing in our commitment to one another, we don’t acknowledge him; we don’t keep covenant</w:t>
      </w:r>
      <w:r w:rsidR="000332A5">
        <w:t xml:space="preserve"> with him</w:t>
      </w:r>
      <w:r w:rsidR="005B4562">
        <w:t>; we’ve broken faith</w:t>
      </w:r>
      <w:r w:rsidR="000332A5">
        <w:t xml:space="preserve"> with him</w:t>
      </w:r>
      <w:r w:rsidR="00723641">
        <w:t>; our response to his restoring our blessing may be to seize the chance to be more wayward; we may not think se</w:t>
      </w:r>
      <w:r w:rsidR="00A2785C">
        <w:t>riously about the fact that he’s looking hard at what we’</w:t>
      </w:r>
      <w:r w:rsidR="00723641">
        <w:t xml:space="preserve">re doing; </w:t>
      </w:r>
      <w:r w:rsidR="0032624A">
        <w:t>we don’t call to him; we don’t come back to him; we don’t seek help from him</w:t>
      </w:r>
      <w:r w:rsidR="00F672E2">
        <w:t>; we’ve fled from him; we’ve rebelled against him; we lie about him; we’ve lamented our situation but we haven’t cried out to him; we go bac</w:t>
      </w:r>
      <w:r w:rsidR="000332A5">
        <w:t>k to resources that are not God. There’</w:t>
      </w:r>
      <w:r w:rsidR="00603CC3">
        <w:t>s a pattern about the failure of the people of God; one can see the same dynami</w:t>
      </w:r>
      <w:r w:rsidR="000332A5">
        <w:t>cs recurring over the centuries (cf.</w:t>
      </w:r>
      <w:r w:rsidR="000332A5" w:rsidRPr="000332A5">
        <w:t xml:space="preserve"> 1 Cor</w:t>
      </w:r>
      <w:r w:rsidR="00A2785C">
        <w:t>.</w:t>
      </w:r>
      <w:r w:rsidR="000332A5" w:rsidRPr="000332A5">
        <w:t xml:space="preserve"> 10:1-11).</w:t>
      </w:r>
    </w:p>
    <w:p w:rsidR="00BD4225" w:rsidRDefault="000332A5" w:rsidP="009652A7">
      <w:pPr>
        <w:pStyle w:val="ListParagraph"/>
        <w:numPr>
          <w:ilvl w:val="0"/>
          <w:numId w:val="7"/>
        </w:numPr>
        <w:ind w:left="360"/>
      </w:pPr>
      <w:r>
        <w:t>God’</w:t>
      </w:r>
      <w:r w:rsidR="005B4562">
        <w:t xml:space="preserve">s response may also protest our </w:t>
      </w:r>
      <w:r w:rsidR="0032624A">
        <w:t>stupidity in ourselves. We don’t face the facts about the results of our actions. Our standing is compromised and/or our pride testifies against us. We are as sill</w:t>
      </w:r>
      <w:r>
        <w:t>y</w:t>
      </w:r>
      <w:r w:rsidR="0032624A">
        <w:t xml:space="preserve"> as a pigeon.</w:t>
      </w:r>
      <w:r w:rsidR="00BD4225">
        <w:t xml:space="preserve"> Thieves, plotters, and other wrongdoers</w:t>
      </w:r>
      <w:r w:rsidR="00BD4225" w:rsidRPr="007E35BD">
        <w:t xml:space="preserve"> are like stupid people who tell themselves that God is not around (Ps</w:t>
      </w:r>
      <w:r w:rsidR="00A2785C">
        <w:t>.</w:t>
      </w:r>
      <w:r w:rsidR="00BD4225" w:rsidRPr="007E35BD">
        <w:t xml:space="preserve"> 14:1).</w:t>
      </w:r>
      <w:r w:rsidR="00BD4225">
        <w:t xml:space="preserve"> People “imagine that he is, as it were, sleeping in heaven.”</w:t>
      </w:r>
      <w:r w:rsidR="00BD4225">
        <w:rPr>
          <w:rStyle w:val="FootnoteReference"/>
        </w:rPr>
        <w:footnoteReference w:id="339"/>
      </w:r>
      <w:r w:rsidR="00D92E4B">
        <w:t xml:space="preserve"> We may seek to deceive other people and ourselves and we may succeed but we will not succeed in deceiving God (</w:t>
      </w:r>
      <w:r w:rsidR="00A2785C">
        <w:t xml:space="preserve">Hos. </w:t>
      </w:r>
      <w:r w:rsidR="00D92E4B">
        <w:t>7:13).</w:t>
      </w:r>
    </w:p>
    <w:p w:rsidR="00C602C8" w:rsidRDefault="00603CC3" w:rsidP="009652A7">
      <w:pPr>
        <w:pStyle w:val="ListParagraph"/>
        <w:numPr>
          <w:ilvl w:val="0"/>
          <w:numId w:val="7"/>
        </w:numPr>
        <w:ind w:left="360"/>
      </w:pPr>
      <w:r>
        <w:t>Our lifestyle therefore brings consequences.</w:t>
      </w:r>
      <w:r w:rsidR="00723641">
        <w:t xml:space="preserve"> God has set a harvest for his people. Our deeds may surround us.</w:t>
      </w:r>
      <w:r w:rsidR="000332A5">
        <w:t xml:space="preserve"> </w:t>
      </w:r>
      <w:r w:rsidR="00C602C8">
        <w:t>God asse</w:t>
      </w:r>
      <w:r w:rsidR="000332A5">
        <w:t>rts responsibility for what happens to his people: he</w:t>
      </w:r>
      <w:r w:rsidR="00C602C8">
        <w:t xml:space="preserve"> cut</w:t>
      </w:r>
      <w:r w:rsidR="000332A5">
        <w:t>s them down, he slaughters them. He uses agents such as prophets and imperial powers</w:t>
      </w:r>
      <w:r w:rsidR="00C602C8">
        <w:t>. But he clams responsibility.</w:t>
      </w:r>
      <w:r w:rsidR="000332A5">
        <w:t xml:space="preserve"> W</w:t>
      </w:r>
      <w:r w:rsidR="0032624A">
        <w:t xml:space="preserve">e get caught by the agencies that we think will be our resources, </w:t>
      </w:r>
      <w:r w:rsidR="000332A5">
        <w:t xml:space="preserve">but </w:t>
      </w:r>
      <w:r w:rsidR="0032624A">
        <w:t>the o</w:t>
      </w:r>
      <w:r w:rsidR="000332A5">
        <w:t>ne who really catches us is God (cf. Matt</w:t>
      </w:r>
      <w:r w:rsidR="00A2785C">
        <w:t xml:space="preserve">. </w:t>
      </w:r>
      <w:r w:rsidR="000332A5">
        <w:t>21:33-41).</w:t>
      </w:r>
    </w:p>
    <w:p w:rsidR="00C602C8" w:rsidRDefault="00C602C8" w:rsidP="009652A7">
      <w:pPr>
        <w:pStyle w:val="ListParagraph"/>
        <w:numPr>
          <w:ilvl w:val="0"/>
          <w:numId w:val="7"/>
        </w:numPr>
        <w:ind w:left="360"/>
      </w:pPr>
      <w:r>
        <w:lastRenderedPageBreak/>
        <w:t>But God describes his punishment “not as the ultimate but as the penultimate judgment.”</w:t>
      </w:r>
      <w:r>
        <w:rPr>
          <w:rStyle w:val="FootnoteReference"/>
        </w:rPr>
        <w:footnoteReference w:id="340"/>
      </w:r>
      <w:r w:rsidR="00A2785C">
        <w:t xml:space="preserve"> It’</w:t>
      </w:r>
      <w:r w:rsidR="000332A5">
        <w:t>s disciplinary (cf. John 15:1-2).</w:t>
      </w:r>
      <w:r w:rsidR="00BD4225">
        <w:t xml:space="preserve"> And God does r</w:t>
      </w:r>
      <w:r w:rsidR="00BD4225" w:rsidRPr="00C96220">
        <w:t>estor</w:t>
      </w:r>
      <w:r w:rsidR="00A2785C">
        <w:t>e and heal. T</w:t>
      </w:r>
      <w:r w:rsidR="00BD4225">
        <w:t>his restoring and healing</w:t>
      </w:r>
      <w:r w:rsidR="00A2785C">
        <w:t xml:space="preserve"> is not a response to </w:t>
      </w:r>
      <w:r w:rsidR="00BD4225" w:rsidRPr="00C96220">
        <w:t>pe</w:t>
      </w:r>
      <w:r w:rsidR="00BD4225">
        <w:t>ople’s turning ba</w:t>
      </w:r>
      <w:r w:rsidR="00B75873">
        <w:t>ck to him</w:t>
      </w:r>
      <w:r w:rsidR="00BD4225">
        <w:t>. I</w:t>
      </w:r>
      <w:r w:rsidR="00BD4225" w:rsidRPr="00C96220">
        <w:t>t comes first</w:t>
      </w:r>
      <w:r w:rsidR="00BD4225">
        <w:t>. But i</w:t>
      </w:r>
      <w:r w:rsidR="00A2785C">
        <w:t>t then requires a response. It’</w:t>
      </w:r>
      <w:r w:rsidR="00BD4225">
        <w:t>s not possible to say, “Let’s continue in sin, so that grace may increase” (Rom</w:t>
      </w:r>
      <w:r w:rsidR="00A2785C">
        <w:t>. 6:1). Making</w:t>
      </w:r>
      <w:r w:rsidR="00BD4225">
        <w:t xml:space="preserve"> that su</w:t>
      </w:r>
      <w:r w:rsidR="00A2785C">
        <w:t>ggestion indicates that we haven’</w:t>
      </w:r>
      <w:r w:rsidR="00BD4225">
        <w:t>t under</w:t>
      </w:r>
      <w:r w:rsidR="00A2785C">
        <w:t xml:space="preserve">stood at all the object and </w:t>
      </w:r>
      <w:r w:rsidR="00BD4225">
        <w:t>nature of God’s redeeming activity.</w:t>
      </w:r>
    </w:p>
    <w:p w:rsidR="00D92E4B" w:rsidRDefault="00D92E4B" w:rsidP="009652A7">
      <w:pPr>
        <w:pStyle w:val="ListParagraph"/>
        <w:numPr>
          <w:ilvl w:val="0"/>
          <w:numId w:val="7"/>
        </w:numPr>
        <w:ind w:left="360"/>
      </w:pPr>
      <w:r>
        <w:t>Although God’s assessment of his people in different places and times may be similar, he may treat them differently (cf. Rom</w:t>
      </w:r>
      <w:r w:rsidR="00A2785C">
        <w:t>.</w:t>
      </w:r>
      <w:r>
        <w:t xml:space="preserve"> 9:6-26, which ends up with quotations from Hosea 1—2). “The difference between Judah and Ephraim… is that of God’s hesitation, his alternative futures.”</w:t>
      </w:r>
      <w:r>
        <w:rPr>
          <w:rStyle w:val="FootnoteReference"/>
        </w:rPr>
        <w:footnoteReference w:id="341"/>
      </w:r>
    </w:p>
    <w:p w:rsidR="00A4122F" w:rsidRDefault="00890296" w:rsidP="009652A7">
      <w:pPr>
        <w:pStyle w:val="ListParagraph"/>
        <w:numPr>
          <w:ilvl w:val="0"/>
          <w:numId w:val="7"/>
        </w:numPr>
        <w:ind w:left="360"/>
      </w:pPr>
      <w:r>
        <w:t xml:space="preserve">Hosea’s declaration that </w:t>
      </w:r>
      <w:r w:rsidR="00A4122F">
        <w:t>God i</w:t>
      </w:r>
      <w:r w:rsidR="00D92E4B">
        <w:t xml:space="preserve">s more interested in </w:t>
      </w:r>
      <w:r w:rsidR="00A4122F" w:rsidRPr="00A4122F">
        <w:t xml:space="preserve">commitment to other people </w:t>
      </w:r>
      <w:r w:rsidR="00D92E4B">
        <w:t>and in acknowledgment</w:t>
      </w:r>
      <w:r w:rsidR="00A4122F">
        <w:t xml:space="preserve"> than in offerings</w:t>
      </w:r>
      <w:r>
        <w:t>, corresponds to Samuel’s declaration to Saul (1 Sam</w:t>
      </w:r>
      <w:r w:rsidR="00A2785C">
        <w:t>.</w:t>
      </w:r>
      <w:r>
        <w:t xml:space="preserve"> 15:22)</w:t>
      </w:r>
      <w:r w:rsidR="00A4122F" w:rsidRPr="00A4122F">
        <w:t xml:space="preserve">. </w:t>
      </w:r>
      <w:r w:rsidR="00D14925">
        <w:t>The principle that Samuel applies to Saul, Hosea appli</w:t>
      </w:r>
      <w:r w:rsidR="007B48C4">
        <w:t>es to the people as a whole.</w:t>
      </w:r>
      <w:r w:rsidR="00D14925">
        <w:t xml:space="preserve"> </w:t>
      </w:r>
      <w:r w:rsidR="000E30F7" w:rsidRPr="000E30F7">
        <w:t>Perhaps it is a well-known saying.</w:t>
      </w:r>
      <w:r w:rsidR="000E30F7" w:rsidRPr="000E30F7">
        <w:rPr>
          <w:vertAlign w:val="superscript"/>
        </w:rPr>
        <w:footnoteReference w:id="342"/>
      </w:r>
      <w:r w:rsidR="000E30F7" w:rsidRPr="000E30F7">
        <w:t xml:space="preserve"> For that matter, there is nothing disti</w:t>
      </w:r>
      <w:r w:rsidR="00A2785C">
        <w:t>nctively Israelite about the</w:t>
      </w:r>
      <w:r w:rsidR="000E30F7" w:rsidRPr="000E30F7">
        <w:t xml:space="preserve"> declaration. The Egyptian “Instruction for King Meri-ka-re” (line 129) asserts, “”More acceptable is the character of one upright of heart than the ox of the evildoer.”</w:t>
      </w:r>
      <w:r w:rsidR="000E30F7" w:rsidRPr="000E30F7">
        <w:rPr>
          <w:vertAlign w:val="superscript"/>
        </w:rPr>
        <w:footnoteReference w:id="343"/>
      </w:r>
      <w:r w:rsidR="000E30F7" w:rsidRPr="000E30F7">
        <w:t xml:space="preserve"> </w:t>
      </w:r>
      <w:r w:rsidR="00D14925">
        <w:t xml:space="preserve">Jesus </w:t>
      </w:r>
      <w:r w:rsidR="000E30F7">
        <w:t>applies Hosea’s words</w:t>
      </w:r>
      <w:r w:rsidR="007B48C4">
        <w:t xml:space="preserve"> </w:t>
      </w:r>
      <w:r w:rsidR="00D14925">
        <w:t>to people c</w:t>
      </w:r>
      <w:r w:rsidR="007B48C4">
        <w:t>ommitted to living by the Torah</w:t>
      </w:r>
      <w:r w:rsidR="00D14925">
        <w:t xml:space="preserve"> </w:t>
      </w:r>
      <w:r w:rsidR="007B48C4">
        <w:t>(</w:t>
      </w:r>
      <w:r w:rsidR="00D14925">
        <w:t>Matt</w:t>
      </w:r>
      <w:r w:rsidR="00A2785C">
        <w:t>.</w:t>
      </w:r>
      <w:r w:rsidR="00D14925">
        <w:t xml:space="preserve"> 9:13</w:t>
      </w:r>
      <w:r w:rsidR="001A77DD">
        <w:t>; 12:7</w:t>
      </w:r>
      <w:r w:rsidR="00D14925">
        <w:t xml:space="preserve">). </w:t>
      </w:r>
      <w:r w:rsidR="000E30F7">
        <w:t xml:space="preserve">The </w:t>
      </w:r>
      <w:r w:rsidR="007B48C4" w:rsidRPr="007B48C4">
        <w:t>Pharisees would have agreed</w:t>
      </w:r>
      <w:r w:rsidR="000E30F7">
        <w:t xml:space="preserve"> with the saying</w:t>
      </w:r>
      <w:r w:rsidR="007B48C4" w:rsidRPr="007B48C4">
        <w:t xml:space="preserve">; none of us are good at accepting the implications of the principles we recognize. </w:t>
      </w:r>
      <w:r w:rsidR="000E30F7">
        <w:t>There is something prophetic about the idea in the sense that it is a truth that we may not like and thus need to be re</w:t>
      </w:r>
      <w:r w:rsidR="00F66CD7">
        <w:t>minded of</w:t>
      </w:r>
      <w:r w:rsidR="000E30F7">
        <w:t>. Yet t</w:t>
      </w:r>
      <w:r w:rsidRPr="00890296">
        <w:t xml:space="preserve">here is nothing revolutionary </w:t>
      </w:r>
      <w:r>
        <w:t xml:space="preserve">about the idea. </w:t>
      </w:r>
      <w:r w:rsidR="006A53FE" w:rsidRPr="006A53FE">
        <w:t xml:space="preserve">Nowhere do the Torah or the Prophets give </w:t>
      </w:r>
      <w:r w:rsidR="00A4122F">
        <w:t xml:space="preserve">any other </w:t>
      </w:r>
      <w:r w:rsidR="006A53FE" w:rsidRPr="006A53FE">
        <w:t>impression</w:t>
      </w:r>
      <w:r w:rsidR="000E30F7">
        <w:t xml:space="preserve"> than the one declared by Hosea</w:t>
      </w:r>
      <w:r w:rsidR="00A4122F">
        <w:t>; Leviticus (the book that is biggest on offerings) stresses both</w:t>
      </w:r>
      <w:r w:rsidR="000E30F7">
        <w:t xml:space="preserve"> offerings and commitment</w:t>
      </w:r>
      <w:r w:rsidR="00A4122F">
        <w:t xml:space="preserve">, as do the Psalms. </w:t>
      </w:r>
    </w:p>
    <w:p w:rsidR="00F66CD7" w:rsidRDefault="00A2785C" w:rsidP="009652A7">
      <w:pPr>
        <w:pStyle w:val="ListParagraph"/>
        <w:numPr>
          <w:ilvl w:val="0"/>
          <w:numId w:val="7"/>
        </w:numPr>
        <w:ind w:left="360"/>
      </w:pPr>
      <w:r>
        <w:t xml:space="preserve">In his comments about sacrifice, </w:t>
      </w:r>
      <w:r w:rsidR="001A77DD">
        <w:t>Hosea is not making a statement of theological principle, either to rule out sac</w:t>
      </w:r>
      <w:r>
        <w:t xml:space="preserve">rifice </w:t>
      </w:r>
      <w:r w:rsidR="001A77DD">
        <w:t>or to declare that s</w:t>
      </w:r>
      <w:r>
        <w:t>acrifice is fine as long as it’</w:t>
      </w:r>
      <w:r w:rsidR="001A77DD">
        <w:t>s accompanied by com</w:t>
      </w:r>
      <w:r w:rsidR="000E30F7">
        <w:t>mitment</w:t>
      </w:r>
      <w:r>
        <w:t xml:space="preserve"> and acknowledgment. T</w:t>
      </w:r>
      <w:r w:rsidR="000E30F7">
        <w:t>o judge from his other sayings,</w:t>
      </w:r>
      <w:r>
        <w:t xml:space="preserve"> it’</w:t>
      </w:r>
      <w:r w:rsidR="001A77DD">
        <w:t>s difficult to imagine him thinkin</w:t>
      </w:r>
      <w:r w:rsidR="002F2D02">
        <w:t>g about (e.g.) turning to God</w:t>
      </w:r>
      <w:r w:rsidR="001A77DD">
        <w:t xml:space="preserve"> or see</w:t>
      </w:r>
      <w:r w:rsidR="002F2D02">
        <w:t>king help from God</w:t>
      </w:r>
      <w:r w:rsidR="001A77DD">
        <w:t xml:space="preserve"> without assuming that it</w:t>
      </w:r>
      <w:r w:rsidR="000E30F7">
        <w:t xml:space="preserve"> would involve sacrifice. But Hosea</w:t>
      </w:r>
      <w:r w:rsidR="001A77DD">
        <w:t xml:space="preserve"> would </w:t>
      </w:r>
      <w:r w:rsidR="000E30F7">
        <w:t xml:space="preserve">no doubt </w:t>
      </w:r>
      <w:r w:rsidR="001A77DD">
        <w:t xml:space="preserve">have scathing comments to make to </w:t>
      </w:r>
      <w:r w:rsidR="0081702C">
        <w:t>interpreters who focus</w:t>
      </w:r>
      <w:r w:rsidR="000E30F7">
        <w:t xml:space="preserve"> on the </w:t>
      </w:r>
      <w:r w:rsidR="001A77DD">
        <w:t xml:space="preserve">question </w:t>
      </w:r>
      <w:r w:rsidR="000E30F7">
        <w:t xml:space="preserve">about whether he is rejecting sacrifice in principle </w:t>
      </w:r>
      <w:r w:rsidR="0081702C">
        <w:t xml:space="preserve">and neglect </w:t>
      </w:r>
      <w:r w:rsidR="001A77DD">
        <w:t xml:space="preserve">the point he makes, </w:t>
      </w:r>
      <w:r w:rsidR="000E30F7">
        <w:t xml:space="preserve">scathing </w:t>
      </w:r>
      <w:r w:rsidR="001A77DD">
        <w:t>comments along the lines of “I want commitment not commentaries</w:t>
      </w:r>
      <w:r w:rsidR="001A77DD" w:rsidRPr="00567D4D">
        <w:t>, acknowledg</w:t>
      </w:r>
      <w:r w:rsidR="001A77DD">
        <w:t>ment of God rather than scholarly articles.”</w:t>
      </w:r>
    </w:p>
    <w:p w:rsidR="00336ADC" w:rsidRDefault="00336ADC" w:rsidP="009652A7">
      <w:pPr>
        <w:pStyle w:val="ListParagraph"/>
        <w:numPr>
          <w:ilvl w:val="0"/>
          <w:numId w:val="7"/>
        </w:numPr>
        <w:ind w:left="360"/>
      </w:pPr>
      <w:r>
        <w:t>God’s greater interest in commitment than in sacrifice would be good news in contexts where sacrific</w:t>
      </w:r>
      <w:r w:rsidR="00246DEE">
        <w:t>e was no longer possible,</w:t>
      </w:r>
      <w:r>
        <w:rPr>
          <w:rStyle w:val="FootnoteReference"/>
        </w:rPr>
        <w:footnoteReference w:id="344"/>
      </w:r>
      <w:r w:rsidR="00246DEE">
        <w:t xml:space="preserve"> which is the situation for Jews after 70 A.D.</w:t>
      </w:r>
      <w:r w:rsidR="00246DEE">
        <w:rPr>
          <w:rStyle w:val="FootnoteReference"/>
        </w:rPr>
        <w:footnoteReference w:id="345"/>
      </w:r>
    </w:p>
    <w:p w:rsidR="00A13109" w:rsidRDefault="00D92E4B" w:rsidP="009652A7">
      <w:pPr>
        <w:pStyle w:val="ListParagraph"/>
        <w:numPr>
          <w:ilvl w:val="0"/>
          <w:numId w:val="7"/>
        </w:numPr>
        <w:ind w:left="360"/>
      </w:pPr>
      <w:r>
        <w:t>While i</w:t>
      </w:r>
      <w:r w:rsidR="000E30F7">
        <w:t xml:space="preserve">nvolvement in worship is unacceptable </w:t>
      </w:r>
      <w:r>
        <w:t>if</w:t>
      </w:r>
      <w:r w:rsidR="000E30F7">
        <w:t xml:space="preserve"> not accompanied by mutual commitment</w:t>
      </w:r>
      <w:r w:rsidR="0066352C">
        <w:t>, conversely, a prophet faced with</w:t>
      </w:r>
      <w:r w:rsidR="000E30F7">
        <w:t xml:space="preserve"> people who stress the latter rather than the form</w:t>
      </w:r>
      <w:r>
        <w:t xml:space="preserve">er </w:t>
      </w:r>
      <w:r w:rsidR="00A13109">
        <w:t>would need to say</w:t>
      </w:r>
      <w:r>
        <w:t>,</w:t>
      </w:r>
      <w:r w:rsidR="00A13109">
        <w:t xml:space="preserve"> “A concern for justice isn’t enough; worship is also important; both love of neighbor and love of God.” </w:t>
      </w:r>
    </w:p>
    <w:p w:rsidR="00CB7C92" w:rsidRDefault="00CB7C92" w:rsidP="00EF7B98">
      <w:pPr>
        <w:pStyle w:val="Heading1"/>
      </w:pPr>
      <w:r>
        <w:lastRenderedPageBreak/>
        <w:t>Hosea 8:1-14</w:t>
      </w:r>
      <w:r w:rsidR="00235CF2">
        <w:t xml:space="preserve">: </w:t>
      </w:r>
      <w:r w:rsidR="002F7216">
        <w:t>H</w:t>
      </w:r>
      <w:r w:rsidR="00D02E8B">
        <w:t>orn to Your Mouth (</w:t>
      </w:r>
      <w:r w:rsidR="002F7216">
        <w:t>A</w:t>
      </w:r>
      <w:r w:rsidR="00606F07">
        <w:t xml:space="preserve"> Confrontation </w:t>
      </w:r>
      <w:r w:rsidR="00D02E8B">
        <w:t xml:space="preserve">about </w:t>
      </w:r>
      <w:r w:rsidR="00606F07">
        <w:t xml:space="preserve">Political </w:t>
      </w:r>
      <w:r w:rsidR="005B057C">
        <w:tab/>
      </w:r>
      <w:r w:rsidR="002F7216">
        <w:t>Initiatives</w:t>
      </w:r>
      <w:r w:rsidR="00D02E8B">
        <w:t>)</w:t>
      </w:r>
    </w:p>
    <w:p w:rsidR="00CB7C92" w:rsidRDefault="00CB7C92" w:rsidP="001D3546">
      <w:pPr>
        <w:pStyle w:val="Heading2"/>
      </w:pPr>
      <w:r>
        <w:t xml:space="preserve">Translation </w:t>
      </w:r>
    </w:p>
    <w:p w:rsidR="000E2923" w:rsidRDefault="00CB7C92" w:rsidP="00CB7C92">
      <w:r>
        <w:rPr>
          <w:vertAlign w:val="superscript"/>
        </w:rPr>
        <w:t>1</w:t>
      </w:r>
      <w:r>
        <w:t>Horn to your mouth</w:t>
      </w:r>
      <w:r w:rsidR="00DC40F7">
        <w:t>:</w:t>
      </w:r>
    </w:p>
    <w:p w:rsidR="00CB7C92" w:rsidRDefault="005D68F1" w:rsidP="00CB7C92">
      <w:r>
        <w:tab/>
        <w:t xml:space="preserve">a </w:t>
      </w:r>
      <w:r w:rsidR="000E2923">
        <w:t>veritable</w:t>
      </w:r>
      <w:r w:rsidR="008A0CC1" w:rsidRPr="008A0CC1">
        <w:rPr>
          <w:vertAlign w:val="superscript"/>
        </w:rPr>
        <w:footnoteReference w:id="346"/>
      </w:r>
      <w:r w:rsidR="000E2923">
        <w:t xml:space="preserve"> </w:t>
      </w:r>
      <w:r w:rsidR="00CB7C92">
        <w:t xml:space="preserve">eagle </w:t>
      </w:r>
      <w:r w:rsidR="00C57D07">
        <w:t xml:space="preserve">is </w:t>
      </w:r>
      <w:r w:rsidR="00CB7C92">
        <w:t>over Yahweh’s house</w:t>
      </w:r>
      <w:r w:rsidR="00DC40F7">
        <w:t>hold</w:t>
      </w:r>
      <w:r w:rsidR="00CB7C92">
        <w:t>!</w:t>
      </w:r>
      <w:r>
        <w:rPr>
          <w:rStyle w:val="FootnoteReference"/>
        </w:rPr>
        <w:footnoteReference w:id="347"/>
      </w:r>
    </w:p>
    <w:p w:rsidR="00CB7C92" w:rsidRDefault="00CB7C92" w:rsidP="00CB7C92">
      <w:r>
        <w:t xml:space="preserve">Since they have transgressed my pact, </w:t>
      </w:r>
    </w:p>
    <w:p w:rsidR="00CB7C92" w:rsidRDefault="00BE7392" w:rsidP="00CB7C92">
      <w:r>
        <w:tab/>
        <w:t>rebelled against my instruction</w:t>
      </w:r>
      <w:r w:rsidR="007A12E3">
        <w:t>,</w:t>
      </w:r>
    </w:p>
    <w:p w:rsidR="00C007DD" w:rsidRDefault="000E2923" w:rsidP="00CB7C92">
      <w:r>
        <w:rPr>
          <w:vertAlign w:val="superscript"/>
        </w:rPr>
        <w:t>2</w:t>
      </w:r>
      <w:r w:rsidR="00CB7C92">
        <w:t xml:space="preserve">though they cry out to me, </w:t>
      </w:r>
    </w:p>
    <w:p w:rsidR="00CB7C92" w:rsidRDefault="00C007DD" w:rsidP="00CB7C92">
      <w:r>
        <w:tab/>
      </w:r>
      <w:r w:rsidR="00CB7C92">
        <w:t>“</w:t>
      </w:r>
      <w:r>
        <w:t>My Go</w:t>
      </w:r>
      <w:r w:rsidR="00774CEA">
        <w:t xml:space="preserve">d, we acknowledge you, we </w:t>
      </w:r>
      <w:r w:rsidR="00774CEA" w:rsidRPr="00774CEA">
        <w:t>Yiśrā’ēl</w:t>
      </w:r>
      <w:r>
        <w:t>.”</w:t>
      </w:r>
      <w:r w:rsidR="00C442EF">
        <w:rPr>
          <w:rStyle w:val="FootnoteReference"/>
        </w:rPr>
        <w:footnoteReference w:id="348"/>
      </w:r>
    </w:p>
    <w:p w:rsidR="00C007DD" w:rsidRDefault="000E2923" w:rsidP="00CB7C92">
      <w:r>
        <w:rPr>
          <w:vertAlign w:val="superscript"/>
        </w:rPr>
        <w:t>3</w:t>
      </w:r>
      <w:r w:rsidR="00774CEA" w:rsidRPr="00774CEA">
        <w:t xml:space="preserve">Yiśrā’ēl </w:t>
      </w:r>
      <w:r w:rsidR="00774CEA">
        <w:t>h</w:t>
      </w:r>
      <w:r w:rsidR="00013F82">
        <w:t xml:space="preserve">as rebuffed </w:t>
      </w:r>
      <w:r w:rsidR="00C007DD">
        <w:t>what is good</w:t>
      </w:r>
      <w:r w:rsidR="00396759">
        <w:t>,</w:t>
      </w:r>
      <w:r w:rsidR="00C007DD">
        <w:t xml:space="preserve"> </w:t>
      </w:r>
      <w:r w:rsidR="00AF2651">
        <w:t xml:space="preserve"> </w:t>
      </w:r>
    </w:p>
    <w:p w:rsidR="00C007DD" w:rsidRDefault="00BE7392" w:rsidP="00CB7C92">
      <w:r>
        <w:tab/>
        <w:t>though</w:t>
      </w:r>
      <w:r w:rsidR="00C007DD">
        <w:t xml:space="preserve"> an enemy pursues him.</w:t>
      </w:r>
      <w:r w:rsidR="00396759">
        <w:rPr>
          <w:rStyle w:val="FootnoteReference"/>
        </w:rPr>
        <w:footnoteReference w:id="349"/>
      </w:r>
    </w:p>
    <w:p w:rsidR="00C007DD" w:rsidRDefault="000E2923" w:rsidP="00CB7C92">
      <w:r>
        <w:rPr>
          <w:vertAlign w:val="superscript"/>
        </w:rPr>
        <w:t>4</w:t>
      </w:r>
      <w:r w:rsidR="00B27D95">
        <w:t xml:space="preserve">They—they </w:t>
      </w:r>
      <w:r w:rsidR="00C007DD">
        <w:t xml:space="preserve">made </w:t>
      </w:r>
      <w:r w:rsidR="00D90516">
        <w:t>a king</w:t>
      </w:r>
      <w:r w:rsidR="00C007DD">
        <w:t xml:space="preserve">, but </w:t>
      </w:r>
      <w:r w:rsidR="007B6340">
        <w:t xml:space="preserve">not </w:t>
      </w:r>
      <w:r w:rsidR="00C007DD">
        <w:t xml:space="preserve">through me; </w:t>
      </w:r>
    </w:p>
    <w:p w:rsidR="00C007DD" w:rsidRDefault="00B27D95" w:rsidP="00CB7C92">
      <w:r>
        <w:tab/>
        <w:t xml:space="preserve">they </w:t>
      </w:r>
      <w:r w:rsidR="00C007DD">
        <w:t>made officials,</w:t>
      </w:r>
      <w:r w:rsidR="00F54A7D">
        <w:rPr>
          <w:rStyle w:val="FootnoteReference"/>
        </w:rPr>
        <w:footnoteReference w:id="350"/>
      </w:r>
      <w:r w:rsidR="00C007DD">
        <w:t xml:space="preserve"> but I had not acknowledged them.</w:t>
      </w:r>
    </w:p>
    <w:p w:rsidR="00DC40F7" w:rsidRDefault="00DC40F7" w:rsidP="00CB7C92"/>
    <w:p w:rsidR="000E2923" w:rsidRDefault="000E2923" w:rsidP="00CB7C92">
      <w:r>
        <w:t>Their silver and their gold—</w:t>
      </w:r>
    </w:p>
    <w:p w:rsidR="000E2923" w:rsidRDefault="000E2923" w:rsidP="00CB7C92">
      <w:r>
        <w:tab/>
      </w:r>
      <w:r w:rsidR="00696BF1">
        <w:t>t</w:t>
      </w:r>
      <w:r w:rsidR="0065143A">
        <w:t>hey’</w:t>
      </w:r>
      <w:r w:rsidR="00882127">
        <w:t>ve made themselves idols.</w:t>
      </w:r>
    </w:p>
    <w:p w:rsidR="000E2923" w:rsidRDefault="000E2923" w:rsidP="00CB7C92">
      <w:r>
        <w:t>In order t</w:t>
      </w:r>
      <w:r w:rsidR="006764DA">
        <w:t>hat it may be cut down</w:t>
      </w:r>
      <w:r>
        <w:t>,</w:t>
      </w:r>
      <w:r w:rsidR="00882127">
        <w:rPr>
          <w:rStyle w:val="FootnoteReference"/>
        </w:rPr>
        <w:footnoteReference w:id="351"/>
      </w:r>
    </w:p>
    <w:p w:rsidR="000E2923" w:rsidRDefault="000E2923" w:rsidP="00CB7C92">
      <w:r>
        <w:rPr>
          <w:vertAlign w:val="superscript"/>
        </w:rPr>
        <w:tab/>
        <w:t>5</w:t>
      </w:r>
      <w:r w:rsidR="00013F82">
        <w:t>he has rebuff</w:t>
      </w:r>
      <w:r>
        <w:t>ed</w:t>
      </w:r>
      <w:r w:rsidR="008911DE">
        <w:rPr>
          <w:rStyle w:val="FootnoteReference"/>
        </w:rPr>
        <w:footnoteReference w:id="352"/>
      </w:r>
      <w:r>
        <w:t xml:space="preserve"> your bullock, Shōmərôn.</w:t>
      </w:r>
    </w:p>
    <w:p w:rsidR="004528BC" w:rsidRDefault="000E2923" w:rsidP="00CB7C92">
      <w:r>
        <w:t xml:space="preserve">My anger has blazed </w:t>
      </w:r>
      <w:r w:rsidR="004528BC">
        <w:t xml:space="preserve">up against them; </w:t>
      </w:r>
    </w:p>
    <w:p w:rsidR="000E2923" w:rsidRDefault="004528BC" w:rsidP="00CB7C92">
      <w:r>
        <w:tab/>
        <w:t>how long will they be incapable of being free of guilt?</w:t>
      </w:r>
      <w:r w:rsidR="00DE6003">
        <w:rPr>
          <w:rStyle w:val="FootnoteReference"/>
        </w:rPr>
        <w:footnoteReference w:id="353"/>
      </w:r>
    </w:p>
    <w:p w:rsidR="004528BC" w:rsidRDefault="004528BC" w:rsidP="00CB7C92">
      <w:r>
        <w:rPr>
          <w:vertAlign w:val="superscript"/>
        </w:rPr>
        <w:t>6</w:t>
      </w:r>
      <w:r w:rsidR="00C05E61">
        <w:t>Because it wa</w:t>
      </w:r>
      <w:r>
        <w:t>s</w:t>
      </w:r>
      <w:r w:rsidR="00774CEA">
        <w:t xml:space="preserve"> from </w:t>
      </w:r>
      <w:r w:rsidR="00774CEA" w:rsidRPr="00774CEA">
        <w:t>Yiśrā’ēl</w:t>
      </w:r>
      <w:r>
        <w:t>,</w:t>
      </w:r>
    </w:p>
    <w:p w:rsidR="004528BC" w:rsidRDefault="00612333" w:rsidP="00CB7C92">
      <w:r>
        <w:tab/>
        <w:t xml:space="preserve">and </w:t>
      </w:r>
      <w:r w:rsidR="004528BC">
        <w:t>it—a craftsman made it.</w:t>
      </w:r>
    </w:p>
    <w:p w:rsidR="004528BC" w:rsidRDefault="00C05E61" w:rsidP="00CB7C92">
      <w:r>
        <w:t>So it’</w:t>
      </w:r>
      <w:r w:rsidR="004528BC">
        <w:t xml:space="preserve">s not a god; </w:t>
      </w:r>
    </w:p>
    <w:p w:rsidR="004528BC" w:rsidRDefault="004528BC" w:rsidP="00CB7C92">
      <w:r>
        <w:tab/>
        <w:t xml:space="preserve">because </w:t>
      </w:r>
      <w:r w:rsidRPr="004528BC">
        <w:t>Shōmərôn</w:t>
      </w:r>
      <w:r>
        <w:t>’s bullock will become broken bits.</w:t>
      </w:r>
      <w:r w:rsidR="00DC0102">
        <w:rPr>
          <w:rStyle w:val="FootnoteReference"/>
        </w:rPr>
        <w:footnoteReference w:id="354"/>
      </w:r>
    </w:p>
    <w:p w:rsidR="00DC40F7" w:rsidRDefault="00DC40F7" w:rsidP="00CB7C92">
      <w:pPr>
        <w:rPr>
          <w:vertAlign w:val="superscript"/>
        </w:rPr>
      </w:pPr>
    </w:p>
    <w:p w:rsidR="00EF0594" w:rsidRDefault="004528BC" w:rsidP="00CB7C92">
      <w:r>
        <w:rPr>
          <w:vertAlign w:val="superscript"/>
        </w:rPr>
        <w:t>7</w:t>
      </w:r>
      <w:r w:rsidR="00EF0594">
        <w:t xml:space="preserve">Because </w:t>
      </w:r>
      <w:r w:rsidR="00BF2718">
        <w:t>“</w:t>
      </w:r>
      <w:r w:rsidR="00EF0594">
        <w:t xml:space="preserve">they sow wind </w:t>
      </w:r>
    </w:p>
    <w:p w:rsidR="004528BC" w:rsidRDefault="00EF0594" w:rsidP="00BF2718">
      <w:pPr>
        <w:tabs>
          <w:tab w:val="left" w:pos="720"/>
          <w:tab w:val="left" w:pos="1440"/>
          <w:tab w:val="left" w:pos="2160"/>
          <w:tab w:val="left" w:pos="2880"/>
          <w:tab w:val="left" w:pos="6885"/>
        </w:tabs>
      </w:pPr>
      <w:r>
        <w:tab/>
        <w:t>and reap hurricane.</w:t>
      </w:r>
      <w:r w:rsidR="00BF2718">
        <w:t>”</w:t>
      </w:r>
      <w:r w:rsidR="00570AD6">
        <w:rPr>
          <w:rStyle w:val="FootnoteReference"/>
        </w:rPr>
        <w:footnoteReference w:id="355"/>
      </w:r>
      <w:r w:rsidR="00BF2718">
        <w:tab/>
      </w:r>
    </w:p>
    <w:p w:rsidR="00EF0594" w:rsidRDefault="00914A32" w:rsidP="00CB7C92">
      <w:r>
        <w:t>“</w:t>
      </w:r>
      <w:r w:rsidR="004F4589">
        <w:t>Stalk that has no flower</w:t>
      </w:r>
      <w:r w:rsidR="00CB0397">
        <w:t>:</w:t>
      </w:r>
    </w:p>
    <w:p w:rsidR="00EF0594" w:rsidRDefault="00BF2718" w:rsidP="00CB7C92">
      <w:r>
        <w:tab/>
      </w:r>
      <w:r w:rsidR="009E569D">
        <w:t>jus</w:t>
      </w:r>
      <w:r w:rsidR="00CB0397">
        <w:t xml:space="preserve">t </w:t>
      </w:r>
      <w:r>
        <w:t>doesn’</w:t>
      </w:r>
      <w:r w:rsidR="00EF0594">
        <w:t>t</w:t>
      </w:r>
      <w:r w:rsidR="009E569D">
        <w:rPr>
          <w:rStyle w:val="FootnoteReference"/>
        </w:rPr>
        <w:footnoteReference w:id="356"/>
      </w:r>
      <w:r w:rsidR="00EF0594">
        <w:t xml:space="preserve"> produce flour.</w:t>
      </w:r>
      <w:r w:rsidR="00914A32">
        <w:t>”</w:t>
      </w:r>
    </w:p>
    <w:p w:rsidR="00EF0594" w:rsidRDefault="00EF0594" w:rsidP="00CB7C92">
      <w:r>
        <w:t xml:space="preserve">If perhaps it produces, strangers </w:t>
      </w:r>
      <w:r w:rsidR="00AD7578">
        <w:t>devour it;</w:t>
      </w:r>
      <w:r w:rsidR="004C00E3">
        <w:rPr>
          <w:rStyle w:val="FootnoteReference"/>
        </w:rPr>
        <w:footnoteReference w:id="357"/>
      </w:r>
    </w:p>
    <w:p w:rsidR="00EF0594" w:rsidRDefault="00EF0594" w:rsidP="00CB7C92">
      <w:r>
        <w:rPr>
          <w:vertAlign w:val="superscript"/>
        </w:rPr>
        <w:tab/>
        <w:t>8</w:t>
      </w:r>
      <w:r>
        <w:t>Yiśrā’ēl has been devoured.</w:t>
      </w:r>
    </w:p>
    <w:p w:rsidR="00AD7578" w:rsidRDefault="004660E1" w:rsidP="00CB7C92">
      <w:r>
        <w:t>Now they’</w:t>
      </w:r>
      <w:r w:rsidR="00AD7578">
        <w:t>ve become</w:t>
      </w:r>
      <w:r w:rsidR="00EF0594">
        <w:t xml:space="preserve"> among the nations </w:t>
      </w:r>
    </w:p>
    <w:p w:rsidR="00EF0594" w:rsidRDefault="00AD7578" w:rsidP="00CB7C92">
      <w:r>
        <w:tab/>
        <w:t>li</w:t>
      </w:r>
      <w:r w:rsidR="004660E1">
        <w:t>ke a container for which there’</w:t>
      </w:r>
      <w:r>
        <w:t>s no desire.</w:t>
      </w:r>
    </w:p>
    <w:p w:rsidR="00AD7578" w:rsidRDefault="00AD7578" w:rsidP="00CB7C92">
      <w:r>
        <w:rPr>
          <w:vertAlign w:val="superscript"/>
        </w:rPr>
        <w:t>9</w:t>
      </w:r>
      <w:r w:rsidR="00DC40F7">
        <w:t>Be</w:t>
      </w:r>
      <w:r>
        <w:t>c</w:t>
      </w:r>
      <w:r w:rsidR="00DC40F7">
        <w:t>a</w:t>
      </w:r>
      <w:r>
        <w:t>use t</w:t>
      </w:r>
      <w:r w:rsidR="00067F8C">
        <w:t xml:space="preserve">hey—they went </w:t>
      </w:r>
      <w:r w:rsidR="002C3BEC">
        <w:t>up</w:t>
      </w:r>
      <w:r w:rsidR="00FD453E">
        <w:rPr>
          <w:rStyle w:val="FootnoteReference"/>
        </w:rPr>
        <w:footnoteReference w:id="358"/>
      </w:r>
      <w:r w:rsidR="002C3BEC">
        <w:t xml:space="preserve"> to Aššûr;</w:t>
      </w:r>
    </w:p>
    <w:p w:rsidR="00AD7578" w:rsidRDefault="00AD7578" w:rsidP="00CB7C92">
      <w:r>
        <w:tab/>
        <w:t>a wil</w:t>
      </w:r>
      <w:r w:rsidR="004660E1">
        <w:t xml:space="preserve">d donkey on its own was </w:t>
      </w:r>
      <w:r w:rsidR="004660E1" w:rsidRPr="004660E1">
        <w:t>’Eprayim</w:t>
      </w:r>
      <w:r w:rsidR="004660E1">
        <w:t>.</w:t>
      </w:r>
      <w:r w:rsidR="004660E1" w:rsidRPr="004660E1">
        <w:rPr>
          <w:vertAlign w:val="superscript"/>
        </w:rPr>
        <w:footnoteReference w:id="359"/>
      </w:r>
    </w:p>
    <w:p w:rsidR="00AD7578" w:rsidRDefault="002C3BEC" w:rsidP="00CB7C92">
      <w:r w:rsidRPr="002C3BEC">
        <w:t>“</w:t>
      </w:r>
      <w:r>
        <w:t>L</w:t>
      </w:r>
      <w:r w:rsidRPr="002C3BEC">
        <w:t>overs”</w:t>
      </w:r>
      <w:r w:rsidRPr="002C3BEC">
        <w:rPr>
          <w:vertAlign w:val="superscript"/>
        </w:rPr>
        <w:footnoteReference w:id="360"/>
      </w:r>
      <w:r>
        <w:t xml:space="preserve"> </w:t>
      </w:r>
      <w:r w:rsidR="00034BF6">
        <w:t>made</w:t>
      </w:r>
      <w:r>
        <w:t xml:space="preserve"> them</w:t>
      </w:r>
      <w:r w:rsidR="00034BF6">
        <w:t xml:space="preserve"> </w:t>
      </w:r>
      <w:r w:rsidR="00C75E9D">
        <w:t>“</w:t>
      </w:r>
      <w:r>
        <w:t>give</w:t>
      </w:r>
      <w:r w:rsidR="00C75E9D">
        <w:t>”</w:t>
      </w:r>
      <w:r>
        <w:t>;</w:t>
      </w:r>
      <w:r w:rsidR="00C75E9D">
        <w:rPr>
          <w:rStyle w:val="FootnoteReference"/>
        </w:rPr>
        <w:footnoteReference w:id="361"/>
      </w:r>
    </w:p>
    <w:p w:rsidR="00FC1153" w:rsidRDefault="00FC1153" w:rsidP="00CB7C92">
      <w:r>
        <w:tab/>
      </w:r>
      <w:r>
        <w:rPr>
          <w:vertAlign w:val="superscript"/>
        </w:rPr>
        <w:t>10</w:t>
      </w:r>
      <w:r w:rsidR="000434FA">
        <w:t>yes,</w:t>
      </w:r>
      <w:r w:rsidR="00AF34A4">
        <w:t xml:space="preserve"> </w:t>
      </w:r>
      <w:r w:rsidR="00C75E9D">
        <w:t xml:space="preserve">they </w:t>
      </w:r>
      <w:r w:rsidR="000434FA">
        <w:t xml:space="preserve">indeed </w:t>
      </w:r>
      <w:r w:rsidR="00C75E9D">
        <w:t xml:space="preserve">“give” </w:t>
      </w:r>
      <w:r>
        <w:t>among the nations.</w:t>
      </w:r>
    </w:p>
    <w:p w:rsidR="00FC1153" w:rsidRDefault="00FC1153" w:rsidP="00CB7C92">
      <w:r>
        <w:t xml:space="preserve">Now I will collect them </w:t>
      </w:r>
      <w:r w:rsidR="00751FDE">
        <w:t>up</w:t>
      </w:r>
      <w:r w:rsidR="00673C8A">
        <w:t>,</w:t>
      </w:r>
      <w:r w:rsidR="00751FDE">
        <w:t xml:space="preserve"> </w:t>
      </w:r>
      <w:r>
        <w:t>and they will writhe</w:t>
      </w:r>
      <w:r w:rsidR="00673C8A">
        <w:rPr>
          <w:rStyle w:val="FootnoteReference"/>
        </w:rPr>
        <w:footnoteReference w:id="362"/>
      </w:r>
      <w:r>
        <w:t xml:space="preserve"> in a little while</w:t>
      </w:r>
      <w:r w:rsidR="005A00CB">
        <w:rPr>
          <w:rStyle w:val="FootnoteReference"/>
        </w:rPr>
        <w:footnoteReference w:id="363"/>
      </w:r>
    </w:p>
    <w:p w:rsidR="00FC1153" w:rsidRDefault="00C903A6" w:rsidP="00CB7C92">
      <w:r>
        <w:tab/>
        <w:t>because of the burden</w:t>
      </w:r>
      <w:r w:rsidR="004B1F25">
        <w:rPr>
          <w:rStyle w:val="FootnoteReference"/>
        </w:rPr>
        <w:footnoteReference w:id="364"/>
      </w:r>
      <w:r>
        <w:t xml:space="preserve"> of the </w:t>
      </w:r>
      <w:r w:rsidR="00FC1153">
        <w:t>k</w:t>
      </w:r>
      <w:r>
        <w:t>ing of official</w:t>
      </w:r>
      <w:r w:rsidR="000434FA">
        <w:t>s</w:t>
      </w:r>
      <w:r w:rsidR="00FC1153">
        <w:t>.</w:t>
      </w:r>
      <w:r>
        <w:rPr>
          <w:rStyle w:val="FootnoteReference"/>
        </w:rPr>
        <w:footnoteReference w:id="365"/>
      </w:r>
    </w:p>
    <w:p w:rsidR="00DC40F7" w:rsidRDefault="00DC40F7" w:rsidP="00CB7C92">
      <w:pPr>
        <w:rPr>
          <w:vertAlign w:val="superscript"/>
        </w:rPr>
      </w:pPr>
    </w:p>
    <w:p w:rsidR="00FC1153" w:rsidRDefault="00FC1153" w:rsidP="00CB7C92">
      <w:r>
        <w:rPr>
          <w:vertAlign w:val="superscript"/>
        </w:rPr>
        <w:t>11</w:t>
      </w:r>
      <w:r w:rsidR="00C75E9D">
        <w:t xml:space="preserve">Because </w:t>
      </w:r>
      <w:r w:rsidR="00C75E9D" w:rsidRPr="00C75E9D">
        <w:t xml:space="preserve">’Eprayim </w:t>
      </w:r>
      <w:r>
        <w:t>has m</w:t>
      </w:r>
      <w:r w:rsidR="00A82F2B">
        <w:t>ade many altars for doing wrong,</w:t>
      </w:r>
      <w:r>
        <w:t xml:space="preserve"> </w:t>
      </w:r>
    </w:p>
    <w:p w:rsidR="00FC1153" w:rsidRDefault="00A82F2B" w:rsidP="00CB7C92">
      <w:r>
        <w:tab/>
        <w:t>though he had</w:t>
      </w:r>
      <w:r w:rsidR="00FC1153">
        <w:t xml:space="preserve"> altars for doing wrong.</w:t>
      </w:r>
    </w:p>
    <w:p w:rsidR="004257C5" w:rsidRDefault="004257C5" w:rsidP="00CB7C92">
      <w:r>
        <w:rPr>
          <w:vertAlign w:val="superscript"/>
        </w:rPr>
        <w:t>12</w:t>
      </w:r>
      <w:r w:rsidR="00F8503D">
        <w:t>Were</w:t>
      </w:r>
      <w:r>
        <w:t xml:space="preserve"> I </w:t>
      </w:r>
      <w:r w:rsidR="00F8503D">
        <w:t xml:space="preserve">to </w:t>
      </w:r>
      <w:r>
        <w:t>writ</w:t>
      </w:r>
      <w:r w:rsidR="00BE7392">
        <w:t>e</w:t>
      </w:r>
      <w:r w:rsidR="00D64484">
        <w:rPr>
          <w:rStyle w:val="FootnoteReference"/>
        </w:rPr>
        <w:footnoteReference w:id="366"/>
      </w:r>
      <w:r w:rsidR="00BE7392">
        <w:t xml:space="preserve"> for him </w:t>
      </w:r>
      <w:r w:rsidR="00BB106C">
        <w:t>many things</w:t>
      </w:r>
      <w:r w:rsidR="00C80D4F">
        <w:rPr>
          <w:rStyle w:val="FootnoteReference"/>
        </w:rPr>
        <w:footnoteReference w:id="367"/>
      </w:r>
      <w:r w:rsidR="00FC0DAB">
        <w:t xml:space="preserve"> </w:t>
      </w:r>
      <w:r w:rsidR="00BB106C">
        <w:t>in my</w:t>
      </w:r>
      <w:r w:rsidR="00BE7392">
        <w:t xml:space="preserve"> instruction</w:t>
      </w:r>
      <w:r>
        <w:t>,</w:t>
      </w:r>
      <w:r w:rsidR="00C62423">
        <w:rPr>
          <w:rStyle w:val="FootnoteReference"/>
        </w:rPr>
        <w:footnoteReference w:id="368"/>
      </w:r>
      <w:r>
        <w:t xml:space="preserve"> </w:t>
      </w:r>
    </w:p>
    <w:p w:rsidR="00FC1153" w:rsidRDefault="00BB106C" w:rsidP="00CB7C92">
      <w:r>
        <w:tab/>
        <w:t>they would be</w:t>
      </w:r>
      <w:r w:rsidR="00C80D4F">
        <w:t xml:space="preserve"> thought of as </w:t>
      </w:r>
      <w:r w:rsidR="004257C5">
        <w:t>strange.</w:t>
      </w:r>
    </w:p>
    <w:p w:rsidR="00774CEA" w:rsidRDefault="004257C5" w:rsidP="00CB7C92">
      <w:r>
        <w:rPr>
          <w:vertAlign w:val="superscript"/>
        </w:rPr>
        <w:lastRenderedPageBreak/>
        <w:t>13</w:t>
      </w:r>
      <w:r w:rsidR="00774CEA">
        <w:t>Though</w:t>
      </w:r>
      <w:r>
        <w:t xml:space="preserve"> they offer </w:t>
      </w:r>
      <w:r w:rsidR="00D27206">
        <w:t xml:space="preserve">roasted sacrifices </w:t>
      </w:r>
      <w:r>
        <w:t>to me,</w:t>
      </w:r>
      <w:r w:rsidR="000434FA">
        <w:rPr>
          <w:rStyle w:val="FootnoteReference"/>
        </w:rPr>
        <w:footnoteReference w:id="369"/>
      </w:r>
      <w:r>
        <w:t xml:space="preserve"> </w:t>
      </w:r>
    </w:p>
    <w:p w:rsidR="004257C5" w:rsidRDefault="00774CEA" w:rsidP="00CB7C92">
      <w:r>
        <w:tab/>
      </w:r>
      <w:r w:rsidR="00C069F7">
        <w:t>though flesh they</w:t>
      </w:r>
      <w:r w:rsidR="00B873EA">
        <w:t xml:space="preserve"> </w:t>
      </w:r>
      <w:r w:rsidR="004257C5">
        <w:t>eat</w:t>
      </w:r>
      <w:r>
        <w:t>,</w:t>
      </w:r>
      <w:r w:rsidR="00C069F7">
        <w:rPr>
          <w:rStyle w:val="FootnoteReference"/>
        </w:rPr>
        <w:footnoteReference w:id="370"/>
      </w:r>
    </w:p>
    <w:p w:rsidR="00774CEA" w:rsidRDefault="00774CEA" w:rsidP="00CB7C92">
      <w:r>
        <w:t xml:space="preserve">Yahweh </w:t>
      </w:r>
      <w:r w:rsidR="005B4D1D">
        <w:t xml:space="preserve">himself </w:t>
      </w:r>
      <w:r>
        <w:t>has not accepted them;</w:t>
      </w:r>
      <w:r w:rsidR="005B79EA">
        <w:rPr>
          <w:rStyle w:val="FootnoteReference"/>
        </w:rPr>
        <w:footnoteReference w:id="371"/>
      </w:r>
      <w:r>
        <w:t xml:space="preserve"> </w:t>
      </w:r>
    </w:p>
    <w:p w:rsidR="00774CEA" w:rsidRDefault="00B873EA" w:rsidP="00CB7C92">
      <w:r>
        <w:tab/>
        <w:t>now, he is mindful of their waywardness,</w:t>
      </w:r>
    </w:p>
    <w:p w:rsidR="00774CEA" w:rsidRDefault="00B873EA" w:rsidP="00CB7C92">
      <w:r>
        <w:t xml:space="preserve">So that he </w:t>
      </w:r>
      <w:r w:rsidR="00774CEA">
        <w:t>will attend</w:t>
      </w:r>
      <w:r w:rsidR="00541361">
        <w:rPr>
          <w:rStyle w:val="FootnoteReference"/>
        </w:rPr>
        <w:footnoteReference w:id="372"/>
      </w:r>
      <w:r w:rsidR="00774CEA">
        <w:t xml:space="preserve"> to their wrongdoings; </w:t>
      </w:r>
    </w:p>
    <w:p w:rsidR="00774CEA" w:rsidRDefault="00FF05A3" w:rsidP="00CB7C92">
      <w:r>
        <w:tab/>
        <w:t>they—they will turn</w:t>
      </w:r>
      <w:r w:rsidR="00774CEA">
        <w:t xml:space="preserve"> back to Egypt.</w:t>
      </w:r>
      <w:r w:rsidR="00E55E20">
        <w:rPr>
          <w:rStyle w:val="FootnoteReference"/>
        </w:rPr>
        <w:footnoteReference w:id="373"/>
      </w:r>
    </w:p>
    <w:p w:rsidR="00774CEA" w:rsidRDefault="00774CEA" w:rsidP="00CB7C92">
      <w:r>
        <w:rPr>
          <w:vertAlign w:val="superscript"/>
        </w:rPr>
        <w:t>14</w:t>
      </w:r>
      <w:r w:rsidRPr="00774CEA">
        <w:t>Yiśrā’ēl</w:t>
      </w:r>
      <w:r w:rsidR="00121C70">
        <w:t xml:space="preserve"> </w:t>
      </w:r>
      <w:r w:rsidR="007959B2">
        <w:t>disregarded</w:t>
      </w:r>
      <w:r>
        <w:t xml:space="preserve"> </w:t>
      </w:r>
      <w:r w:rsidR="007959B2">
        <w:t>its maker</w:t>
      </w:r>
      <w:r>
        <w:t xml:space="preserve">, </w:t>
      </w:r>
    </w:p>
    <w:p w:rsidR="00774CEA" w:rsidRDefault="00774CEA" w:rsidP="00CB7C92">
      <w:r>
        <w:tab/>
        <w:t xml:space="preserve">and built palaces, </w:t>
      </w:r>
    </w:p>
    <w:p w:rsidR="00615D72" w:rsidRDefault="00615D72" w:rsidP="00CB7C92">
      <w:r>
        <w:t xml:space="preserve">While </w:t>
      </w:r>
      <w:r w:rsidR="00774CEA">
        <w:t>Yə</w:t>
      </w:r>
      <w:r w:rsidR="00121C70">
        <w:t xml:space="preserve">hûdāh </w:t>
      </w:r>
      <w:r w:rsidR="00774CEA">
        <w:t>made many fortified towns</w:t>
      </w:r>
      <w:r>
        <w:t xml:space="preserve">, </w:t>
      </w:r>
    </w:p>
    <w:p w:rsidR="00774CEA" w:rsidRDefault="00615D72" w:rsidP="00CB7C92">
      <w:r>
        <w:tab/>
        <w:t>but I will send off fire on its towns and it will consume its strongholds.</w:t>
      </w:r>
    </w:p>
    <w:p w:rsidR="00CB7C92" w:rsidRDefault="00CB7C92" w:rsidP="001D3546">
      <w:pPr>
        <w:pStyle w:val="Heading2"/>
      </w:pPr>
      <w:r>
        <w:t xml:space="preserve">Interpretation </w:t>
      </w:r>
    </w:p>
    <w:p w:rsidR="00CB7C92" w:rsidRDefault="009632F7" w:rsidP="0047461E">
      <w:pPr>
        <w:tabs>
          <w:tab w:val="left" w:pos="2970"/>
        </w:tabs>
      </w:pPr>
      <w:r>
        <w:t>The bidding</w:t>
      </w:r>
      <w:r w:rsidR="00615D72">
        <w:t xml:space="preserve"> in 8:1 looks like a new beginning comparable to that in 5:8, though in other respects this section </w:t>
      </w:r>
      <w:r w:rsidR="00655D35">
        <w:t>co</w:t>
      </w:r>
      <w:r w:rsidR="00CB69C7">
        <w:t>ntinues from the previous one.</w:t>
      </w:r>
      <w:r w:rsidR="009A4580">
        <w:rPr>
          <w:rStyle w:val="FootnoteReference"/>
        </w:rPr>
        <w:footnoteReference w:id="374"/>
      </w:r>
      <w:r>
        <w:t xml:space="preserve"> “Rebelled” and “cry</w:t>
      </w:r>
      <w:r w:rsidR="00655D35">
        <w:t xml:space="preserve"> out</w:t>
      </w:r>
      <w:r>
        <w:t>”</w:t>
      </w:r>
      <w:r w:rsidR="00655D35">
        <w:t xml:space="preserve"> (vv. 1-2) picks up from 7:13-14</w:t>
      </w:r>
      <w:r w:rsidR="00CB69C7">
        <w:t xml:space="preserve"> </w:t>
      </w:r>
      <w:r w:rsidR="001B272D">
        <w:t>(</w:t>
      </w:r>
      <w:r>
        <w:t>MT had a setumah</w:t>
      </w:r>
      <w:r w:rsidR="008926B7">
        <w:t xml:space="preserve"> there</w:t>
      </w:r>
      <w:r w:rsidR="001B272D">
        <w:t>), and Hosea continues</w:t>
      </w:r>
      <w:r w:rsidR="00615D72">
        <w:t xml:space="preserve"> </w:t>
      </w:r>
      <w:r w:rsidR="001B272D">
        <w:t>to report Yahweh’s words to him (except in v. 13aγbα) and to speak</w:t>
      </w:r>
      <w:r w:rsidR="00615D72">
        <w:t xml:space="preserve"> about Ephraim in the third person</w:t>
      </w:r>
      <w:r w:rsidR="001B272D">
        <w:t xml:space="preserve"> (except in v. 5aα)</w:t>
      </w:r>
      <w:r w:rsidR="00615D72">
        <w:t xml:space="preserve">. </w:t>
      </w:r>
      <w:r w:rsidR="008926B7">
        <w:t xml:space="preserve">Yahweh thus </w:t>
      </w:r>
      <w:r w:rsidR="009F084C">
        <w:t>warns Ephraim (and Judah) about the coming consequences of the unfaithfulness</w:t>
      </w:r>
      <w:r>
        <w:t xml:space="preserve"> expressed in </w:t>
      </w:r>
      <w:r w:rsidR="008926B7">
        <w:t>conduct</w:t>
      </w:r>
      <w:r w:rsidR="009F084C">
        <w:t>ing</w:t>
      </w:r>
      <w:r>
        <w:t xml:space="preserve"> </w:t>
      </w:r>
      <w:r w:rsidR="008926B7">
        <w:t>its internal and external politics in a way that ignores its rela</w:t>
      </w:r>
      <w:r>
        <w:t xml:space="preserve">tionship with Yahweh and in constructing </w:t>
      </w:r>
      <w:r w:rsidR="008926B7">
        <w:t>idols and altars</w:t>
      </w:r>
      <w:r w:rsidR="009F084C">
        <w:t xml:space="preserve">. </w:t>
      </w:r>
      <w:r w:rsidR="008926B7">
        <w:t>Ephraimite hearers thus</w:t>
      </w:r>
      <w:r w:rsidR="00655D35">
        <w:t xml:space="preserve"> overhear a communication about them between Yahweh and Hosea. </w:t>
      </w:r>
      <w:r w:rsidR="00615D72">
        <w:t>A change comes with 9:1</w:t>
      </w:r>
      <w:r w:rsidR="00A117F7">
        <w:t xml:space="preserve">, where Hosea </w:t>
      </w:r>
      <w:r w:rsidR="008926B7">
        <w:t>reverts to direct address of</w:t>
      </w:r>
      <w:r w:rsidR="00A117F7">
        <w:t xml:space="preserve"> Ephraim and </w:t>
      </w:r>
      <w:r w:rsidR="008926B7">
        <w:t>to speaking</w:t>
      </w:r>
      <w:r w:rsidR="00A117F7">
        <w:t xml:space="preserve"> of Yahweh in the thi</w:t>
      </w:r>
      <w:r w:rsidR="00DC40F7">
        <w:t xml:space="preserve">rd person. MT thus has a </w:t>
      </w:r>
      <w:r>
        <w:t xml:space="preserve">setumah or </w:t>
      </w:r>
      <w:r w:rsidR="006454D0">
        <w:t>petuh</w:t>
      </w:r>
      <w:r>
        <w:t>ah</w:t>
      </w:r>
      <w:r w:rsidR="00A117F7">
        <w:t xml:space="preserve"> at 9:1.</w:t>
      </w:r>
      <w:r w:rsidR="008926B7">
        <w:t xml:space="preserve"> </w:t>
      </w:r>
    </w:p>
    <w:p w:rsidR="00DC40F7" w:rsidRDefault="00DC40F7" w:rsidP="00615D72"/>
    <w:p w:rsidR="00E957D0" w:rsidRDefault="00DC40F7" w:rsidP="00615D72">
      <w:r>
        <w:rPr>
          <w:b/>
        </w:rPr>
        <w:t>Hosea 8:1-4a</w:t>
      </w:r>
      <w:r>
        <w:t xml:space="preserve">. </w:t>
      </w:r>
      <w:r w:rsidR="008A0CC1">
        <w:t>Once again Yahweh commissions the sounding of a horn (</w:t>
      </w:r>
      <w:r w:rsidR="00C728AE">
        <w:t xml:space="preserve">v. 1a; </w:t>
      </w:r>
      <w:r w:rsidR="008A0CC1">
        <w:t>cf. 5:8</w:t>
      </w:r>
      <w:r w:rsidR="00840251">
        <w:t>)</w:t>
      </w:r>
      <w:r w:rsidR="009632F7">
        <w:t>. M</w:t>
      </w:r>
      <w:r w:rsidR="003913D9">
        <w:t>ore precisely</w:t>
      </w:r>
      <w:r w:rsidR="00C57D07">
        <w:t xml:space="preserve"> the horn is applied to the palate</w:t>
      </w:r>
      <w:r w:rsidR="009632F7">
        <w:t>, which</w:t>
      </w:r>
      <w:r w:rsidR="00C57D07">
        <w:t xml:space="preserve"> is not where a horn goes, but it is key to speech (e.g., Prov. </w:t>
      </w:r>
      <w:r w:rsidR="00606259">
        <w:t>5:3;</w:t>
      </w:r>
      <w:r w:rsidR="003913D9">
        <w:t xml:space="preserve"> 8:7); </w:t>
      </w:r>
      <w:r w:rsidR="00606259">
        <w:t>Yahweh is commissioning Hosea himself to sound out</w:t>
      </w:r>
      <w:r w:rsidR="00D90516">
        <w:t xml:space="preserve"> (cf. Tg)</w:t>
      </w:r>
      <w:r w:rsidR="00840251">
        <w:t xml:space="preserve">. </w:t>
      </w:r>
      <w:r w:rsidR="00F5509C">
        <w:t xml:space="preserve">The </w:t>
      </w:r>
      <w:r w:rsidR="003913D9">
        <w:t xml:space="preserve">passage’s function is </w:t>
      </w:r>
      <w:r w:rsidR="00F5509C">
        <w:t>similar to that of a prophet’s account of his call (e.g.,</w:t>
      </w:r>
      <w:r w:rsidR="00C75172">
        <w:t xml:space="preserve"> Isa. 6, as well as Hos. 1). A regular</w:t>
      </w:r>
      <w:r w:rsidR="00F5509C">
        <w:t xml:space="preserve"> </w:t>
      </w:r>
      <w:r w:rsidR="00143567">
        <w:t>point about such</w:t>
      </w:r>
      <w:r w:rsidR="003913D9">
        <w:t xml:space="preserve"> account</w:t>
      </w:r>
      <w:r w:rsidR="00143567">
        <w:t>s</w:t>
      </w:r>
      <w:r w:rsidR="003913D9">
        <w:t xml:space="preserve"> is that </w:t>
      </w:r>
      <w:r w:rsidR="00F5509C">
        <w:t xml:space="preserve">people need </w:t>
      </w:r>
      <w:r w:rsidR="002B79FC">
        <w:t>t</w:t>
      </w:r>
      <w:r w:rsidR="00F5509C">
        <w:t xml:space="preserve">o </w:t>
      </w:r>
      <w:r w:rsidR="003913D9">
        <w:t xml:space="preserve">listen in on what Yahweh is saying to Isaiah or Hosea </w:t>
      </w:r>
      <w:r w:rsidR="00F5509C">
        <w:t xml:space="preserve">in order to hear what Yahweh </w:t>
      </w:r>
      <w:r w:rsidR="003913D9">
        <w:t>is saying</w:t>
      </w:r>
      <w:r w:rsidR="00143567">
        <w:t xml:space="preserve"> about them</w:t>
      </w:r>
      <w:r w:rsidR="00C75172">
        <w:t>selves</w:t>
      </w:r>
      <w:r w:rsidR="00143567">
        <w:t>. O</w:t>
      </w:r>
      <w:r w:rsidR="003913D9">
        <w:t>nce again t</w:t>
      </w:r>
      <w:r w:rsidR="00840251">
        <w:t>he sounding of a horn might suggest a summons to worship</w:t>
      </w:r>
      <w:r w:rsidR="003913D9">
        <w:t xml:space="preserve">, </w:t>
      </w:r>
      <w:r w:rsidR="00143567">
        <w:t xml:space="preserve">and </w:t>
      </w:r>
      <w:r w:rsidR="003913D9">
        <w:t xml:space="preserve">it </w:t>
      </w:r>
      <w:r w:rsidR="00840251">
        <w:t>would not inevi</w:t>
      </w:r>
      <w:r w:rsidR="00143567">
        <w:t>tably be cause for alarm. B</w:t>
      </w:r>
      <w:r w:rsidR="003913D9">
        <w:t>ut</w:t>
      </w:r>
      <w:r w:rsidR="00840251" w:rsidRPr="00840251">
        <w:t xml:space="preserve"> </w:t>
      </w:r>
      <w:r w:rsidR="00840251">
        <w:t xml:space="preserve">this commission conveys </w:t>
      </w:r>
      <w:r w:rsidR="00840251" w:rsidRPr="00840251">
        <w:t>greater urgency</w:t>
      </w:r>
      <w:r w:rsidR="00840251">
        <w:t xml:space="preserve"> than the previous one</w:t>
      </w:r>
      <w:r w:rsidR="00143567">
        <w:t xml:space="preserve">; </w:t>
      </w:r>
      <w:r w:rsidR="00840251" w:rsidRPr="00840251">
        <w:t>there isn’t even time to include a verb.</w:t>
      </w:r>
      <w:r w:rsidR="00840251">
        <w:t xml:space="preserve"> The horn draws attention to the hovering of an</w:t>
      </w:r>
      <w:r w:rsidR="00E957D0">
        <w:t xml:space="preserve"> eagle</w:t>
      </w:r>
      <w:r w:rsidR="00840251">
        <w:t>,</w:t>
      </w:r>
      <w:r w:rsidR="00E957D0">
        <w:t xml:space="preserve"> </w:t>
      </w:r>
      <w:r w:rsidR="00143567">
        <w:t>which</w:t>
      </w:r>
      <w:r w:rsidR="00840251">
        <w:t xml:space="preserve"> </w:t>
      </w:r>
      <w:r w:rsidR="003913D9">
        <w:t>is also an</w:t>
      </w:r>
      <w:r w:rsidR="00E957D0">
        <w:t xml:space="preserve"> ambiguous image. It was on eagle’s wings that Yahweh carried Israel from Egypt</w:t>
      </w:r>
      <w:r w:rsidR="003913D9">
        <w:t xml:space="preserve"> (Ex</w:t>
      </w:r>
      <w:r w:rsidR="00143567">
        <w:t>od.</w:t>
      </w:r>
      <w:r w:rsidR="003913D9">
        <w:t xml:space="preserve"> 19:4; cf. Deut</w:t>
      </w:r>
      <w:r w:rsidR="00143567">
        <w:t>.</w:t>
      </w:r>
      <w:r w:rsidR="003913D9">
        <w:t xml:space="preserve"> 32:10-12):</w:t>
      </w:r>
      <w:r w:rsidR="005D68F1">
        <w:t xml:space="preserve"> is this eagle hovering </w:t>
      </w:r>
      <w:r w:rsidR="00143567" w:rsidRPr="00143567">
        <w:t xml:space="preserve">in protective fashion </w:t>
      </w:r>
      <w:r w:rsidR="005D68F1">
        <w:t xml:space="preserve">over Yahweh’s household, the household of Ephraim </w:t>
      </w:r>
      <w:r w:rsidR="00143567">
        <w:t>(cf. 1:6-7)</w:t>
      </w:r>
      <w:r w:rsidR="00FE73C8">
        <w:t>? B</w:t>
      </w:r>
      <w:r w:rsidR="00E957D0">
        <w:t>ut</w:t>
      </w:r>
      <w:r w:rsidR="00143567">
        <w:t xml:space="preserve"> t</w:t>
      </w:r>
      <w:r w:rsidR="00FE73C8">
        <w:t>he eagle (or vulture) is also an image for</w:t>
      </w:r>
      <w:r w:rsidR="00E957D0">
        <w:t xml:space="preserve"> a nation swoop</w:t>
      </w:r>
      <w:r w:rsidR="003913D9">
        <w:t>ing</w:t>
      </w:r>
      <w:r w:rsidR="00E957D0">
        <w:t xml:space="preserve"> on Israel if it is unfaithful to Ya</w:t>
      </w:r>
      <w:r w:rsidR="008A0CC1">
        <w:t>hweh (Deut</w:t>
      </w:r>
      <w:r w:rsidR="00143567">
        <w:t>.</w:t>
      </w:r>
      <w:r w:rsidR="008A0CC1">
        <w:t xml:space="preserve"> 28:49; cf. Job 39:27-30; Jer</w:t>
      </w:r>
      <w:r w:rsidR="00143567">
        <w:t>.</w:t>
      </w:r>
      <w:r w:rsidR="008A0CC1">
        <w:t xml:space="preserve"> 48:40</w:t>
      </w:r>
      <w:r w:rsidR="00E957D0">
        <w:t xml:space="preserve">). </w:t>
      </w:r>
      <w:r w:rsidR="005D68F1">
        <w:t xml:space="preserve">Isaiah 31:4-5 plays with </w:t>
      </w:r>
      <w:r w:rsidR="00143567">
        <w:t>the image’s ambiguity</w:t>
      </w:r>
      <w:r w:rsidR="005D68F1">
        <w:t>.</w:t>
      </w:r>
    </w:p>
    <w:p w:rsidR="00476CE0" w:rsidRDefault="00476CE0" w:rsidP="00615D72">
      <w:r>
        <w:lastRenderedPageBreak/>
        <w:t>Of course this is Hosea, so we know how the surface ambiguity is likely to resolve itself (v. 1b). Actually, the resolution is presupposed and unstated</w:t>
      </w:r>
      <w:r w:rsidR="00143567">
        <w:t>;</w:t>
      </w:r>
      <w:r>
        <w:t xml:space="preserve"> Yahweh simply gives</w:t>
      </w:r>
      <w:r w:rsidR="00FA06A9">
        <w:t xml:space="preserve"> us the reas</w:t>
      </w:r>
      <w:r w:rsidR="00143567">
        <w:t>ons for the obvious, which</w:t>
      </w:r>
      <w:r w:rsidR="00FA06A9">
        <w:t xml:space="preserve"> </w:t>
      </w:r>
      <w:r>
        <w:t xml:space="preserve">are themselves </w:t>
      </w:r>
      <w:r w:rsidR="00FA06A9">
        <w:t xml:space="preserve">also </w:t>
      </w:r>
      <w:r>
        <w:t>obvious. Here the transgression is specifically of “my</w:t>
      </w:r>
      <w:r w:rsidR="00FA06A9">
        <w:t xml:space="preserve">” pact (contrast 6:7), </w:t>
      </w:r>
      <w:r>
        <w:t xml:space="preserve">the pact between Yahweh and Israel that promises the </w:t>
      </w:r>
      <w:r w:rsidR="00FA06A9">
        <w:t xml:space="preserve">eagle’s </w:t>
      </w:r>
      <w:r>
        <w:t>ben</w:t>
      </w:r>
      <w:r w:rsidR="00FA06A9">
        <w:t xml:space="preserve">eficent protection </w:t>
      </w:r>
      <w:r>
        <w:t xml:space="preserve">but expects loyalty in return. The parallelism makes the point more explicit. </w:t>
      </w:r>
      <w:r w:rsidR="00342FFE">
        <w:t xml:space="preserve">The more relational verb “rebel” </w:t>
      </w:r>
      <w:r w:rsidR="00655D35">
        <w:t xml:space="preserve">(repeating the charge in 7:13) </w:t>
      </w:r>
      <w:r w:rsidR="00342FFE">
        <w:t>complements the more lega</w:t>
      </w:r>
      <w:r w:rsidR="00FA06A9">
        <w:t>l verb</w:t>
      </w:r>
      <w:r w:rsidR="00342FFE">
        <w:t xml:space="preserve"> “transgress</w:t>
      </w:r>
      <w:r w:rsidR="00FA06A9">
        <w:t>,</w:t>
      </w:r>
      <w:r w:rsidR="00342FFE">
        <w:t>” and the more concrete noun “</w:t>
      </w:r>
      <w:r w:rsidR="00BE7392">
        <w:t>my instruction</w:t>
      </w:r>
      <w:r w:rsidR="00342FFE">
        <w:t>” nuances “my pact</w:t>
      </w:r>
      <w:r w:rsidR="00FA06A9">
        <w:t>,</w:t>
      </w:r>
      <w:r w:rsidR="00342FFE">
        <w:t>” which requires</w:t>
      </w:r>
      <w:r w:rsidR="00143567">
        <w:t xml:space="preserve"> people to live by the</w:t>
      </w:r>
      <w:r w:rsidR="00BE7392">
        <w:t xml:space="preserve"> instruction</w:t>
      </w:r>
      <w:r w:rsidR="00342FFE">
        <w:t>. I assume that the pact is the one that goe</w:t>
      </w:r>
      <w:r w:rsidR="00BE7392">
        <w:t xml:space="preserve">s back to Sinai and </w:t>
      </w:r>
      <w:r w:rsidR="00FA06A9">
        <w:t xml:space="preserve">that </w:t>
      </w:r>
      <w:r w:rsidR="00BE7392">
        <w:t>the instruction</w:t>
      </w:r>
      <w:r w:rsidR="007A12E3">
        <w:t xml:space="preserve"> is a</w:t>
      </w:r>
      <w:r w:rsidR="00342FFE">
        <w:t xml:space="preserve"> form of s</w:t>
      </w:r>
      <w:r w:rsidR="00FA06A9">
        <w:t xml:space="preserve">ome of the material we have in </w:t>
      </w:r>
      <w:r w:rsidR="00FA06A9">
        <w:rPr>
          <w:i/>
        </w:rPr>
        <w:t>“t</w:t>
      </w:r>
      <w:r w:rsidR="00BE7392" w:rsidRPr="00FA06A9">
        <w:rPr>
          <w:i/>
        </w:rPr>
        <w:t>he</w:t>
      </w:r>
      <w:r w:rsidR="00BE7392">
        <w:t xml:space="preserve"> Instruction</w:t>
      </w:r>
      <w:r w:rsidR="00342FFE">
        <w:t>,” the Torah, and my working hypothesis is that Hosea will be referring to some form of the Decalogue</w:t>
      </w:r>
      <w:r w:rsidR="00143567">
        <w:t xml:space="preserve"> (cf.</w:t>
      </w:r>
      <w:r w:rsidR="00FA06A9">
        <w:t xml:space="preserve"> 4:1-3)</w:t>
      </w:r>
      <w:r w:rsidR="00342FFE">
        <w:t>, but we have no critical basis for certainty concerning this question.</w:t>
      </w:r>
      <w:r w:rsidR="00143567">
        <w:t xml:space="preserve"> In any case, </w:t>
      </w:r>
      <w:r w:rsidR="00956CEC">
        <w:t>t</w:t>
      </w:r>
      <w:r w:rsidR="00143567">
        <w:t>here is little</w:t>
      </w:r>
      <w:r w:rsidR="007A12E3">
        <w:t xml:space="preserve"> in the Torah about a matter such as appointing kings and officials (v. 4), so Yahweh’s account of Ephraim’s rebellion is not </w:t>
      </w:r>
      <w:r w:rsidR="00FA06A9">
        <w:t xml:space="preserve">simply </w:t>
      </w:r>
      <w:r w:rsidR="007A12E3">
        <w:t xml:space="preserve">a kind of legal charge about transgressing the </w:t>
      </w:r>
      <w:r w:rsidR="00FA06A9">
        <w:t>specific terms of their pact</w:t>
      </w:r>
      <w:r w:rsidR="007A12E3">
        <w:t xml:space="preserve">. As the development of the Torah itself indicates, the terms of the relationship between Yahweh and Israel change as situations change. It is the remit of people such as prophets to </w:t>
      </w:r>
      <w:r w:rsidR="00143567">
        <w:t>take up Moses’ responsibility for</w:t>
      </w:r>
      <w:r w:rsidR="007A12E3">
        <w:t xml:space="preserve"> </w:t>
      </w:r>
      <w:r w:rsidR="00143567">
        <w:t>apprising</w:t>
      </w:r>
      <w:r w:rsidR="007A12E3">
        <w:t xml:space="preserve"> Israel of what Yahweh expects in new </w:t>
      </w:r>
      <w:r w:rsidR="000C324C">
        <w:t>situations</w:t>
      </w:r>
      <w:r w:rsidR="007A12E3">
        <w:t>.</w:t>
      </w:r>
    </w:p>
    <w:p w:rsidR="008F510D" w:rsidRDefault="00342FFE" w:rsidP="00615D72">
      <w:r>
        <w:t>Ephraim has been pleading for Yahweh’s</w:t>
      </w:r>
      <w:r w:rsidR="00956CEC">
        <w:t xml:space="preserve"> help in a way that ignored its</w:t>
      </w:r>
      <w:r>
        <w:t xml:space="preserve"> waywardness (v. 2). </w:t>
      </w:r>
      <w:r w:rsidR="008F510D">
        <w:t>Yahweh again raises a question about their crying out to him (see 7:</w:t>
      </w:r>
      <w:r w:rsidR="00143567">
        <w:t xml:space="preserve">14 and the </w:t>
      </w:r>
      <w:r w:rsidR="00F14F90">
        <w:t>comments</w:t>
      </w:r>
      <w:r w:rsidR="00143567">
        <w:t>), though it’</w:t>
      </w:r>
      <w:r w:rsidR="008F510D">
        <w:t>s a different q</w:t>
      </w:r>
      <w:r w:rsidR="00FA06A9">
        <w:t xml:space="preserve">uestion. They are behaving </w:t>
      </w:r>
      <w:r w:rsidR="008F510D">
        <w:t>like t</w:t>
      </w:r>
      <w:r w:rsidR="00143567">
        <w:t>he Israelites in Egypt,</w:t>
      </w:r>
      <w:r w:rsidR="00FA06A9">
        <w:t xml:space="preserve"> reminding </w:t>
      </w:r>
      <w:r w:rsidR="00143567">
        <w:t>Yahweh that they are “Israel,” his people,</w:t>
      </w:r>
      <w:r w:rsidR="008F510D">
        <w:t xml:space="preserve"> c</w:t>
      </w:r>
      <w:r w:rsidR="00143567">
        <w:t>alling</w:t>
      </w:r>
      <w:r w:rsidR="00C442EF">
        <w:t xml:space="preserve"> him “my God.” In this sense</w:t>
      </w:r>
      <w:r w:rsidR="008F510D">
        <w:t xml:space="preserve"> they acknowledge him. </w:t>
      </w:r>
      <w:r w:rsidR="009D211F">
        <w:t>They would be doing so o</w:t>
      </w:r>
      <w:r w:rsidR="002B79FC">
        <w:t xml:space="preserve">n </w:t>
      </w:r>
      <w:r w:rsidR="009D211F">
        <w:t xml:space="preserve">the </w:t>
      </w:r>
      <w:r w:rsidR="002B79FC">
        <w:t>worship occasions associated with formalizing r</w:t>
      </w:r>
      <w:r w:rsidR="009D211F">
        <w:t>elationships with other nations.</w:t>
      </w:r>
      <w:r w:rsidR="002B79FC">
        <w:t xml:space="preserve"> </w:t>
      </w:r>
      <w:r w:rsidR="008F510D">
        <w:t>But therein lies the scandal in their prayer</w:t>
      </w:r>
      <w:r w:rsidR="00143567">
        <w:t>s, which</w:t>
      </w:r>
      <w:r w:rsidR="00BE7392">
        <w:t xml:space="preserve"> will be accompaniments to offerings</w:t>
      </w:r>
      <w:r w:rsidR="00143567">
        <w:t>, so that</w:t>
      </w:r>
      <w:r w:rsidR="00BE7392">
        <w:t xml:space="preserve"> Yahweh’s w</w:t>
      </w:r>
      <w:r w:rsidR="00956CEC">
        <w:t>ords recall his challenge in 6:</w:t>
      </w:r>
      <w:r w:rsidR="00BE7392">
        <w:t>6; compare also</w:t>
      </w:r>
      <w:r w:rsidR="009D211F">
        <w:t xml:space="preserve"> 4:1 and 5:4 (with their reference to acknowledgment as here);</w:t>
      </w:r>
      <w:r w:rsidR="008F510D" w:rsidRPr="008F510D">
        <w:t xml:space="preserve"> 4:6 (with its reference to Ya</w:t>
      </w:r>
      <w:r w:rsidR="009D211F">
        <w:t>hweh’s instruction as here)</w:t>
      </w:r>
      <w:r w:rsidR="008F510D" w:rsidRPr="008F510D">
        <w:t xml:space="preserve">; </w:t>
      </w:r>
      <w:r w:rsidR="00BE7392">
        <w:t xml:space="preserve">and </w:t>
      </w:r>
      <w:r w:rsidR="008F510D" w:rsidRPr="008F510D">
        <w:t>6:3 (</w:t>
      </w:r>
      <w:r w:rsidR="009D211F">
        <w:t xml:space="preserve">the pledge of acknowledgment in the context of </w:t>
      </w:r>
      <w:r w:rsidR="00BE7392">
        <w:t>the prayer they aren’t</w:t>
      </w:r>
      <w:r w:rsidR="008F510D" w:rsidRPr="008F510D">
        <w:t xml:space="preserve"> pray</w:t>
      </w:r>
      <w:r w:rsidR="00BE7392">
        <w:t>ing</w:t>
      </w:r>
      <w:r w:rsidR="008F510D" w:rsidRPr="008F510D">
        <w:t>)</w:t>
      </w:r>
      <w:r w:rsidR="00BE7392">
        <w:t>.</w:t>
      </w:r>
      <w:r w:rsidR="00422C9D">
        <w:t xml:space="preserve"> They are “a parody of liturgy.”</w:t>
      </w:r>
      <w:r w:rsidR="00422C9D">
        <w:rPr>
          <w:rStyle w:val="FootnoteReference"/>
        </w:rPr>
        <w:footnoteReference w:id="375"/>
      </w:r>
    </w:p>
    <w:p w:rsidR="00BE7392" w:rsidRDefault="00396759" w:rsidP="00615D72">
      <w:r>
        <w:t xml:space="preserve">With irony, Yahweh takes up Ephraim’s self-designation as Israel (v. 3), and notes the mysterious nature of its action, with its double stupidity. It has </w:t>
      </w:r>
      <w:r w:rsidR="00013F82">
        <w:t xml:space="preserve">rebuffed, </w:t>
      </w:r>
      <w:r>
        <w:t>rejected</w:t>
      </w:r>
      <w:r w:rsidR="000C324C">
        <w:t>, spurned, turned away from</w:t>
      </w:r>
      <w:r>
        <w:t xml:space="preserve"> what is good for it</w:t>
      </w:r>
      <w:r w:rsidR="00ED375F">
        <w:t xml:space="preserve"> (see </w:t>
      </w:r>
      <w:r w:rsidR="008B6959">
        <w:t>2:7 [9] and3:5, with</w:t>
      </w:r>
      <w:r w:rsidR="00ED375F">
        <w:t xml:space="preserve"> the comment</w:t>
      </w:r>
      <w:r w:rsidR="008B6959">
        <w:t>s</w:t>
      </w:r>
      <w:r w:rsidR="00ED375F">
        <w:t>) by choosing instead what it thought was good (</w:t>
      </w:r>
      <w:r>
        <w:t xml:space="preserve">4:13). </w:t>
      </w:r>
      <w:r w:rsidR="00013F82">
        <w:t xml:space="preserve">In the First Testament it is nearly always Yahweh who does </w:t>
      </w:r>
      <w:r w:rsidR="009D211F">
        <w:t xml:space="preserve">any </w:t>
      </w:r>
      <w:r w:rsidR="00013F82">
        <w:t xml:space="preserve">“rebuffing,” but the word is </w:t>
      </w:r>
      <w:r w:rsidR="00013F82">
        <w:rPr>
          <w:i/>
        </w:rPr>
        <w:t xml:space="preserve">zānaḥ </w:t>
      </w:r>
      <w:r w:rsidR="00013F82">
        <w:t xml:space="preserve">which is neatly similar to </w:t>
      </w:r>
      <w:r w:rsidR="00013F82">
        <w:rPr>
          <w:i/>
        </w:rPr>
        <w:t>zānāh</w:t>
      </w:r>
      <w:r w:rsidR="00013F82">
        <w:t>, “to whore,”</w:t>
      </w:r>
      <w:r w:rsidR="00013F82">
        <w:rPr>
          <w:i/>
        </w:rPr>
        <w:t xml:space="preserve"> </w:t>
      </w:r>
      <w:r w:rsidR="00013F82">
        <w:t>one of</w:t>
      </w:r>
      <w:r w:rsidR="009D211F">
        <w:t xml:space="preserve"> Hosea’s favorite words. W</w:t>
      </w:r>
      <w:r w:rsidR="00013F82">
        <w:t xml:space="preserve">horing is </w:t>
      </w:r>
      <w:r w:rsidR="009D211F">
        <w:t xml:space="preserve">thus </w:t>
      </w:r>
      <w:r w:rsidR="00013F82">
        <w:t xml:space="preserve">implicitly linked with rebuffing what is good—or even rebuffing the One who is good. </w:t>
      </w:r>
      <w:r w:rsidR="00143567">
        <w:t>And Ephraim</w:t>
      </w:r>
      <w:r w:rsidR="009D211F">
        <w:t xml:space="preserve"> has acted in rebuff</w:t>
      </w:r>
      <w:r w:rsidR="003A6A9C">
        <w:t xml:space="preserve"> even though</w:t>
      </w:r>
      <w:r>
        <w:t xml:space="preserve"> it is and/or will </w:t>
      </w:r>
      <w:r w:rsidR="007B3484">
        <w:t xml:space="preserve">be under pressure from an enemy. </w:t>
      </w:r>
      <w:r w:rsidR="00013F82">
        <w:t xml:space="preserve">Here too </w:t>
      </w:r>
      <w:r w:rsidR="007B3484">
        <w:t>Yahweh leaves open whether the enemy is A</w:t>
      </w:r>
      <w:r w:rsidR="009D211F">
        <w:t>ssyria or whether it is himself, though the ironic taking up and reversing of the idea of pursuit (6:3) would point to the latter.</w:t>
      </w:r>
    </w:p>
    <w:p w:rsidR="00DB6E94" w:rsidRDefault="00A87B5F" w:rsidP="00615D72">
      <w:r>
        <w:t xml:space="preserve">“They made a king” (v. 4a) could refer to recent </w:t>
      </w:r>
      <w:r w:rsidR="003A6A9C">
        <w:t>king-makings</w:t>
      </w:r>
      <w:r w:rsidR="009F6D0E">
        <w:t xml:space="preserve">. </w:t>
      </w:r>
      <w:r w:rsidR="009F6D0E" w:rsidRPr="009F6D0E">
        <w:t xml:space="preserve">Like a Western democracy, Ephraim changes its leadership every few years (see 2 </w:t>
      </w:r>
      <w:r w:rsidR="00D06435">
        <w:t>Kings</w:t>
      </w:r>
      <w:r w:rsidR="009F6D0E" w:rsidRPr="009F6D0E">
        <w:t xml:space="preserve"> 15—17), but it has less right to do </w:t>
      </w:r>
      <w:r w:rsidR="003A6A9C">
        <w:t xml:space="preserve">so </w:t>
      </w:r>
      <w:r w:rsidR="009F6D0E">
        <w:t>as the people of God</w:t>
      </w:r>
      <w:r w:rsidR="003A6A9C">
        <w:t xml:space="preserve">. Yahweh </w:t>
      </w:r>
      <w:r w:rsidR="009F6D0E" w:rsidRPr="009F6D0E">
        <w:t>critique</w:t>
      </w:r>
      <w:r w:rsidR="003A6A9C">
        <w:t>s the self-willed nature of its</w:t>
      </w:r>
      <w:r w:rsidR="003A6A9C" w:rsidRPr="003A6A9C">
        <w:t xml:space="preserve"> action </w:t>
      </w:r>
      <w:r w:rsidR="003A6A9C">
        <w:t>not</w:t>
      </w:r>
      <w:r w:rsidR="009F6D0E" w:rsidRPr="009F6D0E">
        <w:t xml:space="preserve"> t</w:t>
      </w:r>
      <w:r w:rsidR="003A6A9C">
        <w:t>he violence of its coups (he</w:t>
      </w:r>
      <w:r w:rsidR="009F6D0E" w:rsidRPr="009F6D0E">
        <w:t xml:space="preserve"> has been known </w:t>
      </w:r>
      <w:r w:rsidR="009F6D0E">
        <w:t>to commission violence)</w:t>
      </w:r>
      <w:r w:rsidR="009F6D0E" w:rsidRPr="009F6D0E">
        <w:t>.</w:t>
      </w:r>
      <w:r w:rsidR="003A6A9C">
        <w:t xml:space="preserve"> But t</w:t>
      </w:r>
      <w:r>
        <w:t xml:space="preserve">he context with </w:t>
      </w:r>
      <w:r w:rsidR="009F6D0E">
        <w:t xml:space="preserve">its </w:t>
      </w:r>
      <w:r w:rsidR="004A48ED">
        <w:t xml:space="preserve">subsequent </w:t>
      </w:r>
      <w:r>
        <w:t>refer</w:t>
      </w:r>
      <w:r w:rsidR="004A48ED">
        <w:t>ences to Ephraim’s bullock idol</w:t>
      </w:r>
      <w:r w:rsidR="003261FF">
        <w:t xml:space="preserve"> </w:t>
      </w:r>
      <w:r w:rsidR="004A48ED">
        <w:t>makes it more likely that Yahweh refers to</w:t>
      </w:r>
      <w:r>
        <w:t xml:space="preserve"> </w:t>
      </w:r>
      <w:r w:rsidR="003A6A9C">
        <w:t xml:space="preserve">Ephraim’s first king-making, </w:t>
      </w:r>
      <w:r>
        <w:t>even t</w:t>
      </w:r>
      <w:r w:rsidR="004A48ED">
        <w:t xml:space="preserve">hough he had himself </w:t>
      </w:r>
      <w:r w:rsidR="003A6A9C">
        <w:t>designated Jeroboam I</w:t>
      </w:r>
      <w:r w:rsidR="003261FF">
        <w:t>; as far as Ephraim was concerned, designating him was their own idea.</w:t>
      </w:r>
      <w:r w:rsidR="009F6D0E" w:rsidRPr="009F6D0E">
        <w:rPr>
          <w:vertAlign w:val="superscript"/>
        </w:rPr>
        <w:footnoteReference w:id="376"/>
      </w:r>
      <w:r w:rsidR="003261FF">
        <w:t xml:space="preserve"> </w:t>
      </w:r>
      <w:r w:rsidR="009F6D0E">
        <w:t xml:space="preserve"> </w:t>
      </w:r>
      <w:r w:rsidR="004A48ED">
        <w:t>In either case,</w:t>
      </w:r>
      <w:r w:rsidR="00CC083F">
        <w:t xml:space="preserve"> the </w:t>
      </w:r>
      <w:r w:rsidR="004A48ED">
        <w:t xml:space="preserve">entire administration </w:t>
      </w:r>
      <w:r w:rsidR="004A48ED" w:rsidRPr="004A48ED">
        <w:t xml:space="preserve">which would be the means of his coming to power and then would share in power with him </w:t>
      </w:r>
      <w:r w:rsidR="004A48ED">
        <w:t>also</w:t>
      </w:r>
      <w:r w:rsidR="00CC083F">
        <w:t xml:space="preserve"> </w:t>
      </w:r>
      <w:r w:rsidR="003A6A9C">
        <w:t>came from Ephraim</w:t>
      </w:r>
      <w:r>
        <w:t xml:space="preserve"> rather than from Yahweh.</w:t>
      </w:r>
      <w:r w:rsidR="00CC083F">
        <w:t xml:space="preserve"> </w:t>
      </w:r>
      <w:r w:rsidR="003A6A9C">
        <w:t>The</w:t>
      </w:r>
      <w:r w:rsidR="004A48ED">
        <w:t xml:space="preserve"> “o</w:t>
      </w:r>
      <w:r w:rsidR="004A48ED" w:rsidRPr="004A48ED">
        <w:t xml:space="preserve">fficials” </w:t>
      </w:r>
      <w:r w:rsidR="004A48ED">
        <w:t>would include</w:t>
      </w:r>
      <w:r w:rsidR="004A48ED" w:rsidRPr="004A48ED">
        <w:t xml:space="preserve"> members of a king’s staff such as senior priests, secretaries of state, recorder, commander-in-chief, palace administrator, and overseers of the governors and of the conscript labor force (1 Kings 4:1-7).</w:t>
      </w:r>
      <w:r w:rsidR="004A48ED">
        <w:t xml:space="preserve"> Yahweh’s </w:t>
      </w:r>
      <w:r w:rsidR="004A48ED" w:rsidRPr="004A48ED">
        <w:t xml:space="preserve">use of the verb “acknowledge” </w:t>
      </w:r>
      <w:r w:rsidR="004A48ED">
        <w:t>recalls other passages where that</w:t>
      </w:r>
      <w:r w:rsidR="004A48ED" w:rsidRPr="004A48ED">
        <w:t xml:space="preserve"> verb means “designate,” virtually “choose,” notably Amos 3:2 (also Gen</w:t>
      </w:r>
      <w:r w:rsidR="000664DB">
        <w:t>.</w:t>
      </w:r>
      <w:r w:rsidR="004A48ED" w:rsidRPr="004A48ED">
        <w:t xml:space="preserve"> 18:19). </w:t>
      </w:r>
    </w:p>
    <w:p w:rsidR="00704F77" w:rsidRDefault="00704F77" w:rsidP="00615D72"/>
    <w:p w:rsidR="00C728AE" w:rsidRDefault="00704F77" w:rsidP="00615D72">
      <w:r>
        <w:rPr>
          <w:b/>
        </w:rPr>
        <w:t>Hosea 8:4b-6.</w:t>
      </w:r>
      <w:r>
        <w:t xml:space="preserve"> Yahweh moves </w:t>
      </w:r>
      <w:r w:rsidR="004A48ED">
        <w:t>to talk more explicitly of Ephraim’s</w:t>
      </w:r>
      <w:r>
        <w:t xml:space="preserve"> religious practice</w:t>
      </w:r>
      <w:r w:rsidR="00C728AE">
        <w:t xml:space="preserve"> (v. 4b</w:t>
      </w:r>
      <w:r w:rsidR="007A3878">
        <w:t>αβ</w:t>
      </w:r>
      <w:r w:rsidR="00C728AE">
        <w:t>)</w:t>
      </w:r>
      <w:r w:rsidR="00956CEC">
        <w:t>, taking</w:t>
      </w:r>
      <w:r>
        <w:t xml:space="preserve"> up his </w:t>
      </w:r>
      <w:r w:rsidR="00956CEC">
        <w:t xml:space="preserve">earlier condemnation of </w:t>
      </w:r>
      <w:r>
        <w:t>the</w:t>
      </w:r>
      <w:r w:rsidR="00956CEC">
        <w:t>ir use of</w:t>
      </w:r>
      <w:r w:rsidR="003A6A9C">
        <w:t xml:space="preserve"> the silver and gold </w:t>
      </w:r>
      <w:r>
        <w:t>he gave them</w:t>
      </w:r>
      <w:r w:rsidR="003A6A9C">
        <w:t xml:space="preserve"> through</w:t>
      </w:r>
      <w:r>
        <w:t xml:space="preserve"> the flourishing that enabled them to engage in trade </w:t>
      </w:r>
      <w:r w:rsidR="00481367">
        <w:t>(2:8 [10])</w:t>
      </w:r>
      <w:r w:rsidR="004A48ED">
        <w:t xml:space="preserve"> and </w:t>
      </w:r>
      <w:r w:rsidR="00481367">
        <w:t xml:space="preserve">his critique of “idols” (see 4:17 and the </w:t>
      </w:r>
      <w:r w:rsidR="00F14F90">
        <w:t>comments</w:t>
      </w:r>
      <w:r w:rsidR="00481367">
        <w:t>).</w:t>
      </w:r>
      <w:r w:rsidR="00012416">
        <w:t xml:space="preserve"> </w:t>
      </w:r>
    </w:p>
    <w:p w:rsidR="00704F77" w:rsidRDefault="00012416" w:rsidP="00615D72">
      <w:r>
        <w:t>Specificall</w:t>
      </w:r>
      <w:r w:rsidR="00956CEC">
        <w:t>y, h</w:t>
      </w:r>
      <w:r w:rsidR="003A6A9C">
        <w:t>e</w:t>
      </w:r>
      <w:r>
        <w:t xml:space="preserve"> has rejected Ephraim’s bullock image</w:t>
      </w:r>
      <w:r w:rsidR="00C728AE">
        <w:t xml:space="preserve"> (v</w:t>
      </w:r>
      <w:r w:rsidR="007A3878">
        <w:t>v</w:t>
      </w:r>
      <w:r w:rsidR="00C728AE">
        <w:t xml:space="preserve">. </w:t>
      </w:r>
      <w:r w:rsidR="007A3878">
        <w:t>4bγ</w:t>
      </w:r>
      <w:r w:rsidR="00C728AE">
        <w:t>5aα)</w:t>
      </w:r>
      <w:r w:rsidR="004A48ED">
        <w:t>. Whereas t</w:t>
      </w:r>
      <w:r w:rsidR="003261FF">
        <w:t xml:space="preserve">here had </w:t>
      </w:r>
      <w:r w:rsidR="004A48ED">
        <w:t xml:space="preserve">once </w:t>
      </w:r>
      <w:r w:rsidR="003261FF">
        <w:t>been a temple for the Master in Samaria which mi</w:t>
      </w:r>
      <w:r w:rsidR="004A48ED">
        <w:t xml:space="preserve">ght have had such an image, </w:t>
      </w:r>
      <w:r w:rsidR="00D531B8">
        <w:t xml:space="preserve">it had been </w:t>
      </w:r>
      <w:r w:rsidR="003A6A9C">
        <w:t xml:space="preserve">destroyed by Jehu (2 Kings 10), and </w:t>
      </w:r>
      <w:r w:rsidR="003261FF">
        <w:t xml:space="preserve">Hosea </w:t>
      </w:r>
      <w:r w:rsidR="003261FF" w:rsidRPr="003261FF">
        <w:t xml:space="preserve">presumably </w:t>
      </w:r>
      <w:r w:rsidR="003261FF">
        <w:t xml:space="preserve">refers to the </w:t>
      </w:r>
      <w:r w:rsidR="00610BB2">
        <w:t xml:space="preserve">relatively-nearby </w:t>
      </w:r>
      <w:r w:rsidR="003261FF">
        <w:t>bull</w:t>
      </w:r>
      <w:r w:rsidR="0037691B">
        <w:t>ock</w:t>
      </w:r>
      <w:r w:rsidR="003261FF">
        <w:t xml:space="preserve"> image</w:t>
      </w:r>
      <w:r w:rsidR="003261FF" w:rsidRPr="003261FF">
        <w:t xml:space="preserve"> </w:t>
      </w:r>
      <w:r w:rsidR="003261FF">
        <w:t xml:space="preserve">of Yahweh </w:t>
      </w:r>
      <w:r w:rsidR="003261FF" w:rsidRPr="003261FF">
        <w:t>at Beth</w:t>
      </w:r>
      <w:r w:rsidR="00FC3F02">
        <w:t>-</w:t>
      </w:r>
      <w:r w:rsidR="003261FF" w:rsidRPr="003261FF">
        <w:t>el (see 1 Kings 12:28; 2 Kings 17:16</w:t>
      </w:r>
      <w:r w:rsidR="00C05E61">
        <w:t>; also Amos 7:13</w:t>
      </w:r>
      <w:r w:rsidR="003261FF" w:rsidRPr="003261FF">
        <w:t>)</w:t>
      </w:r>
      <w:r w:rsidR="00A260D6">
        <w:t>. Its great importance to the people of Samaria (10</w:t>
      </w:r>
      <w:r w:rsidR="009B31CB">
        <w:t>:</w:t>
      </w:r>
      <w:r w:rsidR="00A260D6">
        <w:t>5) is a further i</w:t>
      </w:r>
      <w:r w:rsidR="00F00E3D">
        <w:t>nd</w:t>
      </w:r>
      <w:r w:rsidR="009B31CB">
        <w:t>ication that there was no sanctuary</w:t>
      </w:r>
      <w:r w:rsidR="00F00E3D">
        <w:t xml:space="preserve"> in Samaria</w:t>
      </w:r>
      <w:r w:rsidR="00461007">
        <w:t>.</w:t>
      </w:r>
      <w:r w:rsidR="003261FF">
        <w:t xml:space="preserve"> </w:t>
      </w:r>
      <w:r w:rsidR="004A48ED">
        <w:t>Failure to me</w:t>
      </w:r>
      <w:r w:rsidR="00C01890">
        <w:t>ntion the bullock</w:t>
      </w:r>
      <w:r w:rsidR="00F40725">
        <w:t xml:space="preserve"> at Dan</w:t>
      </w:r>
      <w:r w:rsidR="00C01890">
        <w:t xml:space="preserve"> might indicate a time when Assyria</w:t>
      </w:r>
      <w:r w:rsidR="00F40725">
        <w:t xml:space="preserve"> had already annexed the northern territories (see 2 Kings 15:29) or might simply </w:t>
      </w:r>
      <w:r w:rsidR="00956CEC">
        <w:t xml:space="preserve">reflect </w:t>
      </w:r>
      <w:r w:rsidR="00F40725">
        <w:t>it</w:t>
      </w:r>
      <w:r w:rsidR="00956CEC">
        <w:t>s location</w:t>
      </w:r>
      <w:r w:rsidR="00F40725">
        <w:t xml:space="preserve"> </w:t>
      </w:r>
      <w:r w:rsidR="00461007">
        <w:t>twice as far away</w:t>
      </w:r>
      <w:r w:rsidR="00F40725">
        <w:t xml:space="preserve"> from Samaria. </w:t>
      </w:r>
      <w:r w:rsidR="00461007">
        <w:t>A</w:t>
      </w:r>
      <w:r w:rsidR="00C7071A">
        <w:t xml:space="preserve">s the capital, </w:t>
      </w:r>
      <w:r>
        <w:t xml:space="preserve">Samaria will </w:t>
      </w:r>
      <w:r w:rsidR="003261FF">
        <w:t xml:space="preserve">then </w:t>
      </w:r>
      <w:r>
        <w:t>stand for Ephraim as a whole</w:t>
      </w:r>
      <w:r w:rsidR="005E6D14">
        <w:t xml:space="preserve">, as it </w:t>
      </w:r>
      <w:r w:rsidR="00956CEC">
        <w:t>may elsewhere</w:t>
      </w:r>
      <w:r w:rsidR="005E6D14">
        <w:t xml:space="preserve"> (7:1; 10:</w:t>
      </w:r>
      <w:r w:rsidR="00956CEC">
        <w:t xml:space="preserve">5, </w:t>
      </w:r>
      <w:r w:rsidR="005E6D14">
        <w:t>7; 13:16</w:t>
      </w:r>
      <w:r w:rsidR="00956CEC">
        <w:t xml:space="preserve"> [14:1]</w:t>
      </w:r>
      <w:r w:rsidR="003261FF">
        <w:t>)</w:t>
      </w:r>
      <w:r>
        <w:t xml:space="preserve">. </w:t>
      </w:r>
      <w:r w:rsidR="00DC16B5">
        <w:t>Bullock images were a common aide</w:t>
      </w:r>
      <w:r w:rsidR="00C7071A">
        <w:t xml:space="preserve"> to worship in Canaan; they need be</w:t>
      </w:r>
      <w:r w:rsidR="00DC16B5">
        <w:t xml:space="preserve"> only a few inches in size, but they could stand for the fo</w:t>
      </w:r>
      <w:r w:rsidR="00C01890">
        <w:t xml:space="preserve">rceful strength of a deity. </w:t>
      </w:r>
      <w:r w:rsidR="00DC16B5">
        <w:t>Yahweh’</w:t>
      </w:r>
      <w:r w:rsidR="00CC7A34">
        <w:t>s rebuff</w:t>
      </w:r>
      <w:r w:rsidR="000946C7">
        <w:t xml:space="preserve"> of</w:t>
      </w:r>
      <w:r w:rsidR="00DC16B5">
        <w:t xml:space="preserve"> such representation means </w:t>
      </w:r>
      <w:r w:rsidR="0096598B">
        <w:t>the bullock must be destroyed.</w:t>
      </w:r>
      <w:r w:rsidR="000946C7">
        <w:t xml:space="preserve"> The allusive form of the “in order that” clause with its passive verb leaves open who will do the destroying</w:t>
      </w:r>
      <w:r w:rsidR="007B6340">
        <w:t>, as the identity of the enemy was left open</w:t>
      </w:r>
      <w:r w:rsidR="00461007">
        <w:t xml:space="preserve"> earlier</w:t>
      </w:r>
      <w:r w:rsidR="000946C7">
        <w:t xml:space="preserve">. Historically it will be </w:t>
      </w:r>
      <w:r w:rsidR="00C01890">
        <w:t>Assyria</w:t>
      </w:r>
      <w:r w:rsidR="000946C7">
        <w:t>, though Yahweh will be the</w:t>
      </w:r>
      <w:r w:rsidR="00C01890">
        <w:t xml:space="preserve"> agent behind Assyria</w:t>
      </w:r>
      <w:r w:rsidR="00461007">
        <w:t xml:space="preserve">. </w:t>
      </w:r>
      <w:r w:rsidR="007B6340">
        <w:t>There is some irony in th</w:t>
      </w:r>
      <w:r w:rsidR="00CC7A34">
        <w:t>e recurrence of the verb “rebuff</w:t>
      </w:r>
      <w:r w:rsidR="007B6340">
        <w:t>” (cf. v. 3)</w:t>
      </w:r>
      <w:r w:rsidR="00CC7A34">
        <w:t>. If</w:t>
      </w:r>
      <w:r w:rsidR="007B6340">
        <w:t xml:space="preserve"> the earli</w:t>
      </w:r>
      <w:r w:rsidR="00CC7A34">
        <w:t>er reference suggested rebuff</w:t>
      </w:r>
      <w:r w:rsidR="007B6340">
        <w:t xml:space="preserve"> of Yahweh a</w:t>
      </w:r>
      <w:r w:rsidR="00CC7A34">
        <w:t xml:space="preserve">s the one who is good, </w:t>
      </w:r>
      <w:r w:rsidR="007B6340">
        <w:t>Yahweh responds w</w:t>
      </w:r>
      <w:r w:rsidR="00CC7A34">
        <w:t xml:space="preserve">ith his own rebuff of </w:t>
      </w:r>
      <w:r w:rsidR="007B6340">
        <w:t>something bad.</w:t>
      </w:r>
      <w:r w:rsidR="00C01890">
        <w:t xml:space="preserve"> The verse then leaves </w:t>
      </w:r>
      <w:r w:rsidR="00461007" w:rsidRPr="00461007">
        <w:t xml:space="preserve">Ephraim </w:t>
      </w:r>
      <w:r w:rsidR="00C01890">
        <w:t xml:space="preserve">free </w:t>
      </w:r>
      <w:r w:rsidR="00461007" w:rsidRPr="00461007">
        <w:t>t</w:t>
      </w:r>
      <w:r w:rsidR="00C01890">
        <w:t>o decide that it will do the destroying</w:t>
      </w:r>
      <w:r w:rsidR="00461007" w:rsidRPr="00461007">
        <w:t xml:space="preserve"> in ligh</w:t>
      </w:r>
      <w:r w:rsidR="00C01890">
        <w:t>t of this</w:t>
      </w:r>
      <w:r w:rsidR="00461007" w:rsidRPr="00461007">
        <w:t xml:space="preserve"> rebuff. </w:t>
      </w:r>
    </w:p>
    <w:p w:rsidR="000946C7" w:rsidRDefault="00461007" w:rsidP="00615D72">
      <w:r>
        <w:t>Yahweh’s further declaration (v. 5aβb) takes the point further</w:t>
      </w:r>
      <w:r w:rsidR="00F43C9E">
        <w:t>, while also hinting that the declaration is</w:t>
      </w:r>
      <w:r w:rsidR="003D50F3">
        <w:t xml:space="preserve"> </w:t>
      </w:r>
      <w:r w:rsidR="003D50F3" w:rsidRPr="003D50F3">
        <w:t>an</w:t>
      </w:r>
      <w:r w:rsidR="00F43C9E">
        <w:t>other</w:t>
      </w:r>
      <w:r w:rsidR="003D50F3" w:rsidRPr="003D50F3">
        <w:t xml:space="preserve"> answer to </w:t>
      </w:r>
      <w:r w:rsidR="00F43C9E">
        <w:t>Ephraim’s own protests to Yahweh along the lines of</w:t>
      </w:r>
      <w:r w:rsidR="003D50F3" w:rsidRPr="003D50F3">
        <w:t xml:space="preserve"> “</w:t>
      </w:r>
      <w:r w:rsidR="00013F82">
        <w:t xml:space="preserve">Why have you rebuffed us? </w:t>
      </w:r>
      <w:r w:rsidR="003D50F3" w:rsidRPr="003D50F3">
        <w:t>You</w:t>
      </w:r>
      <w:r w:rsidR="00013F82">
        <w:t>r anger has blazed against us.  H</w:t>
      </w:r>
      <w:r w:rsidR="003D50F3" w:rsidRPr="003D50F3">
        <w:t>ow long?”</w:t>
      </w:r>
      <w:r w:rsidR="000946C7">
        <w:t xml:space="preserve"> </w:t>
      </w:r>
      <w:r w:rsidR="00F43C9E">
        <w:t>If Ephraim</w:t>
      </w:r>
      <w:r w:rsidR="007644E1">
        <w:t xml:space="preserve"> has been protesting thus</w:t>
      </w:r>
      <w:r w:rsidR="00F43C9E">
        <w:t xml:space="preserve">, </w:t>
      </w:r>
      <w:r w:rsidR="00013F82">
        <w:t>Yahweh ha</w:t>
      </w:r>
      <w:r w:rsidR="00F43C9E">
        <w:t>s responded to the first question</w:t>
      </w:r>
      <w:r w:rsidR="00013F82">
        <w:t xml:space="preserve"> </w:t>
      </w:r>
      <w:r w:rsidR="00CC7A34">
        <w:t xml:space="preserve">in v 5aα; </w:t>
      </w:r>
      <w:r w:rsidR="00C05E61">
        <w:t>g</w:t>
      </w:r>
      <w:r w:rsidR="000946C7">
        <w:t xml:space="preserve">iven </w:t>
      </w:r>
      <w:r w:rsidR="00CC7A34">
        <w:t>that hi</w:t>
      </w:r>
      <w:r w:rsidR="00620610">
        <w:t xml:space="preserve">s anger has </w:t>
      </w:r>
      <w:r w:rsidR="00CC7A34">
        <w:t xml:space="preserve">indeed </w:t>
      </w:r>
      <w:r w:rsidR="00620610">
        <w:t>bl</w:t>
      </w:r>
      <w:r w:rsidR="00DE6003">
        <w:t>a</w:t>
      </w:r>
      <w:r w:rsidR="00620610">
        <w:t>zed up against them (but not yet totally consumed them</w:t>
      </w:r>
      <w:r w:rsidR="003D50F3">
        <w:t xml:space="preserve">), </w:t>
      </w:r>
      <w:r w:rsidR="007644E1" w:rsidRPr="007644E1">
        <w:t>he fur</w:t>
      </w:r>
      <w:r w:rsidR="007644E1">
        <w:t>ther asks</w:t>
      </w:r>
      <w:r w:rsidR="007644E1" w:rsidRPr="007644E1">
        <w:t xml:space="preserve"> </w:t>
      </w:r>
      <w:r w:rsidR="007644E1">
        <w:t xml:space="preserve">why </w:t>
      </w:r>
      <w:r w:rsidR="003D50F3">
        <w:t>they decline to turn from their wrongdoing and thus be</w:t>
      </w:r>
      <w:r w:rsidR="00F43C9E">
        <w:t>come</w:t>
      </w:r>
      <w:r w:rsidR="003D50F3">
        <w:t xml:space="preserve"> free of guilt</w:t>
      </w:r>
      <w:r w:rsidR="00620A12">
        <w:t>, able to be acquitted</w:t>
      </w:r>
      <w:r w:rsidR="003D50F3">
        <w:t>?</w:t>
      </w:r>
      <w:r w:rsidR="00DE6003">
        <w:t xml:space="preserve"> </w:t>
      </w:r>
      <w:r w:rsidR="00C7071A">
        <w:t>Th</w:t>
      </w:r>
      <w:r w:rsidR="00F43C9E">
        <w:t xml:space="preserve">ey need to be able to </w:t>
      </w:r>
      <w:r w:rsidR="00C7071A">
        <w:t xml:space="preserve">claim </w:t>
      </w:r>
      <w:r w:rsidR="00F43C9E">
        <w:t xml:space="preserve">a commitment to Yahweh’s ways </w:t>
      </w:r>
      <w:r w:rsidR="00C7071A">
        <w:t>in order to pray in a way that</w:t>
      </w:r>
      <w:r w:rsidR="007644E1">
        <w:t xml:space="preserve"> can expect an answer (e.g., Ps</w:t>
      </w:r>
      <w:r w:rsidR="00C7071A">
        <w:t xml:space="preserve">. 26:6). </w:t>
      </w:r>
      <w:r w:rsidR="00F43C9E">
        <w:t>Why they won’t do so is</w:t>
      </w:r>
      <w:r w:rsidR="003D50F3">
        <w:t xml:space="preserve"> </w:t>
      </w:r>
      <w:r w:rsidR="00DE6003">
        <w:t>a mystery even to Yahweh</w:t>
      </w:r>
      <w:r w:rsidR="003D50F3">
        <w:t xml:space="preserve"> (cf. Isa. 1:5, 16-17)</w:t>
      </w:r>
      <w:r w:rsidR="00DE6003">
        <w:t xml:space="preserve">. </w:t>
      </w:r>
      <w:r w:rsidR="003D50F3">
        <w:t>But by implication, the possibility is still open.</w:t>
      </w:r>
    </w:p>
    <w:p w:rsidR="00F8236D" w:rsidRDefault="00F8236D" w:rsidP="00615D72">
      <w:r>
        <w:t xml:space="preserve">The subsection returns to where it started (v. </w:t>
      </w:r>
      <w:r w:rsidR="00620A12">
        <w:t>6)—that is, vv. 4b-6 work aba. T</w:t>
      </w:r>
      <w:r w:rsidR="00620A12" w:rsidRPr="00620A12">
        <w:t>he bullock came from Israel itself</w:t>
      </w:r>
      <w:r w:rsidR="00620A12">
        <w:t>:</w:t>
      </w:r>
      <w:r w:rsidR="00620A12" w:rsidRPr="00620A12">
        <w:t xml:space="preserve"> </w:t>
      </w:r>
      <w:r w:rsidR="00620A12">
        <w:t>w</w:t>
      </w:r>
      <w:r>
        <w:t>hy can’</w:t>
      </w:r>
      <w:r w:rsidR="00620A12">
        <w:t>t people face the implications</w:t>
      </w:r>
      <w:r>
        <w:t>? It was made by a craftsman</w:t>
      </w:r>
      <w:r w:rsidR="009C5746">
        <w:t xml:space="preserve"> (cf. 13:2)</w:t>
      </w:r>
      <w:r>
        <w:t>. How t</w:t>
      </w:r>
      <w:r w:rsidR="007644E1">
        <w:t>he</w:t>
      </w:r>
      <w:r w:rsidR="00F43C9E">
        <w:t>n can it be a god? I</w:t>
      </w:r>
      <w:r>
        <w:t>n the</w:t>
      </w:r>
      <w:r w:rsidR="007644E1">
        <w:t>ory the Ephraimites knew it wasn’</w:t>
      </w:r>
      <w:r>
        <w:t xml:space="preserve">t a </w:t>
      </w:r>
      <w:r w:rsidR="00F43C9E">
        <w:t>god; it simply stood for Yahweh</w:t>
      </w:r>
      <w:r>
        <w:t xml:space="preserve"> or provided them with a visual aid that </w:t>
      </w:r>
      <w:r w:rsidR="00F43C9E">
        <w:t>suggested Yahweh’s reality</w:t>
      </w:r>
      <w:r w:rsidR="001E7820">
        <w:t xml:space="preserve"> or provided a podium</w:t>
      </w:r>
      <w:r w:rsidR="00434FB5">
        <w:t xml:space="preserve"> for the invisible Yahweh</w:t>
      </w:r>
      <w:r>
        <w:t xml:space="preserve">. But </w:t>
      </w:r>
      <w:r w:rsidR="007644E1">
        <w:t>Jeroboam had said “H</w:t>
      </w:r>
      <w:r w:rsidR="00A13E6B">
        <w:t>ere is</w:t>
      </w:r>
      <w:r w:rsidR="00620A12">
        <w:t>/are</w:t>
      </w:r>
      <w:r w:rsidR="00A13E6B">
        <w:t xml:space="preserve"> your god</w:t>
      </w:r>
      <w:r w:rsidR="00620A12">
        <w:t>[s]</w:t>
      </w:r>
      <w:r w:rsidR="00A13E6B">
        <w:t xml:space="preserve">/God” </w:t>
      </w:r>
      <w:r w:rsidR="00F43C9E">
        <w:t>(1 Kings 12:28). I</w:t>
      </w:r>
      <w:r>
        <w:t>t takes a degree of sophisticati</w:t>
      </w:r>
      <w:r w:rsidR="00A13E6B">
        <w:t>on to keep remembering that the image is simply a representation or podium and to avoid forgetting how</w:t>
      </w:r>
      <w:r>
        <w:t xml:space="preserve"> an image gives a misleading impression of true deity. </w:t>
      </w:r>
      <w:r w:rsidR="004654B8">
        <w:t xml:space="preserve">Its shattering will both result from </w:t>
      </w:r>
      <w:r w:rsidR="00620A12">
        <w:t xml:space="preserve">its not being a god </w:t>
      </w:r>
      <w:r w:rsidR="004654B8">
        <w:t>and show that it is not a god.</w:t>
      </w:r>
    </w:p>
    <w:p w:rsidR="004654B8" w:rsidRDefault="004654B8" w:rsidP="00615D72"/>
    <w:p w:rsidR="009D1B3D" w:rsidRDefault="004654B8" w:rsidP="00615D72">
      <w:r>
        <w:rPr>
          <w:b/>
        </w:rPr>
        <w:t xml:space="preserve">Hosea 8:7-10. </w:t>
      </w:r>
      <w:r w:rsidR="00BF2718">
        <w:t xml:space="preserve">Yahweh moves to his further preoccupation through Hosea, Ephraim’s involvement with other nations. </w:t>
      </w:r>
      <w:r w:rsidR="007644E1">
        <w:t>V</w:t>
      </w:r>
      <w:r w:rsidR="009D1B3D" w:rsidRPr="009D1B3D">
        <w:t xml:space="preserve">v. 7-10 work aba like vv. 4b-6, with warnings of trouble bracketing an account of the reason for it. </w:t>
      </w:r>
    </w:p>
    <w:p w:rsidR="0074536C" w:rsidRPr="005F1138" w:rsidRDefault="00620A12" w:rsidP="00615D72">
      <w:r>
        <w:t>T</w:t>
      </w:r>
      <w:r w:rsidR="009D1B3D">
        <w:t xml:space="preserve">he </w:t>
      </w:r>
      <w:r>
        <w:t>opening line</w:t>
      </w:r>
      <w:r w:rsidR="00570AD6">
        <w:t xml:space="preserve"> </w:t>
      </w:r>
      <w:r w:rsidR="0074536C">
        <w:t xml:space="preserve">(v. 7a) </w:t>
      </w:r>
      <w:r w:rsidR="00A13E6B">
        <w:t xml:space="preserve">looks like a </w:t>
      </w:r>
      <w:r>
        <w:t>saying related to but</w:t>
      </w:r>
      <w:r w:rsidR="00A13E6B">
        <w:t xml:space="preserve"> more threatening</w:t>
      </w:r>
      <w:r>
        <w:t xml:space="preserve"> than the</w:t>
      </w:r>
      <w:r w:rsidRPr="00620A12">
        <w:t xml:space="preserve"> aphorism</w:t>
      </w:r>
      <w:r>
        <w:t xml:space="preserve"> </w:t>
      </w:r>
      <w:r w:rsidRPr="00620A12">
        <w:t>“You reap what you sow</w:t>
      </w:r>
      <w:r>
        <w:t xml:space="preserve">.” </w:t>
      </w:r>
      <w:r w:rsidR="00A13E6B">
        <w:t>Ephraim is stirring up trouble for itself</w:t>
      </w:r>
      <w:r w:rsidR="007B3484">
        <w:t>.</w:t>
      </w:r>
      <w:r w:rsidR="00570AD6" w:rsidRPr="00570AD6">
        <w:rPr>
          <w:vertAlign w:val="superscript"/>
        </w:rPr>
        <w:footnoteReference w:id="377"/>
      </w:r>
      <w:r w:rsidR="007B3484">
        <w:t xml:space="preserve"> </w:t>
      </w:r>
      <w:r w:rsidR="009D1B3D">
        <w:t>While Hosea’s hearers could simply understand the aphorism as a metaphor  with this implication, they might be familiar with the accusation that</w:t>
      </w:r>
      <w:r w:rsidR="00CB0397" w:rsidRPr="00CB0397">
        <w:t xml:space="preserve"> </w:t>
      </w:r>
      <w:r w:rsidR="009D1B3D">
        <w:t>images</w:t>
      </w:r>
      <w:r w:rsidR="00CB0397" w:rsidRPr="00CB0397">
        <w:t xml:space="preserve"> are merely </w:t>
      </w:r>
      <w:r w:rsidR="00CB0397" w:rsidRPr="00CB0397">
        <w:rPr>
          <w:i/>
        </w:rPr>
        <w:t>rûaḥ</w:t>
      </w:r>
      <w:r w:rsidR="00CB0397" w:rsidRPr="00CB0397">
        <w:t xml:space="preserve"> in the sense of breath (e.g., Isa. 41:29)</w:t>
      </w:r>
      <w:r w:rsidR="009D1B3D">
        <w:t>, so they</w:t>
      </w:r>
      <w:r w:rsidR="005F1138">
        <w:t xml:space="preserve"> could </w:t>
      </w:r>
      <w:r w:rsidR="00CB0397" w:rsidRPr="00CB0397">
        <w:t>think in terms of sowing mere breath</w:t>
      </w:r>
      <w:r w:rsidR="005F1138">
        <w:t>, which</w:t>
      </w:r>
      <w:r w:rsidR="00923D5A">
        <w:t xml:space="preserve"> will issue in a terrible harvest.</w:t>
      </w:r>
      <w:r w:rsidR="005F1138">
        <w:t xml:space="preserve"> </w:t>
      </w:r>
      <w:r w:rsidR="00CC7A34">
        <w:t xml:space="preserve">Either way, sowing </w:t>
      </w:r>
      <w:r w:rsidR="00CC7A34" w:rsidRPr="00CC7A34">
        <w:rPr>
          <w:i/>
        </w:rPr>
        <w:t>rûaḥ</w:t>
      </w:r>
      <w:r w:rsidR="00CC7A34" w:rsidRPr="00CC7A34">
        <w:t xml:space="preserve"> </w:t>
      </w:r>
      <w:r w:rsidR="00CC7A34">
        <w:t xml:space="preserve">is </w:t>
      </w:r>
      <w:r w:rsidR="00CC7A34">
        <w:lastRenderedPageBreak/>
        <w:t>“unnaturally foolish.”</w:t>
      </w:r>
      <w:r w:rsidR="00CC7A34">
        <w:rPr>
          <w:rStyle w:val="FootnoteReference"/>
        </w:rPr>
        <w:footnoteReference w:id="378"/>
      </w:r>
      <w:r w:rsidR="00CC7A34">
        <w:t xml:space="preserve"> </w:t>
      </w:r>
      <w:r w:rsidR="009D1B3D">
        <w:t>Further,</w:t>
      </w:r>
      <w:r w:rsidR="005F1138">
        <w:t xml:space="preserve"> these hearers are possessed by a whoring </w:t>
      </w:r>
      <w:r w:rsidR="005F1138" w:rsidRPr="005F1138">
        <w:rPr>
          <w:i/>
        </w:rPr>
        <w:t>rûaḥ</w:t>
      </w:r>
      <w:r w:rsidR="005F1138">
        <w:t xml:space="preserve">, </w:t>
      </w:r>
      <w:r w:rsidR="009D1B3D">
        <w:t xml:space="preserve">and </w:t>
      </w:r>
      <w:r w:rsidR="005F1138">
        <w:t>Hosea could be inviting them to see ho</w:t>
      </w:r>
      <w:r w:rsidR="009D1B3D">
        <w:t>w its wings will carry them off (see 4:12, 19).</w:t>
      </w:r>
    </w:p>
    <w:p w:rsidR="004654B8" w:rsidRDefault="0074536C" w:rsidP="00615D72">
      <w:r>
        <w:t>A second apparent aphorism follows (v. 7bαβ), another observation based on experience and appealing to the way nature works,</w:t>
      </w:r>
      <w:r w:rsidR="007644E1">
        <w:t xml:space="preserve"> but in</w:t>
      </w:r>
      <w:r>
        <w:t xml:space="preserve"> a more down-to-earth asp</w:t>
      </w:r>
      <w:r w:rsidR="007644E1">
        <w:t xml:space="preserve">ect. To </w:t>
      </w:r>
      <w:r w:rsidR="009D1B3D">
        <w:t>westerner</w:t>
      </w:r>
      <w:r w:rsidR="007644E1">
        <w:t>s</w:t>
      </w:r>
      <w:r w:rsidR="009D1B3D">
        <w:t xml:space="preserve"> the second aphorism</w:t>
      </w:r>
      <w:r>
        <w:t xml:space="preserve"> may not seem as fright</w:t>
      </w:r>
      <w:r w:rsidR="009D1B3D">
        <w:t>en</w:t>
      </w:r>
      <w:r w:rsidR="00620A12">
        <w:t xml:space="preserve">ing as the first, but </w:t>
      </w:r>
      <w:r>
        <w:t>it may</w:t>
      </w:r>
      <w:r w:rsidR="00620A12">
        <w:t xml:space="preserve"> be even more so. In</w:t>
      </w:r>
      <w:r w:rsidR="009D1B3D">
        <w:t xml:space="preserve"> nature</w:t>
      </w:r>
      <w:r w:rsidR="00620A12">
        <w:t>,</w:t>
      </w:r>
      <w:r>
        <w:t xml:space="preserve"> first there are stal</w:t>
      </w:r>
      <w:r w:rsidR="009441E6">
        <w:t>ks of wheat</w:t>
      </w:r>
      <w:r w:rsidR="00C35D30">
        <w:t xml:space="preserve">, then these stalks sprout </w:t>
      </w:r>
      <w:r w:rsidR="004F4589">
        <w:t xml:space="preserve">ears </w:t>
      </w:r>
      <w:r>
        <w:t>from</w:t>
      </w:r>
      <w:r w:rsidR="004F4589">
        <w:t xml:space="preserve"> which the grain comes, then people</w:t>
      </w:r>
      <w:r w:rsidR="007644E1">
        <w:t xml:space="preserve"> </w:t>
      </w:r>
      <w:r>
        <w:t>harvest it an</w:t>
      </w:r>
      <w:r w:rsidR="007644E1">
        <w:t>d produce flour, then</w:t>
      </w:r>
      <w:r w:rsidR="004F4589">
        <w:t xml:space="preserve"> they have the wherewithal for thei</w:t>
      </w:r>
      <w:r>
        <w:t>r staple, bread, for the next year. But if in the sp</w:t>
      </w:r>
      <w:r w:rsidR="00C35D30">
        <w:t>ring you see nothing sprouting</w:t>
      </w:r>
      <w:r>
        <w:t xml:space="preserve"> on the stalks, you receive a horrifying warning that there will be no harvest, no flour, no bread. </w:t>
      </w:r>
      <w:r w:rsidR="00C35D30">
        <w:t>The paronomasia between stalk (</w:t>
      </w:r>
      <w:r w:rsidR="00C35D30">
        <w:rPr>
          <w:i/>
        </w:rPr>
        <w:t>qāmāh</w:t>
      </w:r>
      <w:r w:rsidR="00C35D30">
        <w:t>), sprouting</w:t>
      </w:r>
      <w:r w:rsidR="004F4589">
        <w:t xml:space="preserve"> or flower</w:t>
      </w:r>
      <w:r w:rsidR="00C35D30">
        <w:t xml:space="preserve"> (</w:t>
      </w:r>
      <w:r w:rsidR="00C35D30">
        <w:rPr>
          <w:i/>
        </w:rPr>
        <w:t>ṣemaḥ</w:t>
      </w:r>
      <w:r w:rsidR="00C35D30">
        <w:t>), and flour (</w:t>
      </w:r>
      <w:r w:rsidR="00C35D30">
        <w:rPr>
          <w:i/>
        </w:rPr>
        <w:t>qemaḥ</w:t>
      </w:r>
      <w:r w:rsidR="00C35D30">
        <w:t>)</w:t>
      </w:r>
      <w:r w:rsidR="004F4589">
        <w:rPr>
          <w:rStyle w:val="FootnoteReference"/>
        </w:rPr>
        <w:footnoteReference w:id="379"/>
      </w:r>
      <w:r w:rsidR="00C35D30">
        <w:t xml:space="preserve"> underlines the point. The three</w:t>
      </w:r>
      <w:r w:rsidR="007644E1">
        <w:t xml:space="preserve"> are linked in sound and </w:t>
      </w:r>
      <w:r w:rsidR="00C35D30">
        <w:t>in nature, but the link in nature can break down and belie the link in sound. The implication in light of what has preceded is that it is</w:t>
      </w:r>
      <w:r w:rsidR="004C00E3">
        <w:t xml:space="preserve"> evident (to anyone with eyes to see)</w:t>
      </w:r>
      <w:r w:rsidR="00C35D30">
        <w:t xml:space="preserve"> and inevitable that Ephraim has no future.</w:t>
      </w:r>
      <w:r w:rsidR="004F4589">
        <w:t xml:space="preserve"> The way things work in nature is the way they work in life.</w:t>
      </w:r>
    </w:p>
    <w:p w:rsidR="00B66BE8" w:rsidRDefault="004C00E3" w:rsidP="00615D72">
      <w:r>
        <w:t xml:space="preserve">Yahweh </w:t>
      </w:r>
      <w:r w:rsidR="009D1B3D">
        <w:t xml:space="preserve">then </w:t>
      </w:r>
      <w:r>
        <w:t xml:space="preserve">takes the </w:t>
      </w:r>
      <w:r w:rsidR="009D1B3D">
        <w:t xml:space="preserve">aphorism’s application </w:t>
      </w:r>
      <w:r>
        <w:t>in a different direction (v</w:t>
      </w:r>
      <w:r w:rsidR="00503154">
        <w:t>v</w:t>
      </w:r>
      <w:r>
        <w:t>. 7bγ-8a)</w:t>
      </w:r>
      <w:r w:rsidR="008A4429" w:rsidRPr="008A4429">
        <w:t>—indeed, in two</w:t>
      </w:r>
      <w:r w:rsidR="00B66BE8">
        <w:t>—as Hosea characteristically reverts from threat to lament.</w:t>
      </w:r>
      <w:r w:rsidR="00B66BE8">
        <w:rPr>
          <w:rStyle w:val="FootnoteReference"/>
        </w:rPr>
        <w:footnoteReference w:id="380"/>
      </w:r>
      <w:r w:rsidR="00B66BE8">
        <w:t xml:space="preserve"> </w:t>
      </w:r>
      <w:r w:rsidR="00C3583E">
        <w:t>The first colon understand</w:t>
      </w:r>
      <w:r>
        <w:t>s the aphorism more literally. If Ephraim’s harvest is actually good (now or in the future</w:t>
      </w:r>
      <w:r w:rsidR="00F66579">
        <w:t>)</w:t>
      </w:r>
      <w:r w:rsidR="00C3583E">
        <w:t>, it won’t do Ephraim any benefit</w:t>
      </w:r>
      <w:r>
        <w:t xml:space="preserve">, because </w:t>
      </w:r>
      <w:r w:rsidR="00E81A5F">
        <w:t xml:space="preserve">invaders </w:t>
      </w:r>
      <w:r w:rsidR="00C3583E">
        <w:t xml:space="preserve">will </w:t>
      </w:r>
      <w:r w:rsidR="00E81A5F">
        <w:t xml:space="preserve">eat it up. It happens literally, when an army invades and appropriates its </w:t>
      </w:r>
      <w:r w:rsidR="004F4607">
        <w:t xml:space="preserve">victims’ food supplies. It </w:t>
      </w:r>
      <w:r w:rsidR="00E81A5F">
        <w:t xml:space="preserve">happens in a broader sense metaphorically. </w:t>
      </w:r>
      <w:r w:rsidR="00F66579">
        <w:t>And it has already happened (see 2 Kings 15:29).</w:t>
      </w:r>
    </w:p>
    <w:p w:rsidR="002445A2" w:rsidRDefault="00E81A5F" w:rsidP="00615D72">
      <w:r>
        <w:t xml:space="preserve">The nations </w:t>
      </w:r>
      <w:r w:rsidR="002445A2">
        <w:t xml:space="preserve">(v. 8b) </w:t>
      </w:r>
      <w:r>
        <w:t>to whom</w:t>
      </w:r>
      <w:r w:rsidR="00620A12">
        <w:t xml:space="preserve"> Ephraim has paid tribute </w:t>
      </w:r>
      <w:r>
        <w:t>to get their support and protec</w:t>
      </w:r>
      <w:r w:rsidR="00C3583E">
        <w:t>tion have thereby eaten up Ephraim’s</w:t>
      </w:r>
      <w:r w:rsidR="004F4607">
        <w:t xml:space="preserve"> resources, s</w:t>
      </w:r>
      <w:r>
        <w:t>o in the eyes of such nations Ephraim is like a cardboard box that one discards aft</w:t>
      </w:r>
      <w:r w:rsidR="002445A2">
        <w:t>er removing the contents</w:t>
      </w:r>
      <w:r>
        <w:t xml:space="preserve">. </w:t>
      </w:r>
      <w:r w:rsidR="00CE1BE2">
        <w:t>The First Testament’s frequen</w:t>
      </w:r>
      <w:r w:rsidR="004F4607">
        <w:t>t reference to what Yahweh “desire</w:t>
      </w:r>
      <w:r w:rsidR="00CE1BE2">
        <w:t>s</w:t>
      </w:r>
      <w:r w:rsidR="004F4607">
        <w:t>/wants</w:t>
      </w:r>
      <w:r w:rsidR="00CE1BE2">
        <w:t>” (e.g., 6:6; Mic. 7:18) might make the h</w:t>
      </w:r>
      <w:r w:rsidR="00C3583E">
        <w:t>earers also wonder whether he is the one who has</w:t>
      </w:r>
      <w:r w:rsidR="00CE1BE2">
        <w:t xml:space="preserve"> no desire for them.</w:t>
      </w:r>
      <w:r w:rsidR="002445A2">
        <w:t xml:space="preserve"> </w:t>
      </w:r>
    </w:p>
    <w:p w:rsidR="009409A0" w:rsidRDefault="002445A2" w:rsidP="00615D72">
      <w:r>
        <w:t>T</w:t>
      </w:r>
      <w:r w:rsidRPr="002445A2">
        <w:t xml:space="preserve">he allusion to Assyria (v. 9a) </w:t>
      </w:r>
      <w:r w:rsidR="00D87F27">
        <w:t>suggests that this is a</w:t>
      </w:r>
      <w:r>
        <w:t xml:space="preserve"> </w:t>
      </w:r>
      <w:r w:rsidR="00D87F27">
        <w:t>passage</w:t>
      </w:r>
      <w:r>
        <w:t xml:space="preserve"> where “t</w:t>
      </w:r>
      <w:r w:rsidR="00E81A5F">
        <w:t>he nations”</w:t>
      </w:r>
      <w:r w:rsidR="00695681">
        <w:t xml:space="preserve"> specifically denote</w:t>
      </w:r>
      <w:r>
        <w:t>s the imperial power</w:t>
      </w:r>
      <w:r w:rsidR="00D87F27">
        <w:t xml:space="preserve">. Hosea 7:11 has already referred to Ephraim </w:t>
      </w:r>
      <w:r w:rsidR="009409A0">
        <w:t>“</w:t>
      </w:r>
      <w:r w:rsidR="00D87F27">
        <w:t>going</w:t>
      </w:r>
      <w:r w:rsidR="009409A0">
        <w:t>”</w:t>
      </w:r>
      <w:r w:rsidR="00D87F27">
        <w:t xml:space="preserve"> to Assyria (see the </w:t>
      </w:r>
      <w:r w:rsidR="00F14F90">
        <w:t>comments</w:t>
      </w:r>
      <w:r w:rsidR="00D87F27">
        <w:t>)</w:t>
      </w:r>
      <w:r>
        <w:t xml:space="preserve">. </w:t>
      </w:r>
      <w:r w:rsidR="00E81A5F">
        <w:t xml:space="preserve"> </w:t>
      </w:r>
      <w:r w:rsidR="00695681">
        <w:t>Second Ki</w:t>
      </w:r>
      <w:r w:rsidR="00D87F27">
        <w:t>ngs 15—17 doesn’</w:t>
      </w:r>
      <w:r>
        <w:t>t speak of</w:t>
      </w:r>
      <w:r w:rsidR="00695681">
        <w:t xml:space="preserve"> Ephraim se</w:t>
      </w:r>
      <w:r w:rsidR="00D87F27">
        <w:t>nding delegations there</w:t>
      </w:r>
      <w:r w:rsidR="00695681">
        <w:t xml:space="preserve"> (it does </w:t>
      </w:r>
      <w:r w:rsidR="00CE1BE2">
        <w:t>refer to Judah doing so), but it</w:t>
      </w:r>
      <w:r>
        <w:t xml:space="preserve"> does speak of</w:t>
      </w:r>
      <w:r w:rsidR="00C01890">
        <w:t xml:space="preserve"> </w:t>
      </w:r>
      <w:r w:rsidR="00695681">
        <w:t xml:space="preserve">paying tribute to </w:t>
      </w:r>
      <w:r w:rsidR="00C01890">
        <w:t>Assyria</w:t>
      </w:r>
      <w:r w:rsidR="009409A0">
        <w:t xml:space="preserve">, and both the “going” </w:t>
      </w:r>
      <w:r w:rsidR="00D87F27">
        <w:t>and the “going up” might refer to dealings with the Assyrians during one of their invasions rather than a journey to Assyria itself</w:t>
      </w:r>
      <w:r w:rsidR="00695681">
        <w:t>.</w:t>
      </w:r>
      <w:r w:rsidR="00503154">
        <w:t xml:space="preserve"> </w:t>
      </w:r>
      <w:r>
        <w:t xml:space="preserve">In </w:t>
      </w:r>
      <w:r w:rsidR="00D87F27">
        <w:t>its dealings with Assyria</w:t>
      </w:r>
      <w:r>
        <w:t xml:space="preserve">, </w:t>
      </w:r>
      <w:r w:rsidR="00503154">
        <w:t>Ephraim (</w:t>
      </w:r>
      <w:r w:rsidR="00503154" w:rsidRPr="00503154">
        <w:rPr>
          <w:i/>
        </w:rPr>
        <w:t>’Eprayim</w:t>
      </w:r>
      <w:r w:rsidR="00503154">
        <w:t>)</w:t>
      </w:r>
      <w:r w:rsidR="00503154" w:rsidRPr="00503154">
        <w:t xml:space="preserve"> </w:t>
      </w:r>
      <w:r w:rsidR="00D87F27">
        <w:t>behaves like a</w:t>
      </w:r>
      <w:r w:rsidR="00503154">
        <w:t xml:space="preserve"> wild donkey (</w:t>
      </w:r>
      <w:r w:rsidR="00503154">
        <w:rPr>
          <w:i/>
        </w:rPr>
        <w:t>pere’</w:t>
      </w:r>
      <w:r w:rsidR="00503154">
        <w:t>), not susceptible to control, going it alone.</w:t>
      </w:r>
      <w:r>
        <w:t xml:space="preserve"> </w:t>
      </w:r>
    </w:p>
    <w:p w:rsidR="009409A0" w:rsidRDefault="002445A2" w:rsidP="00615D72">
      <w:r>
        <w:t xml:space="preserve">Or in thus paying tribute </w:t>
      </w:r>
      <w:r w:rsidR="00503154">
        <w:t>to get protection and support</w:t>
      </w:r>
      <w:r w:rsidR="009409A0">
        <w:t xml:space="preserve"> </w:t>
      </w:r>
      <w:r w:rsidR="009409A0" w:rsidRPr="009409A0">
        <w:t>(vv. 9b-10aα</w:t>
      </w:r>
      <w:r w:rsidR="009409A0">
        <w:t>)</w:t>
      </w:r>
      <w:r w:rsidR="0018039F">
        <w:t>, Ephra</w:t>
      </w:r>
      <w:r w:rsidR="001D6268">
        <w:t>im</w:t>
      </w:r>
      <w:r w:rsidR="00503154">
        <w:t xml:space="preserve"> </w:t>
      </w:r>
      <w:r w:rsidR="001D6268">
        <w:t>is</w:t>
      </w:r>
      <w:r w:rsidR="00C75E9D">
        <w:t xml:space="preserve"> like a man </w:t>
      </w:r>
      <w:r w:rsidR="00D108D9">
        <w:t>making</w:t>
      </w:r>
      <w:r w:rsidR="00C75E9D">
        <w:t xml:space="preserve"> a </w:t>
      </w:r>
      <w:r w:rsidR="00D108D9">
        <w:t>“</w:t>
      </w:r>
      <w:r w:rsidR="00C75E9D">
        <w:t>gift” to a prostitute</w:t>
      </w:r>
      <w:r w:rsidR="008B42A5">
        <w:t>: e</w:t>
      </w:r>
      <w:r w:rsidR="001D6268">
        <w:t>xcept that as usual Ephraim is the whore, and her lovers are extracting the payment from her!</w:t>
      </w:r>
      <w:r w:rsidR="00D87F27">
        <w:t xml:space="preserve">  </w:t>
      </w:r>
      <w:r w:rsidR="00751FDE">
        <w:t>Hosea</w:t>
      </w:r>
      <w:r w:rsidR="008B42A5">
        <w:t xml:space="preserve"> </w:t>
      </w:r>
      <w:r w:rsidR="00D87F27">
        <w:t xml:space="preserve">again </w:t>
      </w:r>
      <w:r w:rsidR="008B42A5">
        <w:t>trades on the</w:t>
      </w:r>
      <w:r w:rsidR="00D87F27">
        <w:t xml:space="preserve"> breadth of meaning of </w:t>
      </w:r>
      <w:r w:rsidR="008B42A5">
        <w:rPr>
          <w:i/>
        </w:rPr>
        <w:t>’āhēb</w:t>
      </w:r>
      <w:r w:rsidR="008B42A5">
        <w:t>, which covers both personal relationships (hence “love”) and political relationships (hence “be loyal”).</w:t>
      </w:r>
      <w:r w:rsidR="00751FDE">
        <w:t xml:space="preserve"> </w:t>
      </w:r>
    </w:p>
    <w:p w:rsidR="00742500" w:rsidRDefault="00751FDE" w:rsidP="00615D72">
      <w:r>
        <w:t>In response</w:t>
      </w:r>
      <w:r w:rsidR="00742500">
        <w:t xml:space="preserve"> (v. 10aβb)</w:t>
      </w:r>
      <w:r>
        <w:t>, Yahweh will collect them together, and not in a good</w:t>
      </w:r>
      <w:r w:rsidR="00673C8A">
        <w:t xml:space="preserve"> way (</w:t>
      </w:r>
      <w:r w:rsidR="00CE1BE2">
        <w:t xml:space="preserve">cf. 9:6; </w:t>
      </w:r>
      <w:r w:rsidR="00673C8A">
        <w:t>contrast e.g., Deut. 30:3-4; Mic. 2:12; 4:6</w:t>
      </w:r>
      <w:r>
        <w:t>)</w:t>
      </w:r>
      <w:r w:rsidR="002445A2">
        <w:t>. They will writhe in</w:t>
      </w:r>
      <w:r w:rsidR="004E1289">
        <w:t xml:space="preserve"> pain b</w:t>
      </w:r>
      <w:r w:rsidR="00742500">
        <w:t>ecause of the financial burden</w:t>
      </w:r>
      <w:r w:rsidR="004E1289">
        <w:t xml:space="preserve"> </w:t>
      </w:r>
      <w:r w:rsidR="000434FA">
        <w:t xml:space="preserve">imposed by the </w:t>
      </w:r>
      <w:r w:rsidR="00742500">
        <w:t xml:space="preserve">deal with </w:t>
      </w:r>
      <w:r w:rsidR="00F973C2">
        <w:t xml:space="preserve">the </w:t>
      </w:r>
      <w:r w:rsidR="00742500">
        <w:t>Assyria</w:t>
      </w:r>
      <w:r w:rsidR="00F973C2">
        <w:t>n king</w:t>
      </w:r>
      <w:r w:rsidR="00E912F9">
        <w:t xml:space="preserve">. </w:t>
      </w:r>
    </w:p>
    <w:p w:rsidR="00F973C2" w:rsidRDefault="00F973C2" w:rsidP="00615D72"/>
    <w:p w:rsidR="007A3878" w:rsidRDefault="006B59F1" w:rsidP="00615D72">
      <w:r>
        <w:rPr>
          <w:b/>
        </w:rPr>
        <w:t>Hosea 8:11-13</w:t>
      </w:r>
      <w:r w:rsidR="00742500">
        <w:rPr>
          <w:b/>
        </w:rPr>
        <w:t xml:space="preserve">. </w:t>
      </w:r>
      <w:r w:rsidR="00742500">
        <w:t>Yahweh reverts once more to wrongs associated with worship</w:t>
      </w:r>
      <w:r w:rsidR="00A54BA2">
        <w:t>, though the link may be the sacrifices that were offered in connection with making treaties</w:t>
      </w:r>
      <w:r w:rsidR="00742500">
        <w:t xml:space="preserve">. </w:t>
      </w:r>
    </w:p>
    <w:p w:rsidR="002D56B0" w:rsidRDefault="00742500" w:rsidP="00615D72">
      <w:r>
        <w:t>The First Testament is ambivalent about multiplicity of altars</w:t>
      </w:r>
      <w:r w:rsidR="007A3878">
        <w:t xml:space="preserve"> (v. 11)</w:t>
      </w:r>
      <w:r>
        <w:t>. Abraham built altars</w:t>
      </w:r>
      <w:r w:rsidR="0012666B">
        <w:t xml:space="preserve"> in a number of</w:t>
      </w:r>
      <w:r w:rsidR="00C3583E">
        <w:t xml:space="preserve"> places and 1 and 2 Kings allows</w:t>
      </w:r>
      <w:r w:rsidR="0012666B">
        <w:t xml:space="preserve"> for a number of altars, though it does so grudgingly because it knows they easily become places for worship that is too m</w:t>
      </w:r>
      <w:r w:rsidR="009409A0">
        <w:t>uch like that of the Master. Further,</w:t>
      </w:r>
      <w:r w:rsidR="0012666B">
        <w:t xml:space="preserve"> in </w:t>
      </w:r>
      <w:r w:rsidR="0012666B">
        <w:lastRenderedPageBreak/>
        <w:t>Ephraim’s case, building altars followed from abandoning Jerusalem. So the construction of many altars could be a way of doing wrong both because it linked with abandoning the proper place for altars and because of the questionable nat</w:t>
      </w:r>
      <w:r w:rsidR="00C3583E">
        <w:t>ure of the worship offered on them</w:t>
      </w:r>
      <w:r w:rsidR="005B4D1D">
        <w:t xml:space="preserve"> (cf. vv. 4-5)</w:t>
      </w:r>
      <w:r w:rsidR="00C3583E">
        <w:t xml:space="preserve">. It thus symbolized </w:t>
      </w:r>
      <w:r w:rsidR="0012666B">
        <w:t>rebellion ag</w:t>
      </w:r>
      <w:r w:rsidR="00C3583E">
        <w:t>ainst Yahweh. H</w:t>
      </w:r>
      <w:r w:rsidR="006768A6">
        <w:t>owever orthodox, this</w:t>
      </w:r>
      <w:r w:rsidR="0012666B">
        <w:t xml:space="preserve"> worship was not an expression of true acknowledgment of Yahweh.</w:t>
      </w:r>
      <w:r w:rsidR="009409A0">
        <w:t xml:space="preserve"> </w:t>
      </w:r>
      <w:r w:rsidR="002D56B0" w:rsidRPr="002D56B0">
        <w:t xml:space="preserve">The word for </w:t>
      </w:r>
      <w:r w:rsidR="00C3583E">
        <w:t>doing wrong (</w:t>
      </w:r>
      <w:r w:rsidR="00E970A0" w:rsidRPr="00E970A0">
        <w:rPr>
          <w:i/>
        </w:rPr>
        <w:t>ḥăṭṭō’</w:t>
      </w:r>
      <w:r w:rsidR="00E970A0">
        <w:t>)</w:t>
      </w:r>
      <w:r w:rsidR="002D56B0" w:rsidRPr="002D56B0">
        <w:t xml:space="preserve"> is also the word for an expiatory offering</w:t>
      </w:r>
      <w:r w:rsidR="002D56B0">
        <w:t>,</w:t>
      </w:r>
      <w:r w:rsidR="002D56B0" w:rsidRPr="002D56B0">
        <w:t xml:space="preserve"> which </w:t>
      </w:r>
      <w:r w:rsidR="002D56B0">
        <w:t xml:space="preserve">(as in 4:8) </w:t>
      </w:r>
      <w:r w:rsidR="002D56B0" w:rsidRPr="002D56B0">
        <w:t>would make for a nice double entendre.</w:t>
      </w:r>
      <w:r w:rsidR="002D56B0">
        <w:t xml:space="preserve"> Ephraim thought its altars could help it find expiation, but it already has such altars, so why is it building more? Actually its altars are places where it do</w:t>
      </w:r>
      <w:r w:rsidR="00E970A0">
        <w:t>es wrong</w:t>
      </w:r>
      <w:r w:rsidR="00447041">
        <w:t>,</w:t>
      </w:r>
      <w:r w:rsidR="00E970A0">
        <w:t xml:space="preserve"> not where it can</w:t>
      </w:r>
      <w:r w:rsidR="002D56B0">
        <w:t xml:space="preserve"> gain expiation from the effect of its wrongdoing, and the increase in the number of altars means an increase in the wrongdoing.</w:t>
      </w:r>
      <w:r w:rsidR="00020000">
        <w:t xml:space="preserve"> The repetition</w:t>
      </w:r>
      <w:r w:rsidR="00E970A0">
        <w:t xml:space="preserve"> in the two cola</w:t>
      </w:r>
      <w:r w:rsidR="00020000">
        <w:t xml:space="preserve"> is an expression of incomprehension, as in 6:4; 9:14; 11:8.</w:t>
      </w:r>
      <w:r w:rsidR="00020000">
        <w:rPr>
          <w:rStyle w:val="FootnoteReference"/>
        </w:rPr>
        <w:footnoteReference w:id="381"/>
      </w:r>
    </w:p>
    <w:p w:rsidR="0012666B" w:rsidRDefault="009409A0" w:rsidP="00615D72">
      <w:r>
        <w:t>M</w:t>
      </w:r>
      <w:r w:rsidR="00C80D4F">
        <w:t>ul</w:t>
      </w:r>
      <w:r>
        <w:t>tiplying instructions about worship</w:t>
      </w:r>
      <w:r w:rsidR="00C80D4F">
        <w:t xml:space="preserve"> would</w:t>
      </w:r>
      <w:r>
        <w:t xml:space="preserve"> not make a difference (v. 12).</w:t>
      </w:r>
      <w:r w:rsidRPr="009409A0">
        <w:t xml:space="preserve"> Yahweh has made his expectations clear enough, and</w:t>
      </w:r>
      <w:r w:rsidR="00E970A0">
        <w:t xml:space="preserve"> h</w:t>
      </w:r>
      <w:r w:rsidR="00606259">
        <w:t xml:space="preserve">e has already noted </w:t>
      </w:r>
      <w:r w:rsidR="006A01BD">
        <w:t>(</w:t>
      </w:r>
      <w:r w:rsidR="00606259">
        <w:t>v. 1</w:t>
      </w:r>
      <w:r w:rsidR="006A01BD">
        <w:t>)</w:t>
      </w:r>
      <w:r w:rsidR="00E970A0">
        <w:t xml:space="preserve"> that Ephraim has</w:t>
      </w:r>
      <w:r w:rsidR="00606259">
        <w:t xml:space="preserve"> rebelled against his instruction. </w:t>
      </w:r>
      <w:r w:rsidR="00E970A0" w:rsidRPr="00E970A0">
        <w:t>“Many</w:t>
      </w:r>
      <w:r>
        <w:t xml:space="preserve">” things takes up the phrase </w:t>
      </w:r>
      <w:r w:rsidR="00E970A0" w:rsidRPr="00E970A0">
        <w:t xml:space="preserve">made </w:t>
      </w:r>
      <w:r>
        <w:t>“</w:t>
      </w:r>
      <w:r w:rsidR="00E970A0" w:rsidRPr="00E970A0">
        <w:t>many</w:t>
      </w:r>
      <w:r>
        <w:t>”</w:t>
      </w:r>
      <w:r w:rsidR="00E970A0" w:rsidRPr="00E970A0">
        <w:t xml:space="preserve"> altar</w:t>
      </w:r>
      <w:r>
        <w:t>s</w:t>
      </w:r>
      <w:r w:rsidR="00E970A0" w:rsidRPr="00E970A0">
        <w:t xml:space="preserve">. </w:t>
      </w:r>
      <w:r w:rsidR="00C80D4F">
        <w:t>I assume that in Hosea’s day Exodus 20</w:t>
      </w:r>
      <w:r w:rsidR="00606259">
        <w:t>:22</w:t>
      </w:r>
      <w:r w:rsidR="00C80D4F">
        <w:t>—23</w:t>
      </w:r>
      <w:r w:rsidR="00606259">
        <w:t>:19</w:t>
      </w:r>
      <w:r w:rsidR="006A01BD">
        <w:t>; 34:10-26</w:t>
      </w:r>
      <w:r w:rsidR="00606259">
        <w:t xml:space="preserve"> as well as the Decalogue</w:t>
      </w:r>
      <w:r w:rsidR="00C80D4F">
        <w:t xml:space="preserve"> </w:t>
      </w:r>
      <w:r w:rsidR="000525F9">
        <w:t>existed</w:t>
      </w:r>
      <w:r w:rsidR="00C80D4F">
        <w:t xml:space="preserve"> in something like the form we know</w:t>
      </w:r>
      <w:r w:rsidR="000525F9">
        <w:t>, though how much was in writing is a different question.</w:t>
      </w:r>
      <w:r w:rsidR="006242B1">
        <w:rPr>
          <w:rStyle w:val="FootnoteReference"/>
        </w:rPr>
        <w:footnoteReference w:id="382"/>
      </w:r>
      <w:r w:rsidR="000525F9">
        <w:t xml:space="preserve"> </w:t>
      </w:r>
      <w:r w:rsidR="006A01BD">
        <w:t xml:space="preserve">Yahweh’s words </w:t>
      </w:r>
      <w:r w:rsidR="00E970A0">
        <w:t xml:space="preserve">thus </w:t>
      </w:r>
      <w:r w:rsidR="006A01BD">
        <w:t>imply an i</w:t>
      </w:r>
      <w:r w:rsidR="00E970A0">
        <w:t>rony, whether or not Hosea kne</w:t>
      </w:r>
      <w:r>
        <w:t>w.</w:t>
      </w:r>
      <w:r w:rsidR="006A01BD">
        <w:t xml:space="preserve"> Yahweh has already added “many things” to the basics in the Decalogue, and Ephraim ignores a number of them. Subsequently Yahweh</w:t>
      </w:r>
      <w:r w:rsidR="000525F9">
        <w:t xml:space="preserve"> </w:t>
      </w:r>
      <w:r w:rsidR="006A01BD">
        <w:t xml:space="preserve">will </w:t>
      </w:r>
      <w:r w:rsidR="000525F9">
        <w:t>add the</w:t>
      </w:r>
      <w:r w:rsidR="006A01BD">
        <w:t xml:space="preserve"> further</w:t>
      </w:r>
      <w:r w:rsidR="000525F9">
        <w:t xml:space="preserve"> “many things” </w:t>
      </w:r>
      <w:r w:rsidR="006A01BD">
        <w:t xml:space="preserve">that </w:t>
      </w:r>
      <w:r w:rsidR="00E970A0">
        <w:t xml:space="preserve">will </w:t>
      </w:r>
      <w:r w:rsidR="006A01BD">
        <w:t xml:space="preserve">appear </w:t>
      </w:r>
      <w:r w:rsidR="000525F9">
        <w:t>in the rest of the Torah,</w:t>
      </w:r>
      <w:r w:rsidR="006A01BD">
        <w:t xml:space="preserve"> and this will prove the</w:t>
      </w:r>
      <w:r w:rsidR="00606259">
        <w:t xml:space="preserve"> point</w:t>
      </w:r>
      <w:r w:rsidR="006A01BD">
        <w:t xml:space="preserve"> he makes here</w:t>
      </w:r>
      <w:r w:rsidR="00E970A0">
        <w:t>.</w:t>
      </w:r>
      <w:r w:rsidR="00914DE3">
        <w:t xml:space="preserve"> </w:t>
      </w:r>
      <w:r w:rsidR="00914DE3" w:rsidRPr="00914DE3">
        <w:t>Whereas Ephraim does not treat strangers as foreign (v. 7; cf. 7:9) it treats its own as strange</w:t>
      </w:r>
      <w:r w:rsidR="00914DE3">
        <w:t>.</w:t>
      </w:r>
    </w:p>
    <w:p w:rsidR="00541361" w:rsidRDefault="00447041" w:rsidP="00615D72">
      <w:r>
        <w:t>Its sacrifices (v.</w:t>
      </w:r>
      <w:r w:rsidRPr="00447041">
        <w:t xml:space="preserve"> 13</w:t>
      </w:r>
      <w:r w:rsidR="00F07B18">
        <w:t>abα</w:t>
      </w:r>
      <w:r>
        <w:t>)</w:t>
      </w:r>
      <w:r w:rsidRPr="00447041">
        <w:t xml:space="preserve"> </w:t>
      </w:r>
      <w:r>
        <w:t xml:space="preserve">included </w:t>
      </w:r>
      <w:r w:rsidR="00ED07C6">
        <w:t xml:space="preserve">burnt </w:t>
      </w:r>
      <w:r w:rsidR="00F07B18">
        <w:t>offerings that a</w:t>
      </w:r>
      <w:r w:rsidR="00914DE3">
        <w:t>re wholly</w:t>
      </w:r>
      <w:r w:rsidR="00A54F5B">
        <w:t xml:space="preserve"> gi</w:t>
      </w:r>
      <w:r w:rsidR="00B022B0">
        <w:t xml:space="preserve">fts to Yahweh </w:t>
      </w:r>
      <w:r w:rsidR="00F07B18">
        <w:t>and</w:t>
      </w:r>
      <w:r>
        <w:t xml:space="preserve"> </w:t>
      </w:r>
      <w:r w:rsidR="00914DE3">
        <w:t xml:space="preserve">offerings in which </w:t>
      </w:r>
      <w:r w:rsidR="00F07B18">
        <w:t>the offerers share</w:t>
      </w:r>
      <w:r>
        <w:t xml:space="preserve"> that</w:t>
      </w:r>
      <w:r w:rsidR="00F07B18">
        <w:t xml:space="preserve"> a</w:t>
      </w:r>
      <w:r w:rsidR="009A7ED2">
        <w:t>re</w:t>
      </w:r>
      <w:r w:rsidR="005B4D1D">
        <w:t xml:space="preserve"> occasions of fellowshi</w:t>
      </w:r>
      <w:r w:rsidR="009A7ED2">
        <w:t xml:space="preserve">p among the offerers </w:t>
      </w:r>
      <w:r w:rsidR="005B4D1D">
        <w:t>and</w:t>
      </w:r>
      <w:r>
        <w:t xml:space="preserve"> between them and Yahweh. But none of this sacrificing</w:t>
      </w:r>
      <w:r w:rsidR="005B4D1D">
        <w:t xml:space="preserve"> work</w:t>
      </w:r>
      <w:r>
        <w:t>s</w:t>
      </w:r>
      <w:r w:rsidR="005B4D1D">
        <w:t xml:space="preserve">. Yahweh has not wished to have fellowship with them and has not accepted the gifts; he is mindful of the waywardness of their worship and </w:t>
      </w:r>
      <w:r w:rsidR="009A7ED2">
        <w:t xml:space="preserve">of </w:t>
      </w:r>
      <w:r w:rsidR="005B4D1D">
        <w:t>their life.</w:t>
      </w:r>
      <w:r w:rsidR="00541361">
        <w:t xml:space="preserve"> </w:t>
      </w:r>
      <w:r w:rsidR="006768A6">
        <w:t xml:space="preserve">Hosea’s words make for a chilling contrast </w:t>
      </w:r>
      <w:r w:rsidR="00155022">
        <w:t xml:space="preserve">and comparison </w:t>
      </w:r>
      <w:r w:rsidR="006768A6">
        <w:t xml:space="preserve">with his self-description as one who </w:t>
      </w:r>
      <w:r w:rsidR="00155022">
        <w:t>carries waywardness and wrongdoing but also attends to wrongdoing (Exod. 34:6-7).</w:t>
      </w:r>
      <w:r w:rsidR="00155022">
        <w:rPr>
          <w:rStyle w:val="FootnoteReference"/>
        </w:rPr>
        <w:footnoteReference w:id="383"/>
      </w:r>
      <w:r w:rsidR="00F07B18">
        <w:t xml:space="preserve"> Ephraim</w:t>
      </w:r>
      <w:r w:rsidR="00F07B18" w:rsidRPr="00F07B18">
        <w:t xml:space="preserve"> also sees as strange Yahweh’s assumption that its acknowledgment </w:t>
      </w:r>
      <w:r w:rsidR="00F07B18">
        <w:t xml:space="preserve">of him </w:t>
      </w:r>
      <w:r w:rsidR="00F07B18" w:rsidRPr="00F07B18">
        <w:t>should be expressed in the form of its worship (vv. 4-5), and the rest of its life, as well as in the fact of its worship.</w:t>
      </w:r>
    </w:p>
    <w:p w:rsidR="00F07B18" w:rsidRDefault="007A3878" w:rsidP="00615D72">
      <w:r>
        <w:t xml:space="preserve">Therefore </w:t>
      </w:r>
      <w:r w:rsidRPr="007A3878">
        <w:t>(v. 13bβγ</w:t>
      </w:r>
      <w:r>
        <w:t>)</w:t>
      </w:r>
      <w:r w:rsidRPr="007A3878">
        <w:t xml:space="preserve"> </w:t>
      </w:r>
      <w:r w:rsidR="009A7ED2">
        <w:t>Yahweh</w:t>
      </w:r>
      <w:r>
        <w:t xml:space="preserve"> will </w:t>
      </w:r>
      <w:r w:rsidR="00541361">
        <w:t xml:space="preserve">attend to the wrongdoings for whose performance they have built their altars, and </w:t>
      </w:r>
      <w:r w:rsidR="00447041">
        <w:t xml:space="preserve">will </w:t>
      </w:r>
      <w:r w:rsidR="00541361">
        <w:t xml:space="preserve">cause them to return to Egypt. One irony about this threat is that Egypt is where he rescued </w:t>
      </w:r>
      <w:r w:rsidR="00447041">
        <w:t xml:space="preserve">them </w:t>
      </w:r>
      <w:r w:rsidR="00541361">
        <w:t>from at the beginning; another is that they have more recently been thinking of Egypt as a potential alternative to Assyria as a resource for protection and support (2 Kings 17:4)</w:t>
      </w:r>
      <w:r w:rsidR="006B59F1">
        <w:t xml:space="preserve">. </w:t>
      </w:r>
      <w:r w:rsidR="009A7ED2">
        <w:t>In other wo</w:t>
      </w:r>
      <w:r w:rsidR="004B1F25">
        <w:t xml:space="preserve">rds, the threat is not merely an (unfulfilled) warning about their geographical destiny but a (fulfilled) warning about their theological destiny. </w:t>
      </w:r>
    </w:p>
    <w:p w:rsidR="006B59F1" w:rsidRDefault="006B59F1" w:rsidP="00615D72">
      <w:r>
        <w:t>Once ag</w:t>
      </w:r>
      <w:r w:rsidR="005E12E5">
        <w:t>a</w:t>
      </w:r>
      <w:r>
        <w:t xml:space="preserve">in the subsection </w:t>
      </w:r>
      <w:r w:rsidR="00447041">
        <w:t xml:space="preserve">is </w:t>
      </w:r>
      <w:r w:rsidR="005E12E5">
        <w:t>closing</w:t>
      </w:r>
      <w:r w:rsidR="00F07B18">
        <w:t xml:space="preserve"> with a threat (v. 14), which comes to completion </w:t>
      </w:r>
      <w:r w:rsidR="005E12E5">
        <w:t>with a recollection</w:t>
      </w:r>
      <w:r w:rsidR="00F07B18">
        <w:t xml:space="preserve"> of events from long ago</w:t>
      </w:r>
      <w:r>
        <w:t>.</w:t>
      </w:r>
      <w:r w:rsidR="00121C70">
        <w:t xml:space="preserve"> </w:t>
      </w:r>
      <w:r w:rsidR="005E12E5">
        <w:t>The First Testament does not speak of building projects in the 730s, the period to which the rest of the section has related, which is not surprising in light of the pressures of this period. Such projects would belong to earlier decades (for Judah, see 2 Chron. 29)</w:t>
      </w:r>
      <w:r w:rsidR="00121C70">
        <w:t xml:space="preserve">. </w:t>
      </w:r>
      <w:r w:rsidR="00F07B18">
        <w:t xml:space="preserve">But the projects implied that the people </w:t>
      </w:r>
      <w:r w:rsidR="003B0C08">
        <w:t>put their maker out of mind. The reference to Yahweh as their maker takes up a description that they pe</w:t>
      </w:r>
      <w:r w:rsidR="00447041">
        <w:t>rhaps used in worship (e.g., Ps</w:t>
      </w:r>
      <w:r w:rsidR="003B0C08">
        <w:t xml:space="preserve">. 95:6) but </w:t>
      </w:r>
      <w:r w:rsidR="00447041">
        <w:t xml:space="preserve">it </w:t>
      </w:r>
      <w:r w:rsidR="003B0C08">
        <w:t>also nicely and ironically takes up his description of them as makers of their bullock (v. 6). The building projects</w:t>
      </w:r>
      <w:r w:rsidR="00121C70">
        <w:t xml:space="preserve"> were a different expression of putting Yahweh out of mind from the more recent engagement in alliances with nations such as Aram, Assyria, and Egypt, but they were a parallel expres</w:t>
      </w:r>
      <w:r w:rsidR="003B0C08">
        <w:t>sion. No doubt Ephraim</w:t>
      </w:r>
      <w:r w:rsidR="005E12E5">
        <w:t xml:space="preserve"> and J</w:t>
      </w:r>
      <w:r w:rsidR="003B0C08">
        <w:t>udah were still hoping that these projects from the past</w:t>
      </w:r>
      <w:r w:rsidR="005E12E5">
        <w:t xml:space="preserve"> would contribute to their security in the 730s</w:t>
      </w:r>
      <w:r w:rsidR="007B3484">
        <w:t xml:space="preserve"> and 720s</w:t>
      </w:r>
      <w:r w:rsidR="003B0C08">
        <w:t>,</w:t>
      </w:r>
      <w:r w:rsidR="007B3484">
        <w:t xml:space="preserve"> but Yahweh </w:t>
      </w:r>
      <w:r w:rsidR="00121C70">
        <w:t xml:space="preserve">will </w:t>
      </w:r>
      <w:r w:rsidR="007B3484">
        <w:t xml:space="preserve">now </w:t>
      </w:r>
      <w:r w:rsidR="00121C70">
        <w:t xml:space="preserve">see to their being devastated, as indeed happened. </w:t>
      </w:r>
      <w:r w:rsidR="001F3A97">
        <w:t>The eagle landed</w:t>
      </w:r>
      <w:r w:rsidR="007B3484">
        <w:t>.</w:t>
      </w:r>
    </w:p>
    <w:p w:rsidR="00CB7C92" w:rsidRDefault="00CB7C92" w:rsidP="001D3546">
      <w:pPr>
        <w:pStyle w:val="Heading2"/>
      </w:pPr>
      <w:r>
        <w:lastRenderedPageBreak/>
        <w:t>Theological Implications</w:t>
      </w:r>
      <w:r w:rsidR="00414752">
        <w:tab/>
      </w:r>
    </w:p>
    <w:p w:rsidR="005C7AE2" w:rsidRDefault="00103856" w:rsidP="009542A2">
      <w:pPr>
        <w:pStyle w:val="ListParagraph"/>
        <w:numPr>
          <w:ilvl w:val="0"/>
          <w:numId w:val="8"/>
        </w:numPr>
        <w:ind w:left="360"/>
      </w:pPr>
      <w:r>
        <w:t>The relationship between God and his people is one in which God’s grace takes the initiative in set</w:t>
      </w:r>
      <w:r w:rsidR="00447041">
        <w:t>ting up a covenant relationship;</w:t>
      </w:r>
      <w:r>
        <w:t xml:space="preserve"> but on the basis of what he has done for his people he then expects </w:t>
      </w:r>
      <w:r w:rsidR="005C7AE2">
        <w:t>them to live by his instruction</w:t>
      </w:r>
      <w:r>
        <w:t xml:space="preserve">. God’s grace </w:t>
      </w:r>
      <w:r w:rsidR="005C7AE2">
        <w:t xml:space="preserve">towards his people </w:t>
      </w:r>
      <w:r>
        <w:t>was not c</w:t>
      </w:r>
      <w:r w:rsidR="005C7AE2">
        <w:t>onditioned (it was grace) but God</w:t>
      </w:r>
      <w:r>
        <w:t xml:space="preserve"> lays down conditions </w:t>
      </w:r>
      <w:r w:rsidR="005C7AE2">
        <w:t>on the basis of which a particular generation or congregation</w:t>
      </w:r>
      <w:r>
        <w:t xml:space="preserve"> continue</w:t>
      </w:r>
      <w:r w:rsidR="00447041">
        <w:t>s</w:t>
      </w:r>
      <w:r>
        <w:t xml:space="preserve"> to be his people.</w:t>
      </w:r>
      <w:r w:rsidR="005C7AE2">
        <w:t xml:space="preserve"> </w:t>
      </w:r>
    </w:p>
    <w:p w:rsidR="00CB7C92" w:rsidRDefault="005C7AE2" w:rsidP="009542A2">
      <w:pPr>
        <w:pStyle w:val="ListParagraph"/>
        <w:numPr>
          <w:ilvl w:val="0"/>
          <w:numId w:val="8"/>
        </w:numPr>
        <w:ind w:left="360"/>
      </w:pPr>
      <w:r>
        <w:t xml:space="preserve">The dealings God has with his people are </w:t>
      </w:r>
      <w:r w:rsidR="00414752">
        <w:t xml:space="preserve">based </w:t>
      </w:r>
      <w:r>
        <w:t xml:space="preserve">both </w:t>
      </w:r>
      <w:r w:rsidR="00414752">
        <w:t xml:space="preserve">on a </w:t>
      </w:r>
      <w:r>
        <w:t xml:space="preserve">personal </w:t>
      </w:r>
      <w:r w:rsidR="00414752">
        <w:t xml:space="preserve">but hierarchical relationship and on set and hard-and-fast instructions. What is right is right because God says so and because it conforms to something objective about reality. Thus the waywardness of the people of God lies both in rebellion against the relationship with the one who gives the instructions </w:t>
      </w:r>
      <w:r w:rsidR="007356C1">
        <w:t xml:space="preserve">(e.g., Isa. 30:1) </w:t>
      </w:r>
      <w:r w:rsidR="00414752">
        <w:t>and in transgression of the instructions which are themselves right</w:t>
      </w:r>
      <w:r w:rsidR="007356C1">
        <w:t xml:space="preserve"> (e.g., 1 John 3:4)</w:t>
      </w:r>
      <w:r w:rsidR="00414752">
        <w:t xml:space="preserve">. </w:t>
      </w:r>
      <w:r w:rsidRPr="005C7AE2">
        <w:t xml:space="preserve">The charge that his people have transgressed his pact and rebelled against his instruction is </w:t>
      </w:r>
      <w:r w:rsidR="00414752">
        <w:t xml:space="preserve">then </w:t>
      </w:r>
      <w:r w:rsidRPr="005C7AE2">
        <w:t>“the heart of YHWH’s controversy with Israel.”</w:t>
      </w:r>
      <w:r w:rsidRPr="005C7AE2">
        <w:rPr>
          <w:vertAlign w:val="superscript"/>
        </w:rPr>
        <w:footnoteReference w:id="384"/>
      </w:r>
    </w:p>
    <w:p w:rsidR="00103856" w:rsidRDefault="00447041" w:rsidP="009542A2">
      <w:pPr>
        <w:pStyle w:val="ListParagraph"/>
        <w:numPr>
          <w:ilvl w:val="0"/>
          <w:numId w:val="8"/>
        </w:numPr>
        <w:ind w:left="360"/>
      </w:pPr>
      <w:r>
        <w:t>Prayer doesn’</w:t>
      </w:r>
      <w:r w:rsidR="00103856">
        <w:t>t wo</w:t>
      </w:r>
      <w:r w:rsidR="00414752">
        <w:t>rk</w:t>
      </w:r>
      <w:r w:rsidR="000274E6">
        <w:t xml:space="preserve"> and sacrificial giving doesn’t please God unless they are</w:t>
      </w:r>
      <w:r w:rsidR="000274E6" w:rsidRPr="000274E6">
        <w:t xml:space="preserve"> associated with acknowledging God in life as well as in words</w:t>
      </w:r>
      <w:r w:rsidR="000274E6">
        <w:t xml:space="preserve"> and giving.</w:t>
      </w:r>
    </w:p>
    <w:p w:rsidR="002431DB" w:rsidRDefault="00414752" w:rsidP="009542A2">
      <w:pPr>
        <w:pStyle w:val="ListParagraph"/>
        <w:numPr>
          <w:ilvl w:val="0"/>
          <w:numId w:val="8"/>
        </w:numPr>
        <w:ind w:left="360"/>
      </w:pPr>
      <w:r>
        <w:t>What God promises his people on the basis of its li</w:t>
      </w:r>
      <w:r w:rsidR="007356C1">
        <w:t>ving by his instruction is good (e.g., Rom</w:t>
      </w:r>
      <w:r w:rsidR="00447041">
        <w:t>.</w:t>
      </w:r>
      <w:r w:rsidR="007356C1">
        <w:t xml:space="preserve"> 8:28).</w:t>
      </w:r>
    </w:p>
    <w:p w:rsidR="00447041" w:rsidRDefault="00103856" w:rsidP="009542A2">
      <w:pPr>
        <w:pStyle w:val="ListParagraph"/>
        <w:numPr>
          <w:ilvl w:val="0"/>
          <w:numId w:val="8"/>
        </w:numPr>
        <w:ind w:left="360"/>
      </w:pPr>
      <w:r>
        <w:t xml:space="preserve">The people of God is inclined to think that the solution to its problems is </w:t>
      </w:r>
      <w:r w:rsidR="001840B4">
        <w:t xml:space="preserve">organizational or </w:t>
      </w:r>
      <w:r w:rsidR="002431DB">
        <w:t xml:space="preserve">structural or </w:t>
      </w:r>
      <w:r w:rsidR="001840B4">
        <w:t xml:space="preserve">administrative or </w:t>
      </w:r>
      <w:r>
        <w:t>political.</w:t>
      </w:r>
      <w:r w:rsidR="001840B4">
        <w:t xml:space="preserve"> </w:t>
      </w:r>
      <w:r w:rsidR="00447041">
        <w:t xml:space="preserve">Whereas </w:t>
      </w:r>
      <w:r>
        <w:t>God expects to decide who leads</w:t>
      </w:r>
      <w:r w:rsidR="00447041">
        <w:t xml:space="preserve"> his people,</w:t>
      </w:r>
      <w:r w:rsidR="001840B4">
        <w:t xml:space="preserve"> it is inclined to make its</w:t>
      </w:r>
      <w:r>
        <w:t xml:space="preserve"> own appointments even if going through the motions of seeking to know his will.</w:t>
      </w:r>
      <w:r w:rsidR="00914A32" w:rsidRPr="00914A32">
        <w:t xml:space="preserve"> </w:t>
      </w:r>
    </w:p>
    <w:p w:rsidR="00914A32" w:rsidRDefault="000274E6" w:rsidP="009542A2">
      <w:pPr>
        <w:pStyle w:val="ListParagraph"/>
        <w:numPr>
          <w:ilvl w:val="0"/>
          <w:numId w:val="8"/>
        </w:numPr>
        <w:ind w:left="360"/>
      </w:pPr>
      <w:r>
        <w:t>Looking to resources outside the people of God rather than trusting in God is inclined to involve compromise, loss, discrediting, and sorrow.</w:t>
      </w:r>
      <w:r w:rsidR="002431DB">
        <w:t xml:space="preserve"> The people of God is challenged to remember that God is not merely the world’s maker but its maker and therefore the one it can and must trust.</w:t>
      </w:r>
    </w:p>
    <w:p w:rsidR="00914A32" w:rsidRDefault="001840B4" w:rsidP="009542A2">
      <w:pPr>
        <w:pStyle w:val="ListParagraph"/>
        <w:numPr>
          <w:ilvl w:val="0"/>
          <w:numId w:val="8"/>
        </w:numPr>
        <w:ind w:left="360"/>
      </w:pPr>
      <w:r>
        <w:t>T</w:t>
      </w:r>
      <w:r w:rsidR="00B83BAE">
        <w:t xml:space="preserve">he people of God </w:t>
      </w:r>
      <w:r>
        <w:t>is</w:t>
      </w:r>
      <w:r w:rsidR="00914A32">
        <w:t xml:space="preserve"> incl</w:t>
      </w:r>
      <w:r>
        <w:t>ined to use the things it has</w:t>
      </w:r>
      <w:r w:rsidR="00914A32">
        <w:t xml:space="preserve">, which may </w:t>
      </w:r>
      <w:r>
        <w:t xml:space="preserve">be God’s gifts, </w:t>
      </w:r>
      <w:r w:rsidR="00B83BAE">
        <w:t>to make</w:t>
      </w:r>
      <w:r>
        <w:t xml:space="preserve"> idols. It</w:t>
      </w:r>
      <w:r w:rsidR="00914A32">
        <w:t xml:space="preserve"> then forget</w:t>
      </w:r>
      <w:r>
        <w:t>s that the things it has</w:t>
      </w:r>
      <w:r w:rsidR="00B83BAE">
        <w:t xml:space="preserve"> made are </w:t>
      </w:r>
      <w:r w:rsidR="00914A32">
        <w:t>humanly-made.</w:t>
      </w:r>
      <w:r>
        <w:t xml:space="preserve"> </w:t>
      </w:r>
      <w:r w:rsidR="00914A32">
        <w:t xml:space="preserve">God </w:t>
      </w:r>
      <w:r>
        <w:t xml:space="preserve">is inclined </w:t>
      </w:r>
      <w:r w:rsidR="00914A32">
        <w:t xml:space="preserve">then </w:t>
      </w:r>
      <w:r>
        <w:t>to get angry with it and reject and destroy</w:t>
      </w:r>
      <w:r w:rsidR="00914A32">
        <w:t xml:space="preserve"> the thing</w:t>
      </w:r>
      <w:r>
        <w:t xml:space="preserve">s it </w:t>
      </w:r>
      <w:r w:rsidR="00914A32">
        <w:t>construct</w:t>
      </w:r>
      <w:r>
        <w:t>s</w:t>
      </w:r>
      <w:r w:rsidR="00914A32">
        <w:t>.</w:t>
      </w:r>
      <w:r>
        <w:t xml:space="preserve"> </w:t>
      </w:r>
      <w:r w:rsidR="00914A32">
        <w:t>The people of God have a bewildering unwillingness to face the facts about themselves and turn from guilt to freedom</w:t>
      </w:r>
      <w:r>
        <w:t xml:space="preserve"> (e.g., 1 Cor. 10:1-11)</w:t>
      </w:r>
      <w:r w:rsidR="00914A32">
        <w:t>.</w:t>
      </w:r>
    </w:p>
    <w:p w:rsidR="009542A2" w:rsidRDefault="000274E6" w:rsidP="009542A2">
      <w:pPr>
        <w:pStyle w:val="ListParagraph"/>
        <w:numPr>
          <w:ilvl w:val="0"/>
          <w:numId w:val="8"/>
        </w:numPr>
        <w:ind w:left="360"/>
      </w:pPr>
      <w:r>
        <w:t xml:space="preserve">What you sow, you reap (e.g., Gal. 6:7). </w:t>
      </w:r>
      <w:r w:rsidR="009542A2" w:rsidRPr="00914A32">
        <w:t>It’s an aspect of the moral fabric of reality.</w:t>
      </w:r>
      <w:r w:rsidR="009542A2">
        <w:t xml:space="preserve"> </w:t>
      </w:r>
      <w:r>
        <w:t>Worse still, sometimes you do some</w:t>
      </w:r>
      <w:r w:rsidR="00914A32" w:rsidRPr="00914A32">
        <w:t>thing</w:t>
      </w:r>
      <w:r>
        <w:t xml:space="preserve"> stupid</w:t>
      </w:r>
      <w:r w:rsidR="00914A32" w:rsidRPr="00914A32">
        <w:t xml:space="preserve"> and something ten times as bad ricochets back on you. </w:t>
      </w:r>
    </w:p>
    <w:p w:rsidR="000274E6" w:rsidRPr="00914A32" w:rsidRDefault="000274E6" w:rsidP="009542A2">
      <w:pPr>
        <w:pStyle w:val="ListParagraph"/>
        <w:numPr>
          <w:ilvl w:val="0"/>
          <w:numId w:val="8"/>
        </w:numPr>
        <w:ind w:left="360"/>
      </w:pPr>
      <w:r>
        <w:t>Sometimes God has other things to say to his people but there’s no point because we ha</w:t>
      </w:r>
      <w:r w:rsidR="00B83BAE">
        <w:t>ven’t taken notice of what he’</w:t>
      </w:r>
      <w:r>
        <w:t>s said already (e.g., Heb. 5:11-14).</w:t>
      </w:r>
    </w:p>
    <w:p w:rsidR="00235CF2" w:rsidRDefault="00B022B0" w:rsidP="009542A2">
      <w:pPr>
        <w:pStyle w:val="ListParagraph"/>
        <w:numPr>
          <w:ilvl w:val="0"/>
          <w:numId w:val="8"/>
        </w:numPr>
        <w:ind w:left="360"/>
      </w:pPr>
      <w:r>
        <w:t xml:space="preserve">Although some Judahites did end up in Egypt (see Jer. 43—44), Hosea’s threat </w:t>
      </w:r>
      <w:r w:rsidR="002431DB">
        <w:t xml:space="preserve">that the people will go back to Egypt </w:t>
      </w:r>
      <w:r>
        <w:t>does not require a liter</w:t>
      </w:r>
      <w:r w:rsidR="009542A2">
        <w:t>al</w:t>
      </w:r>
      <w:r>
        <w:t xml:space="preserve"> interpretation. </w:t>
      </w:r>
      <w:r w:rsidR="009542A2">
        <w:t xml:space="preserve">We have noted before in Hosea that </w:t>
      </w:r>
      <w:r w:rsidR="002F2D02">
        <w:t>God</w:t>
      </w:r>
      <w:r w:rsidR="002431DB">
        <w:t>’s declarations about the future are often theologi</w:t>
      </w:r>
      <w:r w:rsidR="009542A2">
        <w:t>cal rather than literal and</w:t>
      </w:r>
      <w:r w:rsidR="002431DB">
        <w:t xml:space="preserve"> are designed to appeal to the imagination and provoke repentance rather than to supply information. This does not mean they are not serious and will not be fulfilled. It makes them more serious and mor</w:t>
      </w:r>
      <w:r w:rsidR="00235CF2">
        <w:t>e</w:t>
      </w:r>
      <w:r w:rsidR="002431DB">
        <w:t xml:space="preserve"> certain of fulfillment. But you may not be able to know the nature of the fulfillment until it happens.</w:t>
      </w:r>
    </w:p>
    <w:p w:rsidR="00235CF2" w:rsidRDefault="002F7216" w:rsidP="00EF7B98">
      <w:pPr>
        <w:pStyle w:val="Heading1"/>
      </w:pPr>
      <w:r>
        <w:t>Hosea 9:1-9: Don</w:t>
      </w:r>
      <w:r w:rsidR="00D02E8B">
        <w:t>’t Celebrate</w:t>
      </w:r>
      <w:r>
        <w:t xml:space="preserve"> </w:t>
      </w:r>
      <w:r w:rsidR="00D02E8B">
        <w:t>(</w:t>
      </w:r>
      <w:r>
        <w:t>A Confrontation about Worship</w:t>
      </w:r>
      <w:r w:rsidR="00D02E8B">
        <w:t>)</w:t>
      </w:r>
    </w:p>
    <w:p w:rsidR="00235CF2" w:rsidRDefault="00235CF2" w:rsidP="001D3546">
      <w:pPr>
        <w:pStyle w:val="Heading2"/>
      </w:pPr>
      <w:r>
        <w:t>Translation</w:t>
      </w:r>
    </w:p>
    <w:p w:rsidR="00235CF2" w:rsidRDefault="00235CF2" w:rsidP="00235CF2">
      <w:r>
        <w:rPr>
          <w:vertAlign w:val="superscript"/>
        </w:rPr>
        <w:t>1</w:t>
      </w:r>
      <w:r>
        <w:t xml:space="preserve">Don’t celebrate, </w:t>
      </w:r>
      <w:r w:rsidRPr="00235CF2">
        <w:t>Yiśrā’ēl</w:t>
      </w:r>
      <w:r w:rsidR="00CE2013">
        <w:t>, as regards</w:t>
      </w:r>
      <w:r>
        <w:t xml:space="preserve"> </w:t>
      </w:r>
      <w:r w:rsidR="00863FFE">
        <w:t xml:space="preserve">a </w:t>
      </w:r>
      <w:r>
        <w:t>rejoicing</w:t>
      </w:r>
      <w:r w:rsidR="001E1FA0">
        <w:rPr>
          <w:rStyle w:val="FootnoteReference"/>
        </w:rPr>
        <w:footnoteReference w:id="385"/>
      </w:r>
      <w:r>
        <w:t xml:space="preserve"> like the peoples, </w:t>
      </w:r>
    </w:p>
    <w:p w:rsidR="00235CF2" w:rsidRDefault="00F46167" w:rsidP="00235CF2">
      <w:r>
        <w:tab/>
        <w:t>because you’</w:t>
      </w:r>
      <w:r w:rsidR="00235CF2">
        <w:t>ve whored away from your God.</w:t>
      </w:r>
    </w:p>
    <w:p w:rsidR="00235CF2" w:rsidRDefault="00F46167" w:rsidP="00235CF2">
      <w:r>
        <w:lastRenderedPageBreak/>
        <w:t>You’</w:t>
      </w:r>
      <w:r w:rsidR="00235CF2">
        <w:t>ve loved a “gift</w:t>
      </w:r>
      <w:r>
        <w:t>,</w:t>
      </w:r>
      <w:r w:rsidR="00235CF2">
        <w:t xml:space="preserve">” </w:t>
      </w:r>
    </w:p>
    <w:p w:rsidR="00235CF2" w:rsidRDefault="00DB1A18" w:rsidP="00235CF2">
      <w:r>
        <w:tab/>
        <w:t>at all the</w:t>
      </w:r>
      <w:r w:rsidR="009441E6">
        <w:t xml:space="preserve"> wheat</w:t>
      </w:r>
      <w:r w:rsidR="00235CF2">
        <w:t xml:space="preserve"> threshing-floor</w:t>
      </w:r>
      <w:r>
        <w:t>s</w:t>
      </w:r>
      <w:r w:rsidR="00C45EA9">
        <w:t>,</w:t>
      </w:r>
    </w:p>
    <w:p w:rsidR="00937045" w:rsidRDefault="00235CF2" w:rsidP="00235CF2">
      <w:r>
        <w:rPr>
          <w:vertAlign w:val="superscript"/>
        </w:rPr>
        <w:t>2</w:t>
      </w:r>
      <w:r w:rsidR="00C45EA9">
        <w:t>Whereas</w:t>
      </w:r>
      <w:r w:rsidR="00C45EA9">
        <w:rPr>
          <w:rStyle w:val="FootnoteReference"/>
        </w:rPr>
        <w:footnoteReference w:id="386"/>
      </w:r>
      <w:r w:rsidR="00C45EA9">
        <w:t xml:space="preserve"> t</w:t>
      </w:r>
      <w:r w:rsidR="00CF2C2C">
        <w:t>hreshing floor and vat</w:t>
      </w:r>
      <w:r w:rsidR="0012788A">
        <w:t>: it</w:t>
      </w:r>
      <w:r w:rsidR="00EB3729">
        <w:rPr>
          <w:rStyle w:val="FootnoteReference"/>
        </w:rPr>
        <w:footnoteReference w:id="387"/>
      </w:r>
      <w:r w:rsidR="00B4613B">
        <w:t xml:space="preserve"> won’</w:t>
      </w:r>
      <w:r w:rsidR="00937045">
        <w:t>t pasture them,</w:t>
      </w:r>
      <w:r w:rsidR="00940C32">
        <w:rPr>
          <w:rStyle w:val="FootnoteReference"/>
        </w:rPr>
        <w:footnoteReference w:id="388"/>
      </w:r>
      <w:r w:rsidR="00937045">
        <w:t xml:space="preserve"> </w:t>
      </w:r>
    </w:p>
    <w:p w:rsidR="00235CF2" w:rsidRDefault="00937045" w:rsidP="00235CF2">
      <w:r>
        <w:tab/>
        <w:t>and new wine will deceive it.</w:t>
      </w:r>
      <w:r w:rsidR="00B95F7D">
        <w:rPr>
          <w:rStyle w:val="FootnoteReference"/>
        </w:rPr>
        <w:footnoteReference w:id="389"/>
      </w:r>
    </w:p>
    <w:p w:rsidR="00937045" w:rsidRDefault="00937045" w:rsidP="00235CF2">
      <w:r>
        <w:rPr>
          <w:vertAlign w:val="superscript"/>
        </w:rPr>
        <w:t>3</w:t>
      </w:r>
      <w:r w:rsidR="00550115">
        <w:t>They will not live</w:t>
      </w:r>
      <w:r>
        <w:t xml:space="preserve"> </w:t>
      </w:r>
    </w:p>
    <w:p w:rsidR="00937045" w:rsidRDefault="00A02963" w:rsidP="00235CF2">
      <w:r>
        <w:tab/>
        <w:t>in Yahweh’s country,</w:t>
      </w:r>
    </w:p>
    <w:p w:rsidR="00937045" w:rsidRDefault="00A02963" w:rsidP="00235CF2">
      <w:r>
        <w:t>b</w:t>
      </w:r>
      <w:r w:rsidR="003D2BD5">
        <w:t xml:space="preserve">ut </w:t>
      </w:r>
      <w:r w:rsidR="00E57C4F" w:rsidRPr="00E57C4F">
        <w:t>’Eprayim</w:t>
      </w:r>
      <w:r w:rsidR="00FF05A3">
        <w:t xml:space="preserve"> will turn</w:t>
      </w:r>
      <w:r w:rsidR="00937045">
        <w:t xml:space="preserve"> back</w:t>
      </w:r>
      <w:r w:rsidR="003D2BD5">
        <w:rPr>
          <w:rStyle w:val="FootnoteReference"/>
        </w:rPr>
        <w:footnoteReference w:id="390"/>
      </w:r>
      <w:r w:rsidR="00937045">
        <w:t xml:space="preserve"> to Mișrayim, </w:t>
      </w:r>
    </w:p>
    <w:p w:rsidR="00937045" w:rsidRDefault="00937045" w:rsidP="00235CF2">
      <w:r>
        <w:tab/>
        <w:t>and eat unclean food in ’Aššûr.</w:t>
      </w:r>
    </w:p>
    <w:p w:rsidR="00937045" w:rsidRDefault="00937045" w:rsidP="00235CF2">
      <w:r>
        <w:rPr>
          <w:vertAlign w:val="superscript"/>
        </w:rPr>
        <w:t>4</w:t>
      </w:r>
      <w:r>
        <w:t xml:space="preserve">They will not pour </w:t>
      </w:r>
      <w:r w:rsidR="00153DF3">
        <w:t xml:space="preserve">out </w:t>
      </w:r>
      <w:r>
        <w:t xml:space="preserve">wine for Yahweh, </w:t>
      </w:r>
    </w:p>
    <w:p w:rsidR="00937045" w:rsidRDefault="00937045" w:rsidP="00235CF2">
      <w:r>
        <w:tab/>
        <w:t>and their sacrif</w:t>
      </w:r>
      <w:r w:rsidR="00BD1F13">
        <w:t>ices will not be</w:t>
      </w:r>
      <w:r>
        <w:t xml:space="preserve"> sweet </w:t>
      </w:r>
      <w:r w:rsidR="00BD1F13">
        <w:t>for</w:t>
      </w:r>
      <w:r w:rsidR="00B95F7D">
        <w:t xml:space="preserve"> </w:t>
      </w:r>
      <w:r>
        <w:t>him.</w:t>
      </w:r>
    </w:p>
    <w:p w:rsidR="00153DF3" w:rsidRDefault="004F440E" w:rsidP="00235CF2">
      <w:r>
        <w:t>L</w:t>
      </w:r>
      <w:r w:rsidR="00D26671">
        <w:t>ike mourner</w:t>
      </w:r>
      <w:r w:rsidR="00153DF3">
        <w:t>s</w:t>
      </w:r>
      <w:r w:rsidR="00D26671">
        <w:t>’</w:t>
      </w:r>
      <w:r w:rsidR="00FF4A45">
        <w:rPr>
          <w:rStyle w:val="FootnoteReference"/>
        </w:rPr>
        <w:footnoteReference w:id="391"/>
      </w:r>
      <w:r w:rsidR="00153DF3">
        <w:t xml:space="preserve"> bread to them, </w:t>
      </w:r>
    </w:p>
    <w:p w:rsidR="00153DF3" w:rsidRDefault="00153DF3" w:rsidP="00235CF2">
      <w:r>
        <w:tab/>
        <w:t>all who eat it will be unclean.</w:t>
      </w:r>
    </w:p>
    <w:p w:rsidR="00153DF3" w:rsidRDefault="00793686" w:rsidP="00235CF2">
      <w:r>
        <w:t>Because their bread is</w:t>
      </w:r>
      <w:r w:rsidR="00C67BBC">
        <w:t xml:space="preserve"> for their soul</w:t>
      </w:r>
      <w:r w:rsidR="00153DF3">
        <w:t>,</w:t>
      </w:r>
      <w:r w:rsidR="00C67BBC">
        <w:rPr>
          <w:rStyle w:val="FootnoteReference"/>
        </w:rPr>
        <w:footnoteReference w:id="392"/>
      </w:r>
      <w:r w:rsidR="00153DF3">
        <w:t xml:space="preserve"> </w:t>
      </w:r>
    </w:p>
    <w:p w:rsidR="00153DF3" w:rsidRDefault="00C67BBC" w:rsidP="00235CF2">
      <w:r>
        <w:tab/>
      </w:r>
      <w:r w:rsidR="00793686">
        <w:t>it does</w:t>
      </w:r>
      <w:r w:rsidR="00153DF3">
        <w:t xml:space="preserve"> not come into Yahweh’s house.</w:t>
      </w:r>
    </w:p>
    <w:p w:rsidR="003545AA" w:rsidRDefault="003545AA" w:rsidP="00235CF2"/>
    <w:p w:rsidR="00153DF3" w:rsidRDefault="00153DF3" w:rsidP="00235CF2">
      <w:r>
        <w:rPr>
          <w:vertAlign w:val="superscript"/>
        </w:rPr>
        <w:t>5</w:t>
      </w:r>
      <w:r w:rsidR="00C070AA">
        <w:t xml:space="preserve">What will you do for </w:t>
      </w:r>
      <w:r>
        <w:t xml:space="preserve">a set day, </w:t>
      </w:r>
    </w:p>
    <w:p w:rsidR="00153DF3" w:rsidRDefault="00C070AA" w:rsidP="00235CF2">
      <w:r>
        <w:tab/>
        <w:t>for</w:t>
      </w:r>
      <w:r w:rsidR="00153DF3">
        <w:t xml:space="preserve"> Yahweh’s festival</w:t>
      </w:r>
      <w:r w:rsidR="00FC2757">
        <w:t xml:space="preserve"> day</w:t>
      </w:r>
      <w:r w:rsidR="00153DF3">
        <w:t>?</w:t>
      </w:r>
    </w:p>
    <w:p w:rsidR="00153DF3" w:rsidRDefault="00153DF3" w:rsidP="00153DF3">
      <w:r>
        <w:rPr>
          <w:vertAlign w:val="superscript"/>
        </w:rPr>
        <w:t>6</w:t>
      </w:r>
      <w:r>
        <w:t>Because there—</w:t>
      </w:r>
      <w:r w:rsidR="0058606A">
        <w:t xml:space="preserve">should </w:t>
      </w:r>
      <w:r w:rsidR="00CD166D">
        <w:t xml:space="preserve">they have </w:t>
      </w:r>
      <w:r w:rsidR="0058606A">
        <w:t>go</w:t>
      </w:r>
      <w:r w:rsidR="00CD166D">
        <w:t>ne</w:t>
      </w:r>
      <w:r w:rsidR="005C28CA">
        <w:t xml:space="preserve"> from destruc</w:t>
      </w:r>
      <w:r>
        <w:t>tion,</w:t>
      </w:r>
      <w:r w:rsidR="00BA0FAD">
        <w:rPr>
          <w:rStyle w:val="FootnoteReference"/>
        </w:rPr>
        <w:footnoteReference w:id="393"/>
      </w:r>
      <w:r>
        <w:t xml:space="preserve"> </w:t>
      </w:r>
    </w:p>
    <w:p w:rsidR="008A3186" w:rsidRDefault="00153DF3" w:rsidP="00153DF3">
      <w:r>
        <w:tab/>
      </w:r>
      <w:r w:rsidRPr="00153DF3">
        <w:t>Mișrayim</w:t>
      </w:r>
      <w:r w:rsidR="0058606A">
        <w:t xml:space="preserve"> will collect them up</w:t>
      </w:r>
      <w:r w:rsidR="008A3186">
        <w:t>.</w:t>
      </w:r>
    </w:p>
    <w:p w:rsidR="008A3186" w:rsidRDefault="00153DF3" w:rsidP="00153DF3">
      <w:r>
        <w:t xml:space="preserve">Moph will </w:t>
      </w:r>
      <w:r w:rsidR="00D07A09">
        <w:t>bury them</w:t>
      </w:r>
      <w:r w:rsidR="003749C0">
        <w:rPr>
          <w:rStyle w:val="FootnoteReference"/>
        </w:rPr>
        <w:footnoteReference w:id="394"/>
      </w:r>
      <w:r w:rsidR="00D07A09">
        <w:t xml:space="preserve"> </w:t>
      </w:r>
      <w:r w:rsidR="00164524">
        <w:t>with</w:t>
      </w:r>
      <w:r w:rsidR="008A3186">
        <w:t xml:space="preserve"> </w:t>
      </w:r>
      <w:r w:rsidR="00B45084">
        <w:t>delight at</w:t>
      </w:r>
      <w:r w:rsidR="0012788A">
        <w:t xml:space="preserve"> their silver</w:t>
      </w:r>
      <w:r w:rsidR="008A3186">
        <w:t>;</w:t>
      </w:r>
    </w:p>
    <w:p w:rsidR="00153DF3" w:rsidRDefault="008A3186" w:rsidP="00153DF3">
      <w:r>
        <w:tab/>
      </w:r>
      <w:r w:rsidR="00D07A09">
        <w:t xml:space="preserve">brier will come to possess them, thorn </w:t>
      </w:r>
      <w:r w:rsidR="001920D1">
        <w:t xml:space="preserve">be </w:t>
      </w:r>
      <w:r w:rsidR="00D07A09">
        <w:t>in their tents.</w:t>
      </w:r>
    </w:p>
    <w:p w:rsidR="00D07A09" w:rsidRDefault="00D07A09" w:rsidP="00153DF3">
      <w:r>
        <w:rPr>
          <w:vertAlign w:val="superscript"/>
        </w:rPr>
        <w:t>7</w:t>
      </w:r>
      <w:r w:rsidR="00D548DB">
        <w:t>The days of attending</w:t>
      </w:r>
      <w:r w:rsidR="00D548DB">
        <w:rPr>
          <w:rStyle w:val="FootnoteReference"/>
        </w:rPr>
        <w:footnoteReference w:id="395"/>
      </w:r>
      <w:r>
        <w:t xml:space="preserve"> have come, </w:t>
      </w:r>
    </w:p>
    <w:p w:rsidR="00D07A09" w:rsidRDefault="00D07A09" w:rsidP="00153DF3">
      <w:r>
        <w:tab/>
        <w:t>the days</w:t>
      </w:r>
      <w:r w:rsidR="005659BE">
        <w:t xml:space="preserve"> of recompense</w:t>
      </w:r>
      <w:r w:rsidR="001412F6">
        <w:t xml:space="preserve"> have come.</w:t>
      </w:r>
      <w:r w:rsidR="004555A6">
        <w:t xml:space="preserve"> </w:t>
      </w:r>
    </w:p>
    <w:p w:rsidR="00440E9F" w:rsidRDefault="00440E9F" w:rsidP="00153DF3"/>
    <w:p w:rsidR="004C6D15" w:rsidRDefault="00D07A09" w:rsidP="00A8703A">
      <w:pPr>
        <w:tabs>
          <w:tab w:val="left" w:pos="720"/>
          <w:tab w:val="left" w:pos="1440"/>
          <w:tab w:val="left" w:pos="2160"/>
          <w:tab w:val="left" w:pos="2880"/>
          <w:tab w:val="left" w:pos="3600"/>
          <w:tab w:val="left" w:pos="4320"/>
          <w:tab w:val="left" w:pos="5040"/>
          <w:tab w:val="left" w:pos="5715"/>
        </w:tabs>
      </w:pPr>
      <w:r w:rsidRPr="00D07A09">
        <w:t>Yiśrā’ēl</w:t>
      </w:r>
      <w:r>
        <w:tab/>
        <w:t>will</w:t>
      </w:r>
      <w:r w:rsidR="00EB38FE">
        <w:t xml:space="preserve"> acknowledge</w:t>
      </w:r>
      <w:r w:rsidR="00CD166D">
        <w:t>:</w:t>
      </w:r>
      <w:r w:rsidR="00244947">
        <w:rPr>
          <w:rStyle w:val="FootnoteReference"/>
        </w:rPr>
        <w:footnoteReference w:id="396"/>
      </w:r>
      <w:r>
        <w:t xml:space="preserve"> the prophet is stupid</w:t>
      </w:r>
      <w:r w:rsidR="004C6D15">
        <w:t xml:space="preserve">, </w:t>
      </w:r>
      <w:r w:rsidR="00A8703A">
        <w:tab/>
      </w:r>
    </w:p>
    <w:p w:rsidR="00D07A09" w:rsidRDefault="004C6D15" w:rsidP="00153DF3">
      <w:r>
        <w:lastRenderedPageBreak/>
        <w:tab/>
        <w:t xml:space="preserve">the </w:t>
      </w:r>
      <w:r w:rsidR="00AB1874">
        <w:t xml:space="preserve">spirit man </w:t>
      </w:r>
      <w:r>
        <w:t>is driven mad,</w:t>
      </w:r>
    </w:p>
    <w:p w:rsidR="00E57C4F" w:rsidRDefault="004C6D15" w:rsidP="00153DF3">
      <w:r>
        <w:t xml:space="preserve">Because of the </w:t>
      </w:r>
      <w:r w:rsidR="00330452">
        <w:t>manifold nature</w:t>
      </w:r>
      <w:r w:rsidR="00EB38FE">
        <w:t xml:space="preserve"> of your waywardness, </w:t>
      </w:r>
    </w:p>
    <w:p w:rsidR="004C6D15" w:rsidRDefault="00E57C4F" w:rsidP="00153DF3">
      <w:r>
        <w:tab/>
      </w:r>
      <w:r w:rsidR="00330452">
        <w:t>and your</w:t>
      </w:r>
      <w:r w:rsidR="00A21AF7">
        <w:rPr>
          <w:rStyle w:val="FootnoteReference"/>
        </w:rPr>
        <w:footnoteReference w:id="397"/>
      </w:r>
      <w:r w:rsidR="00330452">
        <w:t xml:space="preserve"> animosity is manifold</w:t>
      </w:r>
      <w:r>
        <w:t>.</w:t>
      </w:r>
    </w:p>
    <w:p w:rsidR="00E57C4F" w:rsidRDefault="00E57C4F" w:rsidP="00153DF3">
      <w:r>
        <w:rPr>
          <w:vertAlign w:val="superscript"/>
        </w:rPr>
        <w:t>8</w:t>
      </w:r>
      <w:r w:rsidR="00BF3255">
        <w:t>A</w:t>
      </w:r>
      <w:r>
        <w:t xml:space="preserve"> prophet is </w:t>
      </w:r>
      <w:r w:rsidRPr="00E57C4F">
        <w:t>’Eprayim</w:t>
      </w:r>
      <w:r>
        <w:t xml:space="preserve">’s lookout </w:t>
      </w:r>
      <w:r w:rsidR="000E6002">
        <w:t>in relationship with</w:t>
      </w:r>
      <w:r>
        <w:t xml:space="preserve"> </w:t>
      </w:r>
      <w:r w:rsidR="00E2216F">
        <w:t xml:space="preserve">my </w:t>
      </w:r>
      <w:r w:rsidR="00D012C5">
        <w:t>God</w:t>
      </w:r>
      <w:r w:rsidR="000E6002">
        <w:t>,</w:t>
      </w:r>
      <w:r w:rsidR="000E6002">
        <w:rPr>
          <w:rStyle w:val="FootnoteReference"/>
        </w:rPr>
        <w:footnoteReference w:id="398"/>
      </w:r>
    </w:p>
    <w:p w:rsidR="00E57C4F" w:rsidRDefault="003D2BD5" w:rsidP="00153DF3">
      <w:r>
        <w:tab/>
        <w:t>when a birdcatch</w:t>
      </w:r>
      <w:r w:rsidR="00E57C4F">
        <w:t>er’s snare is on all its ways.</w:t>
      </w:r>
    </w:p>
    <w:p w:rsidR="00E57C4F" w:rsidRDefault="00E57C4F" w:rsidP="00153DF3">
      <w:r>
        <w:t>With animosity in his God’s house</w:t>
      </w:r>
      <w:r w:rsidR="00301BC0">
        <w:t>hold</w:t>
      </w:r>
    </w:p>
    <w:p w:rsidR="00E57C4F" w:rsidRDefault="00E57C4F" w:rsidP="00153DF3">
      <w:r>
        <w:tab/>
        <w:t xml:space="preserve"> </w:t>
      </w:r>
      <w:r>
        <w:rPr>
          <w:vertAlign w:val="superscript"/>
        </w:rPr>
        <w:t>9</w:t>
      </w:r>
      <w:r w:rsidR="00077CC3">
        <w:t>they have</w:t>
      </w:r>
      <w:r>
        <w:t xml:space="preserve"> gone de</w:t>
      </w:r>
      <w:r w:rsidR="009802A8">
        <w:t>ep in corrupt</w:t>
      </w:r>
      <w:r>
        <w:t>ion</w:t>
      </w:r>
      <w:r w:rsidR="009802A8">
        <w:rPr>
          <w:rStyle w:val="FootnoteReference"/>
        </w:rPr>
        <w:footnoteReference w:id="399"/>
      </w:r>
      <w:r>
        <w:t xml:space="preserve"> as in the da</w:t>
      </w:r>
      <w:r w:rsidR="00C94378">
        <w:t>ys of The Hill</w:t>
      </w:r>
      <w:r>
        <w:t>.</w:t>
      </w:r>
      <w:r w:rsidR="005D66A1">
        <w:rPr>
          <w:rStyle w:val="FootnoteReference"/>
        </w:rPr>
        <w:footnoteReference w:id="400"/>
      </w:r>
    </w:p>
    <w:p w:rsidR="00E57C4F" w:rsidRDefault="00E57C4F" w:rsidP="00153DF3">
      <w:r>
        <w:t>He will be mindful of their waywardness;</w:t>
      </w:r>
    </w:p>
    <w:p w:rsidR="00F753F9" w:rsidRDefault="00F753F9" w:rsidP="00153DF3">
      <w:r>
        <w:tab/>
        <w:t>he will attend</w:t>
      </w:r>
      <w:r w:rsidR="000933D4">
        <w:rPr>
          <w:rStyle w:val="FootnoteReference"/>
        </w:rPr>
        <w:footnoteReference w:id="401"/>
      </w:r>
      <w:r>
        <w:t xml:space="preserve"> to their wrongdoings.</w:t>
      </w:r>
    </w:p>
    <w:p w:rsidR="00153DF3" w:rsidRDefault="00082F13" w:rsidP="001D3546">
      <w:pPr>
        <w:pStyle w:val="Heading2"/>
      </w:pPr>
      <w:r>
        <w:t>Interpretation</w:t>
      </w:r>
    </w:p>
    <w:p w:rsidR="005E4BE6" w:rsidRDefault="00162292" w:rsidP="00082F13">
      <w:r>
        <w:t>The section</w:t>
      </w:r>
      <w:r w:rsidR="00F82F1F">
        <w:t xml:space="preserve"> </w:t>
      </w:r>
      <w:r>
        <w:t>begins with a bidding</w:t>
      </w:r>
      <w:r w:rsidR="003545AA">
        <w:t xml:space="preserve"> (lik</w:t>
      </w:r>
      <w:r w:rsidR="004555A6">
        <w:t xml:space="preserve">e 4:1; 5:8; 8:1), but </w:t>
      </w:r>
      <w:r>
        <w:t xml:space="preserve">a different </w:t>
      </w:r>
      <w:r w:rsidR="00D52248">
        <w:t>sort of bidding, and the section</w:t>
      </w:r>
      <w:r w:rsidR="003545AA">
        <w:t xml:space="preserve"> is marked</w:t>
      </w:r>
      <w:r w:rsidR="00A21AF7">
        <w:t xml:space="preserve"> </w:t>
      </w:r>
      <w:r w:rsidR="00F82F1F">
        <w:t xml:space="preserve">more by threat </w:t>
      </w:r>
      <w:r w:rsidR="00A21AF7">
        <w:t xml:space="preserve">than indictment, </w:t>
      </w:r>
      <w:r w:rsidR="003545AA">
        <w:t>the opposite bal</w:t>
      </w:r>
      <w:r w:rsidR="005E4BE6">
        <w:t>ance to that in 8:1-14</w:t>
      </w:r>
      <w:r w:rsidR="000F2413" w:rsidRPr="000F2413">
        <w:t xml:space="preserve">. </w:t>
      </w:r>
      <w:r w:rsidR="000F2413">
        <w:t>Hosea rather than Y</w:t>
      </w:r>
      <w:r w:rsidR="005E4BE6">
        <w:t xml:space="preserve">ahweh is now the speaker, </w:t>
      </w:r>
      <w:r w:rsidR="000F2413">
        <w:t xml:space="preserve">again </w:t>
      </w:r>
      <w:r w:rsidR="005E4BE6">
        <w:t xml:space="preserve">in contrast to </w:t>
      </w:r>
      <w:r w:rsidR="000F2413">
        <w:t>8:1-14</w:t>
      </w:r>
      <w:r w:rsidR="00D52248">
        <w:t xml:space="preserve">, and he </w:t>
      </w:r>
      <w:r w:rsidR="005F06C2">
        <w:t xml:space="preserve">reverts to </w:t>
      </w:r>
      <w:r w:rsidR="00274B14">
        <w:t xml:space="preserve">explicit </w:t>
      </w:r>
      <w:r w:rsidR="005F06C2">
        <w:t xml:space="preserve">talk of whoring, which recurred through chapters 1—6 but has not featured in chapters 7—8. </w:t>
      </w:r>
      <w:r w:rsidR="003545AA">
        <w:t xml:space="preserve">The opening exhortation and the reference to festivals (v. 5) suggest a message delivered at the </w:t>
      </w:r>
      <w:r w:rsidR="000F2413">
        <w:t>sanctuary on a festival occasion</w:t>
      </w:r>
      <w:r w:rsidR="00274B14">
        <w:t>, and the references to harvest (vv. 1-2) suggest specifically Sukkot.</w:t>
      </w:r>
      <w:r w:rsidR="00A21AF7">
        <w:t xml:space="preserve"> It would not </w:t>
      </w:r>
      <w:r w:rsidR="00F82F1F">
        <w:t xml:space="preserve">be surprising if </w:t>
      </w:r>
      <w:r w:rsidR="00A21AF7">
        <w:t>an in</w:t>
      </w:r>
      <w:r w:rsidR="00F82F1F">
        <w:t>ter</w:t>
      </w:r>
      <w:r w:rsidR="00A21AF7">
        <w:t>vention that would spoil the rejoicing of the occasion provoked the kind of response implied by vv. 7-9.</w:t>
      </w:r>
      <w:r w:rsidR="00A36D21">
        <w:t xml:space="preserve"> </w:t>
      </w:r>
      <w:r w:rsidR="00D52248" w:rsidRPr="00D52248">
        <w:t xml:space="preserve">The section brings the series of biddings </w:t>
      </w:r>
      <w:r w:rsidR="004555A6">
        <w:t xml:space="preserve">in 4:1—9:9 to a close in solemn fashion (though </w:t>
      </w:r>
      <w:r w:rsidR="005E4BE6">
        <w:t xml:space="preserve">MT has </w:t>
      </w:r>
      <w:r w:rsidR="004555A6">
        <w:t xml:space="preserve">only </w:t>
      </w:r>
      <w:r w:rsidR="005E4BE6">
        <w:t>a setumah after 9:9</w:t>
      </w:r>
      <w:r w:rsidR="004555A6">
        <w:t xml:space="preserve">). </w:t>
      </w:r>
    </w:p>
    <w:p w:rsidR="00F82F1F" w:rsidRDefault="00F82F1F" w:rsidP="00082F13"/>
    <w:p w:rsidR="003545AA" w:rsidRDefault="003545AA" w:rsidP="00082F13">
      <w:r>
        <w:rPr>
          <w:b/>
        </w:rPr>
        <w:t xml:space="preserve">Hosea 9:1-4. </w:t>
      </w:r>
      <w:r w:rsidR="000F2413">
        <w:t xml:space="preserve">While </w:t>
      </w:r>
      <w:r w:rsidR="000F2413" w:rsidRPr="000F2413">
        <w:t xml:space="preserve">individuals and groups can </w:t>
      </w:r>
      <w:r w:rsidR="000F2413">
        <w:t>celebrate (</w:t>
      </w:r>
      <w:r w:rsidR="000F2413">
        <w:rPr>
          <w:i/>
        </w:rPr>
        <w:t>śāmēaḥ</w:t>
      </w:r>
      <w:r w:rsidR="007A3878">
        <w:t>) (v. 1a</w:t>
      </w:r>
      <w:r w:rsidR="005F3B27">
        <w:t xml:space="preserve">) </w:t>
      </w:r>
      <w:r w:rsidR="000F2413">
        <w:t xml:space="preserve">in the </w:t>
      </w:r>
      <w:r w:rsidR="00863FFE">
        <w:t xml:space="preserve">context of ordinary life, </w:t>
      </w:r>
      <w:r w:rsidR="007A3878">
        <w:t xml:space="preserve">as can </w:t>
      </w:r>
      <w:r w:rsidR="007A3878" w:rsidRPr="007A3878">
        <w:t>trees and the heavens</w:t>
      </w:r>
      <w:r w:rsidR="007A3878">
        <w:t>,</w:t>
      </w:r>
      <w:r w:rsidR="007A3878" w:rsidRPr="007A3878">
        <w:t xml:space="preserve"> </w:t>
      </w:r>
      <w:r w:rsidR="00863FFE">
        <w:t>Israel</w:t>
      </w:r>
      <w:r w:rsidR="000F2413">
        <w:t xml:space="preserve"> commonly celebrate</w:t>
      </w:r>
      <w:r w:rsidR="00863FFE">
        <w:t>s</w:t>
      </w:r>
      <w:r w:rsidR="000F2413">
        <w:t xml:space="preserve"> “before Yahweh” (e.g., Deut. 12:12, 1</w:t>
      </w:r>
      <w:r w:rsidR="00E4177A">
        <w:t xml:space="preserve">8), which suggests </w:t>
      </w:r>
      <w:r w:rsidR="00F82F1F">
        <w:t xml:space="preserve">a </w:t>
      </w:r>
      <w:r w:rsidR="005F3B27">
        <w:t xml:space="preserve">celebration </w:t>
      </w:r>
      <w:r w:rsidR="0043529C">
        <w:t>in a</w:t>
      </w:r>
      <w:r w:rsidR="000F2413">
        <w:t xml:space="preserve"> sanctuary, and this understanding makes sense here. </w:t>
      </w:r>
      <w:r w:rsidR="00F82F1F" w:rsidRPr="00F82F1F">
        <w:t xml:space="preserve">Hosea </w:t>
      </w:r>
      <w:r w:rsidR="005F3077">
        <w:t xml:space="preserve">thus </w:t>
      </w:r>
      <w:r w:rsidR="00F82F1F" w:rsidRPr="00F82F1F">
        <w:t xml:space="preserve">appropriately addresses the festive company by its theological name Israel rather than its political name Ephraim. </w:t>
      </w:r>
      <w:r w:rsidR="00F82F1F">
        <w:t>“Rejoicing” may imply</w:t>
      </w:r>
      <w:r w:rsidR="00863FFE">
        <w:t xml:space="preserve"> a particularly enthusiastic celebration with dancing,</w:t>
      </w:r>
      <w:r w:rsidR="00863FFE">
        <w:rPr>
          <w:rStyle w:val="FootnoteReference"/>
        </w:rPr>
        <w:footnoteReference w:id="402"/>
      </w:r>
      <w:r w:rsidR="00863FFE">
        <w:t xml:space="preserve"> which would be appropriate to a harvest festival</w:t>
      </w:r>
      <w:r w:rsidR="004555A6">
        <w:t>, but it</w:t>
      </w:r>
      <w:r w:rsidR="00F82F1F">
        <w:t xml:space="preserve"> need imply nothing inherently untoward</w:t>
      </w:r>
      <w:r w:rsidR="00863FFE">
        <w:t xml:space="preserve">. </w:t>
      </w:r>
      <w:r w:rsidR="000F2413">
        <w:t>Where</w:t>
      </w:r>
      <w:r w:rsidR="00954500">
        <w:t xml:space="preserve">as </w:t>
      </w:r>
      <w:r w:rsidR="00E4177A">
        <w:t>t</w:t>
      </w:r>
      <w:r w:rsidR="00F82F1F">
        <w:t>he Torah will thus expect Israel</w:t>
      </w:r>
      <w:r w:rsidR="00E4177A">
        <w:t xml:space="preserve"> to celebrate </w:t>
      </w:r>
      <w:r w:rsidR="00236ECD">
        <w:t xml:space="preserve">and rejoice </w:t>
      </w:r>
      <w:r w:rsidR="00E4177A">
        <w:t>in that context</w:t>
      </w:r>
      <w:r w:rsidR="00F2517B">
        <w:t>,</w:t>
      </w:r>
      <w:r w:rsidR="00E4177A">
        <w:t xml:space="preserve"> and choirs will urge people to do so (</w:t>
      </w:r>
      <w:r w:rsidR="00236ECD">
        <w:t xml:space="preserve">e.g., </w:t>
      </w:r>
      <w:r w:rsidR="00954500">
        <w:t>Ps</w:t>
      </w:r>
      <w:r w:rsidR="00236ECD">
        <w:t>s</w:t>
      </w:r>
      <w:r w:rsidR="00954500">
        <w:t xml:space="preserve">. </w:t>
      </w:r>
      <w:r w:rsidR="00236ECD">
        <w:t xml:space="preserve">32:11; </w:t>
      </w:r>
      <w:r w:rsidR="00954500">
        <w:t>97:12)</w:t>
      </w:r>
      <w:r w:rsidR="00E4177A">
        <w:t xml:space="preserve">, Hosea extraordinarily gives the opposite bidding. </w:t>
      </w:r>
      <w:r w:rsidR="00236ECD">
        <w:t>He underlines the scandal by his</w:t>
      </w:r>
      <w:r w:rsidR="00CE2013">
        <w:t xml:space="preserve"> reference to other peoples, who are elsewhere envisaged as joining in Israel’s celebration (Ps. 97:1).</w:t>
      </w:r>
      <w:r w:rsidR="0043529C">
        <w:t xml:space="preserve"> </w:t>
      </w:r>
      <w:r w:rsidR="008B3902">
        <w:t>R</w:t>
      </w:r>
      <w:r w:rsidR="00CE2013">
        <w:t xml:space="preserve">ecognition of Yahweh by other peoples would be a theme of the festival. </w:t>
      </w:r>
      <w:r w:rsidR="00236ECD">
        <w:t xml:space="preserve">Hosea half-implies that </w:t>
      </w:r>
      <w:r w:rsidR="00CE2013">
        <w:t>they may carry on celebrating while Yahweh’s own p</w:t>
      </w:r>
      <w:r w:rsidR="00236ECD">
        <w:t>eople are excluded</w:t>
      </w:r>
      <w:r w:rsidR="00CE2013">
        <w:t>. The logic of the prohibition is explained in the second colon</w:t>
      </w:r>
      <w:r w:rsidR="00C33482">
        <w:t>,</w:t>
      </w:r>
      <w:r w:rsidR="00F2517B">
        <w:t xml:space="preserve"> as Hosea takes up </w:t>
      </w:r>
      <w:r w:rsidR="00E741AB">
        <w:t>for the last time hi</w:t>
      </w:r>
      <w:r w:rsidR="005F06C2">
        <w:t>s characteristic charge</w:t>
      </w:r>
      <w:r w:rsidR="008B3902">
        <w:t xml:space="preserve"> of whoring</w:t>
      </w:r>
      <w:r w:rsidR="005F06C2">
        <w:t>.</w:t>
      </w:r>
      <w:r w:rsidR="00272FA7">
        <w:t xml:space="preserve"> </w:t>
      </w:r>
      <w:r w:rsidR="00E741AB">
        <w:t>I</w:t>
      </w:r>
      <w:r w:rsidR="00272FA7">
        <w:t xml:space="preserve">t also recalls </w:t>
      </w:r>
      <w:r w:rsidR="008B3902">
        <w:t>the implication at the beginning of the series of biddings (</w:t>
      </w:r>
      <w:r w:rsidR="00E741AB">
        <w:t>4</w:t>
      </w:r>
      <w:r w:rsidR="008B3902">
        <w:t>:1-19)</w:t>
      </w:r>
      <w:r w:rsidR="00E741AB">
        <w:t xml:space="preserve"> where a critique of the nations is turned back on Ephraim, whose behavior is arguably worse.</w:t>
      </w:r>
    </w:p>
    <w:p w:rsidR="00274B14" w:rsidRDefault="00274B14" w:rsidP="00082F13">
      <w:r>
        <w:t>As far as Ephraim is concerned, its whoring has worked (v. 1b). It has given itself to the Master</w:t>
      </w:r>
      <w:r w:rsidR="00C33482">
        <w:t>,</w:t>
      </w:r>
      <w:r>
        <w:t xml:space="preserve"> and he has responded by giving his “gift” (cf. 2:12 [14] with the note and comments; also 8:9-10).</w:t>
      </w:r>
      <w:r w:rsidR="0043529C">
        <w:t xml:space="preserve"> While </w:t>
      </w:r>
      <w:r w:rsidR="00DB1A18">
        <w:t xml:space="preserve">the </w:t>
      </w:r>
      <w:r w:rsidR="00C33482">
        <w:t xml:space="preserve">liturgical </w:t>
      </w:r>
      <w:r w:rsidR="00DB1A18">
        <w:t xml:space="preserve">harvest celebration </w:t>
      </w:r>
      <w:r w:rsidR="0043529C">
        <w:t>may</w:t>
      </w:r>
      <w:r w:rsidR="00E452C5">
        <w:t xml:space="preserve"> have </w:t>
      </w:r>
      <w:r w:rsidR="0043529C">
        <w:t>happened at a</w:t>
      </w:r>
      <w:r w:rsidR="00DB1A18">
        <w:t xml:space="preserve"> sanctuary, it was a liturgical re-representation </w:t>
      </w:r>
      <w:r w:rsidR="00DB1A18">
        <w:lastRenderedPageBreak/>
        <w:t xml:space="preserve">of a celebration that will naturally have begun at the threshing floor itself (cf. Judg. 21:19-21). </w:t>
      </w:r>
      <w:r w:rsidR="00F2517B">
        <w:t>When people</w:t>
      </w:r>
      <w:r w:rsidR="00E452C5">
        <w:t xml:space="preserve"> see the stack of sheaves and</w:t>
      </w:r>
      <w:r w:rsidR="00F2517B">
        <w:t xml:space="preserve"> </w:t>
      </w:r>
      <w:r w:rsidR="008B3902">
        <w:t xml:space="preserve">watch someone </w:t>
      </w:r>
      <w:r w:rsidR="00C33482">
        <w:t>beat them out</w:t>
      </w:r>
      <w:r w:rsidR="00E452C5">
        <w:t xml:space="preserve"> at the threshing floor so that th</w:t>
      </w:r>
      <w:r w:rsidR="00C33482">
        <w:t>e ears separate from them</w:t>
      </w:r>
      <w:r w:rsidR="00E452C5">
        <w:t>, then throw them into the air so that the useless chaff blows away</w:t>
      </w:r>
      <w:r w:rsidR="00C33482">
        <w:t>,</w:t>
      </w:r>
      <w:r w:rsidR="00F2517B">
        <w:t xml:space="preserve"> and they a</w:t>
      </w:r>
      <w:r w:rsidR="00E452C5">
        <w:t>re left wi</w:t>
      </w:r>
      <w:r w:rsidR="00F2517B">
        <w:t>th a stack of grain which is thei</w:t>
      </w:r>
      <w:r w:rsidR="00E452C5">
        <w:t xml:space="preserve">r staple </w:t>
      </w:r>
      <w:r w:rsidR="00F2517B">
        <w:t>for the coming year and also thei</w:t>
      </w:r>
      <w:r w:rsidR="00E452C5">
        <w:t xml:space="preserve">r seed for </w:t>
      </w:r>
      <w:r w:rsidR="00C33482">
        <w:t xml:space="preserve">sowing for </w:t>
      </w:r>
      <w:r w:rsidR="00E452C5">
        <w:t>the following year’</w:t>
      </w:r>
      <w:r w:rsidR="00F2517B">
        <w:t>s harvest: how could they not celebrate and express thei</w:t>
      </w:r>
      <w:r w:rsidR="00E452C5">
        <w:t>r appreciation to the giver?</w:t>
      </w:r>
    </w:p>
    <w:p w:rsidR="00E452C5" w:rsidRDefault="00F2517B" w:rsidP="00082F13">
      <w:r>
        <w:t>T</w:t>
      </w:r>
      <w:r w:rsidR="00E452C5">
        <w:t>he real giver will n</w:t>
      </w:r>
      <w:r w:rsidR="00C33482">
        <w:t xml:space="preserve">ot tolerate </w:t>
      </w:r>
      <w:r w:rsidR="00330E21">
        <w:t>such mis-directed</w:t>
      </w:r>
      <w:r w:rsidR="00C33482">
        <w:t xml:space="preserve"> celebration</w:t>
      </w:r>
      <w:r w:rsidR="008B3902">
        <w:t xml:space="preserve"> (v. 2)</w:t>
      </w:r>
      <w:r w:rsidR="00C33482">
        <w:t>,</w:t>
      </w:r>
      <w:r>
        <w:t xml:space="preserve"> as if the giver is the Master. Yahweh</w:t>
      </w:r>
      <w:r w:rsidRPr="00F2517B">
        <w:t xml:space="preserve"> </w:t>
      </w:r>
      <w:r w:rsidR="00285298">
        <w:t>w</w:t>
      </w:r>
      <w:r w:rsidR="00202462">
        <w:t xml:space="preserve">ill make sure that the </w:t>
      </w:r>
      <w:r w:rsidR="00285298">
        <w:t>business arrangement betwe</w:t>
      </w:r>
      <w:r w:rsidR="00C33482">
        <w:t xml:space="preserve">en whore and </w:t>
      </w:r>
      <w:r w:rsidR="00EB3729">
        <w:t>client does</w:t>
      </w:r>
      <w:r w:rsidR="008B3902">
        <w:t xml:space="preserve"> not work</w:t>
      </w:r>
      <w:r w:rsidR="00E452C5">
        <w:t xml:space="preserve">. </w:t>
      </w:r>
      <w:r>
        <w:t>Ephraim has</w:t>
      </w:r>
      <w:r w:rsidR="00EB3729">
        <w:t xml:space="preserve"> loved </w:t>
      </w:r>
      <w:r w:rsidR="008B3902">
        <w:t xml:space="preserve">the “gift” in the past but </w:t>
      </w:r>
      <w:r>
        <w:t>has</w:t>
      </w:r>
      <w:r w:rsidR="00EB3729">
        <w:t xml:space="preserve"> misidentified the giver</w:t>
      </w:r>
      <w:r w:rsidR="008B3902">
        <w:t>,</w:t>
      </w:r>
      <w:r>
        <w:t xml:space="preserve"> and Yahweh</w:t>
      </w:r>
      <w:r w:rsidR="00EB3729">
        <w:t xml:space="preserve"> will now ensure</w:t>
      </w:r>
      <w:r w:rsidR="008B3902">
        <w:t xml:space="preserve"> that the gift</w:t>
      </w:r>
      <w:r w:rsidR="008860E2">
        <w:t xml:space="preserve"> does not materialize</w:t>
      </w:r>
      <w:r w:rsidR="00330E21">
        <w:t xml:space="preserve">. </w:t>
      </w:r>
      <w:r w:rsidR="00202462">
        <w:t>T</w:t>
      </w:r>
      <w:r w:rsidR="00EB3729">
        <w:t>he harvest will fail</w:t>
      </w:r>
      <w:r w:rsidR="00202462">
        <w:t>, or invader</w:t>
      </w:r>
      <w:r w:rsidR="008B3902">
        <w:t>s will consume it (8:7), or these worshipers</w:t>
      </w:r>
      <w:r w:rsidR="00202462">
        <w:t xml:space="preserve"> will not be here to enjoy it (</w:t>
      </w:r>
      <w:r w:rsidR="00330E21">
        <w:t xml:space="preserve">cf. </w:t>
      </w:r>
      <w:r w:rsidR="00202462">
        <w:t>v. 3)</w:t>
      </w:r>
      <w:r w:rsidR="00EB3729">
        <w:t xml:space="preserve">. </w:t>
      </w:r>
      <w:r w:rsidR="00330E21">
        <w:t>Along with grain, grape</w:t>
      </w:r>
      <w:r w:rsidR="00285298">
        <w:t xml:space="preserve">s </w:t>
      </w:r>
      <w:r w:rsidR="00330E21">
        <w:t xml:space="preserve">are </w:t>
      </w:r>
      <w:r w:rsidR="008B3902">
        <w:t>another of the handful of Ephraim’s key</w:t>
      </w:r>
      <w:r w:rsidR="00330E21">
        <w:t xml:space="preserve"> crops</w:t>
      </w:r>
      <w:r w:rsidR="00285298">
        <w:t xml:space="preserve"> (e.g., 2:5</w:t>
      </w:r>
      <w:r w:rsidR="008860E2">
        <w:t xml:space="preserve">, 12 [7, 14]), and </w:t>
      </w:r>
      <w:r w:rsidR="008860E2" w:rsidRPr="008860E2">
        <w:t>alongside threshing floor</w:t>
      </w:r>
      <w:r w:rsidR="008860E2">
        <w:t>, in the metonymy</w:t>
      </w:r>
      <w:r w:rsidR="00B95F7D">
        <w:t xml:space="preserve"> </w:t>
      </w:r>
      <w:r w:rsidR="00CF2C2C">
        <w:t>the vat</w:t>
      </w:r>
      <w:r w:rsidR="008860E2">
        <w:t xml:space="preserve"> here represents</w:t>
      </w:r>
      <w:r w:rsidR="00B95F7D">
        <w:t xml:space="preserve"> the </w:t>
      </w:r>
      <w:r w:rsidR="008860E2">
        <w:t>other chief crops</w:t>
      </w:r>
      <w:r w:rsidR="000B251F">
        <w:t>.</w:t>
      </w:r>
      <w:r w:rsidR="00B95F7D">
        <w:t xml:space="preserve"> </w:t>
      </w:r>
      <w:r w:rsidR="008860E2">
        <w:t xml:space="preserve">A winepress and wine vat were </w:t>
      </w:r>
      <w:r w:rsidR="0043529C">
        <w:t xml:space="preserve">cut into flat </w:t>
      </w:r>
      <w:r w:rsidR="008860E2">
        <w:t>rock; they</w:t>
      </w:r>
      <w:r w:rsidR="00807BC1">
        <w:t xml:space="preserve"> comprised</w:t>
      </w:r>
      <w:r w:rsidR="008860E2">
        <w:t xml:space="preserve"> a </w:t>
      </w:r>
      <w:r w:rsidR="0043529C">
        <w:t xml:space="preserve">basin </w:t>
      </w:r>
      <w:r w:rsidR="00807BC1">
        <w:t>where g</w:t>
      </w:r>
      <w:r>
        <w:t>rapes were piled and trodden with</w:t>
      </w:r>
      <w:r w:rsidR="00807BC1">
        <w:t xml:space="preserve"> a channel conducting the juice into a smaller lower basin. B</w:t>
      </w:r>
      <w:r w:rsidR="00CF2C2C">
        <w:t>ut threshing floor and vat</w:t>
      </w:r>
      <w:r w:rsidR="008B3902">
        <w:t xml:space="preserve"> will be shepherds that don’</w:t>
      </w:r>
      <w:r w:rsidR="00B95F7D">
        <w:t>t succeed in feeding</w:t>
      </w:r>
      <w:r w:rsidR="00EB3729">
        <w:t xml:space="preserve"> the people (Hosea reverts to speaking about them rather than directly to them). The refe</w:t>
      </w:r>
      <w:r w:rsidR="00764F1C">
        <w:t>rence to new wine in</w:t>
      </w:r>
      <w:r w:rsidR="00CF2C2C">
        <w:t xml:space="preserve"> the vat</w:t>
      </w:r>
      <w:r w:rsidR="008860E2">
        <w:t xml:space="preserve"> </w:t>
      </w:r>
      <w:r w:rsidR="00EB3729">
        <w:t>complements the r</w:t>
      </w:r>
      <w:r w:rsidR="00764F1C">
        <w:t>eference to grain on</w:t>
      </w:r>
      <w:r w:rsidR="008860E2">
        <w:t xml:space="preserve"> the</w:t>
      </w:r>
      <w:r w:rsidR="008B3902">
        <w:t xml:space="preserve"> threshing floor; the allusions to product and </w:t>
      </w:r>
      <w:r w:rsidR="008860E2">
        <w:t>process come in abb</w:t>
      </w:r>
      <w:r>
        <w:t>’</w:t>
      </w:r>
      <w:r w:rsidR="008860E2">
        <w:t>a</w:t>
      </w:r>
      <w:r>
        <w:t>’</w:t>
      </w:r>
      <w:r w:rsidR="008860E2">
        <w:t xml:space="preserve"> order</w:t>
      </w:r>
      <w:r w:rsidR="00EB3729">
        <w:t>.</w:t>
      </w:r>
      <w:r w:rsidR="006953BE">
        <w:t xml:space="preserve"> In a further metonymy, the </w:t>
      </w:r>
      <w:r w:rsidR="008860E2">
        <w:t>new wine (standing for the Master who promised it)</w:t>
      </w:r>
      <w:r w:rsidR="006953BE">
        <w:t xml:space="preserve"> will turn out to have deceived Ephraim.</w:t>
      </w:r>
    </w:p>
    <w:p w:rsidR="006953BE" w:rsidRDefault="008860E2" w:rsidP="00082F13">
      <w:r>
        <w:t>Letting t</w:t>
      </w:r>
      <w:r w:rsidR="006953BE">
        <w:t xml:space="preserve">he </w:t>
      </w:r>
      <w:r>
        <w:t xml:space="preserve">harvest fail </w:t>
      </w:r>
      <w:r w:rsidR="006953BE">
        <w:t xml:space="preserve">will not be the end </w:t>
      </w:r>
      <w:r>
        <w:t xml:space="preserve">of </w:t>
      </w:r>
      <w:r w:rsidR="00D06435">
        <w:t>Yahweh</w:t>
      </w:r>
      <w:r>
        <w:t>’s</w:t>
      </w:r>
      <w:r w:rsidR="00D06435">
        <w:t xml:space="preserve"> r</w:t>
      </w:r>
      <w:r>
        <w:t>espon</w:t>
      </w:r>
      <w:r w:rsidR="00D06435">
        <w:t>s</w:t>
      </w:r>
      <w:r>
        <w:t>e</w:t>
      </w:r>
      <w:r w:rsidR="00D06435">
        <w:t xml:space="preserve"> </w:t>
      </w:r>
      <w:r w:rsidR="00F2517B">
        <w:t xml:space="preserve">(v. 3). </w:t>
      </w:r>
      <w:r w:rsidR="00D06435">
        <w:t>Ephraim’s failure t</w:t>
      </w:r>
      <w:r>
        <w:t xml:space="preserve">o keep its side of Yahweh’s relationship </w:t>
      </w:r>
      <w:r w:rsidR="00F2517B">
        <w:t>with it</w:t>
      </w:r>
      <w:r w:rsidR="00D06435">
        <w:t xml:space="preserve"> will </w:t>
      </w:r>
      <w:r w:rsidR="00F2517B">
        <w:t>also mean its losing</w:t>
      </w:r>
      <w:r w:rsidR="00D06435">
        <w:t xml:space="preserve"> its place in his country, as he said</w:t>
      </w:r>
      <w:r w:rsidR="00ED35D4">
        <w:t xml:space="preserve"> (Lev. 18:25 makes the point more pungently)</w:t>
      </w:r>
      <w:r w:rsidR="00D06435">
        <w:t xml:space="preserve">. Theologically, it will go back to Egypt, </w:t>
      </w:r>
      <w:r w:rsidR="00E643E9">
        <w:t xml:space="preserve">which had been </w:t>
      </w:r>
      <w:r w:rsidR="00D06435">
        <w:t>a place of bondage rather than freedom, or rather a place of subservience to a foreign ruler ra</w:t>
      </w:r>
      <w:r w:rsidR="00E643E9">
        <w:t>ther than service of Yahweh; it is also a place to which Ephraim</w:t>
      </w:r>
      <w:r w:rsidR="00D06435">
        <w:t xml:space="preserve"> has recently put itse</w:t>
      </w:r>
      <w:r w:rsidR="00E643E9">
        <w:t>lf once more into subservience, and a place where it will</w:t>
      </w:r>
      <w:r w:rsidR="0058606A">
        <w:t xml:space="preserve"> be treated as spoil (v. 6)</w:t>
      </w:r>
      <w:r w:rsidR="00E643E9">
        <w:t xml:space="preserve"> in some contrast to the way it had once stripped the Egyptians (Exod. 12:36)</w:t>
      </w:r>
      <w:r w:rsidR="0058606A">
        <w:t xml:space="preserve">. </w:t>
      </w:r>
      <w:r w:rsidR="00E643E9">
        <w:t>Geographically, Ephraim</w:t>
      </w:r>
      <w:r w:rsidR="00D06435">
        <w:t xml:space="preserve"> will go to Assyria, wh</w:t>
      </w:r>
      <w:r w:rsidR="00E643E9">
        <w:t>en Assyria</w:t>
      </w:r>
      <w:r w:rsidR="00D06435">
        <w:t xml:space="preserve"> responds with it</w:t>
      </w:r>
      <w:r w:rsidR="00E643E9">
        <w:t>s own intolerance to Ephraim’s turning to Egypt</w:t>
      </w:r>
      <w:r w:rsidR="00D06435">
        <w:t xml:space="preserve"> (cf. 2 Kings 17:4).</w:t>
      </w:r>
      <w:r w:rsidR="00650E29">
        <w:t xml:space="preserve"> In a nar</w:t>
      </w:r>
      <w:r w:rsidR="00E643E9">
        <w:t>row sense all food eaten in Assyria need not</w:t>
      </w:r>
      <w:r w:rsidR="00650E29">
        <w:t xml:space="preserve"> be unclean; in theory at least, Ephraimites could find and eat food that counted as clean (cf. Dan. 1). But the fourth colon in the verse parallels the second colon. Assyria is by definition an unclean country </w:t>
      </w:r>
      <w:r w:rsidR="00E643E9">
        <w:t xml:space="preserve">as far as Israelites are concerned </w:t>
      </w:r>
      <w:r w:rsidR="00650E29">
        <w:t>because it belon</w:t>
      </w:r>
      <w:r w:rsidR="00E643E9">
        <w:t>gs to and acknowledges an alien</w:t>
      </w:r>
      <w:r w:rsidR="00650E29">
        <w:t xml:space="preserve"> god. Ephraim has itself become unclean through the whoring to which v.</w:t>
      </w:r>
      <w:r w:rsidR="00B5357F">
        <w:t xml:space="preserve"> 1 referred</w:t>
      </w:r>
      <w:r w:rsidR="00650E29">
        <w:t xml:space="preserve"> (</w:t>
      </w:r>
      <w:r w:rsidR="00B5357F">
        <w:t>cf. 5:3; 6:10). So it’s</w:t>
      </w:r>
      <w:r w:rsidR="00650E29">
        <w:t xml:space="preserve"> appropriate that it should be eating in a foreign land with its uncleanness</w:t>
      </w:r>
      <w:r w:rsidR="00BD1F13">
        <w:t xml:space="preserve"> (cf. Amos 7:17)</w:t>
      </w:r>
      <w:r w:rsidR="00650E29">
        <w:t xml:space="preserve">. </w:t>
      </w:r>
    </w:p>
    <w:p w:rsidR="00BD1F13" w:rsidRDefault="0049776B" w:rsidP="00082F13">
      <w:r>
        <w:t xml:space="preserve">In their unclean state </w:t>
      </w:r>
      <w:r w:rsidR="00F2517B">
        <w:t xml:space="preserve">(v. 4) </w:t>
      </w:r>
      <w:r w:rsidR="00BD1F13">
        <w:t>they will not make wine offerings for Yahweh or offer him sweet-smelling or nice</w:t>
      </w:r>
      <w:r w:rsidR="00F2517B">
        <w:t>-tasting sacrifices</w:t>
      </w:r>
      <w:r>
        <w:t>. If t</w:t>
      </w:r>
      <w:r w:rsidR="00F2517B">
        <w:t>here’</w:t>
      </w:r>
      <w:r w:rsidR="00BD1F13">
        <w:t>s a hint that Ya</w:t>
      </w:r>
      <w:r>
        <w:t xml:space="preserve">hweh will thus lose out, </w:t>
      </w:r>
      <w:r w:rsidR="00BD1F13">
        <w:t>in reality he has lost out already. “Exile will put an end to pretence and those who are devoted to other gods (v. 1) will be taken to a place where it is natural to practise their worship.”</w:t>
      </w:r>
      <w:r w:rsidR="00BD1F13">
        <w:rPr>
          <w:rStyle w:val="FootnoteReference"/>
        </w:rPr>
        <w:footnoteReference w:id="403"/>
      </w:r>
      <w:r w:rsidR="00926426">
        <w:t xml:space="preserve"> When someone di</w:t>
      </w:r>
      <w:r>
        <w:t>ed in Israel, for a week their death brought</w:t>
      </w:r>
      <w:r w:rsidR="00926426">
        <w:t xml:space="preserve"> uncleanness onto </w:t>
      </w:r>
      <w:r w:rsidR="00D26671">
        <w:t>their house</w:t>
      </w:r>
      <w:r w:rsidR="00926426">
        <w:t xml:space="preserve">, </w:t>
      </w:r>
      <w:r w:rsidR="00D26671">
        <w:t>their household</w:t>
      </w:r>
      <w:r w:rsidR="00926426">
        <w:t>, and anything in it such as their food</w:t>
      </w:r>
      <w:r w:rsidR="00D26671">
        <w:t xml:space="preserve"> (see </w:t>
      </w:r>
      <w:r>
        <w:t>e.g., Num. 19:11-22)</w:t>
      </w:r>
      <w:r w:rsidR="00CE2D41">
        <w:t xml:space="preserve">. </w:t>
      </w:r>
      <w:r w:rsidR="004F440E">
        <w:t xml:space="preserve">Ephraimites in exile will be like people living </w:t>
      </w:r>
      <w:r w:rsidR="00CE2D41">
        <w:t>permanently in such a house of death and thu</w:t>
      </w:r>
      <w:r>
        <w:t>s of uncleanness. T</w:t>
      </w:r>
      <w:r w:rsidR="00CE2D41">
        <w:t xml:space="preserve">heir association with </w:t>
      </w:r>
      <w:r>
        <w:t xml:space="preserve">foreign gods in Israel and </w:t>
      </w:r>
      <w:r w:rsidR="00CE2D41">
        <w:t>their pra</w:t>
      </w:r>
      <w:r>
        <w:t xml:space="preserve">ying to them about the harvest meant </w:t>
      </w:r>
      <w:r w:rsidR="00CE2D41">
        <w:t>uncleanness attached to the bread they made from the grain they saw as the</w:t>
      </w:r>
      <w:r>
        <w:t>se gods’</w:t>
      </w:r>
      <w:r w:rsidR="00CE2D41">
        <w:t xml:space="preserve"> gi</w:t>
      </w:r>
      <w:r>
        <w:t>ft</w:t>
      </w:r>
      <w:r w:rsidR="00CE2D41">
        <w:t xml:space="preserve">. </w:t>
      </w:r>
      <w:r w:rsidR="00532E0A">
        <w:t xml:space="preserve">Indeed, they have already made Yahweh’s own land unclean (Jer. 2:7). </w:t>
      </w:r>
      <w:r>
        <w:t>Yes,</w:t>
      </w:r>
      <w:r w:rsidR="00CE2D41" w:rsidRPr="00CE2D41">
        <w:t xml:space="preserve"> pretens</w:t>
      </w:r>
      <w:r w:rsidR="00CE2D41">
        <w:t>e gets terminated by their living in a land that ove</w:t>
      </w:r>
      <w:r>
        <w:t>rtly belongs</w:t>
      </w:r>
      <w:r w:rsidR="00793686">
        <w:t xml:space="preserve"> to other</w:t>
      </w:r>
      <w:r w:rsidR="00B5357F">
        <w:t xml:space="preserve"> gods. The mourners’ bread doesn’</w:t>
      </w:r>
      <w:r w:rsidR="00793686">
        <w:t>t come into Yahweh’s house along with the meat for a sacrifice</w:t>
      </w:r>
      <w:r>
        <w:t>,</w:t>
      </w:r>
      <w:r w:rsidR="00B5357F">
        <w:t xml:space="preserve"> in the usual fashion, because t</w:t>
      </w:r>
      <w:r w:rsidR="00E93C32">
        <w:t>heir offerings are made for their dead family</w:t>
      </w:r>
      <w:r w:rsidR="00B5357F">
        <w:t xml:space="preserve"> members (cf. Deut. 26:14).</w:t>
      </w:r>
    </w:p>
    <w:p w:rsidR="00DF4A5E" w:rsidRDefault="00DF4A5E" w:rsidP="00082F13"/>
    <w:p w:rsidR="00DF4A5E" w:rsidRPr="0049776B" w:rsidRDefault="00440E9F" w:rsidP="00082F13">
      <w:pPr>
        <w:rPr>
          <w:color w:val="FF0000"/>
        </w:rPr>
      </w:pPr>
      <w:r>
        <w:rPr>
          <w:b/>
        </w:rPr>
        <w:t>Hosea 9:5-7a</w:t>
      </w:r>
      <w:r w:rsidR="00301BC0">
        <w:rPr>
          <w:b/>
        </w:rPr>
        <w:t>αβ</w:t>
      </w:r>
      <w:r>
        <w:rPr>
          <w:b/>
        </w:rPr>
        <w:t xml:space="preserve">. </w:t>
      </w:r>
      <w:r w:rsidR="00DF4A5E">
        <w:t>Hose</w:t>
      </w:r>
      <w:r w:rsidR="00C070AA">
        <w:t xml:space="preserve">a reverts to addressing Ephraim </w:t>
      </w:r>
      <w:r w:rsidR="007A3878">
        <w:t xml:space="preserve">(v. 5), </w:t>
      </w:r>
      <w:r w:rsidR="00C070AA">
        <w:t>so as to ask a questi</w:t>
      </w:r>
      <w:r w:rsidR="00B5357F">
        <w:t xml:space="preserve">on not unrelated to his </w:t>
      </w:r>
      <w:r w:rsidR="00C070AA">
        <w:t>proh</w:t>
      </w:r>
      <w:r w:rsidR="0049776B">
        <w:t>ibition</w:t>
      </w:r>
      <w:r w:rsidR="00B5357F">
        <w:t xml:space="preserve"> in v. 1</w:t>
      </w:r>
      <w:r w:rsidR="0049776B">
        <w:t xml:space="preserve">, though he now uses </w:t>
      </w:r>
      <w:r w:rsidR="00C070AA">
        <w:t>second person plural t</w:t>
      </w:r>
      <w:r w:rsidR="0049776B">
        <w:t xml:space="preserve">o add to the forms of </w:t>
      </w:r>
      <w:r w:rsidR="0049776B">
        <w:lastRenderedPageBreak/>
        <w:t>reference</w:t>
      </w:r>
      <w:r w:rsidR="00C070AA">
        <w:t xml:space="preserve"> that have already mult</w:t>
      </w:r>
      <w:r w:rsidR="0049776B">
        <w:t>iplied over vv. 1-4</w:t>
      </w:r>
      <w:r w:rsidR="00C070AA">
        <w:t xml:space="preserve">. </w:t>
      </w:r>
      <w:r w:rsidR="001C5305">
        <w:t>T</w:t>
      </w:r>
      <w:r w:rsidR="001C5305" w:rsidRPr="001C5305">
        <w:t xml:space="preserve">he question is rhetorical. </w:t>
      </w:r>
      <w:r w:rsidR="00AC25E0">
        <w:t>Ephraim can do nothing</w:t>
      </w:r>
      <w:r w:rsidR="001C5305" w:rsidRPr="001C5305">
        <w:t>.</w:t>
      </w:r>
      <w:r w:rsidR="001C5305">
        <w:t xml:space="preserve"> </w:t>
      </w:r>
      <w:r w:rsidR="00B5357F">
        <w:t>“S</w:t>
      </w:r>
      <w:r w:rsidR="00BC0CDA">
        <w:t>et da</w:t>
      </w:r>
      <w:r w:rsidR="00AC25E0">
        <w:t xml:space="preserve">y” is a </w:t>
      </w:r>
      <w:r w:rsidR="0049776B">
        <w:t>general expression</w:t>
      </w:r>
      <w:r w:rsidR="00BC0CDA">
        <w:t>; in the parallelism</w:t>
      </w:r>
      <w:r w:rsidR="0049776B">
        <w:t>,</w:t>
      </w:r>
      <w:r w:rsidR="00BC0CDA">
        <w:t xml:space="preserve"> “festival day” </w:t>
      </w:r>
      <w:r w:rsidR="0049776B">
        <w:t xml:space="preserve">points more specifically to one of the </w:t>
      </w:r>
      <w:r w:rsidR="00BC0CDA">
        <w:t>pilgrimage fest</w:t>
      </w:r>
      <w:r w:rsidR="00B5357F">
        <w:t>ivals,</w:t>
      </w:r>
      <w:r w:rsidR="00FC2757">
        <w:t xml:space="preserve"> occasions of great en</w:t>
      </w:r>
      <w:r w:rsidR="0049776B">
        <w:t>joyment at more than one level. T</w:t>
      </w:r>
      <w:r w:rsidR="00FC2757">
        <w:t>hey were both religious services and holidays</w:t>
      </w:r>
      <w:r w:rsidR="00BC0CDA">
        <w:t xml:space="preserve">, and they celebrated both Yahweh’s provision in nature and his </w:t>
      </w:r>
      <w:r w:rsidR="00940023">
        <w:t>activity in bringing Israel out of Egypt and through the wilderness to Canaan</w:t>
      </w:r>
      <w:r w:rsidR="00FC2757">
        <w:t xml:space="preserve">. </w:t>
      </w:r>
      <w:r w:rsidR="0049776B">
        <w:t>At Sukkot,</w:t>
      </w:r>
      <w:r w:rsidR="0049776B" w:rsidRPr="0049776B">
        <w:t xml:space="preserve"> celebration</w:t>
      </w:r>
      <w:r w:rsidR="00B5357F">
        <w:t xml:space="preserve"> of the harvest and </w:t>
      </w:r>
      <w:r w:rsidR="0049776B">
        <w:t>of Israel’s rescue from Egypt co</w:t>
      </w:r>
      <w:r w:rsidR="0049776B" w:rsidRPr="0049776B">
        <w:t xml:space="preserve">me together. </w:t>
      </w:r>
      <w:r w:rsidR="00FC2757">
        <w:t xml:space="preserve">Cancelling festivals was like cancelling Thanksgiving, Christmas, New Year, and Easter. </w:t>
      </w:r>
      <w:r w:rsidR="00F54AE8">
        <w:t>Ephraim is to go “from festival days to punishment days.”</w:t>
      </w:r>
      <w:r w:rsidR="00F54AE8">
        <w:rPr>
          <w:rStyle w:val="FootnoteReference"/>
        </w:rPr>
        <w:footnoteReference w:id="404"/>
      </w:r>
      <w:r w:rsidR="00F54AE8">
        <w:t xml:space="preserve"> </w:t>
      </w:r>
    </w:p>
    <w:p w:rsidR="0058606A" w:rsidRDefault="0058606A" w:rsidP="00082F13">
      <w:r>
        <w:t>Suppose the E</w:t>
      </w:r>
      <w:r w:rsidR="00704CC1">
        <w:t>phra</w:t>
      </w:r>
      <w:r w:rsidR="00AC25E0">
        <w:t xml:space="preserve">imites should escape the </w:t>
      </w:r>
      <w:r w:rsidR="005C28CA">
        <w:t>devasta</w:t>
      </w:r>
      <w:r>
        <w:t>tion by Assyria (v. 6)</w:t>
      </w:r>
      <w:r w:rsidR="00704CC1">
        <w:t xml:space="preserve"> that Yahweh has already announced (7:13)</w:t>
      </w:r>
      <w:r w:rsidR="00B5357F">
        <w:t>, or suppose</w:t>
      </w:r>
      <w:r w:rsidR="00AC25E0">
        <w:t xml:space="preserve"> the devastation has happened. A</w:t>
      </w:r>
      <w:r w:rsidR="001C5305">
        <w:t>s events will show,</w:t>
      </w:r>
      <w:r w:rsidR="00704CC1">
        <w:t xml:space="preserve"> </w:t>
      </w:r>
      <w:r>
        <w:t>destruction is not an alternative to</w:t>
      </w:r>
      <w:r w:rsidR="00AC25E0">
        <w:t xml:space="preserve"> exile but its accompaniment. Escape or survival</w:t>
      </w:r>
      <w:r>
        <w:t xml:space="preserve"> will do them no good, because that is when Egypt will come into play (cf. v. 3). </w:t>
      </w:r>
      <w:r w:rsidR="001C5305" w:rsidRPr="001C5305">
        <w:t>“It will become the grave even of those who expect to be saved by Egypt” (cf. Jer. 41—44).</w:t>
      </w:r>
      <w:r w:rsidR="001C5305" w:rsidRPr="001C5305">
        <w:rPr>
          <w:vertAlign w:val="superscript"/>
        </w:rPr>
        <w:footnoteReference w:id="405"/>
      </w:r>
      <w:r w:rsidR="001C5305" w:rsidRPr="001C5305">
        <w:t xml:space="preserve"> </w:t>
      </w:r>
      <w:r>
        <w:t>“Collecting up</w:t>
      </w:r>
      <w:r w:rsidR="00184027">
        <w:t>”</w:t>
      </w:r>
      <w:r>
        <w:t xml:space="preserve"> is again not a friendly image (cf. </w:t>
      </w:r>
      <w:r w:rsidR="00184027">
        <w:t>8:10). Moph is a</w:t>
      </w:r>
      <w:r w:rsidR="00B45084">
        <w:t xml:space="preserve"> Hebrew form (Noph is </w:t>
      </w:r>
      <w:r w:rsidR="00184027">
        <w:t xml:space="preserve">more </w:t>
      </w:r>
      <w:r w:rsidR="00B45084">
        <w:t>usual</w:t>
      </w:r>
      <w:r w:rsidR="00202462">
        <w:t>) of the name of the great</w:t>
      </w:r>
      <w:r w:rsidR="00184027">
        <w:t xml:space="preserve"> Egyptian city of </w:t>
      </w:r>
      <w:r w:rsidR="00184027" w:rsidRPr="00184027">
        <w:t>Men-nepher</w:t>
      </w:r>
      <w:r w:rsidR="00184027">
        <w:t>; the Greek form is Memphis</w:t>
      </w:r>
      <w:r w:rsidR="003749C0">
        <w:t>.</w:t>
      </w:r>
      <w:r w:rsidR="00B45084">
        <w:t xml:space="preserve"> </w:t>
      </w:r>
      <w:r w:rsidR="001C5305">
        <w:t>A</w:t>
      </w:r>
      <w:r w:rsidR="00C6020B">
        <w:t xml:space="preserve">s </w:t>
      </w:r>
      <w:r w:rsidR="00202462">
        <w:t xml:space="preserve">the site of </w:t>
      </w:r>
      <w:r w:rsidR="00C6020B">
        <w:t xml:space="preserve">some of </w:t>
      </w:r>
      <w:r w:rsidR="00202462">
        <w:t xml:space="preserve">the pyramids and </w:t>
      </w:r>
      <w:r w:rsidR="00C6020B">
        <w:t xml:space="preserve">of </w:t>
      </w:r>
      <w:r w:rsidR="001C5305">
        <w:t>a giant graveyard, i</w:t>
      </w:r>
      <w:r w:rsidR="001C5305" w:rsidRPr="001C5305">
        <w:t>t is an appropriate Egyptian city to specify</w:t>
      </w:r>
      <w:r w:rsidR="00656B58">
        <w:t xml:space="preserve"> in this context</w:t>
      </w:r>
      <w:r w:rsidR="00C6020B">
        <w:t>.</w:t>
      </w:r>
      <w:r w:rsidR="00202462">
        <w:t xml:space="preserve"> </w:t>
      </w:r>
      <w:r w:rsidR="00656B58">
        <w:t>I</w:t>
      </w:r>
      <w:r w:rsidR="00B45084">
        <w:t xml:space="preserve">ts willingness to bury </w:t>
      </w:r>
      <w:r w:rsidR="00C6020B">
        <w:t>Ephraimites will issue fro</w:t>
      </w:r>
      <w:r w:rsidR="00656B58">
        <w:t>m its having opportunity</w:t>
      </w:r>
      <w:r w:rsidR="00C6020B">
        <w:t xml:space="preserve"> to collect valuables from their</w:t>
      </w:r>
      <w:r w:rsidR="00B45084">
        <w:t xml:space="preserve"> dead bodies in doing so</w:t>
      </w:r>
      <w:r w:rsidR="001C5305">
        <w:t>. Meanwhile the Ephraimites’</w:t>
      </w:r>
      <w:r w:rsidR="00B45084">
        <w:t xml:space="preserve"> land</w:t>
      </w:r>
      <w:r w:rsidR="001C5305">
        <w:t>,</w:t>
      </w:r>
      <w:r w:rsidR="00B45084">
        <w:t xml:space="preserve"> bereft of its inhabitants who had cared for it and whose homes were there</w:t>
      </w:r>
      <w:r w:rsidR="009B4046">
        <w:t>,</w:t>
      </w:r>
      <w:r w:rsidR="00B45084">
        <w:t xml:space="preserve"> will be free to grow wild. </w:t>
      </w:r>
    </w:p>
    <w:p w:rsidR="00440E9F" w:rsidRDefault="009B4046" w:rsidP="00082F13">
      <w:r>
        <w:t>Hosea sums up his declaration with a statement in past tense (v. 7a</w:t>
      </w:r>
      <w:r w:rsidR="00656B58">
        <w:t>αβ</w:t>
      </w:r>
      <w:r>
        <w:t>). The decl</w:t>
      </w:r>
      <w:r w:rsidR="001C5305">
        <w:t>aration</w:t>
      </w:r>
      <w:r>
        <w:t xml:space="preserve"> is anticipatory, but it is not simply an example of the perfect of certainty, the prophetic certainty—that is, it is not merely saying that the time will certainly come one</w:t>
      </w:r>
      <w:r w:rsidR="00A77D96">
        <w:t xml:space="preserve"> day. It is saying that it is</w:t>
      </w:r>
      <w:r>
        <w:t xml:space="preserve"> right here, imminent, at the gates.</w:t>
      </w:r>
      <w:r w:rsidR="00A8703A">
        <w:t xml:space="preserve"> Both cola </w:t>
      </w:r>
      <w:r w:rsidR="00D548DB">
        <w:t>begin</w:t>
      </w:r>
      <w:r w:rsidR="00A8703A">
        <w:t xml:space="preserve"> </w:t>
      </w:r>
      <w:r w:rsidR="00D548DB">
        <w:t>“have come the days of</w:t>
      </w:r>
      <w:r w:rsidR="005659BE">
        <w:t xml:space="preserve"> the</w:t>
      </w:r>
      <w:r w:rsidR="00D548DB">
        <w:t xml:space="preserve">…” then close with different </w:t>
      </w:r>
      <w:r w:rsidR="005659BE">
        <w:t>noun</w:t>
      </w:r>
      <w:r w:rsidR="00A8703A">
        <w:t xml:space="preserve">s. The noun in the second </w:t>
      </w:r>
      <w:r w:rsidR="005659BE">
        <w:t xml:space="preserve">manages </w:t>
      </w:r>
      <w:r w:rsidR="00A8703A">
        <w:t>to make</w:t>
      </w:r>
      <w:r w:rsidR="005659BE">
        <w:t xml:space="preserve"> the firs</w:t>
      </w:r>
      <w:r w:rsidR="00A8703A">
        <w:t>t more specific yet still leave</w:t>
      </w:r>
      <w:r w:rsidR="005659BE">
        <w:t xml:space="preserve"> the main point unspoken. Yahweh will attend to Ephraim, and he will do so in a way that does recompense, with an acti</w:t>
      </w:r>
      <w:r w:rsidR="00A8703A">
        <w:t xml:space="preserve">on that is appropriate to Ephraim’s; </w:t>
      </w:r>
      <w:r w:rsidR="005659BE">
        <w:t>recompense indicates correspondence and appropriateness without indicating whether it is positive or negative. Ephraim can work that out for itself.</w:t>
      </w:r>
    </w:p>
    <w:p w:rsidR="005659BE" w:rsidRDefault="005659BE" w:rsidP="00082F13"/>
    <w:p w:rsidR="007A3878" w:rsidRDefault="005659BE" w:rsidP="00082F13">
      <w:r>
        <w:rPr>
          <w:b/>
        </w:rPr>
        <w:t>Hosea 9:7</w:t>
      </w:r>
      <w:r w:rsidR="00301BC0">
        <w:rPr>
          <w:b/>
        </w:rPr>
        <w:t>aγ</w:t>
      </w:r>
      <w:r>
        <w:rPr>
          <w:b/>
        </w:rPr>
        <w:t>b-</w:t>
      </w:r>
      <w:r w:rsidR="00244947">
        <w:rPr>
          <w:b/>
        </w:rPr>
        <w:t xml:space="preserve">9. </w:t>
      </w:r>
      <w:r w:rsidR="00C221F1">
        <w:t>Prophe</w:t>
      </w:r>
      <w:r w:rsidR="00A8703A">
        <w:t>ts are not cool</w:t>
      </w:r>
      <w:r w:rsidR="004C044F">
        <w:t xml:space="preserve">, </w:t>
      </w:r>
      <w:r w:rsidR="00AC25E0">
        <w:t xml:space="preserve">detached </w:t>
      </w:r>
      <w:r w:rsidR="00A8703A">
        <w:t xml:space="preserve">deliverers of </w:t>
      </w:r>
      <w:r w:rsidR="00C221F1">
        <w:t>message</w:t>
      </w:r>
      <w:r w:rsidR="00A8703A">
        <w:t>s</w:t>
      </w:r>
      <w:r w:rsidR="004C044F">
        <w:t>; their</w:t>
      </w:r>
      <w:r w:rsidR="00AC25E0">
        <w:t xml:space="preserve"> </w:t>
      </w:r>
      <w:r w:rsidR="004C044F">
        <w:t>proclamation</w:t>
      </w:r>
      <w:r w:rsidR="00AC25E0">
        <w:t xml:space="preserve"> involves </w:t>
      </w:r>
      <w:r w:rsidR="00C221F1">
        <w:t>passion, fear for their people</w:t>
      </w:r>
      <w:r w:rsidR="00A8703A">
        <w:t xml:space="preserve"> and for themselves</w:t>
      </w:r>
      <w:r w:rsidR="00C221F1">
        <w:t xml:space="preserve">, and anger. </w:t>
      </w:r>
    </w:p>
    <w:p w:rsidR="00403179" w:rsidRDefault="00C221F1" w:rsidP="00082F13">
      <w:r>
        <w:t>Hosea’s message drives him crazy</w:t>
      </w:r>
      <w:r w:rsidR="007A3878">
        <w:t xml:space="preserve"> (v. 7aγbαβ</w:t>
      </w:r>
      <w:r w:rsidR="001C6472">
        <w:t>)</w:t>
      </w:r>
      <w:r w:rsidR="00A8703A">
        <w:t>. P</w:t>
      </w:r>
      <w:r w:rsidR="00403179">
        <w:t>eople were saying h</w:t>
      </w:r>
      <w:r w:rsidR="00A8703A">
        <w:t>e was a fool, and he admits it.</w:t>
      </w:r>
      <w:r w:rsidR="00367F16">
        <w:t xml:space="preserve"> “I am compelled to play the fool.”</w:t>
      </w:r>
      <w:r w:rsidR="00367F16">
        <w:rPr>
          <w:rStyle w:val="FootnoteReference"/>
        </w:rPr>
        <w:footnoteReference w:id="406"/>
      </w:r>
      <w:r w:rsidR="00367F16">
        <w:t xml:space="preserve"> </w:t>
      </w:r>
      <w:r w:rsidR="00175491">
        <w:t>He is a “fool for God.”</w:t>
      </w:r>
      <w:r w:rsidR="00175491">
        <w:rPr>
          <w:rStyle w:val="FootnoteReference"/>
        </w:rPr>
        <w:footnoteReference w:id="407"/>
      </w:r>
      <w:r w:rsidR="00175491">
        <w:t xml:space="preserve"> </w:t>
      </w:r>
      <w:r w:rsidR="00403179">
        <w:t>“Stupid” is</w:t>
      </w:r>
      <w:r w:rsidR="004C044F">
        <w:t xml:space="preserve"> a general purposes word;</w:t>
      </w:r>
      <w:r w:rsidR="00403179">
        <w:t xml:space="preserve"> realists might use </w:t>
      </w:r>
      <w:r w:rsidR="004C044F">
        <w:t xml:space="preserve">it </w:t>
      </w:r>
      <w:r w:rsidR="00403179">
        <w:t xml:space="preserve">of someone </w:t>
      </w:r>
      <w:r w:rsidR="004C044F">
        <w:t>irresponsible enough to say</w:t>
      </w:r>
      <w:r w:rsidR="00535AAA">
        <w:t xml:space="preserve"> that Ephraim</w:t>
      </w:r>
      <w:r w:rsidR="00403179">
        <w:t xml:space="preserve"> should trust in Yahweh for its politica</w:t>
      </w:r>
      <w:r w:rsidR="00535AAA">
        <w:t>l future and not accept any responsibility for ensuring</w:t>
      </w:r>
      <w:r w:rsidR="00403179">
        <w:t xml:space="preserve"> that it had a </w:t>
      </w:r>
      <w:r w:rsidR="00535AAA">
        <w:t>future. M</w:t>
      </w:r>
      <w:r w:rsidR="00403179">
        <w:t>ore specific</w:t>
      </w:r>
      <w:r w:rsidR="00535AAA">
        <w:t>ally</w:t>
      </w:r>
      <w:r w:rsidR="00403179">
        <w:t>, they would say he ta</w:t>
      </w:r>
      <w:r w:rsidR="00AB1874">
        <w:t xml:space="preserve">lked and behaved like a madman, </w:t>
      </w:r>
      <w:r w:rsidR="00403179">
        <w:t xml:space="preserve">as they </w:t>
      </w:r>
      <w:r w:rsidR="00AB1874">
        <w:t xml:space="preserve">said of Elisha’s servant and will say of Jeremiah (2 Kings 9:11; </w:t>
      </w:r>
      <w:r w:rsidR="00403179">
        <w:t>Jer. 29:26).</w:t>
      </w:r>
      <w:r w:rsidR="00AB1874">
        <w:t xml:space="preserve"> As “stupid” is given more specificity by “driven mad,” “prophet”</w:t>
      </w:r>
      <w:r w:rsidR="00350BDE">
        <w:t xml:space="preserve"> is nuanced by the unique</w:t>
      </w:r>
      <w:r w:rsidR="00AB1874">
        <w:t xml:space="preserve"> expression “spirit man</w:t>
      </w:r>
      <w:r w:rsidR="00350BDE">
        <w:t>” (</w:t>
      </w:r>
      <w:r w:rsidR="00535AAA">
        <w:t xml:space="preserve">man of spirit). It recalls </w:t>
      </w:r>
      <w:r w:rsidR="004C044F">
        <w:t>the more common term for</w:t>
      </w:r>
      <w:r w:rsidR="00350BDE">
        <w:t xml:space="preserve"> a prophet, “supernatural man” (m</w:t>
      </w:r>
      <w:r w:rsidR="004C044F">
        <w:t>an of God), which commonly denotes</w:t>
      </w:r>
      <w:r w:rsidR="00350BDE">
        <w:t xml:space="preserve"> someone</w:t>
      </w:r>
      <w:r w:rsidR="00535AAA">
        <w:t xml:space="preserve"> who does extraordinary things; it also recalls</w:t>
      </w:r>
      <w:r w:rsidR="00350BDE">
        <w:t xml:space="preserve"> other applications of the word “spirit” to pr</w:t>
      </w:r>
      <w:r w:rsidR="00D84377">
        <w:t>ophets (e.g., Mic. 3:8, but especially</w:t>
      </w:r>
      <w:r w:rsidR="00350BDE">
        <w:t xml:space="preserve"> in Ezeki</w:t>
      </w:r>
      <w:r w:rsidR="004C044F">
        <w:t xml:space="preserve">el). It suggests someone </w:t>
      </w:r>
      <w:r w:rsidR="00350BDE">
        <w:t>hurled to and fro in unpredictable fashio</w:t>
      </w:r>
      <w:r w:rsidR="004C044F">
        <w:t>n by Yahweh’s breath/wind. I</w:t>
      </w:r>
      <w:r w:rsidR="00350BDE">
        <w:t>t may be another pejorative expression which Hosea is prepared to take as a compliment. Better to be a man of that spirit than of your</w:t>
      </w:r>
      <w:r w:rsidR="00535AAA">
        <w:t xml:space="preserve"> </w:t>
      </w:r>
      <w:r w:rsidR="00350BDE">
        <w:t>s</w:t>
      </w:r>
      <w:r w:rsidR="00535AAA">
        <w:t>pirit</w:t>
      </w:r>
      <w:r w:rsidR="00350BDE">
        <w:t xml:space="preserve"> (cf. </w:t>
      </w:r>
      <w:r w:rsidR="001E5C04">
        <w:t>4:12, 19; 5:4), Hosea might have implied.</w:t>
      </w:r>
      <w:r w:rsidR="00AC25E0">
        <w:t xml:space="preserve"> </w:t>
      </w:r>
    </w:p>
    <w:p w:rsidR="003B043C" w:rsidRDefault="00301BC0" w:rsidP="00082F13">
      <w:r>
        <w:t>His more overt point (v. 7bγδ) is that there is good reason for his craziness. He is almo</w:t>
      </w:r>
      <w:r w:rsidR="00535AAA">
        <w:t>st proud of it. It is a reasonable</w:t>
      </w:r>
      <w:r>
        <w:t xml:space="preserve"> reaction </w:t>
      </w:r>
      <w:r w:rsidR="004C044F">
        <w:t xml:space="preserve">to the waywardness </w:t>
      </w:r>
      <w:r>
        <w:t xml:space="preserve">he confronts in the </w:t>
      </w:r>
      <w:r w:rsidR="004C044F">
        <w:t>entire prophecy</w:t>
      </w:r>
      <w:r>
        <w:t xml:space="preserve">. </w:t>
      </w:r>
      <w:r w:rsidR="00330452">
        <w:t>It</w:t>
      </w:r>
      <w:r w:rsidR="004C044F">
        <w:t xml:space="preserve"> was their many-sided</w:t>
      </w:r>
      <w:r w:rsidR="00330452">
        <w:t xml:space="preserve"> waywardn</w:t>
      </w:r>
      <w:r w:rsidR="004C044F">
        <w:t xml:space="preserve">ess that was expressed in </w:t>
      </w:r>
      <w:r w:rsidR="00330452">
        <w:t>making many altars</w:t>
      </w:r>
      <w:r w:rsidR="00D84377">
        <w:t xml:space="preserve"> (8:11)</w:t>
      </w:r>
      <w:r w:rsidR="00330452">
        <w:t>. The</w:t>
      </w:r>
      <w:r w:rsidR="00D84377">
        <w:t xml:space="preserve">ir animosity is also </w:t>
      </w:r>
      <w:r w:rsidR="00D84377">
        <w:lastRenderedPageBreak/>
        <w:t>manifold. Whereas t</w:t>
      </w:r>
      <w:r w:rsidR="00330452">
        <w:t>he parallelism would make one think</w:t>
      </w:r>
      <w:r w:rsidR="003B043C">
        <w:t xml:space="preserve"> of </w:t>
      </w:r>
      <w:r w:rsidR="00D84377">
        <w:t xml:space="preserve">animosity to Yahweh, </w:t>
      </w:r>
      <w:r w:rsidR="00330452">
        <w:t xml:space="preserve">the </w:t>
      </w:r>
      <w:r w:rsidR="00D84377">
        <w:t xml:space="preserve">rare </w:t>
      </w:r>
      <w:r w:rsidR="00330452">
        <w:t>word (</w:t>
      </w:r>
      <w:r w:rsidR="00330452">
        <w:rPr>
          <w:i/>
        </w:rPr>
        <w:t>maśṭē</w:t>
      </w:r>
      <w:r w:rsidR="00E2216F">
        <w:rPr>
          <w:i/>
        </w:rPr>
        <w:t>m</w:t>
      </w:r>
      <w:r w:rsidR="00330452">
        <w:rPr>
          <w:i/>
        </w:rPr>
        <w:t>ā</w:t>
      </w:r>
      <w:r w:rsidR="00E2216F">
        <w:rPr>
          <w:i/>
        </w:rPr>
        <w:t>h</w:t>
      </w:r>
      <w:r w:rsidR="00E2216F">
        <w:t>)</w:t>
      </w:r>
      <w:r w:rsidR="00E2216F">
        <w:rPr>
          <w:i/>
        </w:rPr>
        <w:t xml:space="preserve"> </w:t>
      </w:r>
      <w:r w:rsidR="00D84377">
        <w:t xml:space="preserve">is </w:t>
      </w:r>
      <w:r w:rsidR="00E2216F">
        <w:t>used only of human rancor (e.g., Gen. 50:15; Ps. 55:3 [4])—exce</w:t>
      </w:r>
      <w:r w:rsidR="00D84377">
        <w:t>pt with irony when Job applies it</w:t>
      </w:r>
      <w:r w:rsidR="003B043C">
        <w:t xml:space="preserve"> to God (Job 16:9; 30:21). I</w:t>
      </w:r>
      <w:r w:rsidR="00D84377">
        <w:t xml:space="preserve">t </w:t>
      </w:r>
      <w:r w:rsidR="00E2216F">
        <w:t>fits the conte</w:t>
      </w:r>
      <w:r w:rsidR="003B043C">
        <w:t xml:space="preserve">xt to understand Hosea as </w:t>
      </w:r>
      <w:r w:rsidR="00E2216F">
        <w:t xml:space="preserve">driven crazy by people’s animosity to him. </w:t>
      </w:r>
      <w:r w:rsidR="00D17F09">
        <w:t>He is “the persecuted prophet.”</w:t>
      </w:r>
      <w:r w:rsidR="00D17F09">
        <w:rPr>
          <w:rStyle w:val="FootnoteReference"/>
        </w:rPr>
        <w:footnoteReference w:id="408"/>
      </w:r>
      <w:r w:rsidR="00D17F09">
        <w:t xml:space="preserve"> </w:t>
      </w:r>
      <w:r w:rsidR="00D84377">
        <w:t>Ye</w:t>
      </w:r>
      <w:r w:rsidR="00E2216F">
        <w:t>t the parallelism hints that Hose</w:t>
      </w:r>
      <w:r w:rsidR="00D84377">
        <w:t xml:space="preserve">a is not preoccupied by </w:t>
      </w:r>
      <w:r w:rsidR="00E2216F">
        <w:t>this animosity</w:t>
      </w:r>
      <w:r w:rsidR="00D84377">
        <w:t>’s effect on him personally. People’s</w:t>
      </w:r>
      <w:r w:rsidR="00E2216F">
        <w:t xml:space="preserve"> animosity to him i</w:t>
      </w:r>
      <w:r w:rsidR="00AC25E0">
        <w:t xml:space="preserve">s animosity to his message. It is </w:t>
      </w:r>
      <w:r w:rsidR="00D84377">
        <w:t xml:space="preserve">animosity to God. </w:t>
      </w:r>
      <w:r w:rsidR="00E2216F">
        <w:t>It’s enough to drive someone crazy with frustration and grief for their sake</w:t>
      </w:r>
      <w:r w:rsidR="003B043C">
        <w:t>.</w:t>
      </w:r>
      <w:r w:rsidR="00AC25E0">
        <w:t xml:space="preserve"> </w:t>
      </w:r>
      <w:r w:rsidR="00AC25E0" w:rsidRPr="00AC25E0">
        <w:t xml:space="preserve">The day is coming when they will acknowledge the reasonable nature of </w:t>
      </w:r>
      <w:r w:rsidR="00F30283">
        <w:t>his craziness</w:t>
      </w:r>
      <w:r w:rsidR="00AC25E0" w:rsidRPr="00AC25E0">
        <w:t>.</w:t>
      </w:r>
    </w:p>
    <w:p w:rsidR="006B7975" w:rsidRDefault="003C4FFA" w:rsidP="00082F13">
      <w:r>
        <w:t xml:space="preserve">After all, </w:t>
      </w:r>
      <w:r w:rsidR="006B7975">
        <w:t xml:space="preserve">Hosea’s job as a </w:t>
      </w:r>
      <w:r w:rsidR="00D84377">
        <w:t>prophet is to be a lookout</w:t>
      </w:r>
      <w:r>
        <w:t xml:space="preserve"> (v. 8abα)</w:t>
      </w:r>
      <w:r w:rsidR="00F30283">
        <w:t>,</w:t>
      </w:r>
      <w:r w:rsidR="006B7975">
        <w:t xml:space="preserve"> a classic description of </w:t>
      </w:r>
      <w:r w:rsidR="00D84377">
        <w:t>a prophet’s role (e.g.,</w:t>
      </w:r>
      <w:r w:rsidR="006B7975">
        <w:t xml:space="preserve"> Ezek. 3:17; 33:1-9). A city’s lookout keeps his eye peeled for the approach of an enemy (e.g., </w:t>
      </w:r>
      <w:r w:rsidR="00D84377">
        <w:t>2 Kings 9:16-20). He’</w:t>
      </w:r>
      <w:r>
        <w:t>s the first person to know</w:t>
      </w:r>
      <w:r w:rsidR="00007002">
        <w:t xml:space="preserve"> about danger threatening the city</w:t>
      </w:r>
      <w:r w:rsidR="00D84377">
        <w:t>,</w:t>
      </w:r>
      <w:r w:rsidR="00007002">
        <w:t xml:space="preserve"> and his vital jo</w:t>
      </w:r>
      <w:r>
        <w:t xml:space="preserve">b is to warn </w:t>
      </w:r>
      <w:r w:rsidR="00D84377">
        <w:t xml:space="preserve">people so </w:t>
      </w:r>
      <w:r w:rsidR="00007002">
        <w:t>they can take appropriat</w:t>
      </w:r>
      <w:r w:rsidR="00F30283">
        <w:t xml:space="preserve">e action. A prophet is </w:t>
      </w:r>
      <w:r w:rsidR="00007002">
        <w:t>a city’s lookout who tells it when Yah</w:t>
      </w:r>
      <w:r w:rsidR="00F30283">
        <w:t>weh threatens to attack it</w:t>
      </w:r>
      <w:r w:rsidR="00007002">
        <w:t xml:space="preserve">. It was the role presupposed earlier (cf. 5:8; 8:1). </w:t>
      </w:r>
      <w:r w:rsidR="00F30283">
        <w:t>In</w:t>
      </w:r>
      <w:r w:rsidR="000E6002">
        <w:t xml:space="preserve"> the terms of another </w:t>
      </w:r>
      <w:r w:rsidR="00D84377">
        <w:t>familiar image from every life</w:t>
      </w:r>
      <w:r w:rsidR="000E6002">
        <w:t>, he has to wa</w:t>
      </w:r>
      <w:r w:rsidR="00F30283">
        <w:t>rn Ephraim that Yahweh is</w:t>
      </w:r>
      <w:r w:rsidR="000E6002">
        <w:t xml:space="preserve"> like s</w:t>
      </w:r>
      <w:r w:rsidR="00D84377">
        <w:t>omeone hunting</w:t>
      </w:r>
      <w:r w:rsidR="00F30283">
        <w:t xml:space="preserve"> birds. He</w:t>
      </w:r>
      <w:r>
        <w:t xml:space="preserve"> has set a trap for Ephraim</w:t>
      </w:r>
      <w:r w:rsidR="000E6002">
        <w:t xml:space="preserve"> because of its </w:t>
      </w:r>
      <w:r w:rsidR="00077CC3">
        <w:t>entire pattern of life</w:t>
      </w:r>
      <w:r w:rsidR="000E6002">
        <w:t xml:space="preserve"> (for this bold image, cf. Jer. 50:24</w:t>
      </w:r>
      <w:r w:rsidR="00E42FBE">
        <w:t>; also Amos 3:5</w:t>
      </w:r>
      <w:r w:rsidR="000E6002">
        <w:t>).</w:t>
      </w:r>
    </w:p>
    <w:p w:rsidR="00077CC3" w:rsidRDefault="00077CC3" w:rsidP="00082F13">
      <w:r>
        <w:t>S</w:t>
      </w:r>
      <w:r w:rsidR="00D84377">
        <w:t xml:space="preserve">o there is </w:t>
      </w:r>
      <w:r>
        <w:t>animosity within the household of the prophet’s God (v. 8bβ-9a). As their lookout the pro</w:t>
      </w:r>
      <w:r w:rsidR="003C4FFA">
        <w:t>phet is on their side within this</w:t>
      </w:r>
      <w:r>
        <w:t xml:space="preserve"> hous</w:t>
      </w:r>
      <w:r w:rsidR="003C4FFA">
        <w:t>ehold</w:t>
      </w:r>
      <w:r w:rsidR="00E757E0">
        <w:t>.</w:t>
      </w:r>
      <w:r>
        <w:t xml:space="preserve"> </w:t>
      </w:r>
      <w:r w:rsidR="00E757E0" w:rsidRPr="00E757E0">
        <w:t xml:space="preserve">There is a tension built into his position: he has to warn his own people of the hostility of the one </w:t>
      </w:r>
      <w:r w:rsidR="00E757E0">
        <w:t xml:space="preserve">whom </w:t>
      </w:r>
      <w:r w:rsidR="00E757E0" w:rsidRPr="00E757E0">
        <w:t xml:space="preserve">he </w:t>
      </w:r>
      <w:r w:rsidR="00E757E0">
        <w:t>has also called</w:t>
      </w:r>
      <w:r w:rsidR="00E757E0" w:rsidRPr="00E757E0">
        <w:t xml:space="preserve"> “my God.” </w:t>
      </w:r>
      <w:r w:rsidR="00E757E0">
        <w:t>Perhaps both expressions</w:t>
      </w:r>
      <w:r>
        <w:t xml:space="preserve"> indicate that people were dismissing the God</w:t>
      </w:r>
      <w:r w:rsidR="00E757E0">
        <w:t xml:space="preserve"> in whose name he</w:t>
      </w:r>
      <w:r w:rsidR="009802A8">
        <w:t xml:space="preserve"> spoke</w:t>
      </w:r>
      <w:r w:rsidR="003C4FFA">
        <w:t>,</w:t>
      </w:r>
      <w:r w:rsidR="009802A8">
        <w:t xml:space="preserve"> as merely “Hosea’s [alleged] God.” It indicates the depth of their </w:t>
      </w:r>
      <w:r w:rsidR="003C4FFA">
        <w:t>“</w:t>
      </w:r>
      <w:r w:rsidR="009802A8">
        <w:t>corruption</w:t>
      </w:r>
      <w:r w:rsidR="003C4FFA">
        <w:t>”</w:t>
      </w:r>
      <w:r w:rsidR="009802A8">
        <w:t>: see the first three occurrences of this word in Genesis 6:11-12</w:t>
      </w:r>
      <w:r w:rsidR="000933D4">
        <w:t>. We don’t know what Hosea refers to by the days at Gibeah (cf. 10:9), but Judges 19—21 makes solemn reading (see also 1 Sam</w:t>
      </w:r>
      <w:r w:rsidR="00E757E0">
        <w:t>.</w:t>
      </w:r>
      <w:r w:rsidR="000933D4">
        <w:t xml:space="preserve"> 10—15).</w:t>
      </w:r>
    </w:p>
    <w:p w:rsidR="000933D4" w:rsidRDefault="000933D4" w:rsidP="00082F13">
      <w:r>
        <w:t>Hosea clo</w:t>
      </w:r>
      <w:r w:rsidR="003C4FFA">
        <w:t xml:space="preserve">ses off this </w:t>
      </w:r>
      <w:r w:rsidR="00062F2D">
        <w:t xml:space="preserve">section </w:t>
      </w:r>
      <w:r w:rsidR="003C4FFA">
        <w:t xml:space="preserve">and closes off the sequence of biddings that comprise Part 2 of the scroll (v. 9b) </w:t>
      </w:r>
      <w:r w:rsidR="00062F2D">
        <w:t>with</w:t>
      </w:r>
      <w:r w:rsidR="00062F2D" w:rsidRPr="00062F2D">
        <w:t xml:space="preserve"> familiar words (cf. esp. 8:13)</w:t>
      </w:r>
      <w:r w:rsidR="00062F2D">
        <w:t>.</w:t>
      </w:r>
    </w:p>
    <w:p w:rsidR="00E551FB" w:rsidRDefault="00E551FB" w:rsidP="001D3546">
      <w:pPr>
        <w:pStyle w:val="Heading2"/>
      </w:pPr>
      <w:r>
        <w:t>Theological Implications</w:t>
      </w:r>
    </w:p>
    <w:p w:rsidR="00E551FB" w:rsidRDefault="00E551FB" w:rsidP="009652A7">
      <w:pPr>
        <w:pStyle w:val="ListParagraph"/>
        <w:numPr>
          <w:ilvl w:val="0"/>
          <w:numId w:val="10"/>
        </w:numPr>
        <w:ind w:left="360"/>
      </w:pPr>
      <w:r>
        <w:t>There is a time to celebrate and a time to refrain from celebration. There is a time to refrain even on occasions such as weddings if you have abandoned God and worshiped other gods</w:t>
      </w:r>
      <w:r w:rsidR="00221ACA">
        <w:t xml:space="preserve"> (cf. Exod. 33:4)</w:t>
      </w:r>
      <w:r>
        <w:t>.</w:t>
      </w:r>
      <w:r>
        <w:rPr>
          <w:rStyle w:val="FootnoteReference"/>
        </w:rPr>
        <w:footnoteReference w:id="409"/>
      </w:r>
    </w:p>
    <w:p w:rsidR="00ED35D4" w:rsidRDefault="002F2D02" w:rsidP="009652A7">
      <w:pPr>
        <w:pStyle w:val="ListParagraph"/>
        <w:numPr>
          <w:ilvl w:val="0"/>
          <w:numId w:val="10"/>
        </w:numPr>
        <w:ind w:left="360"/>
      </w:pPr>
      <w:r>
        <w:t>Canaan is God</w:t>
      </w:r>
      <w:r w:rsidR="00ED35D4">
        <w:t>’s country.</w:t>
      </w:r>
      <w:r w:rsidR="003C4FFA">
        <w:t xml:space="preserve"> This fact</w:t>
      </w:r>
      <w:r w:rsidR="00251192">
        <w:t xml:space="preserve"> is the basis upon which he can </w:t>
      </w:r>
      <w:r w:rsidR="00F30283">
        <w:t>give the Canaanites</w:t>
      </w:r>
      <w:r w:rsidR="003C4FFA">
        <w:t xml:space="preserve"> notice when they haven’</w:t>
      </w:r>
      <w:r w:rsidR="00251192">
        <w:t>t kept the imp</w:t>
      </w:r>
      <w:r w:rsidR="003C4FFA">
        <w:t>licit terms of their lease. It’</w:t>
      </w:r>
      <w:r w:rsidR="00251192">
        <w:t>s also the basis on which he can gi</w:t>
      </w:r>
      <w:r w:rsidR="003C4FFA">
        <w:t>ve Israel notice when they haven’</w:t>
      </w:r>
      <w:r w:rsidR="00251192">
        <w:t>t kept the explicit terms of their lease.</w:t>
      </w:r>
    </w:p>
    <w:p w:rsidR="00175491" w:rsidRDefault="00175491" w:rsidP="009652A7">
      <w:pPr>
        <w:pStyle w:val="ListParagraph"/>
        <w:numPr>
          <w:ilvl w:val="0"/>
          <w:numId w:val="10"/>
        </w:numPr>
        <w:ind w:left="360"/>
      </w:pPr>
      <w:r>
        <w:t>It’s much worse to have to eat what is unclean than just to be hungry: “Nothing more grievous can happen to us than the doing away of all difference between us and the profane despisers of God, even in the outward manner of living.”</w:t>
      </w:r>
      <w:r>
        <w:rPr>
          <w:rStyle w:val="FootnoteReference"/>
        </w:rPr>
        <w:footnoteReference w:id="410"/>
      </w:r>
      <w:r w:rsidR="00FA1153">
        <w:t xml:space="preserve"> Calvin speaks especially of forms of worship.</w:t>
      </w:r>
      <w:r w:rsidR="00251192">
        <w:t xml:space="preserve"> In the West, at l</w:t>
      </w:r>
      <w:r w:rsidR="00D32CFC">
        <w:t xml:space="preserve">east, </w:t>
      </w:r>
      <w:r w:rsidR="00251192">
        <w:t>Christians</w:t>
      </w:r>
      <w:r w:rsidR="00D32CFC">
        <w:t xml:space="preserve"> once</w:t>
      </w:r>
      <w:r w:rsidR="00251192">
        <w:t xml:space="preserve"> dressed differently, drank differently, vacationed differently, and made music in church differently from non-Chri</w:t>
      </w:r>
      <w:r w:rsidR="00D32CFC">
        <w:t>stians. It’s no longer so</w:t>
      </w:r>
      <w:r w:rsidR="00251192">
        <w:t>. There are advantages to this change if the difference is on</w:t>
      </w:r>
      <w:r w:rsidR="00F91FF0">
        <w:t>ly outward</w:t>
      </w:r>
      <w:r w:rsidR="00251192">
        <w:t xml:space="preserve">, </w:t>
      </w:r>
      <w:r w:rsidR="00D32CFC">
        <w:t xml:space="preserve">but there are disadvantages in that </w:t>
      </w:r>
      <w:r w:rsidR="00251192">
        <w:t xml:space="preserve">outward differences </w:t>
      </w:r>
      <w:r w:rsidR="00D32CFC">
        <w:t xml:space="preserve">can </w:t>
      </w:r>
      <w:r w:rsidR="00251192">
        <w:t>point to differences of substance.</w:t>
      </w:r>
    </w:p>
    <w:p w:rsidR="00BF3255" w:rsidRDefault="00F91FF0" w:rsidP="009652A7">
      <w:pPr>
        <w:pStyle w:val="ListParagraph"/>
        <w:numPr>
          <w:ilvl w:val="0"/>
          <w:numId w:val="10"/>
        </w:numPr>
        <w:ind w:left="360"/>
      </w:pPr>
      <w:r>
        <w:t>As Hosea</w:t>
      </w:r>
      <w:r w:rsidR="00F30283">
        <w:t xml:space="preserve"> speaks of “days of </w:t>
      </w:r>
      <w:r>
        <w:t xml:space="preserve">recompense,” </w:t>
      </w:r>
      <w:r w:rsidR="00F30283">
        <w:t xml:space="preserve">so does Jesus </w:t>
      </w:r>
      <w:r w:rsidR="00BF3255">
        <w:t>(Luke 21:22</w:t>
      </w:r>
      <w:r>
        <w:t>: the two Greek words are the same in Luke as in the LXX</w:t>
      </w:r>
      <w:r w:rsidR="00BF3255">
        <w:t>)</w:t>
      </w:r>
      <w:r w:rsidR="008D61A1">
        <w:t xml:space="preserve"> which are to come “in fulfillment of all that is written</w:t>
      </w:r>
      <w:r w:rsidR="00BF3255">
        <w:t>.</w:t>
      </w:r>
      <w:r w:rsidR="008D61A1">
        <w:t>”</w:t>
      </w:r>
      <w:r>
        <w:t xml:space="preserve"> </w:t>
      </w:r>
      <w:r w:rsidR="008D61A1">
        <w:t>At the beginning of his ministry as Luke tells the story (Luke 4:14-21), Jesus had take</w:t>
      </w:r>
      <w:r w:rsidR="00D32CFC">
        <w:t xml:space="preserve">n up </w:t>
      </w:r>
      <w:r w:rsidR="008D61A1">
        <w:t>Isaiah</w:t>
      </w:r>
      <w:r w:rsidR="00D32CFC">
        <w:t xml:space="preserve"> 61:1-2 and declared that this prophetic testimony</w:t>
      </w:r>
      <w:r w:rsidR="008D61A1">
        <w:t xml:space="preserve"> was being filled out in him. In his quotation, he includes the reference to “a year of acceptance by Yahweh” but stops before the parallel reference to “a day of redress by our God.” In Isaiah the</w:t>
      </w:r>
      <w:r w:rsidR="00D32CFC">
        <w:t xml:space="preserve"> parallel</w:t>
      </w:r>
      <w:r w:rsidR="008D61A1">
        <w:t xml:space="preserve"> ex</w:t>
      </w:r>
      <w:r w:rsidR="00D32CFC">
        <w:t xml:space="preserve">pressions </w:t>
      </w:r>
      <w:r w:rsidR="008D61A1">
        <w:t xml:space="preserve">refer to the same moment, but in the context of Jesus’s </w:t>
      </w:r>
      <w:r w:rsidR="008D61A1">
        <w:lastRenderedPageBreak/>
        <w:t xml:space="preserve">ministry it suits him to separate them. His ministry </w:t>
      </w:r>
      <w:r w:rsidR="00467061">
        <w:t>is the time when God is expressing his acceptance of his people. But in his l</w:t>
      </w:r>
      <w:r w:rsidR="00D32CFC">
        <w:t>ater words with his disciples Jesus</w:t>
      </w:r>
      <w:r w:rsidR="00467061">
        <w:t xml:space="preserve"> indicates that a time of redress is also imminent. His ministry is the time when Israel is invited to respond to the one whom God has sent, but broadly-speaking it has failed to do so, and </w:t>
      </w:r>
      <w:r w:rsidR="00724B22">
        <w:t xml:space="preserve">redress will follow in the form of the fall of Jerusalem to the Gentiles. </w:t>
      </w:r>
      <w:r w:rsidR="00D32CFC">
        <w:t xml:space="preserve">In Luke 21:22 </w:t>
      </w:r>
      <w:r w:rsidR="00724B22">
        <w:t>Jesus thus takes up the</w:t>
      </w:r>
      <w:r w:rsidR="00D32CFC">
        <w:t xml:space="preserve"> substance of that closing phrase</w:t>
      </w:r>
      <w:r w:rsidR="00D73DF7">
        <w:t xml:space="preserve"> </w:t>
      </w:r>
      <w:r w:rsidR="00724B22">
        <w:t>from Isaiah 61</w:t>
      </w:r>
      <w:r w:rsidR="00D73DF7">
        <w:t>:1-2</w:t>
      </w:r>
      <w:r w:rsidR="00724B22">
        <w:t>,</w:t>
      </w:r>
      <w:r w:rsidR="00841A1E">
        <w:t xml:space="preserve"> and </w:t>
      </w:r>
      <w:r w:rsidR="00D73DF7">
        <w:t>in referring</w:t>
      </w:r>
      <w:r w:rsidR="00841A1E">
        <w:t xml:space="preserve"> to</w:t>
      </w:r>
      <w:r w:rsidR="00724B22">
        <w:t xml:space="preserve"> fulfilling all that is written (not </w:t>
      </w:r>
      <w:r w:rsidR="00841A1E">
        <w:t xml:space="preserve">just </w:t>
      </w:r>
      <w:r w:rsidR="00724B22">
        <w:t xml:space="preserve">one of the two colons in that line) suggests the link, but his actual words </w:t>
      </w:r>
      <w:r w:rsidR="00D73DF7">
        <w:t xml:space="preserve">in Luke 21:22 </w:t>
      </w:r>
      <w:r w:rsidR="00724B22">
        <w:t>come fr</w:t>
      </w:r>
      <w:r w:rsidR="00841A1E">
        <w:t>om Hosea 9:7. Hosea presupposes that Ephraim has known a time of acceptance and favor; “the days of recompense” are now to come. Thus the pattern will be repeated in Jesus’s time and in succeeding decades.  If Jesus “fulfills” or “fills out” Hosea as well as Isaiah 61,</w:t>
      </w:r>
      <w:r w:rsidR="002F2D02">
        <w:t xml:space="preserve"> he does so in noting how God</w:t>
      </w:r>
      <w:r w:rsidR="00841A1E">
        <w:t>’s action in the eighth century fits into a br</w:t>
      </w:r>
      <w:r w:rsidR="002F2D02">
        <w:t>oader pattern of his</w:t>
      </w:r>
      <w:r w:rsidR="00841A1E">
        <w:t xml:space="preserve"> relationship with his people and that it constitutes one embodiment of the ultimate implementing of that pattern. Conversely, Hosea helps Jesus’s disciples understand how Jesus fits into that pattern of relating to his people which was embodied in his relationship with Ephraim. In terms of the words that Jesus takes up, it transpires that there was something in the back of the Holy Spirit’s mind in inspiring Hosea to speak in the way he does in v. 7</w:t>
      </w:r>
      <w:r w:rsidR="00806369">
        <w:t>.</w:t>
      </w:r>
    </w:p>
    <w:p w:rsidR="000F1ACD" w:rsidRDefault="000F1ACD" w:rsidP="00F31CBD">
      <w:pPr>
        <w:pStyle w:val="ListParagraph"/>
        <w:numPr>
          <w:ilvl w:val="0"/>
          <w:numId w:val="10"/>
        </w:numPr>
        <w:ind w:left="360"/>
      </w:pPr>
      <w:r>
        <w:t>A prophet’s job is to be a lookout, which usually means proclaiming news that people don’t want to hear and telling them that they are mirroring their culture rather than modeling an alternative.</w:t>
      </w:r>
      <w:r w:rsidR="00F31CBD">
        <w:t xml:space="preserve"> But the people of God are inclined to dismiss their prophets and their apostles as fools (cf. 1 Cor. 4:12). If prophets and apostles don’t receive that reaction, they will need to ask whether they are really declaring God’s message. </w:t>
      </w:r>
    </w:p>
    <w:p w:rsidR="001424AF" w:rsidRDefault="008979C1" w:rsidP="00EF7B98">
      <w:pPr>
        <w:pStyle w:val="Heading1"/>
      </w:pPr>
      <w:r>
        <w:t>Part Three</w:t>
      </w:r>
      <w:r w:rsidR="001424AF">
        <w:t>: Hosea 9:10—13:16 [14:1</w:t>
      </w:r>
      <w:r w:rsidR="0012002D">
        <w:t xml:space="preserve">]                                                       </w:t>
      </w:r>
      <w:r w:rsidR="001424AF">
        <w:t>Unhappy Recollections</w:t>
      </w:r>
    </w:p>
    <w:p w:rsidR="001424AF" w:rsidRDefault="001424AF" w:rsidP="001424AF">
      <w:r>
        <w:t>The series of biddings in 4:1—9:9 has come to an end. The distinctive feature of 9:10—13:16 [14:1} is a series of recollections from way back</w:t>
      </w:r>
      <w:r w:rsidR="008D4D72">
        <w:t xml:space="preserve"> in Ephraim’s corporate memory. </w:t>
      </w:r>
      <w:r w:rsidR="008D4D72" w:rsidRPr="008D4D72">
        <w:t>In recollection after recollection, nostalgia mixes with shock at Israel’s apostasy.</w:t>
      </w:r>
      <w:r w:rsidR="008D4D72" w:rsidRPr="008D4D72">
        <w:rPr>
          <w:vertAlign w:val="superscript"/>
        </w:rPr>
        <w:footnoteReference w:id="411"/>
      </w:r>
      <w:r w:rsidR="008D4D72">
        <w:t xml:space="preserve"> </w:t>
      </w:r>
      <w:r>
        <w:t xml:space="preserve">In a formal sense, the biddings and the recollections could not be </w:t>
      </w:r>
      <w:r w:rsidR="008D4D72">
        <w:t xml:space="preserve">more </w:t>
      </w:r>
      <w:r>
        <w:t>different. In a rhetorical sense, they are comparable in that each draws attention to what follows. The biddings do so directly by explicitly urging attention. The recollections do so indirectly. None begins with a straightforward sentence</w:t>
      </w:r>
      <w:r w:rsidR="00046E6A">
        <w:t xml:space="preserve">. </w:t>
      </w:r>
    </w:p>
    <w:p w:rsidR="008D4D72" w:rsidRDefault="008D4D72" w:rsidP="001424AF"/>
    <w:p w:rsidR="00046E6A" w:rsidRDefault="00046E6A" w:rsidP="001424AF">
      <w:r>
        <w:t>9:10-17 opens with a comparison</w:t>
      </w:r>
    </w:p>
    <w:p w:rsidR="00046E6A" w:rsidRDefault="00046E6A" w:rsidP="001424AF">
      <w:r>
        <w:t>10:1-10 opens with a participial clause</w:t>
      </w:r>
    </w:p>
    <w:p w:rsidR="00046E6A" w:rsidRDefault="00046E6A" w:rsidP="001424AF">
      <w:r>
        <w:t xml:space="preserve">10:11-17 opens with a </w:t>
      </w:r>
      <w:r>
        <w:rPr>
          <w:i/>
        </w:rPr>
        <w:t>waw</w:t>
      </w:r>
      <w:r>
        <w:t xml:space="preserve"> and a participial clause</w:t>
      </w:r>
    </w:p>
    <w:p w:rsidR="00046E6A" w:rsidRDefault="00046E6A" w:rsidP="001424AF">
      <w:pPr>
        <w:rPr>
          <w:i/>
        </w:rPr>
      </w:pPr>
      <w:r>
        <w:t xml:space="preserve">11:1-12:1 [12:2] opens with a </w:t>
      </w:r>
      <w:r>
        <w:rPr>
          <w:i/>
        </w:rPr>
        <w:t>kî</w:t>
      </w:r>
    </w:p>
    <w:p w:rsidR="00046E6A" w:rsidRDefault="00046E6A" w:rsidP="001424AF">
      <w:r>
        <w:t>12:2-11 [3-12] opens with a noun clause</w:t>
      </w:r>
    </w:p>
    <w:p w:rsidR="00046E6A" w:rsidRDefault="00046E6A" w:rsidP="001424AF">
      <w:r>
        <w:t>12:12—13:16 [</w:t>
      </w:r>
      <w:r w:rsidRPr="00046E6A">
        <w:t>12:13—14:1</w:t>
      </w:r>
      <w:r>
        <w:t xml:space="preserve">] opens with a </w:t>
      </w:r>
      <w:r>
        <w:rPr>
          <w:i/>
        </w:rPr>
        <w:t>waw</w:t>
      </w:r>
      <w:r>
        <w:t>-consecutive</w:t>
      </w:r>
    </w:p>
    <w:p w:rsidR="002F7216" w:rsidRDefault="00606F07" w:rsidP="00EF7B98">
      <w:pPr>
        <w:pStyle w:val="Heading1"/>
      </w:pPr>
      <w:r>
        <w:t>Hosea 9:10-17: Unhappy R</w:t>
      </w:r>
      <w:r w:rsidR="002F7216">
        <w:t>ecollections—The Grapes</w:t>
      </w:r>
    </w:p>
    <w:p w:rsidR="002F7216" w:rsidRDefault="002F7216" w:rsidP="001D3546">
      <w:pPr>
        <w:pStyle w:val="Heading2"/>
      </w:pPr>
      <w:r>
        <w:t>Translation</w:t>
      </w:r>
    </w:p>
    <w:p w:rsidR="002F7216" w:rsidRDefault="002F7216" w:rsidP="002F7216">
      <w:r>
        <w:rPr>
          <w:vertAlign w:val="superscript"/>
        </w:rPr>
        <w:t>10</w:t>
      </w:r>
      <w:r>
        <w:t xml:space="preserve">Like grapes in the wilderness, </w:t>
      </w:r>
    </w:p>
    <w:p w:rsidR="002F7216" w:rsidRDefault="002F7216" w:rsidP="002F7216">
      <w:r>
        <w:lastRenderedPageBreak/>
        <w:tab/>
        <w:t xml:space="preserve">I found </w:t>
      </w:r>
      <w:r w:rsidRPr="00F753F9">
        <w:t>Yiśrā’ēl</w:t>
      </w:r>
      <w:r>
        <w:t>.</w:t>
      </w:r>
      <w:r>
        <w:rPr>
          <w:rStyle w:val="FootnoteReference"/>
        </w:rPr>
        <w:footnoteReference w:id="412"/>
      </w:r>
    </w:p>
    <w:p w:rsidR="002F7216" w:rsidRDefault="002F7216" w:rsidP="002F7216">
      <w:r>
        <w:t>Like the first fruit on a fig tree at its beginning,</w:t>
      </w:r>
    </w:p>
    <w:p w:rsidR="002F7216" w:rsidRDefault="002F7216" w:rsidP="002F7216">
      <w:r>
        <w:tab/>
        <w:t>I looked at your ancestors.</w:t>
      </w:r>
    </w:p>
    <w:p w:rsidR="002F7216" w:rsidRDefault="002F7216" w:rsidP="002F7216">
      <w:r>
        <w:t xml:space="preserve">They—they came to Ba‘al-pə’ôr </w:t>
      </w:r>
    </w:p>
    <w:p w:rsidR="002F7216" w:rsidRDefault="002F7216" w:rsidP="002F7216">
      <w:r>
        <w:tab/>
        <w:t xml:space="preserve">and dedicated themselves to shame. </w:t>
      </w:r>
    </w:p>
    <w:p w:rsidR="002F7216" w:rsidRDefault="002F7216" w:rsidP="002F7216">
      <w:r>
        <w:t>So they became a total abomination</w:t>
      </w:r>
      <w:r>
        <w:rPr>
          <w:rStyle w:val="FootnoteReference"/>
        </w:rPr>
        <w:footnoteReference w:id="413"/>
      </w:r>
      <w:r>
        <w:t xml:space="preserve"> like the thing they loved;</w:t>
      </w:r>
    </w:p>
    <w:p w:rsidR="002F7216" w:rsidRDefault="002F7216" w:rsidP="002F7216">
      <w:r>
        <w:rPr>
          <w:vertAlign w:val="superscript"/>
        </w:rPr>
        <w:tab/>
      </w:r>
      <w:r w:rsidRPr="0012788A">
        <w:rPr>
          <w:vertAlign w:val="superscript"/>
        </w:rPr>
        <w:t>11</w:t>
      </w:r>
      <w:r w:rsidRPr="0012788A">
        <w:t xml:space="preserve">’Eprayim: </w:t>
      </w:r>
      <w:r>
        <w:t>their splendor was</w:t>
      </w:r>
      <w:r>
        <w:rPr>
          <w:rStyle w:val="FootnoteReference"/>
        </w:rPr>
        <w:footnoteReference w:id="414"/>
      </w:r>
      <w:r>
        <w:t xml:space="preserve"> like a bird that flies.</w:t>
      </w:r>
    </w:p>
    <w:p w:rsidR="002F7216" w:rsidRDefault="002F7216" w:rsidP="002F7216"/>
    <w:p w:rsidR="002F7216" w:rsidRDefault="002F7216" w:rsidP="002F7216">
      <w:r>
        <w:t>From birth and from the womb and from conception,</w:t>
      </w:r>
      <w:r w:rsidR="008D08AD">
        <w:rPr>
          <w:rStyle w:val="FootnoteReference"/>
        </w:rPr>
        <w:footnoteReference w:id="415"/>
      </w:r>
    </w:p>
    <w:p w:rsidR="002F7216" w:rsidRDefault="002F7216" w:rsidP="002F7216">
      <w:r>
        <w:tab/>
      </w:r>
      <w:r>
        <w:rPr>
          <w:vertAlign w:val="superscript"/>
        </w:rPr>
        <w:t>12</w:t>
      </w:r>
      <w:r>
        <w:t>indeed they will bring up their children.</w:t>
      </w:r>
    </w:p>
    <w:p w:rsidR="002F7216" w:rsidRDefault="002F7216" w:rsidP="002F7216">
      <w:r>
        <w:t xml:space="preserve">But I will bereave them of people; </w:t>
      </w:r>
    </w:p>
    <w:p w:rsidR="002F7216" w:rsidRDefault="008E3D66" w:rsidP="002F7216">
      <w:r>
        <w:tab/>
        <w:t>y</w:t>
      </w:r>
      <w:r w:rsidR="00087C54">
        <w:t>es, alas for them</w:t>
      </w:r>
      <w:r w:rsidR="002F7216">
        <w:t xml:space="preserve"> when I turn away</w:t>
      </w:r>
      <w:r w:rsidR="002F7216">
        <w:rPr>
          <w:rStyle w:val="FootnoteReference"/>
        </w:rPr>
        <w:footnoteReference w:id="416"/>
      </w:r>
      <w:r w:rsidR="002F7216">
        <w:t xml:space="preserve"> from them.</w:t>
      </w:r>
    </w:p>
    <w:p w:rsidR="002F7216" w:rsidRDefault="002F7216" w:rsidP="002F7216">
      <w:r>
        <w:rPr>
          <w:vertAlign w:val="superscript"/>
        </w:rPr>
        <w:t>13</w:t>
      </w:r>
      <w:r w:rsidRPr="002C126F">
        <w:t>’Eprayim</w:t>
      </w:r>
      <w:r>
        <w:t>, as I looked, was to be a palm shoot,</w:t>
      </w:r>
      <w:r>
        <w:rPr>
          <w:rStyle w:val="FootnoteReference"/>
        </w:rPr>
        <w:footnoteReference w:id="417"/>
      </w:r>
      <w:r>
        <w:t xml:space="preserve"> </w:t>
      </w:r>
    </w:p>
    <w:p w:rsidR="002F7216" w:rsidRDefault="002F7216" w:rsidP="002F7216">
      <w:r>
        <w:tab/>
        <w:t xml:space="preserve">planted in a meadow, </w:t>
      </w:r>
    </w:p>
    <w:p w:rsidR="002F7216" w:rsidRDefault="002F7216" w:rsidP="002F7216">
      <w:r>
        <w:tab/>
        <w:t xml:space="preserve">but </w:t>
      </w:r>
      <w:r w:rsidRPr="002F4CD5">
        <w:t>’Eprayim</w:t>
      </w:r>
      <w:r>
        <w:t xml:space="preserve"> is to take out its children</w:t>
      </w:r>
      <w:r>
        <w:rPr>
          <w:rStyle w:val="FootnoteReference"/>
        </w:rPr>
        <w:footnoteReference w:id="418"/>
      </w:r>
      <w:r>
        <w:t xml:space="preserve"> to a slayer.</w:t>
      </w:r>
      <w:r>
        <w:rPr>
          <w:rStyle w:val="FootnoteReference"/>
        </w:rPr>
        <w:footnoteReference w:id="419"/>
      </w:r>
    </w:p>
    <w:p w:rsidR="002F7216" w:rsidRDefault="002F7216" w:rsidP="002F7216">
      <w:r>
        <w:rPr>
          <w:vertAlign w:val="superscript"/>
        </w:rPr>
        <w:t>14</w:t>
      </w:r>
      <w:r>
        <w:t>Give them, Yahweh: what are you to give?—give them</w:t>
      </w:r>
    </w:p>
    <w:p w:rsidR="002F7216" w:rsidRDefault="002F7216" w:rsidP="002F7216">
      <w:r>
        <w:tab/>
        <w:t>a bereaving womb, shriveling breasts.</w:t>
      </w:r>
    </w:p>
    <w:p w:rsidR="002F7216" w:rsidRDefault="002F7216" w:rsidP="002F7216">
      <w:pPr>
        <w:tabs>
          <w:tab w:val="left" w:pos="3615"/>
        </w:tabs>
        <w:rPr>
          <w:vertAlign w:val="superscript"/>
        </w:rPr>
      </w:pPr>
      <w:r>
        <w:rPr>
          <w:vertAlign w:val="superscript"/>
        </w:rPr>
        <w:tab/>
      </w:r>
    </w:p>
    <w:p w:rsidR="002F7216" w:rsidRDefault="002F7216" w:rsidP="002F7216">
      <w:r>
        <w:rPr>
          <w:vertAlign w:val="superscript"/>
        </w:rPr>
        <w:t>15</w:t>
      </w:r>
      <w:r w:rsidR="00087C54">
        <w:t>All their bad dealing has been</w:t>
      </w:r>
      <w:r w:rsidR="00FA0237">
        <w:t xml:space="preserve"> at Gilgā</w:t>
      </w:r>
      <w:r>
        <w:t>l;</w:t>
      </w:r>
      <w:r w:rsidR="006A3634">
        <w:rPr>
          <w:rStyle w:val="FootnoteReference"/>
        </w:rPr>
        <w:footnoteReference w:id="420"/>
      </w:r>
    </w:p>
    <w:p w:rsidR="002F7216" w:rsidRDefault="00087C54" w:rsidP="002F7216">
      <w:r>
        <w:tab/>
        <w:t>indeed, there I have been</w:t>
      </w:r>
      <w:r w:rsidR="002F7216">
        <w:t xml:space="preserve"> hostile to them.</w:t>
      </w:r>
      <w:r w:rsidR="002F7216">
        <w:rPr>
          <w:rStyle w:val="FootnoteReference"/>
        </w:rPr>
        <w:footnoteReference w:id="421"/>
      </w:r>
    </w:p>
    <w:p w:rsidR="002F7216" w:rsidRDefault="002F7216" w:rsidP="002F7216">
      <w:r>
        <w:t>For the bad nature of their deeds</w:t>
      </w:r>
    </w:p>
    <w:p w:rsidR="002F7216" w:rsidRDefault="002F7216" w:rsidP="002F7216">
      <w:r>
        <w:tab/>
        <w:t>I will drive them out of my household.</w:t>
      </w:r>
    </w:p>
    <w:p w:rsidR="002F7216" w:rsidRDefault="002F7216" w:rsidP="002F7216">
      <w:r>
        <w:t xml:space="preserve">I will not continue my love to them, </w:t>
      </w:r>
    </w:p>
    <w:p w:rsidR="002F7216" w:rsidRDefault="002F7216" w:rsidP="002F7216">
      <w:r>
        <w:tab/>
        <w:t>when all their officials are rebellious.</w:t>
      </w:r>
      <w:r>
        <w:rPr>
          <w:rStyle w:val="FootnoteReference"/>
        </w:rPr>
        <w:footnoteReference w:id="422"/>
      </w:r>
    </w:p>
    <w:p w:rsidR="002F7216" w:rsidRDefault="002F7216" w:rsidP="002F7216">
      <w:r>
        <w:rPr>
          <w:vertAlign w:val="superscript"/>
        </w:rPr>
        <w:t>16</w:t>
      </w:r>
      <w:r w:rsidRPr="008A7051">
        <w:t>’Eprayim</w:t>
      </w:r>
      <w:r>
        <w:t xml:space="preserve"> has been struck down, so that</w:t>
      </w:r>
      <w:r>
        <w:rPr>
          <w:rStyle w:val="FootnoteReference"/>
        </w:rPr>
        <w:footnoteReference w:id="423"/>
      </w:r>
      <w:r>
        <w:t xml:space="preserve"> their root will wither, </w:t>
      </w:r>
    </w:p>
    <w:p w:rsidR="002F7216" w:rsidRDefault="002F7216" w:rsidP="002F7216">
      <w:r>
        <w:tab/>
        <w:t>they just won’t</w:t>
      </w:r>
      <w:r>
        <w:rPr>
          <w:rStyle w:val="FootnoteReference"/>
        </w:rPr>
        <w:footnoteReference w:id="424"/>
      </w:r>
      <w:r>
        <w:t xml:space="preserve"> produce fruit.</w:t>
      </w:r>
      <w:r w:rsidR="005A6E10">
        <w:rPr>
          <w:rStyle w:val="FootnoteReference"/>
        </w:rPr>
        <w:footnoteReference w:id="425"/>
      </w:r>
    </w:p>
    <w:p w:rsidR="002F7216" w:rsidRDefault="002F7216" w:rsidP="002F7216">
      <w:r>
        <w:lastRenderedPageBreak/>
        <w:t xml:space="preserve">Even when they give birth, </w:t>
      </w:r>
    </w:p>
    <w:p w:rsidR="002F7216" w:rsidRDefault="002F7216" w:rsidP="002F7216">
      <w:r>
        <w:tab/>
        <w:t>yes, I will put to death the delights</w:t>
      </w:r>
      <w:r w:rsidR="00DD1382">
        <w:rPr>
          <w:rStyle w:val="FootnoteReference"/>
        </w:rPr>
        <w:footnoteReference w:id="426"/>
      </w:r>
      <w:r>
        <w:t xml:space="preserve"> of their womb.</w:t>
      </w:r>
    </w:p>
    <w:p w:rsidR="002F7216" w:rsidRDefault="002F7216" w:rsidP="002F7216">
      <w:r>
        <w:rPr>
          <w:vertAlign w:val="superscript"/>
        </w:rPr>
        <w:t>17</w:t>
      </w:r>
      <w:r>
        <w:t>May my God reject them,</w:t>
      </w:r>
      <w:r>
        <w:rPr>
          <w:rStyle w:val="FootnoteReference"/>
        </w:rPr>
        <w:footnoteReference w:id="427"/>
      </w:r>
      <w:r>
        <w:t xml:space="preserve"> </w:t>
      </w:r>
    </w:p>
    <w:p w:rsidR="002F7216" w:rsidRDefault="00DD1680" w:rsidP="002F7216">
      <w:r>
        <w:tab/>
        <w:t>because they haven’</w:t>
      </w:r>
      <w:r w:rsidR="002F7216">
        <w:t>t obeyed him,</w:t>
      </w:r>
    </w:p>
    <w:p w:rsidR="002F7216" w:rsidRDefault="002F7216" w:rsidP="002F7216">
      <w:r>
        <w:tab/>
        <w:t>so they may be wanderers among the nations.</w:t>
      </w:r>
    </w:p>
    <w:p w:rsidR="002F7216" w:rsidRPr="001412F6" w:rsidRDefault="002F7216" w:rsidP="002F7216"/>
    <w:p w:rsidR="002F7216" w:rsidRDefault="002F7216" w:rsidP="001D3546">
      <w:pPr>
        <w:pStyle w:val="Heading2"/>
      </w:pPr>
      <w:r>
        <w:t>Interpretation</w:t>
      </w:r>
    </w:p>
    <w:p w:rsidR="005E4BE6" w:rsidRDefault="00D73DF7" w:rsidP="005E4BE6">
      <w:r>
        <w:t xml:space="preserve">There is </w:t>
      </w:r>
      <w:r w:rsidR="007670B4">
        <w:t xml:space="preserve">marked change of subject and </w:t>
      </w:r>
      <w:r>
        <w:t xml:space="preserve">change of form </w:t>
      </w:r>
      <w:r w:rsidR="007670B4">
        <w:t>at 9:10 as Yahweh recalls</w:t>
      </w:r>
      <w:r>
        <w:t xml:space="preserve"> events from long ago</w:t>
      </w:r>
      <w:r w:rsidR="00063395">
        <w:t xml:space="preserve">. We will discover that 9:10-17 is the first instantiation of a </w:t>
      </w:r>
      <w:r w:rsidR="007670B4">
        <w:t>new pattern in the scroll, as</w:t>
      </w:r>
      <w:r w:rsidR="00063395">
        <w:t xml:space="preserve"> Yahweh</w:t>
      </w:r>
      <w:r w:rsidR="00063395" w:rsidRPr="00063395">
        <w:t xml:space="preserve"> speaks more reflectively</w:t>
      </w:r>
      <w:r w:rsidR="00063395">
        <w:t xml:space="preserve"> than heretofore.</w:t>
      </w:r>
      <w:r>
        <w:t xml:space="preserve"> </w:t>
      </w:r>
      <w:r w:rsidR="00063395">
        <w:t xml:space="preserve">His rhetorical strategy thus changes. </w:t>
      </w:r>
      <w:r w:rsidR="005E4BE6" w:rsidRPr="00F82F1F">
        <w:t xml:space="preserve">MT </w:t>
      </w:r>
      <w:r>
        <w:t xml:space="preserve">marks off </w:t>
      </w:r>
      <w:r w:rsidR="005E4BE6" w:rsidRPr="00F82F1F">
        <w:t>9:</w:t>
      </w:r>
      <w:r w:rsidR="005E4BE6">
        <w:t>10-17</w:t>
      </w:r>
      <w:r>
        <w:t xml:space="preserve"> with setumahs</w:t>
      </w:r>
      <w:r w:rsidR="005F699E">
        <w:t>. MT (L)</w:t>
      </w:r>
      <w:r w:rsidR="005E4BE6">
        <w:t xml:space="preserve"> </w:t>
      </w:r>
      <w:r w:rsidR="005E4BE6" w:rsidRPr="00F82F1F">
        <w:t xml:space="preserve">has a </w:t>
      </w:r>
      <w:r w:rsidR="005E4BE6">
        <w:t xml:space="preserve">further </w:t>
      </w:r>
      <w:r>
        <w:t>setumah</w:t>
      </w:r>
      <w:r w:rsidR="00063395">
        <w:t xml:space="preserve"> between vv. 16 and 17</w:t>
      </w:r>
      <w:r w:rsidR="005E4BE6">
        <w:t>, which corresponds to the fact that</w:t>
      </w:r>
      <w:r w:rsidR="005E4BE6" w:rsidRPr="00F82F1F">
        <w:t xml:space="preserve"> </w:t>
      </w:r>
      <w:r w:rsidR="00063395">
        <w:t>Yahweh’s</w:t>
      </w:r>
      <w:r w:rsidR="005E4BE6" w:rsidRPr="00A36D21">
        <w:t xml:space="preserve"> speak</w:t>
      </w:r>
      <w:r w:rsidR="007670B4">
        <w:t xml:space="preserve">ing </w:t>
      </w:r>
      <w:r w:rsidR="00063395">
        <w:t xml:space="preserve">gives way </w:t>
      </w:r>
      <w:r w:rsidR="007670B4">
        <w:t xml:space="preserve">there </w:t>
      </w:r>
      <w:r w:rsidR="00063395">
        <w:t>to</w:t>
      </w:r>
      <w:r w:rsidR="005E4BE6">
        <w:t xml:space="preserve"> Hosea</w:t>
      </w:r>
      <w:r w:rsidR="00063395">
        <w:t xml:space="preserve">’s speaking </w:t>
      </w:r>
      <w:r w:rsidR="005E4BE6">
        <w:t xml:space="preserve">at </w:t>
      </w:r>
      <w:r w:rsidR="005E4BE6" w:rsidRPr="00A36D21">
        <w:t>the close of the chapter</w:t>
      </w:r>
      <w:r w:rsidR="006C3593">
        <w:t xml:space="preserve"> (though </w:t>
      </w:r>
      <w:r w:rsidR="00063395">
        <w:t>Hosea also speaks in v. 14)</w:t>
      </w:r>
      <w:r w:rsidR="005E4BE6" w:rsidRPr="00A36D21">
        <w:t>.</w:t>
      </w:r>
      <w:r w:rsidR="005E4BE6">
        <w:t xml:space="preserve"> </w:t>
      </w:r>
      <w:r w:rsidR="005E4BE6" w:rsidRPr="00F82F1F">
        <w:t>Indirectly, Hosea speaks</w:t>
      </w:r>
      <w:r w:rsidR="00063395">
        <w:t xml:space="preserve"> to Ephraim all the way through</w:t>
      </w:r>
      <w:r w:rsidR="005E4BE6">
        <w:t xml:space="preserve">. </w:t>
      </w:r>
      <w:r w:rsidR="001C6472">
        <w:t>First Yahweh thinks about how sweet things were with Ephraim at the beginning, and how they went sour.</w:t>
      </w:r>
    </w:p>
    <w:p w:rsidR="005E4BE6" w:rsidRDefault="005E4BE6" w:rsidP="002F7216">
      <w:pPr>
        <w:rPr>
          <w:b/>
        </w:rPr>
      </w:pPr>
    </w:p>
    <w:p w:rsidR="00063395" w:rsidRDefault="002F7216" w:rsidP="002F7216">
      <w:r>
        <w:rPr>
          <w:b/>
        </w:rPr>
        <w:t xml:space="preserve">Hosea 9:10-11a. </w:t>
      </w:r>
      <w:r w:rsidR="00063395">
        <w:t xml:space="preserve">So Yahweh himself now looks back </w:t>
      </w:r>
      <w:r w:rsidR="001C6472">
        <w:t xml:space="preserve">(v. 10a) </w:t>
      </w:r>
      <w:r w:rsidR="00063395">
        <w:t>in</w:t>
      </w:r>
      <w:r>
        <w:t xml:space="preserve"> a remarkable pair of new images (cf. Mic. 7:1). Imagine you’r</w:t>
      </w:r>
      <w:r w:rsidR="00063395">
        <w:t>e in the wilderness and you’</w:t>
      </w:r>
      <w:r>
        <w:t>d</w:t>
      </w:r>
      <w:r w:rsidR="00063395">
        <w:t xml:space="preserve"> love something fresh and sweet,</w:t>
      </w:r>
      <w:r>
        <w:t xml:space="preserve"> and you find a vine with grapes on it. Or imagine it’s c</w:t>
      </w:r>
      <w:r w:rsidR="00063395">
        <w:t xml:space="preserve">oming </w:t>
      </w:r>
      <w:r w:rsidR="009B42E1">
        <w:t xml:space="preserve">towards </w:t>
      </w:r>
      <w:r w:rsidR="00063395">
        <w:t>summer and you’</w:t>
      </w:r>
      <w:r>
        <w:t>d love some</w:t>
      </w:r>
      <w:r w:rsidR="00063395">
        <w:t>thing fresh and sweet,</w:t>
      </w:r>
      <w:r>
        <w:t xml:space="preserve"> and you find the first fruit on a fig tree, the particularly tasty fruit that grows on last year’s shoots (cf. Isa. 28:4). That’s how I felt ab</w:t>
      </w:r>
      <w:r w:rsidR="006C3593">
        <w:t xml:space="preserve">out Israel, </w:t>
      </w:r>
      <w:r>
        <w:t>the ancestors of the present generation, Yahweh says. One shouldn’t press or allegorize the notions of finding or seeing, or the location in the wilderness. The analogy is like tha</w:t>
      </w:r>
      <w:r w:rsidR="00063395">
        <w:t>t of Israel as Yahweh’s bride; t</w:t>
      </w:r>
      <w:r>
        <w:t xml:space="preserve">he point is the delight of </w:t>
      </w:r>
      <w:r w:rsidR="00063395">
        <w:t xml:space="preserve">the early relationship. </w:t>
      </w:r>
    </w:p>
    <w:p w:rsidR="002F7216" w:rsidRPr="00F9731E" w:rsidRDefault="006C3593" w:rsidP="002F7216">
      <w:r>
        <w:t>But t</w:t>
      </w:r>
      <w:r w:rsidR="00063395">
        <w:t>he point about</w:t>
      </w:r>
      <w:r w:rsidR="002F7216">
        <w:t xml:space="preserve"> the</w:t>
      </w:r>
      <w:r w:rsidR="00063395">
        <w:t xml:space="preserve"> allusion to the wilderness now emerges</w:t>
      </w:r>
      <w:r w:rsidR="002F7216">
        <w:t xml:space="preserve"> (v. 10bαβ). </w:t>
      </w:r>
      <w:r w:rsidR="00063395">
        <w:t>T</w:t>
      </w:r>
      <w:r w:rsidR="00063395" w:rsidRPr="00063395">
        <w:t>hings soon went sour</w:t>
      </w:r>
      <w:r>
        <w:t>.</w:t>
      </w:r>
      <w:r w:rsidR="00063395" w:rsidRPr="00063395">
        <w:t xml:space="preserve"> </w:t>
      </w:r>
      <w:r w:rsidR="002F7216">
        <w:t>The “magical moment”</w:t>
      </w:r>
      <w:r w:rsidR="002F7216">
        <w:rPr>
          <w:rStyle w:val="FootnoteReference"/>
        </w:rPr>
        <w:footnoteReference w:id="428"/>
      </w:r>
      <w:r w:rsidR="00063395">
        <w:t xml:space="preserve"> soon passed. The </w:t>
      </w:r>
      <w:r w:rsidR="002F7216">
        <w:t>section turns out to be a ki</w:t>
      </w:r>
      <w:r w:rsidR="004D0FEC">
        <w:t>nd of lament. Numbers 25:1-5 relates this incident,</w:t>
      </w:r>
      <w:r w:rsidR="002F7216">
        <w:t xml:space="preserve"> at the end of </w:t>
      </w:r>
      <w:r w:rsidR="004D0FEC">
        <w:t>Israel’s stay in the wilderness;</w:t>
      </w:r>
      <w:r w:rsidR="002F7216">
        <w:t xml:space="preserve"> </w:t>
      </w:r>
      <w:r w:rsidR="002F7216" w:rsidRPr="00B34050">
        <w:t>Ba‘al-pə</w:t>
      </w:r>
      <w:r w:rsidR="002F7216">
        <w:t xml:space="preserve">’ôr (Master of Pe’or) is </w:t>
      </w:r>
      <w:r w:rsidR="004D0FEC">
        <w:t xml:space="preserve">there </w:t>
      </w:r>
      <w:r w:rsidR="002F7216">
        <w:t>the name of a god worshiped at this place, which is elsewhere called House of Pe’or (e.g., Deut. 3:29) or simply Pe’or (e.g., Num. 23:28). Strictly, there is one deity called Master, but his title can be glossed with a reference to a particular place (a little like “Our Lady of…</w:t>
      </w:r>
      <w:r w:rsidR="004D0FEC">
        <w:t xml:space="preserve">”). Numbers 25 is the first </w:t>
      </w:r>
      <w:r w:rsidR="002F7216">
        <w:t>place where the First Testament speaks of Israel whoring,</w:t>
      </w:r>
      <w:r>
        <w:t xml:space="preserve"> so </w:t>
      </w:r>
      <w:r w:rsidR="004D0FEC">
        <w:t xml:space="preserve">this allusion </w:t>
      </w:r>
      <w:r w:rsidR="002F7216">
        <w:t xml:space="preserve">follows on the </w:t>
      </w:r>
      <w:r w:rsidR="004D0FEC">
        <w:t xml:space="preserve">prominent </w:t>
      </w:r>
      <w:r w:rsidR="002F7216">
        <w:t>reference</w:t>
      </w:r>
      <w:r w:rsidR="004D0FEC">
        <w:t>s to whoring in the scroll so far</w:t>
      </w:r>
      <w:r>
        <w:t xml:space="preserve">. In other words, this incident at Pe’or was the </w:t>
      </w:r>
      <w:r w:rsidR="002F7216">
        <w:t>beginning of the entire problem that preoccupies Yahweh in Hosea. The tension between vv. 10a and 10b is therefore monumental. Looking back, Yahweh can describe the Israelites’ ancestors as “dedicating themselves” to the Master a</w:t>
      </w:r>
      <w:r w:rsidR="002F7216" w:rsidRPr="009440D8">
        <w:t xml:space="preserve">t Pe’or </w:t>
      </w:r>
      <w:r w:rsidR="004D0FEC">
        <w:t xml:space="preserve">as </w:t>
      </w:r>
      <w:r>
        <w:t>some Israelites would specially dedicate</w:t>
      </w:r>
      <w:r w:rsidR="002F7216">
        <w:t xml:space="preserve"> themselves to Yahweh: the verb is the one from which the noun Nazirite derives (see Num. 6).  “Becoming Nazirites for Baal comprises a complete reversal of normal values.”</w:t>
      </w:r>
      <w:r w:rsidR="002F7216">
        <w:rPr>
          <w:rStyle w:val="FootnoteReference"/>
        </w:rPr>
        <w:footnoteReference w:id="429"/>
      </w:r>
      <w:r w:rsidR="002F7216">
        <w:t xml:space="preserve"> It was something shameful, of which they should have been ashamed and by which the present generation will be shamed (4:</w:t>
      </w:r>
      <w:r w:rsidR="004D0FEC">
        <w:t xml:space="preserve">19; 10:6). The shamefulness is placarded </w:t>
      </w:r>
      <w:r>
        <w:t xml:space="preserve">elsewhere by </w:t>
      </w:r>
      <w:r w:rsidR="004D0FEC">
        <w:t>replacing of</w:t>
      </w:r>
      <w:r>
        <w:t xml:space="preserve"> the </w:t>
      </w:r>
      <w:r w:rsidR="002F7216">
        <w:t xml:space="preserve">title </w:t>
      </w:r>
      <w:r w:rsidR="002F7216">
        <w:rPr>
          <w:i/>
        </w:rPr>
        <w:t>ba‘al</w:t>
      </w:r>
      <w:r w:rsidR="004D0FEC">
        <w:t xml:space="preserve"> by the word </w:t>
      </w:r>
      <w:r>
        <w:t xml:space="preserve">for </w:t>
      </w:r>
      <w:r w:rsidR="002F7216">
        <w:t>shame (</w:t>
      </w:r>
      <w:r w:rsidR="002F7216" w:rsidRPr="009440D8">
        <w:rPr>
          <w:i/>
        </w:rPr>
        <w:t>bōšet</w:t>
      </w:r>
      <w:r w:rsidR="002F7216">
        <w:t>;</w:t>
      </w:r>
      <w:r w:rsidR="002F7216" w:rsidRPr="009440D8">
        <w:rPr>
          <w:i/>
        </w:rPr>
        <w:t xml:space="preserve"> </w:t>
      </w:r>
      <w:r w:rsidR="002F7216">
        <w:t>e.g., Jer. 3:24, a</w:t>
      </w:r>
      <w:r>
        <w:t>nd names such as Mephiboshet). H</w:t>
      </w:r>
      <w:r w:rsidR="002F7216">
        <w:t xml:space="preserve">ere “shame” stands in telling parallelism to </w:t>
      </w:r>
      <w:r w:rsidR="002F7216" w:rsidRPr="009440D8">
        <w:t>Ba‘al-pə’ôr</w:t>
      </w:r>
      <w:r w:rsidR="002F7216">
        <w:t xml:space="preserve"> and expresses judgment on it. </w:t>
      </w:r>
    </w:p>
    <w:p w:rsidR="002F7216" w:rsidRDefault="006C3593" w:rsidP="002F7216">
      <w:r>
        <w:lastRenderedPageBreak/>
        <w:t>So the lament was</w:t>
      </w:r>
      <w:r w:rsidR="002F7216" w:rsidRPr="00A36D21">
        <w:t xml:space="preserve"> actually an indictment</w:t>
      </w:r>
      <w:r w:rsidR="002F7216">
        <w:t>, which now comes to a conclusion</w:t>
      </w:r>
      <w:r w:rsidR="004C5BA5">
        <w:t xml:space="preserve"> </w:t>
      </w:r>
      <w:r w:rsidR="004C5BA5" w:rsidRPr="004C5BA5">
        <w:t>(vv. 10bγ-11a</w:t>
      </w:r>
      <w:r w:rsidR="004C5BA5">
        <w:t>)</w:t>
      </w:r>
      <w:r w:rsidR="002F7216">
        <w:t xml:space="preserve"> and leads into a preliminary declaration about where things will lead</w:t>
      </w:r>
      <w:r w:rsidR="002F7216" w:rsidRPr="00A36D21">
        <w:t xml:space="preserve">. </w:t>
      </w:r>
      <w:r w:rsidR="004C5BA5">
        <w:t>A</w:t>
      </w:r>
      <w:r w:rsidR="004C5BA5" w:rsidRPr="004C5BA5">
        <w:t>bomination (</w:t>
      </w:r>
      <w:r w:rsidR="004C5BA5" w:rsidRPr="004C5BA5">
        <w:rPr>
          <w:i/>
        </w:rPr>
        <w:t>šiqqûș</w:t>
      </w:r>
      <w:r w:rsidR="004C5BA5">
        <w:t>) is an even more powerful term for condemning</w:t>
      </w:r>
      <w:r w:rsidR="002F7216">
        <w:t xml:space="preserve"> foreign</w:t>
      </w:r>
      <w:r w:rsidR="004C5BA5">
        <w:t xml:space="preserve"> gods to whom</w:t>
      </w:r>
      <w:r>
        <w:t xml:space="preserve"> Israel might pray. I</w:t>
      </w:r>
      <w:r w:rsidR="004C5BA5">
        <w:t>t</w:t>
      </w:r>
      <w:r>
        <w:t>, too,</w:t>
      </w:r>
      <w:r w:rsidR="004C5BA5">
        <w:t xml:space="preserve"> </w:t>
      </w:r>
      <w:r w:rsidR="002F7216">
        <w:t xml:space="preserve">has likely come to replace </w:t>
      </w:r>
      <w:r w:rsidR="002F7216" w:rsidRPr="00D65D12">
        <w:rPr>
          <w:i/>
        </w:rPr>
        <w:t>ba‘al</w:t>
      </w:r>
      <w:r w:rsidR="002F7216">
        <w:t xml:space="preserve"> in expressions such as “a desolating abomin</w:t>
      </w:r>
      <w:r w:rsidR="004C5BA5">
        <w:t xml:space="preserve">ation” (Dan. 9:27). There may be nothing shameful about </w:t>
      </w:r>
      <w:r w:rsidR="002F7216">
        <w:t xml:space="preserve">Moabites or Ammonites praying to their gods; Yahweh had allocated </w:t>
      </w:r>
      <w:r w:rsidR="004C5BA5">
        <w:t>them to them. Yet these are not the real God and</w:t>
      </w:r>
      <w:r w:rsidR="002F7216">
        <w:t xml:space="preserve"> eventually their worshipers will be shamed, and the </w:t>
      </w:r>
      <w:r w:rsidR="004C5BA5">
        <w:t>shameful nature of</w:t>
      </w:r>
      <w:r w:rsidR="002F7216">
        <w:t xml:space="preserve"> some aspects of their worship (notably, the sacr</w:t>
      </w:r>
      <w:r w:rsidR="004C5BA5">
        <w:t xml:space="preserve">ifice of children) </w:t>
      </w:r>
      <w:r w:rsidR="002F7216">
        <w:t>also makes them abominations. The trouble is that being an abomination,</w:t>
      </w:r>
      <w:r w:rsidR="002F7216" w:rsidRPr="009440D8">
        <w:t xml:space="preserve"> like uncleanness, </w:t>
      </w:r>
      <w:r w:rsidR="002F7216">
        <w:t>is contagious. Only here is the term “abomination” applied to the people itself, as opposed to gods or practices. But i</w:t>
      </w:r>
      <w:r w:rsidR="002F7216" w:rsidRPr="00F9731E">
        <w:t xml:space="preserve">f you love and are loyal to an abomination, contagion </w:t>
      </w:r>
      <w:r w:rsidR="002F7216">
        <w:t>comes to attach</w:t>
      </w:r>
      <w:r w:rsidR="002F7216" w:rsidRPr="00F9731E">
        <w:t xml:space="preserve"> to you. </w:t>
      </w:r>
      <w:r w:rsidR="004C5BA5">
        <w:t xml:space="preserve">You </w:t>
      </w:r>
      <w:r w:rsidR="002F7216">
        <w:t xml:space="preserve">become an abomination, which will inevitably have consequences. And abomination and </w:t>
      </w:r>
      <w:r w:rsidR="00FE5213">
        <w:t>splendor/honor are incompatible. So b</w:t>
      </w:r>
      <w:r w:rsidR="002F7216">
        <w:t>ecoming an abomination meant the</w:t>
      </w:r>
      <w:r w:rsidR="004C5BA5">
        <w:t xml:space="preserve"> flitting of Ephraim’s splendor. While t</w:t>
      </w:r>
      <w:r w:rsidR="002F7216">
        <w:t xml:space="preserve">he flitting </w:t>
      </w:r>
      <w:r w:rsidR="004C5BA5">
        <w:t>is not yet complete (cf. 4:7), i</w:t>
      </w:r>
      <w:r w:rsidR="002F7216">
        <w:t>n anothe</w:t>
      </w:r>
      <w:r w:rsidR="00FE5213">
        <w:t>r sense it has happened. “Splendor” could</w:t>
      </w:r>
      <w:r w:rsidR="004C5BA5">
        <w:t xml:space="preserve"> simply d</w:t>
      </w:r>
      <w:r w:rsidR="00FE5213">
        <w:t>enote</w:t>
      </w:r>
      <w:r w:rsidR="002F7216">
        <w:t xml:space="preserve"> the impressiveness that attached to Ephraim in Jeroboam’s day </w:t>
      </w:r>
      <w:r w:rsidR="002F7216" w:rsidRPr="00D47B5E">
        <w:t>but is disappearing</w:t>
      </w:r>
      <w:r w:rsidR="002F7216">
        <w:t xml:space="preserve">, or to its nobility or its wealth or its bullock image (cf. 10:5). But Yahweh </w:t>
      </w:r>
      <w:r w:rsidR="004C5BA5">
        <w:t xml:space="preserve">himself </w:t>
      </w:r>
      <w:r w:rsidR="00FE5213">
        <w:t>i</w:t>
      </w:r>
      <w:r w:rsidR="002F7216">
        <w:t>s Israel’s splendor or glory (e.g., Ps. 3:</w:t>
      </w:r>
      <w:r w:rsidR="004C5BA5">
        <w:t xml:space="preserve">3 [4]). An audience </w:t>
      </w:r>
      <w:r w:rsidR="002F7216">
        <w:t>aware of that usage could understand the expression in this way in light of the “I” in v. 10a and the subsequent references to Yahweh’s turning away (v. 12).</w:t>
      </w:r>
    </w:p>
    <w:p w:rsidR="002F7216" w:rsidRDefault="002F7216" w:rsidP="002F7216"/>
    <w:p w:rsidR="006A3634" w:rsidRDefault="002F7216" w:rsidP="002F7216">
      <w:r>
        <w:rPr>
          <w:b/>
        </w:rPr>
        <w:t>Hosea 9:11b-14</w:t>
      </w:r>
      <w:r w:rsidR="004C5BA5">
        <w:t>. Yahweh intends to</w:t>
      </w:r>
      <w:r>
        <w:t xml:space="preserve"> bring calamity in a new and horrifying way, though one that constitutes poetic justice. People have recourse to alien gods in order </w:t>
      </w:r>
      <w:r w:rsidR="00FE5213">
        <w:t>to seek the fertility of crops</w:t>
      </w:r>
      <w:r>
        <w:t xml:space="preserve"> and family. Hosea has spoken of </w:t>
      </w:r>
      <w:r w:rsidR="004C5BA5">
        <w:t>failure in the first connection;</w:t>
      </w:r>
      <w:r>
        <w:t xml:space="preserve"> here </w:t>
      </w:r>
      <w:r w:rsidR="004C5BA5">
        <w:t xml:space="preserve">he speaks of it </w:t>
      </w:r>
      <w:r>
        <w:t>in the second</w:t>
      </w:r>
      <w:r w:rsidR="004C5BA5">
        <w:t xml:space="preserve"> connection</w:t>
      </w:r>
      <w:r w:rsidR="00E86640">
        <w:t xml:space="preserve">. </w:t>
      </w:r>
    </w:p>
    <w:p w:rsidR="002F7216" w:rsidRDefault="00E86640" w:rsidP="002F7216">
      <w:r>
        <w:t>Yahweh’</w:t>
      </w:r>
      <w:r w:rsidR="002F7216">
        <w:t>s threat takes a particularly cruel form</w:t>
      </w:r>
      <w:r w:rsidR="006A3634">
        <w:t xml:space="preserve"> (vv. 11b-12)</w:t>
      </w:r>
      <w:r w:rsidR="002F7216">
        <w:t xml:space="preserve">. It’s not that they won’t have children or that the children will die in infancy—both being common experiences in a traditional society. The process of having children is </w:t>
      </w:r>
      <w:r w:rsidR="006A3634">
        <w:t xml:space="preserve">first </w:t>
      </w:r>
      <w:r w:rsidR="002F7216">
        <w:t>described in the reverse of chronological order, from the birth to the womb out of which the children come and back to the conception itself. Then the description moves forward to parents taking their children to adulthood. Yes, they will flourish. Their prayers will work. The terrible thing is that it will work only in the short t</w:t>
      </w:r>
      <w:r w:rsidR="006A3634">
        <w:t>erm</w:t>
      </w:r>
      <w:r w:rsidR="002F7216">
        <w:t xml:space="preserve">. Yahweh intends to bereave them when their children are adults, because he intends to turn away from them. </w:t>
      </w:r>
    </w:p>
    <w:p w:rsidR="002F7216" w:rsidRDefault="002F7216" w:rsidP="002F7216">
      <w:r>
        <w:t>Yahweh goes on t</w:t>
      </w:r>
      <w:r w:rsidR="006A3634">
        <w:t>o make explicit the implications</w:t>
      </w:r>
      <w:r>
        <w:t xml:space="preserve"> of </w:t>
      </w:r>
      <w:r w:rsidR="006A3634">
        <w:t>t</w:t>
      </w:r>
      <w:r>
        <w:t xml:space="preserve">his turning away (v. 13). The image in v. 13a </w:t>
      </w:r>
      <w:r w:rsidR="006A3634">
        <w:t xml:space="preserve">links with and </w:t>
      </w:r>
      <w:r>
        <w:t>adds to the ones in v. 10</w:t>
      </w:r>
      <w:r w:rsidR="00E86640">
        <w:t>,</w:t>
      </w:r>
      <w:r w:rsidR="006A3634">
        <w:t xml:space="preserve"> and the verb “I looked” recurs</w:t>
      </w:r>
      <w:r>
        <w:t xml:space="preserve">. But Yahweh speaks now of Ephraim rather than Israel, which suggests a more recent scrutiny of Ephraim in particular </w:t>
      </w:r>
      <w:r w:rsidR="006A3634">
        <w:t xml:space="preserve">rather </w:t>
      </w:r>
      <w:r>
        <w:t xml:space="preserve">than that first look at Israel as a whole. A tree planted in a meadow ought to grow well and produce fruit; and Ephraim’s territory is more promising than Judah’s. But Ephraim will not </w:t>
      </w:r>
      <w:r w:rsidR="006A3634">
        <w:t>in the end produce fruit</w:t>
      </w:r>
      <w:r w:rsidR="00E86640">
        <w:t>. W</w:t>
      </w:r>
      <w:r>
        <w:t>hen its children are grown up it will find itself having to send them out to a battle in which they will lose their lives.</w:t>
      </w:r>
    </w:p>
    <w:p w:rsidR="002F7216" w:rsidRDefault="002F7216" w:rsidP="002F7216">
      <w:r>
        <w:t>Hosea’s response is to pray (v. 14). His question compares with Yahweh’s in 6:4; 11:8.</w:t>
      </w:r>
      <w:r>
        <w:rPr>
          <w:rStyle w:val="FootnoteReference"/>
        </w:rPr>
        <w:footnoteReference w:id="430"/>
      </w:r>
      <w:r w:rsidR="00E86640">
        <w:t xml:space="preserve"> Perhaps his prayer</w:t>
      </w:r>
      <w:r>
        <w:t xml:space="preserve"> implies that it might be better and more merciful to prevent </w:t>
      </w:r>
      <w:r w:rsidR="00E86640">
        <w:t>them from having children</w:t>
      </w:r>
      <w:r w:rsidR="006A3634">
        <w:t xml:space="preserve"> at all</w:t>
      </w:r>
      <w:r>
        <w:t>, to give them wombs that don’t work properly but miscarry, and breasts that can shrivel because they aren’t needed. Standing between Yahweh and the people and identified with both, Hosea looks for a way of honoring God and seeking mercy for the people.</w:t>
      </w:r>
      <w:r>
        <w:rPr>
          <w:rStyle w:val="FootnoteReference"/>
        </w:rPr>
        <w:footnoteReference w:id="431"/>
      </w:r>
      <w:r>
        <w:t xml:space="preserve"> Yet rhetorically this terrible prayer also seeks to get home to his Ephraimite listeners.</w:t>
      </w:r>
      <w:r>
        <w:rPr>
          <w:rStyle w:val="FootnoteReference"/>
        </w:rPr>
        <w:footnoteReference w:id="432"/>
      </w:r>
    </w:p>
    <w:p w:rsidR="002F7216" w:rsidRDefault="002F7216" w:rsidP="002F7216"/>
    <w:p w:rsidR="006A3634" w:rsidRDefault="002F7216" w:rsidP="002F7216">
      <w:r>
        <w:rPr>
          <w:b/>
        </w:rPr>
        <w:t>Hosea 9:15-17</w:t>
      </w:r>
      <w:r>
        <w:t xml:space="preserve">. Yahweh resumes his declaration; it will eventually emerge that he has not changed the subject.  </w:t>
      </w:r>
    </w:p>
    <w:p w:rsidR="002F7216" w:rsidRDefault="002F7216" w:rsidP="002F7216">
      <w:r>
        <w:lastRenderedPageBreak/>
        <w:t>Gilgal (</w:t>
      </w:r>
      <w:r w:rsidR="006A3634">
        <w:t>v. 15</w:t>
      </w:r>
      <w:r w:rsidR="001C6472">
        <w:t>a</w:t>
      </w:r>
      <w:r w:rsidR="006A3634">
        <w:t xml:space="preserve">; </w:t>
      </w:r>
      <w:r>
        <w:t xml:space="preserve">see 4:15-19 and the </w:t>
      </w:r>
      <w:r w:rsidR="00F14F90">
        <w:t>comments</w:t>
      </w:r>
      <w:r>
        <w:t xml:space="preserve">) </w:t>
      </w:r>
      <w:r w:rsidR="00DD1680">
        <w:t>i</w:t>
      </w:r>
      <w:r w:rsidR="004E2A89">
        <w:t>s one</w:t>
      </w:r>
      <w:r>
        <w:t xml:space="preserve"> of the sanctuaries where Ephra</w:t>
      </w:r>
      <w:r w:rsidR="006A3634">
        <w:t>im’s worship is so unacceptable.</w:t>
      </w:r>
      <w:r>
        <w:t xml:space="preserve"> Amos 5:1-6 similarly first mentions Beth</w:t>
      </w:r>
      <w:r w:rsidR="00DD219C">
        <w:t>-</w:t>
      </w:r>
      <w:r>
        <w:t>el and Gilgal, like Hosea 4:15-19, then just mentions Beth</w:t>
      </w:r>
      <w:r w:rsidR="00DD219C">
        <w:t>-</w:t>
      </w:r>
      <w:r>
        <w:t xml:space="preserve">el. </w:t>
      </w:r>
      <w:r w:rsidR="006A3634">
        <w:t>But mentioning</w:t>
      </w:r>
      <w:r w:rsidR="004E2A89">
        <w:t xml:space="preserve"> Gilgal on its own recalls 6:8 (see the </w:t>
      </w:r>
      <w:r w:rsidR="00F14F90">
        <w:t>comments</w:t>
      </w:r>
      <w:r w:rsidR="004E2A89">
        <w:t xml:space="preserve">) and the event </w:t>
      </w:r>
      <w:r w:rsidR="006A3634">
        <w:t xml:space="preserve">that occurred there. </w:t>
      </w:r>
      <w:r>
        <w:t>The concrete expression of Yahweh’s hostility will involve throwing them out of his household. The verb (</w:t>
      </w:r>
      <w:r>
        <w:rPr>
          <w:i/>
        </w:rPr>
        <w:t>gāraš</w:t>
      </w:r>
      <w:r>
        <w:t>)</w:t>
      </w:r>
      <w:r>
        <w:rPr>
          <w:i/>
        </w:rPr>
        <w:t xml:space="preserve"> </w:t>
      </w:r>
      <w:r>
        <w:t>is the one he uses in connection with driving the Canaanites out of the count</w:t>
      </w:r>
      <w:r w:rsidR="00E86640">
        <w:t>ry (e.g., Exod. 34:11) for the waywardness (Gen. 15:16) that made</w:t>
      </w:r>
      <w:r>
        <w:t xml:space="preserve"> it morally and practically possible to let the Israelites in. The same moral consid</w:t>
      </w:r>
      <w:r w:rsidR="00E86640">
        <w:t>eration that led to expelling</w:t>
      </w:r>
      <w:r>
        <w:t xml:space="preserve"> the </w:t>
      </w:r>
      <w:r w:rsidR="00E86640">
        <w:t>Canaanites leads to expelling</w:t>
      </w:r>
      <w:r>
        <w:t xml:space="preserve"> the Ephraimites. The language (hostility, drive out, household) is </w:t>
      </w:r>
      <w:r w:rsidR="005A6E10">
        <w:t xml:space="preserve">also </w:t>
      </w:r>
      <w:r>
        <w:t>divorce language (Deut. 24:1-4), which fits the prominence of the marriage image in Hosea.</w:t>
      </w:r>
    </w:p>
    <w:p w:rsidR="002F7216" w:rsidRDefault="002F7216" w:rsidP="002F7216">
      <w:r>
        <w:t xml:space="preserve">That imagery continues </w:t>
      </w:r>
      <w:r w:rsidR="005A6E10">
        <w:t xml:space="preserve">(v. 15b) </w:t>
      </w:r>
      <w:r>
        <w:t>when Yahweh goes on to say he will not prolong his love to them (</w:t>
      </w:r>
      <w:r w:rsidRPr="00290134">
        <w:rPr>
          <w:i/>
        </w:rPr>
        <w:t>’ahăbāh</w:t>
      </w:r>
      <w:r w:rsidR="00E86640">
        <w:t>). But t</w:t>
      </w:r>
      <w:r w:rsidR="005A6E10">
        <w:t>he second colon indicates</w:t>
      </w:r>
      <w:r>
        <w:t xml:space="preserve"> that the political overtones </w:t>
      </w:r>
      <w:r w:rsidR="00E86640">
        <w:t>of this language also apply</w:t>
      </w:r>
      <w:r>
        <w:t>. He will n</w:t>
      </w:r>
      <w:r w:rsidR="00E86640">
        <w:t xml:space="preserve">ot maintain his loyalty </w:t>
      </w:r>
      <w:r>
        <w:t xml:space="preserve">because their leaders are not loyal; rebellion is the opposite of loyalty. </w:t>
      </w:r>
    </w:p>
    <w:p w:rsidR="002F7216" w:rsidRDefault="002F7216" w:rsidP="002F7216">
      <w:r>
        <w:t>Yahweh goes on to reprise the previous subsection (v. 16). First he takes up the image of the tre</w:t>
      </w:r>
      <w:r w:rsidR="00CF4133">
        <w:t>e</w:t>
      </w:r>
      <w:r>
        <w:t xml:space="preserve">. In the context, the opening verb looks like perfect of certainty; the </w:t>
      </w:r>
      <w:r w:rsidR="00CF4133">
        <w:t xml:space="preserve">tree’s felling </w:t>
      </w:r>
      <w:r>
        <w:t>has as good as happened. The result will be its root withering; it will not produce fruit. Roots do not always w</w:t>
      </w:r>
      <w:r w:rsidR="00CF4133">
        <w:t>ither because a tree is felled</w:t>
      </w:r>
      <w:r>
        <w:t>, a fact that prophets sometimes appeal to (e.g., Isa</w:t>
      </w:r>
      <w:r w:rsidR="005A6E10">
        <w:t>. 11:1), but in both connections</w:t>
      </w:r>
      <w:r>
        <w:t xml:space="preserve"> the theology comes first and the images from nature are subordinated</w:t>
      </w:r>
      <w:r w:rsidR="00CF4133">
        <w:t xml:space="preserve"> to it. Ephraim’s felling</w:t>
      </w:r>
      <w:r>
        <w:t xml:space="preserve"> means there will be no one to beget children an</w:t>
      </w:r>
      <w:r w:rsidR="005A6E10">
        <w:t>d thus no fruit. Hosea proclaims</w:t>
      </w:r>
      <w:r>
        <w:t xml:space="preserve"> “the death of the future.”</w:t>
      </w:r>
      <w:r>
        <w:rPr>
          <w:rStyle w:val="FootnoteReference"/>
        </w:rPr>
        <w:footnoteReference w:id="433"/>
      </w:r>
      <w:r>
        <w:t xml:space="preserve"> </w:t>
      </w:r>
      <w:r w:rsidR="005A6E10">
        <w:t>And even if it fruits</w:t>
      </w:r>
      <w:r>
        <w:t>, giving birth will get it nowhere</w:t>
      </w:r>
      <w:r w:rsidR="005A6E10">
        <w:t xml:space="preserve"> (cf. vv. 11b-14)</w:t>
      </w:r>
      <w:r>
        <w:t>. In isolation one might infer that Yahweh refers to death in infancy or childhood, but in the context death is battle is more likely</w:t>
      </w:r>
      <w:r w:rsidR="005A6E10">
        <w:t xml:space="preserve"> the reference</w:t>
      </w:r>
      <w:r>
        <w:t>. Either</w:t>
      </w:r>
      <w:r w:rsidR="005A6E10">
        <w:t xml:space="preserve"> way, Yahweh</w:t>
      </w:r>
      <w:r w:rsidR="00CF4133">
        <w:t xml:space="preserve"> refers to children being</w:t>
      </w:r>
      <w:r>
        <w:t xml:space="preserve"> the</w:t>
      </w:r>
      <w:r w:rsidR="00CF4133">
        <w:t>ir parents’</w:t>
      </w:r>
      <w:r>
        <w:t xml:space="preserve"> deli</w:t>
      </w:r>
      <w:r w:rsidR="00CF4133">
        <w:t>ght</w:t>
      </w:r>
      <w:r>
        <w:t xml:space="preserve">, for </w:t>
      </w:r>
      <w:r w:rsidR="00DD1382">
        <w:t xml:space="preserve">both </w:t>
      </w:r>
      <w:r>
        <w:t xml:space="preserve">personal and practical reasons, and grown-up children at least as much so. </w:t>
      </w:r>
      <w:r w:rsidRPr="00B25E92">
        <w:rPr>
          <w:rStyle w:val="Emphasis"/>
          <w:i w:val="0"/>
        </w:rPr>
        <w:t xml:space="preserve">"No parent </w:t>
      </w:r>
      <w:r>
        <w:rPr>
          <w:rStyle w:val="Emphasis"/>
          <w:i w:val="0"/>
        </w:rPr>
        <w:t>should have to bury their child</w:t>
      </w:r>
      <w:r w:rsidRPr="00B25E92">
        <w:rPr>
          <w:rStyle w:val="Emphasis"/>
          <w:i w:val="0"/>
        </w:rPr>
        <w:t>"</w:t>
      </w:r>
      <w:r>
        <w:rPr>
          <w:rStyle w:val="Emphasis"/>
          <w:i w:val="0"/>
        </w:rPr>
        <w:t xml:space="preserve"> (</w:t>
      </w:r>
      <w:r w:rsidRPr="00B25E92">
        <w:rPr>
          <w:iCs/>
        </w:rPr>
        <w:t xml:space="preserve">King Théoden in </w:t>
      </w:r>
      <w:r w:rsidRPr="00B25E92">
        <w:rPr>
          <w:i/>
          <w:iCs/>
        </w:rPr>
        <w:t>The Lord of the Rings: The Two Towers</w:t>
      </w:r>
      <w:r>
        <w:rPr>
          <w:iCs/>
        </w:rPr>
        <w:t>), b</w:t>
      </w:r>
      <w:r>
        <w:t>ut these parents will watch their children die.</w:t>
      </w:r>
    </w:p>
    <w:p w:rsidR="002F7216" w:rsidRDefault="002F7216" w:rsidP="002F7216">
      <w:r>
        <w:t>Hosea’s own conclusion</w:t>
      </w:r>
      <w:r w:rsidR="00CF4133">
        <w:t xml:space="preserve"> </w:t>
      </w:r>
      <w:r w:rsidR="00CF4133" w:rsidRPr="00CF4133">
        <w:t>(v. 17)</w:t>
      </w:r>
      <w:r>
        <w:t xml:space="preserve"> is prosaic like the one at v. 9, and it is a kind of prayer, like the one at</w:t>
      </w:r>
      <w:r w:rsidR="00CF4133">
        <w:t xml:space="preserve"> v. 14. Not only is Yahweh expelling Ephraim from his country:</w:t>
      </w:r>
      <w:r>
        <w:t xml:space="preserve"> Hosea wants him to reject them as a people, in a horrifying reversal of his original choice of them (v. 10), because it is not only t</w:t>
      </w:r>
      <w:r w:rsidR="00DD1382">
        <w:t>heir leaders who are rebellious and/</w:t>
      </w:r>
      <w:r>
        <w:t>or because the leaders inevitably involve the people in their fate. So after Yahweh’s further declaration of intent in vv. 15-16</w:t>
      </w:r>
      <w:r w:rsidR="00CF4133">
        <w:t>,</w:t>
      </w:r>
      <w:r>
        <w:t xml:space="preserve"> following his prayer</w:t>
      </w:r>
      <w:r w:rsidR="00DD1382">
        <w:t xml:space="preserve"> in v. 14</w:t>
      </w:r>
      <w:r>
        <w:t>, Hosea acqu</w:t>
      </w:r>
      <w:r w:rsidR="00CF4133">
        <w:t>iesces. Having been thrown out,</w:t>
      </w:r>
      <w:r>
        <w:t xml:space="preserve"> they will wander homeless like Cain (Gen</w:t>
      </w:r>
      <w:r w:rsidR="00CF4133">
        <w:t>.</w:t>
      </w:r>
      <w:r>
        <w:t xml:space="preserve"> 4:12-16) among the nations—that is, </w:t>
      </w:r>
      <w:r w:rsidR="00DD1382">
        <w:t xml:space="preserve">they will </w:t>
      </w:r>
      <w:r>
        <w:t xml:space="preserve">wander somewhere in the realm of the superpower but outside the one country that means everything to them. </w:t>
      </w:r>
      <w:r w:rsidRPr="00722FD8">
        <w:t>The sequence in vv. 10-17</w:t>
      </w:r>
      <w:r>
        <w:t xml:space="preserve"> parallels that in Amos 7:1-9: t</w:t>
      </w:r>
      <w:r w:rsidRPr="00722FD8">
        <w:t xml:space="preserve">here at first Amos prays for mercy, but </w:t>
      </w:r>
      <w:r w:rsidR="00DD1382">
        <w:t xml:space="preserve">he </w:t>
      </w:r>
      <w:r w:rsidRPr="00722FD8">
        <w:t>does not do so afte</w:t>
      </w:r>
      <w:r>
        <w:t>r Yahweh’s declaration “No more.</w:t>
      </w:r>
      <w:r w:rsidRPr="00722FD8">
        <w:t>”</w:t>
      </w:r>
      <w:r w:rsidRPr="00722FD8">
        <w:rPr>
          <w:vertAlign w:val="superscript"/>
        </w:rPr>
        <w:footnoteReference w:id="434"/>
      </w:r>
      <w:r>
        <w:t xml:space="preserve"> T</w:t>
      </w:r>
      <w:r w:rsidRPr="00722FD8">
        <w:t>he implication is not that Ephraim may no longer repent. It’s never too late to repent. Giving them this information about his prayer is yet another attempt to get through to them.</w:t>
      </w:r>
    </w:p>
    <w:p w:rsidR="002F7216" w:rsidRDefault="002F7216" w:rsidP="001D3546">
      <w:pPr>
        <w:pStyle w:val="Heading2"/>
      </w:pPr>
      <w:r>
        <w:t>Theological Implications</w:t>
      </w:r>
    </w:p>
    <w:p w:rsidR="002F7216" w:rsidRDefault="002F7216" w:rsidP="009652A7">
      <w:pPr>
        <w:pStyle w:val="ListParagraph"/>
        <w:numPr>
          <w:ilvl w:val="0"/>
          <w:numId w:val="13"/>
        </w:numPr>
        <w:ind w:left="360"/>
      </w:pPr>
      <w:r>
        <w:t xml:space="preserve">God gained great joy in the beginnings of his relationship with his people, but things soon went </w:t>
      </w:r>
      <w:r w:rsidR="00CF4133">
        <w:t xml:space="preserve">wrong. This dynamic </w:t>
      </w:r>
      <w:r>
        <w:t>characterizes the entire relationship. Jesus wins initial enthusiasm from his people, but later rejection. Paul speaks of his thanksgiving for what God has given the Corin</w:t>
      </w:r>
      <w:r w:rsidR="00CF4133">
        <w:t xml:space="preserve">thians (1 Cor. 1:4-6), but </w:t>
      </w:r>
      <w:r>
        <w:t>spend</w:t>
      </w:r>
      <w:r w:rsidR="00CF4133">
        <w:t>s</w:t>
      </w:r>
      <w:r>
        <w:t xml:space="preserve"> most of his let</w:t>
      </w:r>
      <w:r w:rsidR="00CF4133">
        <w:t>ters covering</w:t>
      </w:r>
      <w:r>
        <w:t xml:space="preserve"> things that trouble him abou</w:t>
      </w:r>
      <w:r w:rsidR="00CF4133">
        <w:t>t them. T</w:t>
      </w:r>
      <w:r>
        <w:t>he faithlessness of the people of God goes back to its beginnings. As well as applying to the creation story, it appli</w:t>
      </w:r>
      <w:r w:rsidR="00DD1382">
        <w:t xml:space="preserve">es to the Noah story, the Abraham story, </w:t>
      </w:r>
      <w:r>
        <w:t>t</w:t>
      </w:r>
      <w:r w:rsidR="00DD1382">
        <w:t xml:space="preserve">he story of Israel at Sinai, </w:t>
      </w:r>
      <w:r>
        <w:t xml:space="preserve">the </w:t>
      </w:r>
      <w:r w:rsidR="00DD1382">
        <w:t xml:space="preserve">story of the priesthood, the story in Joshua, and </w:t>
      </w:r>
      <w:r>
        <w:t>the story in Acts. The people of God is characterized by its own version of original sin.</w:t>
      </w:r>
    </w:p>
    <w:p w:rsidR="002F7216" w:rsidRDefault="002F7216" w:rsidP="009652A7">
      <w:pPr>
        <w:pStyle w:val="ListParagraph"/>
        <w:numPr>
          <w:ilvl w:val="0"/>
          <w:numId w:val="13"/>
        </w:numPr>
        <w:ind w:left="360"/>
      </w:pPr>
      <w:r>
        <w:lastRenderedPageBreak/>
        <w:t>When God’s servants pray for their</w:t>
      </w:r>
      <w:r w:rsidR="00CF4133">
        <w:t xml:space="preserve"> people, it may involve their </w:t>
      </w:r>
      <w:r>
        <w:t xml:space="preserve">mediating between what people would naturally long for and what God must contemplate doing. Such prayer is then designed to elicit a response from God, but the </w:t>
      </w:r>
      <w:r w:rsidR="00DD1382">
        <w:t>response may not be the one that the servants</w:t>
      </w:r>
      <w:r>
        <w:t xml:space="preserve"> hope</w:t>
      </w:r>
      <w:r w:rsidR="00DD1382">
        <w:t xml:space="preserve"> for. When they</w:t>
      </w:r>
      <w:r>
        <w:t xml:space="preserve"> tell their people how they are praying for them, it’s designed to elicit a response from them. It’s not designed to push them into being the fulfillment of their own prayers, but it is designed to push t</w:t>
      </w:r>
      <w:r w:rsidR="00DD1382">
        <w:t>hem into not making it hard</w:t>
      </w:r>
      <w:r w:rsidR="00CF4133">
        <w:t xml:space="preserve"> for God to answer his servant</w:t>
      </w:r>
      <w:r>
        <w:t>s</w:t>
      </w:r>
      <w:r w:rsidR="00CF4133">
        <w:t>’</w:t>
      </w:r>
      <w:r>
        <w:t xml:space="preserve"> prayers.</w:t>
      </w:r>
    </w:p>
    <w:p w:rsidR="002F7216" w:rsidRDefault="002F7216" w:rsidP="009652A7">
      <w:pPr>
        <w:pStyle w:val="ListParagraph"/>
        <w:numPr>
          <w:ilvl w:val="0"/>
          <w:numId w:val="13"/>
        </w:numPr>
        <w:ind w:left="360"/>
      </w:pPr>
      <w:r>
        <w:t>One might say that Jesus came to bring Israel’s wanderings to an end. In a lite</w:t>
      </w:r>
      <w:r w:rsidR="00DD1382">
        <w:t>ral sense that was unnecessary;</w:t>
      </w:r>
      <w:r>
        <w:t xml:space="preserve"> the Jewish people </w:t>
      </w:r>
      <w:r w:rsidR="00DD1382">
        <w:t xml:space="preserve">now </w:t>
      </w:r>
      <w:r>
        <w:t>occupied a land as extensive as it was when Israel was most flourishing. But they still needed to be rescued from the hand of their enemies and freed to serve their God without fear as they receive the knowledge of salvation through the forgiveness of their sins (Luke 1:68-79).</w:t>
      </w:r>
    </w:p>
    <w:p w:rsidR="002F7216" w:rsidRDefault="002F7216" w:rsidP="009652A7">
      <w:pPr>
        <w:pStyle w:val="ListParagraph"/>
        <w:numPr>
          <w:ilvl w:val="0"/>
          <w:numId w:val="13"/>
        </w:numPr>
        <w:ind w:left="360"/>
      </w:pPr>
      <w:r>
        <w:t>The motif of the Ephraimites wandering because of their sin was taken up in the Christian image of the eternally wandering Jew who came to be subject to restriction, ghetto, expulsion, pogrom, and ultimately holocaust.</w:t>
      </w:r>
      <w:r>
        <w:rPr>
          <w:rStyle w:val="FootnoteReference"/>
        </w:rPr>
        <w:footnoteReference w:id="435"/>
      </w:r>
      <w:r>
        <w:t xml:space="preserve"> Both because Ephraimites as such had ceased to exist and because God had made it possible for any descendants of Israel to return to the land, there is no basis for seeing Hosea’s wis</w:t>
      </w:r>
      <w:r w:rsidR="006B6AA8">
        <w:t>h as open to such fulfillment. T</w:t>
      </w:r>
      <w:r>
        <w:t xml:space="preserve">he implication is </w:t>
      </w:r>
      <w:r w:rsidR="006B6AA8">
        <w:t xml:space="preserve">rather </w:t>
      </w:r>
      <w:r>
        <w:t>that Christians are under obligation to support the Jewish people especially in the context of having been victims of mistaken appeal to Hosea’s wish.</w:t>
      </w:r>
    </w:p>
    <w:p w:rsidR="00CA4AAF" w:rsidRDefault="002A330D" w:rsidP="00EF7B98">
      <w:pPr>
        <w:pStyle w:val="Heading1"/>
      </w:pPr>
      <w:r>
        <w:t>Hose</w:t>
      </w:r>
      <w:r w:rsidR="002F4EAB">
        <w:t xml:space="preserve">a 10:1-10: </w:t>
      </w:r>
      <w:r w:rsidR="00606F07">
        <w:t xml:space="preserve">Unhappy </w:t>
      </w:r>
      <w:r w:rsidR="007670B4">
        <w:t>Recollections—</w:t>
      </w:r>
      <w:r w:rsidR="002F4EAB">
        <w:t>The Vine</w:t>
      </w:r>
    </w:p>
    <w:p w:rsidR="00CA4AAF" w:rsidRDefault="00CA4AAF" w:rsidP="001D3546">
      <w:pPr>
        <w:pStyle w:val="Heading2"/>
      </w:pPr>
      <w:r>
        <w:t>Translation</w:t>
      </w:r>
    </w:p>
    <w:p w:rsidR="001C62E9" w:rsidRDefault="00CA4AAF" w:rsidP="00CA4AAF">
      <w:r>
        <w:rPr>
          <w:vertAlign w:val="superscript"/>
        </w:rPr>
        <w:t>1</w:t>
      </w:r>
      <w:r w:rsidR="006B5966" w:rsidRPr="00235CF2">
        <w:t>Yiśrā’ēl</w:t>
      </w:r>
      <w:r w:rsidR="00F634FD">
        <w:t xml:space="preserve"> is a wast</w:t>
      </w:r>
      <w:r w:rsidR="001C62E9">
        <w:t>ing</w:t>
      </w:r>
      <w:r w:rsidR="00C674A6">
        <w:rPr>
          <w:rStyle w:val="FootnoteReference"/>
        </w:rPr>
        <w:footnoteReference w:id="436"/>
      </w:r>
      <w:r w:rsidR="001C62E9">
        <w:t xml:space="preserve"> vine, </w:t>
      </w:r>
      <w:r w:rsidR="00B50E73">
        <w:t xml:space="preserve"> </w:t>
      </w:r>
    </w:p>
    <w:p w:rsidR="001C62E9" w:rsidRDefault="00733B40" w:rsidP="00CA4AAF">
      <w:r>
        <w:tab/>
        <w:t>whose fruit matches</w:t>
      </w:r>
      <w:r w:rsidR="001C62E9">
        <w:t xml:space="preserve"> it.</w:t>
      </w:r>
      <w:r w:rsidR="00DD2AFD">
        <w:rPr>
          <w:rStyle w:val="FootnoteReference"/>
        </w:rPr>
        <w:footnoteReference w:id="437"/>
      </w:r>
    </w:p>
    <w:p w:rsidR="00BB042A" w:rsidRDefault="002601C7" w:rsidP="00CA4AAF">
      <w:r>
        <w:t>As its fruit was manifold</w:t>
      </w:r>
      <w:r w:rsidR="001C62E9">
        <w:t>,</w:t>
      </w:r>
      <w:r>
        <w:rPr>
          <w:rStyle w:val="FootnoteReference"/>
        </w:rPr>
        <w:footnoteReference w:id="438"/>
      </w:r>
      <w:r w:rsidR="001C62E9">
        <w:t xml:space="preserve"> </w:t>
      </w:r>
    </w:p>
    <w:p w:rsidR="00065107" w:rsidRDefault="00BB042A" w:rsidP="00CA4AAF">
      <w:r>
        <w:tab/>
      </w:r>
      <w:r w:rsidR="001C62E9">
        <w:t>it made it</w:t>
      </w:r>
      <w:r w:rsidR="00DD1680">
        <w:t xml:space="preserve"> manifold for its</w:t>
      </w:r>
      <w:r w:rsidR="008305BE">
        <w:t xml:space="preserve"> </w:t>
      </w:r>
      <w:r w:rsidR="001C62E9">
        <w:t>altars</w:t>
      </w:r>
      <w:r w:rsidR="008305BE">
        <w:t>;</w:t>
      </w:r>
      <w:r w:rsidR="00955304">
        <w:rPr>
          <w:rStyle w:val="FootnoteReference"/>
        </w:rPr>
        <w:footnoteReference w:id="439"/>
      </w:r>
      <w:r w:rsidR="001C62E9">
        <w:t xml:space="preserve"> </w:t>
      </w:r>
    </w:p>
    <w:p w:rsidR="00BB042A" w:rsidRDefault="00065107" w:rsidP="00BB042A">
      <w:pPr>
        <w:ind w:firstLine="0"/>
      </w:pPr>
      <w:r>
        <w:tab/>
      </w:r>
      <w:r w:rsidR="002601C7">
        <w:t>As</w:t>
      </w:r>
      <w:r w:rsidR="00BE79C1">
        <w:t xml:space="preserve"> its</w:t>
      </w:r>
      <w:r>
        <w:t xml:space="preserve"> land</w:t>
      </w:r>
      <w:r w:rsidR="002601C7">
        <w:t xml:space="preserve"> was good</w:t>
      </w:r>
      <w:r>
        <w:t xml:space="preserve">, </w:t>
      </w:r>
    </w:p>
    <w:p w:rsidR="00CA4AAF" w:rsidRDefault="00BB042A" w:rsidP="00BB042A">
      <w:pPr>
        <w:ind w:firstLine="0"/>
      </w:pPr>
      <w:r>
        <w:tab/>
      </w:r>
      <w:r>
        <w:tab/>
      </w:r>
      <w:r w:rsidR="00733B40">
        <w:t xml:space="preserve">they </w:t>
      </w:r>
      <w:r w:rsidR="00BE79C1">
        <w:t xml:space="preserve">made </w:t>
      </w:r>
      <w:r w:rsidR="002B5866">
        <w:t xml:space="preserve">its </w:t>
      </w:r>
      <w:r w:rsidR="00BE79C1">
        <w:t>pillar</w:t>
      </w:r>
      <w:r w:rsidR="00065107">
        <w:t>s good.</w:t>
      </w:r>
    </w:p>
    <w:p w:rsidR="00065107" w:rsidRDefault="00065107" w:rsidP="00CA4AAF">
      <w:r>
        <w:rPr>
          <w:vertAlign w:val="superscript"/>
        </w:rPr>
        <w:t>2</w:t>
      </w:r>
      <w:r w:rsidR="00DE286B">
        <w:t>Their</w:t>
      </w:r>
      <w:r w:rsidR="00F826D8">
        <w:t xml:space="preserve"> mind</w:t>
      </w:r>
      <w:r w:rsidR="00315B65">
        <w:rPr>
          <w:rStyle w:val="FootnoteReference"/>
        </w:rPr>
        <w:footnoteReference w:id="440"/>
      </w:r>
      <w:r w:rsidR="00F826D8">
        <w:t xml:space="preserve"> was slippery;</w:t>
      </w:r>
      <w:r w:rsidR="00F826D8">
        <w:rPr>
          <w:rStyle w:val="FootnoteReference"/>
        </w:rPr>
        <w:footnoteReference w:id="441"/>
      </w:r>
    </w:p>
    <w:p w:rsidR="00065107" w:rsidRDefault="00F826D8" w:rsidP="00CA4AAF">
      <w:r>
        <w:tab/>
      </w:r>
      <w:r w:rsidR="007632A9">
        <w:t>now they are to make restitution</w:t>
      </w:r>
      <w:r w:rsidR="00065107">
        <w:t>.</w:t>
      </w:r>
      <w:r w:rsidR="007A0599">
        <w:rPr>
          <w:rStyle w:val="FootnoteReference"/>
        </w:rPr>
        <w:footnoteReference w:id="442"/>
      </w:r>
    </w:p>
    <w:p w:rsidR="00065107" w:rsidRDefault="00CD2995" w:rsidP="00CA4AAF">
      <w:r>
        <w:t>He—he will break the neck of</w:t>
      </w:r>
      <w:r w:rsidR="00065107">
        <w:t xml:space="preserve"> their altars, </w:t>
      </w:r>
    </w:p>
    <w:p w:rsidR="00065107" w:rsidRDefault="005C28CA" w:rsidP="00CA4AAF">
      <w:r>
        <w:tab/>
        <w:t>destroy</w:t>
      </w:r>
      <w:r w:rsidR="00CD2995">
        <w:t xml:space="preserve"> their pillars</w:t>
      </w:r>
      <w:r w:rsidR="00065107">
        <w:t>.</w:t>
      </w:r>
    </w:p>
    <w:p w:rsidR="00EC5AEC" w:rsidRDefault="00065107" w:rsidP="00CA4AAF">
      <w:r>
        <w:rPr>
          <w:vertAlign w:val="superscript"/>
        </w:rPr>
        <w:t>3</w:t>
      </w:r>
      <w:r w:rsidR="00A01363">
        <w:t xml:space="preserve">Because now they </w:t>
      </w:r>
      <w:r>
        <w:t xml:space="preserve">say, </w:t>
      </w:r>
    </w:p>
    <w:p w:rsidR="00065107" w:rsidRDefault="00EC5AEC" w:rsidP="00CA4AAF">
      <w:r>
        <w:tab/>
      </w:r>
      <w:r w:rsidR="00E12AD4">
        <w:t>“W</w:t>
      </w:r>
      <w:r w:rsidR="00065107">
        <w:t>e have no king</w:t>
      </w:r>
      <w:r w:rsidR="00E12AD4">
        <w:t>,</w:t>
      </w:r>
    </w:p>
    <w:p w:rsidR="00EC5AEC" w:rsidRDefault="00EC5AEC" w:rsidP="00CA4AAF">
      <w:r>
        <w:t>Becau</w:t>
      </w:r>
      <w:r w:rsidR="008E3D66">
        <w:t>se we’</w:t>
      </w:r>
      <w:r w:rsidR="00701E4F">
        <w:t>re not in awe of Yahweh;</w:t>
      </w:r>
    </w:p>
    <w:p w:rsidR="00EC5AEC" w:rsidRDefault="00701E4F" w:rsidP="00CA4AAF">
      <w:r>
        <w:lastRenderedPageBreak/>
        <w:tab/>
      </w:r>
      <w:r w:rsidR="005F44F4">
        <w:t>the king: what will</w:t>
      </w:r>
      <w:r w:rsidR="00EC5AEC">
        <w:t xml:space="preserve"> he do for us?</w:t>
      </w:r>
      <w:r w:rsidR="00E12AD4">
        <w:t>”</w:t>
      </w:r>
    </w:p>
    <w:p w:rsidR="00EC5AEC" w:rsidRDefault="00EC5AEC" w:rsidP="00CA4AAF">
      <w:r>
        <w:rPr>
          <w:vertAlign w:val="superscript"/>
        </w:rPr>
        <w:t>4</w:t>
      </w:r>
      <w:r>
        <w:t>They have spoken words,</w:t>
      </w:r>
      <w:r w:rsidR="00FA0593">
        <w:rPr>
          <w:rStyle w:val="FootnoteReference"/>
        </w:rPr>
        <w:footnoteReference w:id="443"/>
      </w:r>
      <w:r>
        <w:t xml:space="preserve"> empty oaths, </w:t>
      </w:r>
    </w:p>
    <w:p w:rsidR="00EC5AEC" w:rsidRDefault="00EC5AEC" w:rsidP="00CA4AAF">
      <w:r>
        <w:tab/>
        <w:t>in sealing a pact.</w:t>
      </w:r>
    </w:p>
    <w:p w:rsidR="00EC5AEC" w:rsidRDefault="00143A86" w:rsidP="00CA4AAF">
      <w:r>
        <w:t>Decion-making</w:t>
      </w:r>
      <w:r w:rsidR="00F21C76">
        <w:rPr>
          <w:rStyle w:val="FootnoteReference"/>
        </w:rPr>
        <w:footnoteReference w:id="444"/>
      </w:r>
      <w:r w:rsidR="00A01363">
        <w:t xml:space="preserve"> flourishes</w:t>
      </w:r>
      <w:r w:rsidR="00CF5567">
        <w:t xml:space="preserve"> like hemlock</w:t>
      </w:r>
      <w:r w:rsidR="00EC5AEC">
        <w:t xml:space="preserve"> </w:t>
      </w:r>
    </w:p>
    <w:p w:rsidR="00EC5AEC" w:rsidRDefault="00EC5AEC" w:rsidP="00CA4AAF">
      <w:r>
        <w:tab/>
        <w:t>on the furrows of the field.</w:t>
      </w:r>
    </w:p>
    <w:p w:rsidR="00E12AD4" w:rsidRDefault="00E12AD4" w:rsidP="00CA4AAF">
      <w:pPr>
        <w:rPr>
          <w:vertAlign w:val="superscript"/>
        </w:rPr>
      </w:pPr>
    </w:p>
    <w:p w:rsidR="00EE0231" w:rsidRDefault="00EC5AEC" w:rsidP="00CA4AAF">
      <w:r>
        <w:rPr>
          <w:vertAlign w:val="superscript"/>
        </w:rPr>
        <w:t>5</w:t>
      </w:r>
      <w:r w:rsidR="00F21C76">
        <w:t>For</w:t>
      </w:r>
      <w:r w:rsidR="00E858C8">
        <w:t xml:space="preserve"> the great heifer</w:t>
      </w:r>
      <w:r w:rsidR="00A260D6">
        <w:rPr>
          <w:rStyle w:val="FootnoteReference"/>
        </w:rPr>
        <w:footnoteReference w:id="445"/>
      </w:r>
      <w:r w:rsidR="00E858C8">
        <w:t xml:space="preserve"> of Bȇt ’Ā</w:t>
      </w:r>
      <w:r>
        <w:t>wen</w:t>
      </w:r>
      <w:r w:rsidR="00EE0231">
        <w:t xml:space="preserve">, </w:t>
      </w:r>
    </w:p>
    <w:p w:rsidR="00EC5AEC" w:rsidRDefault="00EE0231" w:rsidP="00CA4AAF">
      <w:r>
        <w:tab/>
        <w:t>the population of Shōmə</w:t>
      </w:r>
      <w:r w:rsidR="00692701">
        <w:t>rôn are</w:t>
      </w:r>
      <w:r w:rsidR="00A01363">
        <w:t xml:space="preserve"> in dread.</w:t>
      </w:r>
      <w:r w:rsidR="00A92DE1">
        <w:rPr>
          <w:rStyle w:val="FootnoteReference"/>
        </w:rPr>
        <w:footnoteReference w:id="446"/>
      </w:r>
    </w:p>
    <w:p w:rsidR="00EE0231" w:rsidRDefault="008B2AB6" w:rsidP="00CA4AAF">
      <w:r>
        <w:t>Indeed they mourn</w:t>
      </w:r>
      <w:r w:rsidR="002742B2">
        <w:rPr>
          <w:rStyle w:val="FootnoteReference"/>
        </w:rPr>
        <w:footnoteReference w:id="447"/>
      </w:r>
      <w:r w:rsidR="00FF283E">
        <w:t xml:space="preserve"> over him</w:t>
      </w:r>
      <w:r w:rsidR="00EE0231">
        <w:t xml:space="preserve">, </w:t>
      </w:r>
    </w:p>
    <w:p w:rsidR="00EE0231" w:rsidRDefault="00FF283E" w:rsidP="00CA4AAF">
      <w:r>
        <w:tab/>
        <w:t>his people and hi</w:t>
      </w:r>
      <w:r w:rsidR="00EE0231">
        <w:t>s priestlings,</w:t>
      </w:r>
    </w:p>
    <w:p w:rsidR="00EE0231" w:rsidRDefault="00EE0231" w:rsidP="00CA4AAF">
      <w:r>
        <w:t>Who used to rejoice</w:t>
      </w:r>
      <w:r w:rsidR="002742B2">
        <w:rPr>
          <w:rStyle w:val="FootnoteReference"/>
        </w:rPr>
        <w:footnoteReference w:id="448"/>
      </w:r>
      <w:r w:rsidR="00FF283E">
        <w:t xml:space="preserve"> over him, over hi</w:t>
      </w:r>
      <w:r>
        <w:t xml:space="preserve">s splendor, </w:t>
      </w:r>
    </w:p>
    <w:p w:rsidR="00EE0231" w:rsidRDefault="00F21C76" w:rsidP="00CA4AAF">
      <w:r>
        <w:tab/>
        <w:t>because it’</w:t>
      </w:r>
      <w:r w:rsidR="00AE5481">
        <w:t>s gone into exile</w:t>
      </w:r>
      <w:r w:rsidR="007128CB">
        <w:rPr>
          <w:rStyle w:val="FootnoteReference"/>
        </w:rPr>
        <w:footnoteReference w:id="449"/>
      </w:r>
      <w:r w:rsidR="00AE5481">
        <w:t xml:space="preserve"> from him</w:t>
      </w:r>
      <w:r w:rsidR="00EE0231">
        <w:t>.</w:t>
      </w:r>
    </w:p>
    <w:p w:rsidR="00EE0231" w:rsidRDefault="00EE0231" w:rsidP="00CA4AAF">
      <w:r>
        <w:rPr>
          <w:vertAlign w:val="superscript"/>
        </w:rPr>
        <w:t>6</w:t>
      </w:r>
      <w:r w:rsidR="00AE5481">
        <w:t>Further, him</w:t>
      </w:r>
      <w:r w:rsidR="002637A6">
        <w:rPr>
          <w:rStyle w:val="FootnoteReference"/>
        </w:rPr>
        <w:footnoteReference w:id="450"/>
      </w:r>
      <w:r w:rsidR="00AE5481">
        <w:t>—he</w:t>
      </w:r>
      <w:r>
        <w:t xml:space="preserve"> will be brought to ’Aššür, </w:t>
      </w:r>
    </w:p>
    <w:p w:rsidR="00EE0231" w:rsidRDefault="00EE0231" w:rsidP="00CA4AAF">
      <w:r>
        <w:tab/>
        <w:t xml:space="preserve">as a </w:t>
      </w:r>
      <w:r w:rsidR="00B31A16">
        <w:t>gift</w:t>
      </w:r>
      <w:r>
        <w:t xml:space="preserve"> to the great king.</w:t>
      </w:r>
      <w:r w:rsidR="00770A5B">
        <w:rPr>
          <w:rStyle w:val="FootnoteReference"/>
        </w:rPr>
        <w:footnoteReference w:id="451"/>
      </w:r>
    </w:p>
    <w:p w:rsidR="00EE0231" w:rsidRDefault="002A330D" w:rsidP="00D47B5E">
      <w:pPr>
        <w:tabs>
          <w:tab w:val="center" w:pos="5040"/>
        </w:tabs>
      </w:pPr>
      <w:r>
        <w:t xml:space="preserve">Shame is what </w:t>
      </w:r>
      <w:r w:rsidR="00EE0231">
        <w:t>’</w:t>
      </w:r>
      <w:r>
        <w:t>Eprayim will receive,</w:t>
      </w:r>
      <w:r w:rsidR="006F0CB5">
        <w:rPr>
          <w:rStyle w:val="FootnoteReference"/>
        </w:rPr>
        <w:footnoteReference w:id="452"/>
      </w:r>
      <w:r w:rsidR="00D47B5E">
        <w:tab/>
      </w:r>
    </w:p>
    <w:p w:rsidR="002A330D" w:rsidRDefault="002A330D" w:rsidP="00CA4AAF">
      <w:r>
        <w:tab/>
      </w:r>
      <w:r w:rsidRPr="002A330D">
        <w:t>Yiśrā’ēl</w:t>
      </w:r>
      <w:r w:rsidR="008F00D4">
        <w:t xml:space="preserve"> will be shamed because of</w:t>
      </w:r>
      <w:r>
        <w:t xml:space="preserve"> its plan.</w:t>
      </w:r>
      <w:r w:rsidR="007128CB">
        <w:rPr>
          <w:rStyle w:val="FootnoteReference"/>
        </w:rPr>
        <w:footnoteReference w:id="453"/>
      </w:r>
    </w:p>
    <w:p w:rsidR="002A330D" w:rsidRDefault="002A330D" w:rsidP="00CA4AAF">
      <w:r>
        <w:rPr>
          <w:vertAlign w:val="superscript"/>
        </w:rPr>
        <w:t>7</w:t>
      </w:r>
      <w:r w:rsidRPr="002A330D">
        <w:t>Shōmərôn</w:t>
      </w:r>
      <w:r w:rsidR="00011439">
        <w:t xml:space="preserve"> is cut off</w:t>
      </w:r>
      <w:r>
        <w:t xml:space="preserve">, </w:t>
      </w:r>
    </w:p>
    <w:p w:rsidR="002A330D" w:rsidRDefault="002A330D" w:rsidP="00CA4AAF">
      <w:r>
        <w:tab/>
        <w:t>its king</w:t>
      </w:r>
      <w:r w:rsidR="00011439">
        <w:rPr>
          <w:rStyle w:val="FootnoteReference"/>
        </w:rPr>
        <w:footnoteReference w:id="454"/>
      </w:r>
      <w:r w:rsidR="00692701">
        <w:t xml:space="preserve"> like a twig</w:t>
      </w:r>
      <w:r w:rsidR="006F0CB5">
        <w:rPr>
          <w:rStyle w:val="FootnoteReference"/>
        </w:rPr>
        <w:footnoteReference w:id="455"/>
      </w:r>
      <w:r w:rsidR="00692701">
        <w:t xml:space="preserve"> on the face of </w:t>
      </w:r>
      <w:r>
        <w:t>water.</w:t>
      </w:r>
    </w:p>
    <w:p w:rsidR="002A330D" w:rsidRDefault="00A4022A" w:rsidP="00CA4AAF">
      <w:r>
        <w:rPr>
          <w:vertAlign w:val="superscript"/>
        </w:rPr>
        <w:t>8</w:t>
      </w:r>
      <w:r>
        <w:t xml:space="preserve">The </w:t>
      </w:r>
      <w:r w:rsidR="002E74FD">
        <w:t>great shrine of ’Āwen</w:t>
      </w:r>
      <w:r w:rsidR="0062561A" w:rsidRPr="0062561A">
        <w:rPr>
          <w:vertAlign w:val="superscript"/>
        </w:rPr>
        <w:footnoteReference w:id="456"/>
      </w:r>
      <w:r w:rsidR="002E74FD">
        <w:t xml:space="preserve"> is</w:t>
      </w:r>
      <w:r w:rsidR="000806BE">
        <w:t xml:space="preserve"> destroy</w:t>
      </w:r>
      <w:r>
        <w:t>ed,</w:t>
      </w:r>
      <w:r w:rsidR="00783255">
        <w:rPr>
          <w:rStyle w:val="FootnoteReference"/>
        </w:rPr>
        <w:footnoteReference w:id="457"/>
      </w:r>
      <w:r>
        <w:t xml:space="preserve"> </w:t>
      </w:r>
    </w:p>
    <w:p w:rsidR="00A4022A" w:rsidRDefault="00A4022A" w:rsidP="00CA4AAF">
      <w:r>
        <w:tab/>
      </w:r>
      <w:r w:rsidRPr="00A4022A">
        <w:t>Yiśrā’ēl</w:t>
      </w:r>
      <w:r>
        <w:t>’s</w:t>
      </w:r>
      <w:r w:rsidR="00E858C8">
        <w:t xml:space="preserve"> </w:t>
      </w:r>
      <w:r>
        <w:t>wrongdoing.</w:t>
      </w:r>
    </w:p>
    <w:p w:rsidR="00A4022A" w:rsidRDefault="00A432C3" w:rsidP="00CA4AAF">
      <w:r>
        <w:t>Nettle</w:t>
      </w:r>
      <w:r w:rsidR="00A4022A">
        <w:t xml:space="preserve"> and thistle—</w:t>
      </w:r>
    </w:p>
    <w:p w:rsidR="00A4022A" w:rsidRDefault="00A4022A" w:rsidP="00CA4AAF">
      <w:r>
        <w:tab/>
        <w:t>it will grow up</w:t>
      </w:r>
      <w:r w:rsidR="00A432C3" w:rsidRPr="00A432C3">
        <w:rPr>
          <w:vertAlign w:val="superscript"/>
        </w:rPr>
        <w:footnoteReference w:id="458"/>
      </w:r>
      <w:r w:rsidR="008F00D4">
        <w:t xml:space="preserve"> on its</w:t>
      </w:r>
      <w:r>
        <w:t xml:space="preserve"> altars.</w:t>
      </w:r>
    </w:p>
    <w:p w:rsidR="00A4022A" w:rsidRDefault="000806BE" w:rsidP="00CA4AAF">
      <w:r>
        <w:t>People</w:t>
      </w:r>
      <w:r w:rsidR="00A4022A">
        <w:t xml:space="preserve"> will say to the mountains, </w:t>
      </w:r>
      <w:r w:rsidR="0043253D">
        <w:t>“</w:t>
      </w:r>
      <w:r w:rsidR="00A4022A">
        <w:t>Cover us,</w:t>
      </w:r>
      <w:r w:rsidR="0043253D">
        <w:t>”</w:t>
      </w:r>
      <w:r w:rsidR="00A4022A">
        <w:t xml:space="preserve"> </w:t>
      </w:r>
    </w:p>
    <w:p w:rsidR="00A4022A" w:rsidRDefault="0043253D" w:rsidP="00CA4AAF">
      <w:r>
        <w:tab/>
        <w:t>to the hills, “F</w:t>
      </w:r>
      <w:r w:rsidR="00A4022A">
        <w:t>all on us.</w:t>
      </w:r>
      <w:r>
        <w:t>”</w:t>
      </w:r>
      <w:r w:rsidR="00585FFA">
        <w:rPr>
          <w:rStyle w:val="FootnoteReference"/>
        </w:rPr>
        <w:footnoteReference w:id="459"/>
      </w:r>
    </w:p>
    <w:p w:rsidR="004129EB" w:rsidRDefault="004129EB" w:rsidP="00CA4AAF"/>
    <w:p w:rsidR="00441BF2" w:rsidRDefault="00EE54BC" w:rsidP="00CA4AAF">
      <w:r>
        <w:rPr>
          <w:vertAlign w:val="superscript"/>
        </w:rPr>
        <w:t>9</w:t>
      </w:r>
      <w:r>
        <w:t>Since the days of The Hill</w:t>
      </w:r>
      <w:r w:rsidR="00457336">
        <w:rPr>
          <w:rStyle w:val="FootnoteReference"/>
        </w:rPr>
        <w:footnoteReference w:id="460"/>
      </w:r>
      <w:r w:rsidR="005D66A1">
        <w:t xml:space="preserve"> you’</w:t>
      </w:r>
      <w:r>
        <w:t xml:space="preserve">ve </w:t>
      </w:r>
      <w:r w:rsidR="00441BF2">
        <w:t xml:space="preserve">done wrong, </w:t>
      </w:r>
      <w:r w:rsidR="004E2762" w:rsidRPr="004E2762">
        <w:t>Yiśrā’ēl</w:t>
      </w:r>
      <w:r w:rsidR="004E2762">
        <w:t>;</w:t>
      </w:r>
    </w:p>
    <w:p w:rsidR="00EE54BC" w:rsidRDefault="006F260B" w:rsidP="00CA4AAF">
      <w:r>
        <w:lastRenderedPageBreak/>
        <w:tab/>
        <w:t>there they took their stand</w:t>
      </w:r>
      <w:r w:rsidR="00441BF2">
        <w:t>.</w:t>
      </w:r>
    </w:p>
    <w:p w:rsidR="004E3162" w:rsidRDefault="00996D84" w:rsidP="00457336">
      <w:pPr>
        <w:tabs>
          <w:tab w:val="left" w:pos="7560"/>
        </w:tabs>
      </w:pPr>
      <w:r>
        <w:t xml:space="preserve">War </w:t>
      </w:r>
      <w:r w:rsidR="009910BE">
        <w:t>has</w:t>
      </w:r>
      <w:r w:rsidR="00441BF2">
        <w:t xml:space="preserve"> not</w:t>
      </w:r>
      <w:r w:rsidR="007B5EED">
        <w:rPr>
          <w:rStyle w:val="FootnoteReference"/>
        </w:rPr>
        <w:footnoteReference w:id="461"/>
      </w:r>
      <w:r>
        <w:t xml:space="preserve"> </w:t>
      </w:r>
      <w:r w:rsidR="00441BF2">
        <w:t>overtake</w:t>
      </w:r>
      <w:r w:rsidR="00612F73">
        <w:t>n</w:t>
      </w:r>
      <w:r w:rsidR="00441BF2">
        <w:t xml:space="preserve"> them at the </w:t>
      </w:r>
      <w:r w:rsidR="00241032">
        <w:t>Hill</w:t>
      </w:r>
    </w:p>
    <w:p w:rsidR="00441BF2" w:rsidRDefault="004E3162" w:rsidP="00CA4AAF">
      <w:r>
        <w:tab/>
      </w:r>
      <w:r w:rsidR="00F672F2">
        <w:t>against</w:t>
      </w:r>
      <w:r w:rsidR="00441BF2">
        <w:t xml:space="preserve"> the sons</w:t>
      </w:r>
      <w:r w:rsidR="00174100">
        <w:t xml:space="preserve"> of villainy</w:t>
      </w:r>
      <w:r w:rsidR="007515AF">
        <w:rPr>
          <w:rStyle w:val="FootnoteReference"/>
        </w:rPr>
        <w:footnoteReference w:id="462"/>
      </w:r>
      <w:r w:rsidR="00AA219B">
        <w:t xml:space="preserve"> </w:t>
      </w:r>
      <w:r w:rsidR="00AA219B">
        <w:rPr>
          <w:vertAlign w:val="superscript"/>
        </w:rPr>
        <w:t>10</w:t>
      </w:r>
      <w:r w:rsidR="000F1C51">
        <w:t>in my</w:t>
      </w:r>
      <w:r w:rsidR="00AA219B">
        <w:t xml:space="preserve"> wish</w:t>
      </w:r>
      <w:r w:rsidR="00457336">
        <w:rPr>
          <w:rStyle w:val="FootnoteReference"/>
        </w:rPr>
        <w:footnoteReference w:id="463"/>
      </w:r>
      <w:r w:rsidR="000F1C51">
        <w:t xml:space="preserve"> </w:t>
      </w:r>
      <w:r w:rsidR="004D3FB0">
        <w:t>that</w:t>
      </w:r>
      <w:r w:rsidR="00F672F2">
        <w:t xml:space="preserve"> I</w:t>
      </w:r>
      <w:r w:rsidR="00AA219B">
        <w:t xml:space="preserve"> </w:t>
      </w:r>
      <w:r w:rsidR="000F1C51">
        <w:t>should</w:t>
      </w:r>
      <w:r w:rsidR="004D3FB0">
        <w:t xml:space="preserve"> </w:t>
      </w:r>
      <w:r w:rsidR="000F1C51">
        <w:t>discipline</w:t>
      </w:r>
      <w:r w:rsidR="00996D84">
        <w:t xml:space="preserve"> them.</w:t>
      </w:r>
    </w:p>
    <w:p w:rsidR="00AA219B" w:rsidRDefault="00C7527E" w:rsidP="00CA4AAF">
      <w:r>
        <w:t xml:space="preserve">But peoples </w:t>
      </w:r>
      <w:r w:rsidR="00D0402B">
        <w:t>will be gathered</w:t>
      </w:r>
      <w:r w:rsidR="00AA219B">
        <w:t xml:space="preserve"> against them, </w:t>
      </w:r>
    </w:p>
    <w:p w:rsidR="00AA219B" w:rsidRDefault="005D66A1" w:rsidP="00CA4AAF">
      <w:r>
        <w:tab/>
        <w:t>through</w:t>
      </w:r>
      <w:r w:rsidR="005D05B4">
        <w:t xml:space="preserve"> </w:t>
      </w:r>
      <w:r w:rsidR="008307B6">
        <w:t>their being bound</w:t>
      </w:r>
      <w:r w:rsidR="005D05B4">
        <w:rPr>
          <w:rStyle w:val="FootnoteReference"/>
        </w:rPr>
        <w:footnoteReference w:id="464"/>
      </w:r>
      <w:r w:rsidR="008307B6">
        <w:t xml:space="preserve"> to</w:t>
      </w:r>
      <w:r w:rsidR="004A6B25">
        <w:rPr>
          <w:rStyle w:val="FootnoteReference"/>
        </w:rPr>
        <w:footnoteReference w:id="465"/>
      </w:r>
      <w:r w:rsidR="00C7527E">
        <w:t xml:space="preserve"> their double waywardness.</w:t>
      </w:r>
      <w:r w:rsidR="00AE5481">
        <w:rPr>
          <w:rStyle w:val="FootnoteReference"/>
        </w:rPr>
        <w:footnoteReference w:id="466"/>
      </w:r>
    </w:p>
    <w:p w:rsidR="00100A92" w:rsidRDefault="00100A92" w:rsidP="00CA4AAF">
      <w:pPr>
        <w:rPr>
          <w:vertAlign w:val="superscript"/>
        </w:rPr>
      </w:pPr>
    </w:p>
    <w:p w:rsidR="00BB042A" w:rsidRDefault="00BB042A" w:rsidP="001D3546">
      <w:pPr>
        <w:pStyle w:val="Heading2"/>
      </w:pPr>
      <w:r>
        <w:t>Interpretation</w:t>
      </w:r>
    </w:p>
    <w:p w:rsidR="00A11D51" w:rsidRDefault="00BE6CCE" w:rsidP="00CA4AAF">
      <w:r>
        <w:t xml:space="preserve">A new recollection begins at 10:1 (MT has a setumah), </w:t>
      </w:r>
      <w:r w:rsidR="001C6472">
        <w:t xml:space="preserve">concerning Israel’s fruitfulness with its positive and negative connotations. The recollection leads into </w:t>
      </w:r>
      <w:r>
        <w:t xml:space="preserve">further indictments and threats and another reference to what happened at Gibeah (cf. 9:9). </w:t>
      </w:r>
      <w:r w:rsidR="009F6C37">
        <w:t xml:space="preserve">MT has a </w:t>
      </w:r>
      <w:r w:rsidR="006454D0">
        <w:t>petuh</w:t>
      </w:r>
      <w:r w:rsidR="009F6C37">
        <w:t>a</w:t>
      </w:r>
      <w:r w:rsidR="006454D0">
        <w:t>h</w:t>
      </w:r>
      <w:r w:rsidR="009F6C37">
        <w:t xml:space="preserve"> or setuma</w:t>
      </w:r>
      <w:r w:rsidR="006454D0">
        <w:t>h</w:t>
      </w:r>
      <w:r>
        <w:t xml:space="preserve"> at that point but I rather see the beginning of a new section with the new recollection in v. 11.</w:t>
      </w:r>
      <w:r w:rsidR="00241032">
        <w:t xml:space="preserve"> Regarding this chapter</w:t>
      </w:r>
      <w:r w:rsidR="00156496">
        <w:t>, Luther</w:t>
      </w:r>
      <w:r w:rsidR="00241032">
        <w:t xml:space="preserve"> comments that</w:t>
      </w:r>
      <w:r w:rsidR="00156496">
        <w:t xml:space="preserve"> “t</w:t>
      </w:r>
      <w:r w:rsidR="00A11D51">
        <w:t>he meaning is obscure, although the words are not.”</w:t>
      </w:r>
      <w:r w:rsidR="00A11D51">
        <w:rPr>
          <w:rStyle w:val="FootnoteReference"/>
        </w:rPr>
        <w:footnoteReference w:id="467"/>
      </w:r>
      <w:r w:rsidR="00156496">
        <w:t xml:space="preserve"> Actually they are</w:t>
      </w:r>
      <w:r w:rsidR="00A837FA">
        <w:t xml:space="preserve">, </w:t>
      </w:r>
      <w:r w:rsidR="00156496">
        <w:t xml:space="preserve">and </w:t>
      </w:r>
      <w:r w:rsidR="00A837FA">
        <w:t>the time reference of a number of the verbs is problematic—that is, the alternating of qatal and yiqtol verbs can make it hard to see whether they refer to past, present, or future, and decisions about that question have implication</w:t>
      </w:r>
      <w:r w:rsidR="00156496">
        <w:t xml:space="preserve">s for an understanding of </w:t>
      </w:r>
      <w:r w:rsidR="00A837FA">
        <w:t>subsections</w:t>
      </w:r>
      <w:r w:rsidR="00241032">
        <w:t xml:space="preserve"> as </w:t>
      </w:r>
      <w:r w:rsidR="00156496">
        <w:t>whole</w:t>
      </w:r>
      <w:r w:rsidR="00241032">
        <w:t>s</w:t>
      </w:r>
      <w:r w:rsidR="00A837FA">
        <w:t>.</w:t>
      </w:r>
    </w:p>
    <w:p w:rsidR="004129EB" w:rsidRDefault="004129EB" w:rsidP="00CA4AAF"/>
    <w:p w:rsidR="000C67CA" w:rsidRDefault="004129EB" w:rsidP="00CA4AAF">
      <w:r>
        <w:rPr>
          <w:b/>
        </w:rPr>
        <w:t>Hosea 10:1-</w:t>
      </w:r>
      <w:r w:rsidR="00F21C76">
        <w:rPr>
          <w:b/>
        </w:rPr>
        <w:t>4</w:t>
      </w:r>
      <w:r w:rsidR="003B757D">
        <w:rPr>
          <w:b/>
        </w:rPr>
        <w:t xml:space="preserve">. </w:t>
      </w:r>
      <w:r w:rsidR="004F07E2">
        <w:t>While t</w:t>
      </w:r>
      <w:r w:rsidR="001C6472">
        <w:t>he talk of a vine (v. 1)</w:t>
      </w:r>
      <w:r w:rsidR="00156496">
        <w:rPr>
          <w:b/>
        </w:rPr>
        <w:t xml:space="preserve"> </w:t>
      </w:r>
      <w:r w:rsidR="001C6472">
        <w:t>recalls the recollection of the grapes in the wilderness in 9:10, the image also</w:t>
      </w:r>
      <w:r w:rsidR="00156496">
        <w:t xml:space="preserve"> recalls </w:t>
      </w:r>
      <w:r w:rsidR="00156496" w:rsidRPr="00156496">
        <w:t>Israel</w:t>
      </w:r>
      <w:r w:rsidR="00156496">
        <w:t>’s position as</w:t>
      </w:r>
      <w:r w:rsidR="00156496" w:rsidRPr="00156496">
        <w:t xml:space="preserve"> the vine Yahweh planted to flourish and fruit in Canaan (see e.g., Ps. 80</w:t>
      </w:r>
      <w:r w:rsidR="00156496">
        <w:t xml:space="preserve">). </w:t>
      </w:r>
      <w:r w:rsidR="00B804EB">
        <w:t>But i</w:t>
      </w:r>
      <w:r w:rsidR="008305BE">
        <w:t>f Israel</w:t>
      </w:r>
      <w:r w:rsidR="00C674A6">
        <w:t xml:space="preserve"> once brought </w:t>
      </w:r>
      <w:r w:rsidR="00B804EB">
        <w:t>Yahweh the</w:t>
      </w:r>
      <w:r w:rsidR="00C674A6">
        <w:t xml:space="preserve"> pleasure that grapes would provide in the</w:t>
      </w:r>
      <w:r w:rsidR="00B306F6">
        <w:t xml:space="preserve"> wilderness</w:t>
      </w:r>
      <w:r w:rsidR="00B804EB">
        <w:t>, it does so no longer; it rather resembles</w:t>
      </w:r>
      <w:r w:rsidR="00B306F6">
        <w:t xml:space="preserve"> the vine in Isaiah’s vineyard song (Isa. 5:1-7). </w:t>
      </w:r>
      <w:r w:rsidR="008305BE">
        <w:t xml:space="preserve">As in 9:10, Hosea underlines the </w:t>
      </w:r>
      <w:r w:rsidR="00156496">
        <w:t xml:space="preserve">situation’s sadness </w:t>
      </w:r>
      <w:r w:rsidR="00A837FA">
        <w:t xml:space="preserve">by speaking of Israel, the people of God, </w:t>
      </w:r>
      <w:r w:rsidR="008305BE">
        <w:t>rather than Ephraim</w:t>
      </w:r>
      <w:r w:rsidR="00A837FA">
        <w:t>, the political entity</w:t>
      </w:r>
      <w:r w:rsidR="008305BE">
        <w:t xml:space="preserve">. </w:t>
      </w:r>
      <w:r w:rsidR="00A837FA">
        <w:t>Yet</w:t>
      </w:r>
      <w:r w:rsidR="00985429">
        <w:t xml:space="preserve"> the opening line </w:t>
      </w:r>
      <w:r w:rsidR="000C67CA">
        <w:t xml:space="preserve">is allusive: </w:t>
      </w:r>
      <w:r w:rsidR="004F07E2" w:rsidRPr="004F07E2">
        <w:t>Ephraimites knew what it was like to sit in the shade under a vine, looking forward to the fruit it would produce and the wine that would issue from the</w:t>
      </w:r>
      <w:r w:rsidR="004F07E2">
        <w:t xml:space="preserve"> fruit, but is this</w:t>
      </w:r>
      <w:r w:rsidR="000C67CA">
        <w:t xml:space="preserve"> vine </w:t>
      </w:r>
      <w:r w:rsidR="00985429">
        <w:t xml:space="preserve">wasting away in the </w:t>
      </w:r>
      <w:r w:rsidR="000C67CA">
        <w:t>sense o</w:t>
      </w:r>
      <w:r w:rsidR="00061A1A">
        <w:t xml:space="preserve">f failing to produce the </w:t>
      </w:r>
      <w:r w:rsidR="00985429">
        <w:t>fruit</w:t>
      </w:r>
      <w:r w:rsidR="000C67CA">
        <w:t xml:space="preserve"> Yahweh looks for</w:t>
      </w:r>
      <w:r w:rsidR="00985429">
        <w:t>, o</w:t>
      </w:r>
      <w:r w:rsidR="00156496">
        <w:t xml:space="preserve">r </w:t>
      </w:r>
      <w:r w:rsidR="00985429">
        <w:t xml:space="preserve">wasting away as </w:t>
      </w:r>
      <w:r w:rsidR="000C67CA">
        <w:t>Assyria appropriates pa</w:t>
      </w:r>
      <w:r w:rsidR="00156496">
        <w:t xml:space="preserve">rts of Ephraim’s land, or </w:t>
      </w:r>
      <w:r w:rsidR="000C67CA">
        <w:t>failing to produce</w:t>
      </w:r>
      <w:r w:rsidR="00985429">
        <w:t xml:space="preserve"> its fruit</w:t>
      </w:r>
      <w:r w:rsidR="000C67CA">
        <w:t xml:space="preserve"> (the verb is usually transitive)</w:t>
      </w:r>
      <w:r w:rsidR="00156496">
        <w:t xml:space="preserve">, or </w:t>
      </w:r>
      <w:r w:rsidR="00985429">
        <w:t xml:space="preserve">spreading wastefully? </w:t>
      </w:r>
      <w:r w:rsidR="000C67CA">
        <w:t xml:space="preserve">Any of those meanings could lead into </w:t>
      </w:r>
      <w:r w:rsidR="00061A1A">
        <w:t xml:space="preserve">v. 1b. It was in line with the fruit that the vine </w:t>
      </w:r>
      <w:r w:rsidR="000C67CA">
        <w:t xml:space="preserve">produced </w:t>
      </w:r>
      <w:r w:rsidR="00241032">
        <w:t>that Ephraim</w:t>
      </w:r>
      <w:r w:rsidR="00BE79C1">
        <w:t xml:space="preserve"> multiplied</w:t>
      </w:r>
      <w:r w:rsidR="000C67CA">
        <w:t xml:space="preserve"> its altars </w:t>
      </w:r>
      <w:r w:rsidR="00BE79C1">
        <w:t xml:space="preserve">and erected impressive pillars (see 3:4 and the </w:t>
      </w:r>
      <w:r w:rsidR="00F14F90">
        <w:t>comments</w:t>
      </w:r>
      <w:r w:rsidR="00BE79C1">
        <w:t>).</w:t>
      </w:r>
      <w:r w:rsidR="00733B40">
        <w:t xml:space="preserve"> The implicit critique might presuppose that </w:t>
      </w:r>
      <w:r w:rsidR="00F826D8">
        <w:t>struc</w:t>
      </w:r>
      <w:r w:rsidR="00061A1A">
        <w:t xml:space="preserve">tures for worship replaced </w:t>
      </w:r>
      <w:r w:rsidR="00F826D8">
        <w:t>commitment and acknowledgment of Yahweh (see 6:6) and/or that they were structures for wrongful worship (see 8:13).</w:t>
      </w:r>
      <w:r w:rsidR="00073064">
        <w:t xml:space="preserve"> </w:t>
      </w:r>
    </w:p>
    <w:p w:rsidR="00ED364B" w:rsidRDefault="004F07E2" w:rsidP="00CA4AAF">
      <w:r>
        <w:t>Either way</w:t>
      </w:r>
      <w:r w:rsidR="00ED364B">
        <w:t xml:space="preserve">, Ephraim was deceptive in its thinking (v. 2). The altars and pillars were allegedly erected in honor of Yahweh, but covertly people prayed to the Master there, or prayed </w:t>
      </w:r>
      <w:r w:rsidR="007A0599">
        <w:t>to</w:t>
      </w:r>
      <w:r w:rsidR="00ED364B">
        <w:t xml:space="preserve"> Yahweh understood in </w:t>
      </w:r>
      <w:r w:rsidR="00CD2995">
        <w:t xml:space="preserve">such </w:t>
      </w:r>
      <w:r w:rsidR="00ED364B">
        <w:t xml:space="preserve">a deeply mistaken way </w:t>
      </w:r>
      <w:r w:rsidR="007A0599">
        <w:t>that</w:t>
      </w:r>
      <w:r w:rsidR="00ED364B">
        <w:t xml:space="preserve"> it was as if they were praying to the Master. The moment has come when </w:t>
      </w:r>
      <w:r w:rsidR="00061A1A">
        <w:t xml:space="preserve">they must pay the penalty. </w:t>
      </w:r>
      <w:r w:rsidR="00ED364B">
        <w:t>Yahweh</w:t>
      </w:r>
      <w:r w:rsidR="007A0599">
        <w:t xml:space="preserve"> </w:t>
      </w:r>
      <w:r w:rsidR="00CD2995">
        <w:t xml:space="preserve">(who is presumably the “he”) </w:t>
      </w:r>
      <w:r w:rsidR="007A0599">
        <w:t xml:space="preserve">intends to take action against them for their guilt. </w:t>
      </w:r>
      <w:r w:rsidR="00CD2995">
        <w:t>It will naturally consist in demolish</w:t>
      </w:r>
      <w:r w:rsidR="00061A1A">
        <w:t>ing</w:t>
      </w:r>
      <w:r w:rsidR="00CD2995">
        <w:t xml:space="preserve"> the alt</w:t>
      </w:r>
      <w:r w:rsidR="00F42FF9">
        <w:t xml:space="preserve">ars and pillars. The </w:t>
      </w:r>
      <w:r w:rsidR="00F42FF9">
        <w:lastRenderedPageBreak/>
        <w:t xml:space="preserve">vivid image for destroying the former suggests </w:t>
      </w:r>
      <w:r w:rsidR="00BF59D3">
        <w:t xml:space="preserve">both </w:t>
      </w:r>
      <w:r w:rsidR="00BF59D3" w:rsidRPr="00BF59D3">
        <w:t>hypallege</w:t>
      </w:r>
      <w:r w:rsidR="009151A1">
        <w:t xml:space="preserve"> and </w:t>
      </w:r>
      <w:r w:rsidR="00FA0593">
        <w:t>synecdoche, if b</w:t>
      </w:r>
      <w:r w:rsidR="00F42FF9">
        <w:t xml:space="preserve">reaking the altars’ necks </w:t>
      </w:r>
      <w:r w:rsidR="009151A1">
        <w:t>means breaking their horns (cf. Amos 3:14).</w:t>
      </w:r>
    </w:p>
    <w:p w:rsidR="007A0599" w:rsidRDefault="00FA0593" w:rsidP="00CA4AAF">
      <w:r w:rsidRPr="00FA0593">
        <w:t>“We have no king</w:t>
      </w:r>
      <w:r>
        <w:t>” (v. 3) is a fact they will have to face i</w:t>
      </w:r>
      <w:r w:rsidR="00F62BF7">
        <w:t>n due course as a consequence of the disaster that Ya</w:t>
      </w:r>
      <w:r>
        <w:t>hweh intends, when</w:t>
      </w:r>
      <w:r w:rsidR="00F62BF7">
        <w:t xml:space="preserve"> their monarchy is terminated. But the wording in v. 3a seems an understated way to express that point, and v. 3b points to a </w:t>
      </w:r>
      <w:r>
        <w:t>different understanding.</w:t>
      </w:r>
      <w:r w:rsidR="00F62BF7">
        <w:t xml:space="preserve"> The pa</w:t>
      </w:r>
      <w:r>
        <w:t xml:space="preserve">rallelism between the two </w:t>
      </w:r>
      <w:r w:rsidR="00241032">
        <w:t xml:space="preserve">lines </w:t>
      </w:r>
      <w:r w:rsidR="00F62BF7">
        <w:t>suggests that the k</w:t>
      </w:r>
      <w:r>
        <w:t>ing is Yahweh; “w</w:t>
      </w:r>
      <w:r w:rsidRPr="00FA0593">
        <w:t xml:space="preserve">e have no king” </w:t>
      </w:r>
      <w:r w:rsidR="00F62BF7">
        <w:t xml:space="preserve">is </w:t>
      </w:r>
      <w:r>
        <w:t xml:space="preserve">then </w:t>
      </w:r>
      <w:r w:rsidR="00F62BF7">
        <w:t>re-expressed as “we are not i</w:t>
      </w:r>
      <w:r w:rsidR="004F07E2">
        <w:t>n awe of Yahweh.” Maybe</w:t>
      </w:r>
      <w:r w:rsidR="00F62BF7">
        <w:t xml:space="preserve"> they wer</w:t>
      </w:r>
      <w:r>
        <w:t>e</w:t>
      </w:r>
      <w:r w:rsidR="004F07E2">
        <w:t>n’t</w:t>
      </w:r>
      <w:r>
        <w:t xml:space="preserve"> actually saying that they didn’</w:t>
      </w:r>
      <w:r w:rsidR="00F62BF7">
        <w:t>t acknowle</w:t>
      </w:r>
      <w:r w:rsidR="007B0608">
        <w:t>dge Yahweh as king and</w:t>
      </w:r>
      <w:r>
        <w:t xml:space="preserve"> </w:t>
      </w:r>
      <w:r w:rsidR="004F07E2">
        <w:t>weren’t in awe of him;</w:t>
      </w:r>
      <w:r w:rsidR="00F62BF7">
        <w:t xml:space="preserve"> </w:t>
      </w:r>
      <w:r w:rsidR="004F07E2">
        <w:t xml:space="preserve">maybe they weren’t even </w:t>
      </w:r>
      <w:r w:rsidR="00F62BF7">
        <w:t>conscious</w:t>
      </w:r>
      <w:r w:rsidR="007B0608">
        <w:t xml:space="preserve">ly thinking </w:t>
      </w:r>
      <w:r w:rsidR="00241032">
        <w:t>this way. But i</w:t>
      </w:r>
      <w:r w:rsidR="004F07E2">
        <w:t>f so, it is the implication of how</w:t>
      </w:r>
      <w:r>
        <w:t xml:space="preserve"> they did speak, think, and behave</w:t>
      </w:r>
      <w:r w:rsidR="007B0608">
        <w:t xml:space="preserve"> (c</w:t>
      </w:r>
      <w:r>
        <w:t xml:space="preserve">f. Isa. 28:14-15; 30:8-11; </w:t>
      </w:r>
      <w:r w:rsidR="007B0608">
        <w:t xml:space="preserve">Mic. 2:6). </w:t>
      </w:r>
      <w:r w:rsidR="004F07E2">
        <w:t>They are not in awe of Yahweh because</w:t>
      </w:r>
      <w:r w:rsidR="00203635">
        <w:t xml:space="preserve"> as king he doesn’t </w:t>
      </w:r>
      <w:r>
        <w:t xml:space="preserve">or can’t </w:t>
      </w:r>
      <w:r w:rsidR="004F07E2">
        <w:t>do anything for Ephraim</w:t>
      </w:r>
      <w:r w:rsidR="00203635">
        <w:t>.</w:t>
      </w:r>
      <w:r w:rsidR="004F07E2">
        <w:t xml:space="preserve"> They’</w:t>
      </w:r>
      <w:r>
        <w:t xml:space="preserve">re on their own. </w:t>
      </w:r>
    </w:p>
    <w:p w:rsidR="00F62BF7" w:rsidRDefault="00FA0593" w:rsidP="00CA4AAF">
      <w:r>
        <w:t>T</w:t>
      </w:r>
      <w:r w:rsidR="00E12AD4">
        <w:t>heir internal political machinations (v. 4)</w:t>
      </w:r>
      <w:r>
        <w:t xml:space="preserve"> </w:t>
      </w:r>
      <w:r w:rsidR="0096775E">
        <w:t>were</w:t>
      </w:r>
      <w:r>
        <w:t xml:space="preserve"> another aspect </w:t>
      </w:r>
      <w:r w:rsidRPr="00FA0593">
        <w:t>of their slip</w:t>
      </w:r>
      <w:r>
        <w:t>periness</w:t>
      </w:r>
      <w:r w:rsidR="00E12AD4">
        <w:t>. The indictment for empty oath-</w:t>
      </w:r>
      <w:r w:rsidR="0088166C">
        <w:t>making in sealing a pact reworks the accusations in</w:t>
      </w:r>
      <w:r w:rsidR="004F07E2">
        <w:t xml:space="preserve"> 6:7-9 with their</w:t>
      </w:r>
      <w:r w:rsidR="00E12AD4">
        <w:t xml:space="preserve"> </w:t>
      </w:r>
      <w:r w:rsidR="0088166C">
        <w:t>reference to coups and with the implication that</w:t>
      </w:r>
      <w:r w:rsidR="004F07E2">
        <w:t xml:space="preserve"> </w:t>
      </w:r>
      <w:r w:rsidR="0088166C">
        <w:t>falsity in human pac</w:t>
      </w:r>
      <w:r w:rsidR="004F07E2">
        <w:t xml:space="preserve">ts mirrors and links with </w:t>
      </w:r>
      <w:r w:rsidR="0088166C">
        <w:t>falsity</w:t>
      </w:r>
      <w:r w:rsidR="004F07E2">
        <w:t xml:space="preserve"> in their pact with Yahweh. It’</w:t>
      </w:r>
      <w:r w:rsidR="0088166C">
        <w:t>s not surprising if such falsity in political relation</w:t>
      </w:r>
      <w:r w:rsidR="00CF5567">
        <w:t>ships</w:t>
      </w:r>
      <w:r w:rsidR="004F07E2">
        <w:t xml:space="preserve"> accompanies</w:t>
      </w:r>
      <w:r w:rsidR="0088166C">
        <w:t xml:space="preserve"> a general</w:t>
      </w:r>
      <w:r w:rsidR="00CF5567">
        <w:t xml:space="preserve"> failure in </w:t>
      </w:r>
      <w:r w:rsidR="00241032">
        <w:t xml:space="preserve">decision-making or </w:t>
      </w:r>
      <w:r w:rsidR="00CF5567">
        <w:t>the</w:t>
      </w:r>
      <w:r w:rsidR="0088166C">
        <w:t xml:space="preserve"> exercise </w:t>
      </w:r>
      <w:r w:rsidR="00CF5567">
        <w:t xml:space="preserve">of </w:t>
      </w:r>
      <w:r w:rsidR="0088166C">
        <w:t>authority or government (</w:t>
      </w:r>
      <w:r w:rsidR="0088166C">
        <w:rPr>
          <w:i/>
        </w:rPr>
        <w:t>miš</w:t>
      </w:r>
      <w:r w:rsidR="00CF5567">
        <w:rPr>
          <w:i/>
        </w:rPr>
        <w:t>p</w:t>
      </w:r>
      <w:r w:rsidR="0088166C">
        <w:rPr>
          <w:i/>
        </w:rPr>
        <w:t>āṭ</w:t>
      </w:r>
      <w:r w:rsidR="00CF5567">
        <w:t>). Flourishing i</w:t>
      </w:r>
      <w:r w:rsidR="004F07E2">
        <w:t xml:space="preserve">s </w:t>
      </w:r>
      <w:r w:rsidR="0096775E">
        <w:t>what government is supposed to do,</w:t>
      </w:r>
      <w:r w:rsidR="00CF5567">
        <w:t xml:space="preserve"> as the administration sees that the community is characterized by faithfulness and mutual</w:t>
      </w:r>
      <w:r w:rsidR="004F07E2">
        <w:t xml:space="preserve"> commitment. But t</w:t>
      </w:r>
      <w:r w:rsidR="0096775E">
        <w:t>his</w:t>
      </w:r>
      <w:r w:rsidR="00CF5567">
        <w:t xml:space="preserve"> administration’s exercise</w:t>
      </w:r>
      <w:r w:rsidR="00F21C76">
        <w:t xml:space="preserve"> of authority resembles poison</w:t>
      </w:r>
      <w:r w:rsidR="00CF5567">
        <w:t xml:space="preserve"> more than </w:t>
      </w:r>
      <w:r w:rsidR="00F21C76">
        <w:t>fertilizer on the fields</w:t>
      </w:r>
      <w:r w:rsidR="00D5138D">
        <w:t xml:space="preserve"> (cf. Amos 5:7; 6:12)</w:t>
      </w:r>
      <w:r w:rsidR="00F21C76">
        <w:t>.</w:t>
      </w:r>
    </w:p>
    <w:p w:rsidR="00F21C76" w:rsidRDefault="00F21C76" w:rsidP="00CA4AAF"/>
    <w:p w:rsidR="00D1453B" w:rsidRDefault="00F21C76" w:rsidP="0096775E">
      <w:pPr>
        <w:tabs>
          <w:tab w:val="left" w:pos="7623"/>
        </w:tabs>
      </w:pPr>
      <w:r>
        <w:rPr>
          <w:b/>
        </w:rPr>
        <w:t xml:space="preserve">Hosea 10:5-8. </w:t>
      </w:r>
      <w:r w:rsidR="0096775E">
        <w:t>Here, while some of the qatal</w:t>
      </w:r>
      <w:r w:rsidR="00D1453B">
        <w:t xml:space="preserve"> verbs</w:t>
      </w:r>
      <w:r w:rsidR="0096775E">
        <w:t xml:space="preserve"> may</w:t>
      </w:r>
      <w:r w:rsidR="004F07E2">
        <w:t xml:space="preserve"> describe events that have</w:t>
      </w:r>
      <w:r w:rsidR="00242D9E">
        <w:t xml:space="preserve"> </w:t>
      </w:r>
      <w:r w:rsidR="00D1453B">
        <w:t>happened</w:t>
      </w:r>
      <w:r w:rsidR="004F07E2">
        <w:t>, some describe</w:t>
      </w:r>
      <w:r w:rsidR="0096775E">
        <w:t xml:space="preserve"> events that have </w:t>
      </w:r>
      <w:r w:rsidR="00242D9E">
        <w:t>happened</w:t>
      </w:r>
      <w:r w:rsidR="00D1453B">
        <w:t xml:space="preserve"> </w:t>
      </w:r>
      <w:r w:rsidR="0096775E">
        <w:t xml:space="preserve">only </w:t>
      </w:r>
      <w:r w:rsidR="00D1453B">
        <w:t>in the prophet’s imagination</w:t>
      </w:r>
      <w:r w:rsidR="008B2AB6">
        <w:t xml:space="preserve"> </w:t>
      </w:r>
      <w:r w:rsidR="0096775E">
        <w:t xml:space="preserve">and in Yahweh’s intent </w:t>
      </w:r>
      <w:r w:rsidR="008B2AB6">
        <w:t>(see vv. 7-8a)</w:t>
      </w:r>
      <w:r w:rsidR="0096775E">
        <w:t xml:space="preserve">. The </w:t>
      </w:r>
      <w:r w:rsidR="0096775E" w:rsidRPr="0096775E">
        <w:t xml:space="preserve">subsection </w:t>
      </w:r>
      <w:r w:rsidR="004F07E2">
        <w:t>as a whole pictures</w:t>
      </w:r>
      <w:r w:rsidR="0096775E">
        <w:t xml:space="preserve"> the time</w:t>
      </w:r>
      <w:r w:rsidR="0096775E" w:rsidRPr="0096775E">
        <w:t xml:space="preserve"> when capital and sanctuary </w:t>
      </w:r>
      <w:r w:rsidR="0096775E">
        <w:t>will have been devastated, when</w:t>
      </w:r>
      <w:r>
        <w:t xml:space="preserve"> </w:t>
      </w:r>
      <w:r w:rsidR="00C01890">
        <w:t>Assyria has</w:t>
      </w:r>
      <w:r w:rsidR="002650B0">
        <w:t xml:space="preserve"> overrun</w:t>
      </w:r>
      <w:r w:rsidR="00A260D6">
        <w:t xml:space="preserve"> Ephraim</w:t>
      </w:r>
      <w:r w:rsidR="0096775E">
        <w:t>.</w:t>
      </w:r>
      <w:r w:rsidR="00D1453B">
        <w:t xml:space="preserve"> Hosea wa</w:t>
      </w:r>
      <w:r w:rsidR="004F07E2">
        <w:t>nts people to face</w:t>
      </w:r>
      <w:r w:rsidR="00D1453B">
        <w:t xml:space="preserve"> the reality of what he can see coming</w:t>
      </w:r>
      <w:r w:rsidR="0096775E">
        <w:t>.</w:t>
      </w:r>
    </w:p>
    <w:p w:rsidR="00D1453B" w:rsidRDefault="00A260D6" w:rsidP="00CA4AAF">
      <w:r>
        <w:t xml:space="preserve">The image </w:t>
      </w:r>
      <w:r w:rsidR="00D1453B">
        <w:t xml:space="preserve">at Beth-el </w:t>
      </w:r>
      <w:r w:rsidR="00C916EE">
        <w:t xml:space="preserve">(v. 5) </w:t>
      </w:r>
      <w:r w:rsidR="002742B2">
        <w:t xml:space="preserve">is </w:t>
      </w:r>
      <w:r w:rsidR="00D1453B">
        <w:t>a bullock</w:t>
      </w:r>
      <w:r>
        <w:t xml:space="preserve"> and </w:t>
      </w:r>
      <w:r w:rsidR="00D1453B">
        <w:t xml:space="preserve">it </w:t>
      </w:r>
      <w:r>
        <w:t xml:space="preserve">need not </w:t>
      </w:r>
      <w:r w:rsidR="002742B2">
        <w:t xml:space="preserve">have </w:t>
      </w:r>
      <w:r>
        <w:t>be</w:t>
      </w:r>
      <w:r w:rsidR="002742B2">
        <w:t>en</w:t>
      </w:r>
      <w:r>
        <w:t xml:space="preserve"> large (cf. 8:5-6</w:t>
      </w:r>
      <w:r w:rsidR="00F00E3D">
        <w:t xml:space="preserve"> and the </w:t>
      </w:r>
      <w:r w:rsidR="00F14F90">
        <w:t>comments</w:t>
      </w:r>
      <w:r>
        <w:t>)</w:t>
      </w:r>
      <w:r w:rsidR="00F00E3D">
        <w:t>, but</w:t>
      </w:r>
      <w:r>
        <w:t xml:space="preserve"> Hosea here describes it sarcastically as a heifer</w:t>
      </w:r>
      <w:r w:rsidR="0096775E">
        <w:t>,</w:t>
      </w:r>
      <w:r w:rsidR="00D1453B">
        <w:t xml:space="preserve"> </w:t>
      </w:r>
      <w:r w:rsidR="002742B2">
        <w:t>and</w:t>
      </w:r>
      <w:r>
        <w:t xml:space="preserve"> a rem</w:t>
      </w:r>
      <w:r w:rsidR="002E74FD">
        <w:t>arkable one</w:t>
      </w:r>
      <w:r w:rsidR="0096775E">
        <w:t>, though he then refers to</w:t>
      </w:r>
      <w:r w:rsidR="00AE5481">
        <w:t xml:space="preserve"> it as a “he.”</w:t>
      </w:r>
      <w:r>
        <w:t xml:space="preserve"> </w:t>
      </w:r>
      <w:r w:rsidR="00242D9E">
        <w:t>Be</w:t>
      </w:r>
      <w:r w:rsidR="00C916EE">
        <w:t>cause Beth-el is Samaria’s</w:t>
      </w:r>
      <w:r w:rsidR="004F07E2">
        <w:t xml:space="preserve"> nearby</w:t>
      </w:r>
      <w:r w:rsidR="00242D9E">
        <w:t xml:space="preserve"> sanctuary, </w:t>
      </w:r>
      <w:r w:rsidR="00926527">
        <w:t>Samaria is</w:t>
      </w:r>
      <w:r w:rsidR="004F07E2">
        <w:t xml:space="preserve"> </w:t>
      </w:r>
      <w:r w:rsidR="00242D9E">
        <w:t>panic</w:t>
      </w:r>
      <w:r w:rsidR="004F07E2">
        <w:t>ked</w:t>
      </w:r>
      <w:r w:rsidR="00242D9E">
        <w:t xml:space="preserve"> about the heifer’s</w:t>
      </w:r>
      <w:r w:rsidR="00F00E3D">
        <w:t xml:space="preserve"> </w:t>
      </w:r>
      <w:r w:rsidR="002742B2">
        <w:t>fate</w:t>
      </w:r>
      <w:r w:rsidR="004F07E2">
        <w:t xml:space="preserve"> and</w:t>
      </w:r>
      <w:r w:rsidR="0096775E">
        <w:t xml:space="preserve"> </w:t>
      </w:r>
      <w:r w:rsidR="002742B2">
        <w:t xml:space="preserve">grieving over </w:t>
      </w:r>
      <w:r w:rsidR="00926527">
        <w:t>what has happened</w:t>
      </w:r>
      <w:r w:rsidR="00242D9E">
        <w:t>. “P</w:t>
      </w:r>
      <w:r w:rsidR="00F00E3D">
        <w:t>riestlings” (</w:t>
      </w:r>
      <w:r w:rsidR="00F00E3D">
        <w:rPr>
          <w:i/>
        </w:rPr>
        <w:t>kəmārîm</w:t>
      </w:r>
      <w:r w:rsidR="00F00E3D">
        <w:t>)</w:t>
      </w:r>
      <w:r w:rsidR="00F00E3D">
        <w:rPr>
          <w:i/>
        </w:rPr>
        <w:t xml:space="preserve"> </w:t>
      </w:r>
      <w:r w:rsidR="009151A1">
        <w:t xml:space="preserve">is a </w:t>
      </w:r>
      <w:r w:rsidR="00F00E3D">
        <w:t xml:space="preserve">pejorative </w:t>
      </w:r>
      <w:r w:rsidR="009151A1">
        <w:t xml:space="preserve">foreign </w:t>
      </w:r>
      <w:r w:rsidR="00F00E3D">
        <w:t xml:space="preserve">word for priests who should have served Yahweh but </w:t>
      </w:r>
      <w:r w:rsidR="00C916EE">
        <w:t>serve</w:t>
      </w:r>
      <w:r w:rsidR="00F00E3D">
        <w:t xml:space="preserve"> in an idolatrous way. They used to </w:t>
      </w:r>
      <w:r w:rsidR="00DD2FC7">
        <w:t>“</w:t>
      </w:r>
      <w:r w:rsidR="00F00E3D">
        <w:t>rejoice</w:t>
      </w:r>
      <w:r w:rsidR="00DD2FC7">
        <w:t>”</w:t>
      </w:r>
      <w:r w:rsidR="00322619">
        <w:t>—</w:t>
      </w:r>
      <w:r w:rsidR="00F00E3D">
        <w:t xml:space="preserve">Hosea uses the word </w:t>
      </w:r>
      <w:r w:rsidR="00AC18FE">
        <w:t xml:space="preserve">for enthusiastic celebration that </w:t>
      </w:r>
      <w:r w:rsidR="00DD2FC7">
        <w:t>he earlier forbade to Israelites</w:t>
      </w:r>
      <w:r w:rsidR="00242D9E">
        <w:t xml:space="preserve"> (9:1)—over the</w:t>
      </w:r>
      <w:r w:rsidR="00322619">
        <w:t xml:space="preserve"> “splendor” </w:t>
      </w:r>
      <w:r w:rsidR="00242D9E">
        <w:t xml:space="preserve">of the image </w:t>
      </w:r>
      <w:r w:rsidR="00322619">
        <w:t xml:space="preserve">(see 9:11). </w:t>
      </w:r>
      <w:r w:rsidR="00242D9E">
        <w:t>But the</w:t>
      </w:r>
      <w:r w:rsidR="00322619">
        <w:t xml:space="preserve"> splendor </w:t>
      </w:r>
      <w:r w:rsidR="0096775E">
        <w:t xml:space="preserve">has </w:t>
      </w:r>
      <w:r w:rsidR="00C916EE">
        <w:t>gone;</w:t>
      </w:r>
      <w:r w:rsidR="00322619">
        <w:t xml:space="preserve"> </w:t>
      </w:r>
      <w:r w:rsidR="00C916EE">
        <w:t>the image has</w:t>
      </w:r>
      <w:r w:rsidR="0096775E">
        <w:t xml:space="preserve"> </w:t>
      </w:r>
      <w:r w:rsidR="00C916EE">
        <w:t>been</w:t>
      </w:r>
      <w:r w:rsidR="00322619">
        <w:t xml:space="preserve"> taken into exile away from its honored place in th</w:t>
      </w:r>
      <w:r w:rsidR="00926527">
        <w:t>e sanctuary (cf. 1 Sam</w:t>
      </w:r>
      <w:r w:rsidR="00BC6D9B">
        <w:t>.</w:t>
      </w:r>
      <w:r w:rsidR="00926527">
        <w:t xml:space="preserve"> 4:21-22). A</w:t>
      </w:r>
      <w:r w:rsidR="00D1453B" w:rsidRPr="00D1453B">
        <w:t>s far as we know</w:t>
      </w:r>
      <w:r w:rsidR="00926527">
        <w:t>, the Assyrians</w:t>
      </w:r>
      <w:r w:rsidR="008E6074">
        <w:t xml:space="preserve"> didn’</w:t>
      </w:r>
      <w:r w:rsidR="00D1453B" w:rsidRPr="00D1453B">
        <w:t xml:space="preserve">t take the image from Beth-el back to Assyria, which supports the assumption that here Hosea is imagining what the catastrophe will be like rather than describing what it was </w:t>
      </w:r>
      <w:r w:rsidR="00C916EE">
        <w:t xml:space="preserve">already </w:t>
      </w:r>
      <w:r w:rsidR="00D1453B" w:rsidRPr="00D1453B">
        <w:t xml:space="preserve">like or predicting what it will literally be like. </w:t>
      </w:r>
    </w:p>
    <w:p w:rsidR="00C916EE" w:rsidRDefault="00BC6D9B" w:rsidP="00CA4AAF">
      <w:r>
        <w:t xml:space="preserve">But Hosea </w:t>
      </w:r>
      <w:r w:rsidR="00C916EE">
        <w:t>does imagine</w:t>
      </w:r>
      <w:r>
        <w:t xml:space="preserve"> it </w:t>
      </w:r>
      <w:r w:rsidR="00B31A16">
        <w:t>be</w:t>
      </w:r>
      <w:r>
        <w:t>ing</w:t>
      </w:r>
      <w:r w:rsidR="00B31A16">
        <w:t xml:space="preserve"> taken to Assyria</w:t>
      </w:r>
      <w:r w:rsidR="00C916EE">
        <w:t xml:space="preserve"> (v. 6</w:t>
      </w:r>
      <w:r w:rsidR="000C0573">
        <w:t>)</w:t>
      </w:r>
      <w:r w:rsidR="00B31A16">
        <w:t>, and wit</w:t>
      </w:r>
      <w:r>
        <w:t xml:space="preserve">h even more humiliation </w:t>
      </w:r>
      <w:r w:rsidR="00C916EE">
        <w:t xml:space="preserve">imagines it </w:t>
      </w:r>
      <w:r>
        <w:t xml:space="preserve">just becoming </w:t>
      </w:r>
      <w:r w:rsidR="00B31A16">
        <w:t>a gift to the Assyrian king. Most</w:t>
      </w:r>
      <w:r>
        <w:t xml:space="preserve"> times in the First Testament “gift” (</w:t>
      </w:r>
      <w:r>
        <w:rPr>
          <w:i/>
        </w:rPr>
        <w:t>minḥāh</w:t>
      </w:r>
      <w:r>
        <w:t>)</w:t>
      </w:r>
      <w:r>
        <w:rPr>
          <w:i/>
        </w:rPr>
        <w:t xml:space="preserve"> </w:t>
      </w:r>
      <w:r w:rsidR="008E6074">
        <w:t xml:space="preserve">refers to things people offer the deity </w:t>
      </w:r>
      <w:r w:rsidR="00B31A16">
        <w:t xml:space="preserve">as an act of worship. So instead of being the recipient of gifts, the bullock is turned into one. But the word also denotes the “gifts” </w:t>
      </w:r>
      <w:r w:rsidR="008E6074">
        <w:t xml:space="preserve">that </w:t>
      </w:r>
      <w:r w:rsidR="00B31A16">
        <w:t xml:space="preserve">a </w:t>
      </w:r>
      <w:r w:rsidR="000C0573">
        <w:t>subject king gives to the great king (e.g., 2 Kin</w:t>
      </w:r>
      <w:r w:rsidR="008E6074">
        <w:t>gs 17:3-4, in this period). T</w:t>
      </w:r>
      <w:r w:rsidR="000C0573">
        <w:t>he bullock has been turned</w:t>
      </w:r>
      <w:r>
        <w:t xml:space="preserve"> into tribute of this kind</w:t>
      </w:r>
      <w:r w:rsidR="00C916EE">
        <w:t>.</w:t>
      </w:r>
      <w:r w:rsidR="000C0573">
        <w:t xml:space="preserve"> </w:t>
      </w:r>
      <w:r w:rsidR="00011439">
        <w:t>It’</w:t>
      </w:r>
      <w:r w:rsidR="00C916EE">
        <w:t>s all shameful, shameful</w:t>
      </w:r>
      <w:r w:rsidR="000C0573">
        <w:t xml:space="preserve"> for Ephraim</w:t>
      </w:r>
      <w:r>
        <w:t>,</w:t>
      </w:r>
      <w:r w:rsidR="000C0573">
        <w:t xml:space="preserve"> which is supposed to be Israel, the people of God, and </w:t>
      </w:r>
      <w:r w:rsidR="008E6074">
        <w:t>it has happened</w:t>
      </w:r>
      <w:r w:rsidR="00C03F7D">
        <w:t xml:space="preserve"> </w:t>
      </w:r>
      <w:r w:rsidR="008E6074">
        <w:t>because Ephraim</w:t>
      </w:r>
      <w:r w:rsidR="000C0573">
        <w:t xml:space="preserve"> did its own political planning.</w:t>
      </w:r>
      <w:r w:rsidR="008E6074">
        <w:t xml:space="preserve"> </w:t>
      </w:r>
    </w:p>
    <w:p w:rsidR="00926527" w:rsidRPr="00C03F7D" w:rsidRDefault="00C916EE" w:rsidP="00CA4AAF">
      <w:r>
        <w:t>So t</w:t>
      </w:r>
      <w:r w:rsidR="008E6074">
        <w:t xml:space="preserve">he capital and </w:t>
      </w:r>
      <w:r w:rsidR="00692701">
        <w:t xml:space="preserve">its king </w:t>
      </w:r>
      <w:r w:rsidR="008E6074">
        <w:t xml:space="preserve">are lost </w:t>
      </w:r>
      <w:r w:rsidR="00692701">
        <w:t>(v</w:t>
      </w:r>
      <w:r>
        <w:t>v</w:t>
      </w:r>
      <w:r w:rsidR="00692701">
        <w:t>. 7</w:t>
      </w:r>
      <w:r>
        <w:t>-8</w:t>
      </w:r>
      <w:r w:rsidR="008E6074">
        <w:t>)</w:t>
      </w:r>
      <w:r w:rsidR="00011439">
        <w:t>.</w:t>
      </w:r>
      <w:r w:rsidR="00692701">
        <w:t xml:space="preserve"> They are being carrie</w:t>
      </w:r>
      <w:r>
        <w:t>d away like a twig in a stream. And r</w:t>
      </w:r>
      <w:r w:rsidR="00C03F7D">
        <w:t xml:space="preserve">uin </w:t>
      </w:r>
      <w:r w:rsidR="008E6074">
        <w:t>will also overwhelm</w:t>
      </w:r>
      <w:r w:rsidR="00C03F7D">
        <w:t xml:space="preserve"> t</w:t>
      </w:r>
      <w:r w:rsidR="00692701">
        <w:t>he</w:t>
      </w:r>
      <w:r w:rsidR="00C03F7D">
        <w:t xml:space="preserve"> great shrine where the great heifer is located. Only here does Hosea use the word </w:t>
      </w:r>
      <w:r w:rsidR="00926527">
        <w:t>“</w:t>
      </w:r>
      <w:r w:rsidR="00C03F7D" w:rsidRPr="000806BE">
        <w:t>shrine</w:t>
      </w:r>
      <w:r w:rsidR="00926527">
        <w:t>”</w:t>
      </w:r>
      <w:r w:rsidR="00C03F7D">
        <w:rPr>
          <w:i/>
        </w:rPr>
        <w:t xml:space="preserve"> </w:t>
      </w:r>
      <w:r w:rsidR="00C03F7D">
        <w:t>(</w:t>
      </w:r>
      <w:r w:rsidR="00C03F7D" w:rsidRPr="00C03F7D">
        <w:rPr>
          <w:i/>
        </w:rPr>
        <w:t>bāmāh</w:t>
      </w:r>
      <w:r w:rsidR="00C03F7D">
        <w:t xml:space="preserve">, conventionally “hIgh place”), </w:t>
      </w:r>
      <w:r w:rsidR="00BC6D9B">
        <w:t>the</w:t>
      </w:r>
      <w:r w:rsidR="0071730A">
        <w:t xml:space="preserve"> term for local sanctuaries, though he has likely had them in mind in some of his references to Ephraim’s whoring (e.g., 2:2-23 [4-25]). But here he is talking about Beth-el, which he regularly calls </w:t>
      </w:r>
      <w:r w:rsidR="0071730A" w:rsidRPr="0071730A">
        <w:t>Beth-aven</w:t>
      </w:r>
      <w:r w:rsidR="0071730A">
        <w:t xml:space="preserve"> (see v. 5)</w:t>
      </w:r>
      <w:r w:rsidR="00926527">
        <w:t xml:space="preserve">.  </w:t>
      </w:r>
      <w:r w:rsidR="008E6074" w:rsidRPr="008E6074">
        <w:t>Beth-el</w:t>
      </w:r>
      <w:r w:rsidR="00926527">
        <w:t xml:space="preserve"> </w:t>
      </w:r>
      <w:r w:rsidR="0071730A">
        <w:t>is</w:t>
      </w:r>
      <w:r w:rsidR="00926527">
        <w:t xml:space="preserve"> </w:t>
      </w:r>
      <w:r w:rsidR="0071730A">
        <w:t xml:space="preserve">as significant </w:t>
      </w:r>
      <w:r w:rsidRPr="00C916EE">
        <w:t xml:space="preserve">For his Samarian hearers </w:t>
      </w:r>
      <w:r w:rsidR="0071730A">
        <w:t>as J</w:t>
      </w:r>
      <w:r w:rsidR="00BC6D9B">
        <w:t>erusalem is for Judahites. T</w:t>
      </w:r>
      <w:r w:rsidR="0071730A">
        <w:t xml:space="preserve">o call it a shrine, </w:t>
      </w:r>
      <w:r w:rsidR="008E6074">
        <w:t xml:space="preserve">even a great shrine, looks </w:t>
      </w:r>
      <w:r w:rsidR="00926527">
        <w:t xml:space="preserve">like </w:t>
      </w:r>
      <w:r w:rsidR="0071730A">
        <w:t xml:space="preserve">an </w:t>
      </w:r>
      <w:r w:rsidR="0071730A">
        <w:lastRenderedPageBreak/>
        <w:t>insult. Beth-el is just a trumped-up version of one of those shrines that every town had.</w:t>
      </w:r>
      <w:r w:rsidR="00926527">
        <w:t xml:space="preserve"> Ye</w:t>
      </w:r>
      <w:r w:rsidR="0071730A">
        <w:t xml:space="preserve">t as </w:t>
      </w:r>
      <w:r w:rsidR="00926527">
        <w:t>far as Yahweh is concerned, it’</w:t>
      </w:r>
      <w:r w:rsidR="0071730A">
        <w:t xml:space="preserve">s the </w:t>
      </w:r>
      <w:r w:rsidR="000806BE">
        <w:t>quintessence of Ephraim’s wrongdoing</w:t>
      </w:r>
      <w:r w:rsidR="0043253D">
        <w:t>. Hosea’s description of the consequences of the destruction reminds one of the</w:t>
      </w:r>
      <w:r w:rsidR="008E6074">
        <w:t xml:space="preserve"> actual natural state of many tells </w:t>
      </w:r>
      <w:r w:rsidR="0043253D">
        <w:t>in Israel</w:t>
      </w:r>
      <w:r w:rsidR="008E6074">
        <w:t>, historic places covered in</w:t>
      </w:r>
      <w:r w:rsidR="0043253D">
        <w:t xml:space="preserve"> wild plants and weeds. </w:t>
      </w:r>
      <w:r w:rsidR="00776462">
        <w:t>It w</w:t>
      </w:r>
      <w:r w:rsidR="008E6074">
        <w:t xml:space="preserve">ill all be so horrifying and </w:t>
      </w:r>
      <w:r w:rsidR="00776462">
        <w:t>shaming that it would be better to die before it happens (v. 8b).</w:t>
      </w:r>
    </w:p>
    <w:p w:rsidR="00011439" w:rsidRDefault="00011439" w:rsidP="00CA4AAF"/>
    <w:p w:rsidR="00776462" w:rsidRDefault="00776462" w:rsidP="00CA4AAF">
      <w:r>
        <w:rPr>
          <w:b/>
        </w:rPr>
        <w:t>Hosea 10:9-</w:t>
      </w:r>
      <w:r w:rsidR="00100A92">
        <w:rPr>
          <w:b/>
        </w:rPr>
        <w:t>10</w:t>
      </w:r>
      <w:r>
        <w:rPr>
          <w:b/>
        </w:rPr>
        <w:t xml:space="preserve">. </w:t>
      </w:r>
      <w:r w:rsidR="002A0F7B" w:rsidRPr="002A0F7B">
        <w:t>On the way to a further</w:t>
      </w:r>
      <w:r w:rsidR="002A0F7B">
        <w:rPr>
          <w:b/>
        </w:rPr>
        <w:t xml:space="preserve"> </w:t>
      </w:r>
      <w:r w:rsidR="00BC6D9B">
        <w:t>declaration of Ephraim’s coming calamity</w:t>
      </w:r>
      <w:r w:rsidR="002A0F7B">
        <w:t xml:space="preserve">, Hosea returns </w:t>
      </w:r>
      <w:r w:rsidR="001C6472">
        <w:t>(v. 9a</w:t>
      </w:r>
      <w:r w:rsidR="00A759AB">
        <w:t>bα</w:t>
      </w:r>
      <w:r w:rsidR="001C6472">
        <w:t xml:space="preserve">) </w:t>
      </w:r>
      <w:r w:rsidR="00F672F2">
        <w:t>to</w:t>
      </w:r>
      <w:r w:rsidR="002A0F7B">
        <w:t xml:space="preserve"> what happened at The Hill, Gibeah (see 9:9 and the </w:t>
      </w:r>
      <w:r w:rsidR="00F14F90">
        <w:t>comments</w:t>
      </w:r>
      <w:r w:rsidR="002A0F7B">
        <w:t xml:space="preserve">). There they took their stand </w:t>
      </w:r>
      <w:r w:rsidR="00BC6D9B">
        <w:t>as wrongdoers and they’</w:t>
      </w:r>
      <w:r w:rsidR="004E3162">
        <w:t>ve maintained that</w:t>
      </w:r>
      <w:r w:rsidR="002A0F7B">
        <w:t xml:space="preserve"> stand with consistency. </w:t>
      </w:r>
      <w:r w:rsidR="00BC6D9B">
        <w:t>Although i</w:t>
      </w:r>
      <w:r w:rsidR="00996D84">
        <w:t>t would</w:t>
      </w:r>
      <w:r w:rsidR="00234716">
        <w:t xml:space="preserve"> </w:t>
      </w:r>
      <w:r w:rsidR="00996D84">
        <w:t xml:space="preserve">have </w:t>
      </w:r>
      <w:r w:rsidR="004E3162">
        <w:t>be</w:t>
      </w:r>
      <w:r w:rsidR="00996D84">
        <w:t xml:space="preserve">en appropriate for war to overwhelm </w:t>
      </w:r>
      <w:r w:rsidR="00BC6D9B">
        <w:t xml:space="preserve">and eradicate them there, </w:t>
      </w:r>
      <w:r w:rsidR="00234716">
        <w:t>it didn’t</w:t>
      </w:r>
      <w:r w:rsidR="00A759AB">
        <w:t xml:space="preserve"> (vv. 9bβγ10</w:t>
      </w:r>
      <w:r w:rsidR="004E3162">
        <w:t>.</w:t>
      </w:r>
      <w:r w:rsidR="004D3FB0">
        <w:t xml:space="preserve"> </w:t>
      </w:r>
      <w:r w:rsidR="00C7527E">
        <w:t xml:space="preserve"> Although they are villainous people, a</w:t>
      </w:r>
      <w:r w:rsidR="00996D84">
        <w:t>s u</w:t>
      </w:r>
      <w:r w:rsidR="00C7527E">
        <w:t>sual</w:t>
      </w:r>
      <w:r w:rsidR="00996D84">
        <w:t xml:space="preserve"> Yahweh was concerned</w:t>
      </w:r>
      <w:r w:rsidR="00BC6D9B">
        <w:t xml:space="preserve"> to chastise and discipline</w:t>
      </w:r>
      <w:r w:rsidR="00C7527E">
        <w:t xml:space="preserve"> (cf. 7:12)</w:t>
      </w:r>
      <w:r w:rsidR="00BC6D9B">
        <w:t>, not to annihilate</w:t>
      </w:r>
      <w:r w:rsidR="000F1C51">
        <w:t>.</w:t>
      </w:r>
      <w:r w:rsidR="00234716">
        <w:t xml:space="preserve"> But i</w:t>
      </w:r>
      <w:r w:rsidR="008307B6">
        <w:t>mperial forces</w:t>
      </w:r>
      <w:r w:rsidR="00234716">
        <w:t xml:space="preserve"> will gather against them </w:t>
      </w:r>
      <w:r w:rsidR="008307B6">
        <w:t>as a result of their being bound like a heifer to their waywardness. Possibly it</w:t>
      </w:r>
      <w:r w:rsidR="009910BE">
        <w:t>’</w:t>
      </w:r>
      <w:r w:rsidR="008307B6">
        <w:t xml:space="preserve">s double </w:t>
      </w:r>
      <w:r w:rsidR="00BC6D9B">
        <w:t xml:space="preserve">waywardness </w:t>
      </w:r>
      <w:r w:rsidR="008307B6">
        <w:t>because their recent wrongdoing matches the or</w:t>
      </w:r>
      <w:r w:rsidR="00BC6D9B">
        <w:t>iginal wrongdoing at Gibeah, or</w:t>
      </w:r>
      <w:r w:rsidR="008307B6">
        <w:t xml:space="preserve"> possibly “double” simply means “plenty” (cf. Isa. 40:2).</w:t>
      </w:r>
    </w:p>
    <w:p w:rsidR="00100A92" w:rsidRDefault="00100A92" w:rsidP="00CA4AAF"/>
    <w:p w:rsidR="007A0599" w:rsidRDefault="007A0599" w:rsidP="001D3546">
      <w:pPr>
        <w:pStyle w:val="Heading2"/>
      </w:pPr>
      <w:r>
        <w:t>Theological Implications</w:t>
      </w:r>
    </w:p>
    <w:p w:rsidR="00BC6D9B" w:rsidRDefault="00850486" w:rsidP="009652A7">
      <w:pPr>
        <w:pStyle w:val="ListParagraph"/>
        <w:numPr>
          <w:ilvl w:val="0"/>
          <w:numId w:val="11"/>
        </w:numPr>
        <w:autoSpaceDE w:val="0"/>
        <w:autoSpaceDN w:val="0"/>
        <w:adjustRightInd w:val="0"/>
        <w:ind w:left="360"/>
        <w:rPr>
          <w:rFonts w:asciiTheme="minorHAnsi" w:eastAsiaTheme="minorHAnsi" w:hAnsiTheme="minorHAnsi" w:cs="Times-Roman"/>
          <w:szCs w:val="22"/>
        </w:rPr>
      </w:pPr>
      <w:r>
        <w:rPr>
          <w:rFonts w:asciiTheme="minorHAnsi" w:eastAsiaTheme="minorHAnsi" w:hAnsiTheme="minorHAnsi" w:cs="Times-Roman"/>
          <w:szCs w:val="22"/>
        </w:rPr>
        <w:t>The people of God is a vine; it is inclined to waste.</w:t>
      </w:r>
      <w:r w:rsidR="00061A1A">
        <w:rPr>
          <w:rFonts w:asciiTheme="minorHAnsi" w:eastAsiaTheme="minorHAnsi" w:hAnsiTheme="minorHAnsi" w:cs="Times-Roman"/>
          <w:szCs w:val="22"/>
        </w:rPr>
        <w:t xml:space="preserve"> </w:t>
      </w:r>
      <w:r w:rsidR="00E75D91">
        <w:rPr>
          <w:rFonts w:asciiTheme="minorHAnsi" w:eastAsiaTheme="minorHAnsi" w:hAnsiTheme="minorHAnsi" w:cs="Times-Roman"/>
          <w:szCs w:val="22"/>
        </w:rPr>
        <w:t>Further, m</w:t>
      </w:r>
      <w:r w:rsidR="00061A1A" w:rsidRPr="00061A1A">
        <w:rPr>
          <w:rFonts w:asciiTheme="minorHAnsi" w:eastAsiaTheme="minorHAnsi" w:hAnsiTheme="minorHAnsi" w:cs="Times-Roman"/>
          <w:szCs w:val="22"/>
        </w:rPr>
        <w:t>anifoldness gets under Hosea’s skin: God-given silver and gold that Ephraim used for the Master (2:8 [10]), priests (4:7), altars (8:11), fortified towns (8:14), forms of waywar</w:t>
      </w:r>
      <w:r w:rsidR="00BC6D9B">
        <w:rPr>
          <w:rFonts w:asciiTheme="minorHAnsi" w:eastAsiaTheme="minorHAnsi" w:hAnsiTheme="minorHAnsi" w:cs="Times-Roman"/>
          <w:szCs w:val="22"/>
        </w:rPr>
        <w:t>dness and animosity (9:7), strong men (10:13),</w:t>
      </w:r>
      <w:r w:rsidR="00061A1A" w:rsidRPr="00061A1A">
        <w:rPr>
          <w:rFonts w:asciiTheme="minorHAnsi" w:eastAsiaTheme="minorHAnsi" w:hAnsiTheme="minorHAnsi" w:cs="Times-Roman"/>
          <w:szCs w:val="22"/>
        </w:rPr>
        <w:t xml:space="preserve"> lies (12:1 [2]).</w:t>
      </w:r>
      <w:r w:rsidR="00061A1A" w:rsidRPr="00061A1A">
        <w:rPr>
          <w:rFonts w:asciiTheme="minorHAnsi" w:eastAsiaTheme="minorHAnsi" w:hAnsiTheme="minorHAnsi" w:cs="Times-Roman"/>
          <w:szCs w:val="22"/>
          <w:vertAlign w:val="superscript"/>
        </w:rPr>
        <w:footnoteReference w:id="468"/>
      </w:r>
      <w:r w:rsidR="00E75D91">
        <w:rPr>
          <w:rFonts w:asciiTheme="minorHAnsi" w:eastAsiaTheme="minorHAnsi" w:hAnsiTheme="minorHAnsi" w:cs="Times-Roman"/>
          <w:szCs w:val="22"/>
        </w:rPr>
        <w:t xml:space="preserve"> Does Hosea raise a question about the church’s manifold denominations, structures, orders of ministry, hymn books, web sites, prayer b</w:t>
      </w:r>
      <w:r w:rsidR="00C916EE">
        <w:rPr>
          <w:rFonts w:asciiTheme="minorHAnsi" w:eastAsiaTheme="minorHAnsi" w:hAnsiTheme="minorHAnsi" w:cs="Times-Roman"/>
          <w:szCs w:val="22"/>
        </w:rPr>
        <w:t>ooks….? At the very least, he</w:t>
      </w:r>
      <w:r w:rsidR="00E75D91">
        <w:rPr>
          <w:rFonts w:asciiTheme="minorHAnsi" w:eastAsiaTheme="minorHAnsi" w:hAnsiTheme="minorHAnsi" w:cs="Times-Roman"/>
          <w:szCs w:val="22"/>
        </w:rPr>
        <w:t xml:space="preserve"> raises the question what the church does with its manifoldness.</w:t>
      </w:r>
    </w:p>
    <w:p w:rsidR="003228BB" w:rsidRDefault="00FA0593" w:rsidP="009652A7">
      <w:pPr>
        <w:pStyle w:val="ListParagraph"/>
        <w:numPr>
          <w:ilvl w:val="0"/>
          <w:numId w:val="11"/>
        </w:numPr>
        <w:autoSpaceDE w:val="0"/>
        <w:autoSpaceDN w:val="0"/>
        <w:adjustRightInd w:val="0"/>
        <w:ind w:left="360"/>
        <w:rPr>
          <w:rFonts w:asciiTheme="minorHAnsi" w:eastAsiaTheme="minorHAnsi" w:hAnsiTheme="minorHAnsi" w:cs="Times-Roman"/>
          <w:szCs w:val="22"/>
        </w:rPr>
      </w:pPr>
      <w:r w:rsidRPr="00BC6D9B">
        <w:rPr>
          <w:rFonts w:asciiTheme="minorHAnsi" w:eastAsiaTheme="minorHAnsi" w:hAnsiTheme="minorHAnsi" w:cs="Times-Roman"/>
          <w:szCs w:val="22"/>
        </w:rPr>
        <w:t xml:space="preserve">Ephraim’s theology </w:t>
      </w:r>
      <w:r w:rsidR="00E75D91" w:rsidRPr="00BC6D9B">
        <w:rPr>
          <w:rFonts w:asciiTheme="minorHAnsi" w:eastAsiaTheme="minorHAnsi" w:hAnsiTheme="minorHAnsi" w:cs="Times-Roman"/>
          <w:szCs w:val="22"/>
        </w:rPr>
        <w:t xml:space="preserve">(v. 3) </w:t>
      </w:r>
      <w:r w:rsidRPr="00BC6D9B">
        <w:rPr>
          <w:rFonts w:asciiTheme="minorHAnsi" w:eastAsiaTheme="minorHAnsi" w:hAnsiTheme="minorHAnsi" w:cs="Times-Roman"/>
          <w:szCs w:val="22"/>
        </w:rPr>
        <w:t>is like that enunciated by Sennacherib’s lieutenant (Isa. 36:18-20)</w:t>
      </w:r>
      <w:r w:rsidR="00E75D91" w:rsidRPr="00BC6D9B">
        <w:rPr>
          <w:rFonts w:asciiTheme="minorHAnsi" w:eastAsiaTheme="minorHAnsi" w:hAnsiTheme="minorHAnsi" w:cs="Times-Roman"/>
          <w:szCs w:val="22"/>
        </w:rPr>
        <w:t xml:space="preserve">. </w:t>
      </w:r>
      <w:r w:rsidR="003228BB">
        <w:rPr>
          <w:rFonts w:asciiTheme="minorHAnsi" w:eastAsiaTheme="minorHAnsi" w:hAnsiTheme="minorHAnsi" w:cs="Times-Roman"/>
          <w:szCs w:val="22"/>
        </w:rPr>
        <w:t xml:space="preserve">Formally, Ephraim </w:t>
      </w:r>
      <w:r w:rsidR="00E75D91" w:rsidRPr="00BC6D9B">
        <w:rPr>
          <w:rFonts w:asciiTheme="minorHAnsi" w:eastAsiaTheme="minorHAnsi" w:hAnsiTheme="minorHAnsi" w:cs="Times-Roman"/>
          <w:szCs w:val="22"/>
        </w:rPr>
        <w:t xml:space="preserve">acknowledged a divine king, but the acknowledgment had little purchase. There are twice-two aspects to God’s being king. He is king of the world and king of Israel, and he is king as authority and king as provider. As king of the world he </w:t>
      </w:r>
      <w:r w:rsidR="003228BB">
        <w:rPr>
          <w:rFonts w:asciiTheme="minorHAnsi" w:eastAsiaTheme="minorHAnsi" w:hAnsiTheme="minorHAnsi" w:cs="Times-Roman"/>
          <w:szCs w:val="22"/>
        </w:rPr>
        <w:t>provides for it, though it doesn’</w:t>
      </w:r>
      <w:r w:rsidR="00E75D91" w:rsidRPr="00BC6D9B">
        <w:rPr>
          <w:rFonts w:asciiTheme="minorHAnsi" w:eastAsiaTheme="minorHAnsi" w:hAnsiTheme="minorHAnsi" w:cs="Times-Roman"/>
          <w:szCs w:val="22"/>
        </w:rPr>
        <w:t>t realize, and as king of the world he looks to the world’s acknowledgment, thoug</w:t>
      </w:r>
      <w:r w:rsidR="003228BB">
        <w:rPr>
          <w:rFonts w:asciiTheme="minorHAnsi" w:eastAsiaTheme="minorHAnsi" w:hAnsiTheme="minorHAnsi" w:cs="Times-Roman"/>
          <w:szCs w:val="22"/>
        </w:rPr>
        <w:t>h that will happen</w:t>
      </w:r>
      <w:r w:rsidR="004E5862" w:rsidRPr="00BC6D9B">
        <w:rPr>
          <w:rFonts w:asciiTheme="minorHAnsi" w:eastAsiaTheme="minorHAnsi" w:hAnsiTheme="minorHAnsi" w:cs="Times-Roman"/>
          <w:szCs w:val="22"/>
        </w:rPr>
        <w:t xml:space="preserve"> only in the age to come</w:t>
      </w:r>
      <w:r w:rsidR="00E75D91" w:rsidRPr="00BC6D9B">
        <w:rPr>
          <w:rFonts w:asciiTheme="minorHAnsi" w:eastAsiaTheme="minorHAnsi" w:hAnsiTheme="minorHAnsi" w:cs="Times-Roman"/>
          <w:szCs w:val="22"/>
        </w:rPr>
        <w:t xml:space="preserve">. As king of his people he provides for it, defends it from attackers, and expects </w:t>
      </w:r>
      <w:r w:rsidR="004E5862" w:rsidRPr="00BC6D9B">
        <w:rPr>
          <w:rFonts w:asciiTheme="minorHAnsi" w:eastAsiaTheme="minorHAnsi" w:hAnsiTheme="minorHAnsi" w:cs="Times-Roman"/>
          <w:szCs w:val="22"/>
        </w:rPr>
        <w:t xml:space="preserve">that </w:t>
      </w:r>
      <w:r w:rsidR="00E75D91" w:rsidRPr="00BC6D9B">
        <w:rPr>
          <w:rFonts w:asciiTheme="minorHAnsi" w:eastAsiaTheme="minorHAnsi" w:hAnsiTheme="minorHAnsi" w:cs="Times-Roman"/>
          <w:szCs w:val="22"/>
        </w:rPr>
        <w:t xml:space="preserve">its acknowledgment </w:t>
      </w:r>
      <w:r w:rsidR="004E5862" w:rsidRPr="00BC6D9B">
        <w:rPr>
          <w:rFonts w:asciiTheme="minorHAnsi" w:eastAsiaTheme="minorHAnsi" w:hAnsiTheme="minorHAnsi" w:cs="Times-Roman"/>
          <w:szCs w:val="22"/>
        </w:rPr>
        <w:t>sho</w:t>
      </w:r>
      <w:r w:rsidR="003228BB">
        <w:rPr>
          <w:rFonts w:asciiTheme="minorHAnsi" w:eastAsiaTheme="minorHAnsi" w:hAnsiTheme="minorHAnsi" w:cs="Times-Roman"/>
          <w:szCs w:val="22"/>
        </w:rPr>
        <w:t>uld be a reality in this age,</w:t>
      </w:r>
      <w:r w:rsidR="004E5862" w:rsidRPr="00BC6D9B">
        <w:rPr>
          <w:rFonts w:asciiTheme="minorHAnsi" w:eastAsiaTheme="minorHAnsi" w:hAnsiTheme="minorHAnsi" w:cs="Times-Roman"/>
          <w:szCs w:val="22"/>
        </w:rPr>
        <w:t xml:space="preserve"> not only in the age to come. One could say that the demise of Ephraim and in due course the demise of Judah constitute God’s affirmation that they indeed have no king—that is, they do not acknowledge one. The restoration of Judah issues from God’s beginning to reign </w:t>
      </w:r>
      <w:r w:rsidR="00C916EE">
        <w:rPr>
          <w:rFonts w:asciiTheme="minorHAnsi" w:eastAsiaTheme="minorHAnsi" w:hAnsiTheme="minorHAnsi" w:cs="Times-Roman"/>
          <w:szCs w:val="22"/>
        </w:rPr>
        <w:t xml:space="preserve">as king </w:t>
      </w:r>
      <w:r w:rsidR="004E5862" w:rsidRPr="00BC6D9B">
        <w:rPr>
          <w:rFonts w:asciiTheme="minorHAnsi" w:eastAsiaTheme="minorHAnsi" w:hAnsiTheme="minorHAnsi" w:cs="Times-Roman"/>
          <w:szCs w:val="22"/>
        </w:rPr>
        <w:t xml:space="preserve">again (Isa. 52:7-10) and God’s later intervention to restore his people has the same implication (Mark 1:15). </w:t>
      </w:r>
      <w:r w:rsidR="00B824CA" w:rsidRPr="00BC6D9B">
        <w:rPr>
          <w:rFonts w:asciiTheme="minorHAnsi" w:eastAsiaTheme="minorHAnsi" w:hAnsiTheme="minorHAnsi" w:cs="Times-Roman"/>
          <w:szCs w:val="22"/>
        </w:rPr>
        <w:t>When Israel’s king is in its midst, it has no reason to fear anything bad (Zeph. 3:15).</w:t>
      </w:r>
    </w:p>
    <w:p w:rsidR="003228BB" w:rsidRDefault="004E5862" w:rsidP="009652A7">
      <w:pPr>
        <w:pStyle w:val="ListParagraph"/>
        <w:numPr>
          <w:ilvl w:val="0"/>
          <w:numId w:val="11"/>
        </w:numPr>
        <w:autoSpaceDE w:val="0"/>
        <w:autoSpaceDN w:val="0"/>
        <w:adjustRightInd w:val="0"/>
        <w:ind w:left="360"/>
        <w:rPr>
          <w:rFonts w:asciiTheme="minorHAnsi" w:eastAsiaTheme="minorHAnsi" w:hAnsiTheme="minorHAnsi" w:cs="Times-Roman"/>
          <w:szCs w:val="22"/>
        </w:rPr>
      </w:pPr>
      <w:r w:rsidRPr="003228BB">
        <w:rPr>
          <w:rFonts w:asciiTheme="minorHAnsi" w:eastAsiaTheme="minorHAnsi" w:hAnsiTheme="minorHAnsi" w:cs="Times-Roman"/>
          <w:szCs w:val="22"/>
        </w:rPr>
        <w:t>The exercise of authority flourishes like hemlock (v. 4). There is hardly a nation whose rulers exercise government in a way that embodies faithfulness, commitment, and truth, and encourages faithfulness, commitment, and truth among its people. There is thus a contradiction between what authority is for (Rom. 13:1-7) and how it is used (Rev. 13). The challenge to the people of God (and its authorities) is to resist the temptation to follow the second model</w:t>
      </w:r>
      <w:r w:rsidR="00523427" w:rsidRPr="003228BB">
        <w:rPr>
          <w:rFonts w:asciiTheme="minorHAnsi" w:eastAsiaTheme="minorHAnsi" w:hAnsiTheme="minorHAnsi" w:cs="Times-Roman"/>
          <w:szCs w:val="22"/>
        </w:rPr>
        <w:t>, to challenge authorities to govern in a way that reflects the reason they exist, and to manifest “patient endurance and faithfulness” (Rev. 13:10), not least in the context of the way the rest of the world bows down to the faithless authorities.</w:t>
      </w:r>
    </w:p>
    <w:p w:rsidR="0043253D" w:rsidRPr="003228BB" w:rsidRDefault="0043253D" w:rsidP="009652A7">
      <w:pPr>
        <w:pStyle w:val="ListParagraph"/>
        <w:numPr>
          <w:ilvl w:val="0"/>
          <w:numId w:val="11"/>
        </w:numPr>
        <w:autoSpaceDE w:val="0"/>
        <w:autoSpaceDN w:val="0"/>
        <w:adjustRightInd w:val="0"/>
        <w:ind w:left="360"/>
        <w:rPr>
          <w:rFonts w:asciiTheme="minorHAnsi" w:eastAsiaTheme="minorHAnsi" w:hAnsiTheme="minorHAnsi" w:cs="Times-Roman"/>
          <w:szCs w:val="22"/>
        </w:rPr>
      </w:pPr>
      <w:r w:rsidRPr="003228BB">
        <w:rPr>
          <w:rFonts w:asciiTheme="minorHAnsi" w:eastAsiaTheme="minorHAnsi" w:hAnsiTheme="minorHAnsi" w:cs="Times-Roman"/>
          <w:szCs w:val="22"/>
        </w:rPr>
        <w:t>Jesus takes up v. 8 on his way to his execution (Luke 23:30) and John hears all the world speaking in similar terms when the great day of the wrath of God and of the lamb comes (Rev. 6:16).</w:t>
      </w:r>
      <w:r w:rsidR="00523427" w:rsidRPr="003228BB">
        <w:rPr>
          <w:rFonts w:asciiTheme="minorHAnsi" w:eastAsiaTheme="minorHAnsi" w:hAnsiTheme="minorHAnsi" w:cs="Times-Roman"/>
          <w:szCs w:val="22"/>
        </w:rPr>
        <w:t xml:space="preserve"> In Hosea the words constitute a challenge to Ephraimites to see where the implementing of God’s threats will </w:t>
      </w:r>
      <w:r w:rsidR="00523427" w:rsidRPr="003228BB">
        <w:rPr>
          <w:rFonts w:asciiTheme="minorHAnsi" w:eastAsiaTheme="minorHAnsi" w:hAnsiTheme="minorHAnsi" w:cs="Times-Roman"/>
          <w:szCs w:val="22"/>
        </w:rPr>
        <w:lastRenderedPageBreak/>
        <w:t>take them</w:t>
      </w:r>
      <w:r w:rsidR="003228BB">
        <w:rPr>
          <w:rFonts w:asciiTheme="minorHAnsi" w:eastAsiaTheme="minorHAnsi" w:hAnsiTheme="minorHAnsi" w:cs="Times-Roman"/>
          <w:szCs w:val="22"/>
        </w:rPr>
        <w:t>,</w:t>
      </w:r>
      <w:r w:rsidR="00523427" w:rsidRPr="003228BB">
        <w:rPr>
          <w:rFonts w:asciiTheme="minorHAnsi" w:eastAsiaTheme="minorHAnsi" w:hAnsiTheme="minorHAnsi" w:cs="Times-Roman"/>
          <w:szCs w:val="22"/>
        </w:rPr>
        <w:t xml:space="preserve"> a</w:t>
      </w:r>
      <w:r w:rsidR="003228BB">
        <w:rPr>
          <w:rFonts w:asciiTheme="minorHAnsi" w:eastAsiaTheme="minorHAnsi" w:hAnsiTheme="minorHAnsi" w:cs="Times-Roman"/>
          <w:szCs w:val="22"/>
        </w:rPr>
        <w:t>nd therefore</w:t>
      </w:r>
      <w:r w:rsidR="00523427" w:rsidRPr="003228BB">
        <w:rPr>
          <w:rFonts w:asciiTheme="minorHAnsi" w:eastAsiaTheme="minorHAnsi" w:hAnsiTheme="minorHAnsi" w:cs="Times-Roman"/>
          <w:szCs w:val="22"/>
        </w:rPr>
        <w:t xml:space="preserve"> to turn. For the women of Jerusalem, they constitute a frightening warning that people wh</w:t>
      </w:r>
      <w:r w:rsidR="003228BB">
        <w:rPr>
          <w:rFonts w:asciiTheme="minorHAnsi" w:eastAsiaTheme="minorHAnsi" w:hAnsiTheme="minorHAnsi" w:cs="Times-Roman"/>
          <w:szCs w:val="22"/>
        </w:rPr>
        <w:t>o treat Jesus in the way people are treating him</w:t>
      </w:r>
      <w:r w:rsidR="00523427" w:rsidRPr="003228BB">
        <w:rPr>
          <w:rFonts w:asciiTheme="minorHAnsi" w:eastAsiaTheme="minorHAnsi" w:hAnsiTheme="minorHAnsi" w:cs="Times-Roman"/>
          <w:szCs w:val="22"/>
        </w:rPr>
        <w:t xml:space="preserve"> will also be bringing a terrible fate on themselves and</w:t>
      </w:r>
      <w:r w:rsidR="003228BB">
        <w:rPr>
          <w:rFonts w:asciiTheme="minorHAnsi" w:eastAsiaTheme="minorHAnsi" w:hAnsiTheme="minorHAnsi" w:cs="Times-Roman"/>
          <w:szCs w:val="22"/>
        </w:rPr>
        <w:t xml:space="preserve"> thus on their people—as happens</w:t>
      </w:r>
      <w:r w:rsidR="00523427" w:rsidRPr="003228BB">
        <w:rPr>
          <w:rFonts w:asciiTheme="minorHAnsi" w:eastAsiaTheme="minorHAnsi" w:hAnsiTheme="minorHAnsi" w:cs="Times-Roman"/>
          <w:szCs w:val="22"/>
        </w:rPr>
        <w:t xml:space="preserve"> when Jerusalem falls. In Revelation, they appear on the lips of kings and generals, rich and powerful people,  but also of everyone else both slave and free, but they do so in the context of a promise that </w:t>
      </w:r>
      <w:r w:rsidR="00E42CE9" w:rsidRPr="003228BB">
        <w:rPr>
          <w:rFonts w:asciiTheme="minorHAnsi" w:eastAsiaTheme="minorHAnsi" w:hAnsiTheme="minorHAnsi" w:cs="Times-Roman"/>
          <w:szCs w:val="22"/>
        </w:rPr>
        <w:t>a great company from Israel</w:t>
      </w:r>
      <w:r w:rsidR="00173B6D">
        <w:rPr>
          <w:rFonts w:asciiTheme="minorHAnsi" w:eastAsiaTheme="minorHAnsi" w:hAnsiTheme="minorHAnsi" w:cs="Times-Roman"/>
          <w:szCs w:val="22"/>
        </w:rPr>
        <w:t>,</w:t>
      </w:r>
      <w:r w:rsidR="00E42CE9" w:rsidRPr="003228BB">
        <w:rPr>
          <w:rFonts w:asciiTheme="minorHAnsi" w:eastAsiaTheme="minorHAnsi" w:hAnsiTheme="minorHAnsi" w:cs="Times-Roman"/>
          <w:szCs w:val="22"/>
        </w:rPr>
        <w:t xml:space="preserve"> and a further great company that no one can count</w:t>
      </w:r>
      <w:r w:rsidR="00173B6D">
        <w:rPr>
          <w:rFonts w:asciiTheme="minorHAnsi" w:eastAsiaTheme="minorHAnsi" w:hAnsiTheme="minorHAnsi" w:cs="Times-Roman"/>
          <w:szCs w:val="22"/>
        </w:rPr>
        <w:t>,</w:t>
      </w:r>
      <w:r w:rsidR="00E42CE9" w:rsidRPr="003228BB">
        <w:rPr>
          <w:rFonts w:asciiTheme="minorHAnsi" w:eastAsiaTheme="minorHAnsi" w:hAnsiTheme="minorHAnsi" w:cs="Times-Roman"/>
          <w:szCs w:val="22"/>
        </w:rPr>
        <w:t xml:space="preserve"> come out of the great tribulation.</w:t>
      </w:r>
    </w:p>
    <w:p w:rsidR="002F4EAB" w:rsidRDefault="002F4EAB" w:rsidP="00EF7B98">
      <w:pPr>
        <w:pStyle w:val="Heading1"/>
      </w:pPr>
      <w:r>
        <w:t xml:space="preserve">Hosea 10:11-15: </w:t>
      </w:r>
      <w:r w:rsidR="00606F07">
        <w:t xml:space="preserve">Unhappy </w:t>
      </w:r>
      <w:r w:rsidR="00DB7F0E">
        <w:t>Recollections—Th</w:t>
      </w:r>
      <w:r>
        <w:t>e Heifer</w:t>
      </w:r>
    </w:p>
    <w:p w:rsidR="002F4EAB" w:rsidRDefault="002F4EAB" w:rsidP="001D3546">
      <w:pPr>
        <w:pStyle w:val="Heading2"/>
      </w:pPr>
      <w:r>
        <w:t>Translation</w:t>
      </w:r>
    </w:p>
    <w:p w:rsidR="002F4EAB" w:rsidRDefault="002F4EAB" w:rsidP="002F4EAB">
      <w:r>
        <w:rPr>
          <w:vertAlign w:val="superscript"/>
        </w:rPr>
        <w:t>11</w:t>
      </w:r>
      <w:r w:rsidR="00683273">
        <w:t>But i</w:t>
      </w:r>
      <w:r>
        <w:t>n that</w:t>
      </w:r>
      <w:r w:rsidRPr="00047771">
        <w:t xml:space="preserve"> ’Eprayim</w:t>
      </w:r>
      <w:r>
        <w:t xml:space="preserve"> was a teachable</w:t>
      </w:r>
      <w:r>
        <w:rPr>
          <w:rStyle w:val="FootnoteReference"/>
        </w:rPr>
        <w:footnoteReference w:id="469"/>
      </w:r>
      <w:r>
        <w:t xml:space="preserve"> heifer </w:t>
      </w:r>
    </w:p>
    <w:p w:rsidR="002F4EAB" w:rsidRDefault="002F4EAB" w:rsidP="002F4EAB">
      <w:r>
        <w:tab/>
        <w:t>that liked threshing,</w:t>
      </w:r>
    </w:p>
    <w:p w:rsidR="002F4EAB" w:rsidRDefault="002F4EAB" w:rsidP="002F4EAB">
      <w:r>
        <w:t>When I passed by its good neck,</w:t>
      </w:r>
      <w:r>
        <w:rPr>
          <w:rStyle w:val="FootnoteReference"/>
        </w:rPr>
        <w:footnoteReference w:id="470"/>
      </w:r>
    </w:p>
    <w:p w:rsidR="002F4EAB" w:rsidRDefault="002F4EAB" w:rsidP="002F4EAB">
      <w:r>
        <w:tab/>
        <w:t xml:space="preserve">I have made </w:t>
      </w:r>
      <w:r w:rsidRPr="00786647">
        <w:t>’Eprayim</w:t>
      </w:r>
      <w:r>
        <w:t xml:space="preserve"> to be ridden.</w:t>
      </w:r>
      <w:r>
        <w:rPr>
          <w:rStyle w:val="FootnoteReference"/>
        </w:rPr>
        <w:footnoteReference w:id="471"/>
      </w:r>
      <w:r>
        <w:t xml:space="preserve"> </w:t>
      </w:r>
    </w:p>
    <w:p w:rsidR="002F4EAB" w:rsidRDefault="00C43E3C" w:rsidP="002F4EAB">
      <w:r w:rsidRPr="00C43E3C">
        <w:t>Yəhûdāh</w:t>
      </w:r>
      <w:r w:rsidR="002F4EAB">
        <w:t xml:space="preserve"> would plow, </w:t>
      </w:r>
    </w:p>
    <w:p w:rsidR="002F4EAB" w:rsidRDefault="009126EF" w:rsidP="002F4EAB">
      <w:r>
        <w:tab/>
        <w:t>Ya‘ăqō</w:t>
      </w:r>
      <w:r w:rsidR="002F4EAB">
        <w:t>b would do its harrowing.</w:t>
      </w:r>
      <w:r w:rsidR="002F4EAB">
        <w:rPr>
          <w:rStyle w:val="FootnoteReference"/>
        </w:rPr>
        <w:footnoteReference w:id="472"/>
      </w:r>
    </w:p>
    <w:p w:rsidR="002F4EAB" w:rsidRDefault="002F4EAB" w:rsidP="002F4EAB">
      <w:r>
        <w:rPr>
          <w:vertAlign w:val="superscript"/>
        </w:rPr>
        <w:t>12</w:t>
      </w:r>
      <w:r>
        <w:t xml:space="preserve">Do your sowing for faithfulness, </w:t>
      </w:r>
    </w:p>
    <w:p w:rsidR="002F4EAB" w:rsidRDefault="002F4EAB" w:rsidP="002F4EAB">
      <w:r>
        <w:tab/>
        <w:t>reap for the sake of commitment,</w:t>
      </w:r>
    </w:p>
    <w:p w:rsidR="002F4EAB" w:rsidRDefault="002F4EAB" w:rsidP="002F4EAB">
      <w:r>
        <w:tab/>
        <w:t>do your tilling of the tillable land:</w:t>
      </w:r>
    </w:p>
    <w:p w:rsidR="002F4EAB" w:rsidRDefault="002F4EAB" w:rsidP="002F4EAB">
      <w:r>
        <w:t>A time</w:t>
      </w:r>
      <w:r>
        <w:rPr>
          <w:rStyle w:val="FootnoteReference"/>
        </w:rPr>
        <w:footnoteReference w:id="473"/>
      </w:r>
      <w:r>
        <w:t xml:space="preserve"> for inquiring of Yahweh,</w:t>
      </w:r>
    </w:p>
    <w:p w:rsidR="002F4EAB" w:rsidRDefault="002F4EAB" w:rsidP="002F4EAB">
      <w:r>
        <w:tab/>
        <w:t>until he comes and rains</w:t>
      </w:r>
      <w:r>
        <w:rPr>
          <w:rStyle w:val="FootnoteReference"/>
        </w:rPr>
        <w:footnoteReference w:id="474"/>
      </w:r>
      <w:r>
        <w:t xml:space="preserve"> faithfulness for you,</w:t>
      </w:r>
    </w:p>
    <w:p w:rsidR="002F4EAB" w:rsidRDefault="002F4EAB" w:rsidP="002F4EAB">
      <w:r>
        <w:tab/>
      </w:r>
    </w:p>
    <w:p w:rsidR="002F4EAB" w:rsidRDefault="002F4EAB" w:rsidP="002F4EAB">
      <w:r>
        <w:rPr>
          <w:vertAlign w:val="superscript"/>
        </w:rPr>
        <w:t>13</w:t>
      </w:r>
      <w:r>
        <w:t xml:space="preserve">You’ve plowed faithlessness, you’ve reaped villainy, </w:t>
      </w:r>
    </w:p>
    <w:p w:rsidR="002F4EAB" w:rsidRDefault="002F4EAB" w:rsidP="002F4EAB">
      <w:r>
        <w:tab/>
        <w:t>you’ve eaten the fruit of deception.</w:t>
      </w:r>
    </w:p>
    <w:p w:rsidR="002F4EAB" w:rsidRDefault="002F4EAB" w:rsidP="002F4EAB">
      <w:r>
        <w:t>Because you’ve relied</w:t>
      </w:r>
      <w:r>
        <w:rPr>
          <w:rStyle w:val="FootnoteReference"/>
        </w:rPr>
        <w:footnoteReference w:id="475"/>
      </w:r>
      <w:r>
        <w:t xml:space="preserve"> on your own way,</w:t>
      </w:r>
      <w:r>
        <w:rPr>
          <w:rStyle w:val="FootnoteReference"/>
        </w:rPr>
        <w:footnoteReference w:id="476"/>
      </w:r>
      <w:r>
        <w:t xml:space="preserve"> </w:t>
      </w:r>
    </w:p>
    <w:p w:rsidR="002F4EAB" w:rsidRDefault="002F4EAB" w:rsidP="002F4EAB">
      <w:r>
        <w:tab/>
        <w:t>on the number of your strong men.</w:t>
      </w:r>
    </w:p>
    <w:p w:rsidR="002F4EAB" w:rsidRDefault="002F4EAB" w:rsidP="002F4EAB">
      <w:r>
        <w:rPr>
          <w:vertAlign w:val="superscript"/>
        </w:rPr>
        <w:t>14</w:t>
      </w:r>
      <w:r>
        <w:t xml:space="preserve">A boom will arise among your people, </w:t>
      </w:r>
    </w:p>
    <w:p w:rsidR="002F4EAB" w:rsidRDefault="002F4EAB" w:rsidP="002F4EAB">
      <w:r>
        <w:tab/>
        <w:t>and all your f</w:t>
      </w:r>
      <w:r w:rsidR="005C28CA">
        <w:t>ortresses will be destroy</w:t>
      </w:r>
      <w:r>
        <w:t>ed,</w:t>
      </w:r>
    </w:p>
    <w:p w:rsidR="002F4EAB" w:rsidRDefault="005C28CA" w:rsidP="002F4EAB">
      <w:r>
        <w:t>As at Shalman’s destruc</w:t>
      </w:r>
      <w:r w:rsidR="002F4EAB">
        <w:t xml:space="preserve">tion of Bȇt ’Arbē’l </w:t>
      </w:r>
    </w:p>
    <w:p w:rsidR="002F4EAB" w:rsidRDefault="002F4EAB" w:rsidP="002F4EAB">
      <w:r>
        <w:tab/>
        <w:t xml:space="preserve">on the day of battle, </w:t>
      </w:r>
    </w:p>
    <w:p w:rsidR="002F4EAB" w:rsidRDefault="002F4EAB" w:rsidP="002F4EAB">
      <w:r>
        <w:tab/>
        <w:t>when mother was dashed down with children.</w:t>
      </w:r>
    </w:p>
    <w:p w:rsidR="002F4EAB" w:rsidRDefault="002F4EAB" w:rsidP="002F4EAB">
      <w:r>
        <w:rPr>
          <w:vertAlign w:val="superscript"/>
        </w:rPr>
        <w:lastRenderedPageBreak/>
        <w:t>15</w:t>
      </w:r>
      <w:r>
        <w:t>Exactly</w:t>
      </w:r>
      <w:r>
        <w:rPr>
          <w:rStyle w:val="FootnoteReference"/>
        </w:rPr>
        <w:footnoteReference w:id="477"/>
      </w:r>
      <w:r>
        <w:t xml:space="preserve"> this he has done to you, Bȇt-’ēl,</w:t>
      </w:r>
      <w:r>
        <w:rPr>
          <w:rStyle w:val="FootnoteReference"/>
        </w:rPr>
        <w:footnoteReference w:id="478"/>
      </w:r>
      <w:r>
        <w:t xml:space="preserve"> </w:t>
      </w:r>
    </w:p>
    <w:p w:rsidR="002F4EAB" w:rsidRDefault="002F4EAB" w:rsidP="002F4EAB">
      <w:r>
        <w:tab/>
        <w:t>as a result o</w:t>
      </w:r>
      <w:r w:rsidR="0004269A">
        <w:t>f the depth of your bad dealing;</w:t>
      </w:r>
      <w:r>
        <w:rPr>
          <w:rStyle w:val="FootnoteReference"/>
        </w:rPr>
        <w:footnoteReference w:id="479"/>
      </w:r>
    </w:p>
    <w:p w:rsidR="002F4EAB" w:rsidRDefault="002F4EAB" w:rsidP="002F4EAB">
      <w:r>
        <w:t xml:space="preserve">At dawn he was utterly lost, </w:t>
      </w:r>
    </w:p>
    <w:p w:rsidR="002F4EAB" w:rsidRDefault="002F4EAB" w:rsidP="002F4EAB">
      <w:r>
        <w:tab/>
        <w:t xml:space="preserve">the king of </w:t>
      </w:r>
      <w:r w:rsidRPr="00FF0938">
        <w:t>Yiśrā’ēl</w:t>
      </w:r>
      <w:r>
        <w:t>.</w:t>
      </w:r>
    </w:p>
    <w:p w:rsidR="002F4EAB" w:rsidRDefault="002F4EAB" w:rsidP="001D3546">
      <w:pPr>
        <w:pStyle w:val="Heading2"/>
      </w:pPr>
      <w:r>
        <w:t>Interpretation</w:t>
      </w:r>
    </w:p>
    <w:p w:rsidR="00474C95" w:rsidRDefault="007D2F18" w:rsidP="00474C95">
      <w:r>
        <w:t>Yahweh’s</w:t>
      </w:r>
      <w:r w:rsidR="00B0214F" w:rsidRPr="00B0214F">
        <w:t xml:space="preserve"> talk of binding </w:t>
      </w:r>
      <w:r w:rsidR="00B0214F">
        <w:t xml:space="preserve">(10:10) </w:t>
      </w:r>
      <w:r w:rsidR="00B0214F" w:rsidRPr="00B0214F">
        <w:t>makes for a segue</w:t>
      </w:r>
      <w:r w:rsidR="00B0214F">
        <w:t xml:space="preserve"> back</w:t>
      </w:r>
      <w:r w:rsidR="00B0214F" w:rsidRPr="00B0214F">
        <w:t xml:space="preserve"> into a</w:t>
      </w:r>
      <w:r w:rsidR="00B0214F">
        <w:t>nother</w:t>
      </w:r>
      <w:r>
        <w:t xml:space="preserve"> recollection of hi</w:t>
      </w:r>
      <w:r w:rsidR="00B0214F" w:rsidRPr="00B0214F">
        <w:t>s taking up Israel in the first place</w:t>
      </w:r>
      <w:r w:rsidR="00B0214F">
        <w:t xml:space="preserve"> (cf. 10:1)</w:t>
      </w:r>
      <w:r w:rsidR="00B0214F" w:rsidRPr="00B0214F">
        <w:t xml:space="preserve">, in a picture </w:t>
      </w:r>
      <w:r>
        <w:t xml:space="preserve">also </w:t>
      </w:r>
      <w:r w:rsidR="00B0214F" w:rsidRPr="00B0214F">
        <w:t xml:space="preserve">parallel to the one of grapes in the wilderness (9:10). </w:t>
      </w:r>
      <w:r w:rsidR="00B0214F">
        <w:t>So Yahweh again recalls Ephraim’s beginnings</w:t>
      </w:r>
      <w:r w:rsidR="00A759AB">
        <w:t xml:space="preserve">, </w:t>
      </w:r>
      <w:r w:rsidR="006D4819">
        <w:t>indicts it, warns it about the calamity to come, and incor</w:t>
      </w:r>
      <w:r w:rsidR="00EA58A1">
        <w:t xml:space="preserve">porates another reference to </w:t>
      </w:r>
      <w:r w:rsidR="006D4819">
        <w:t>apparently more recent events.</w:t>
      </w:r>
    </w:p>
    <w:p w:rsidR="00474C95" w:rsidRDefault="00474C95" w:rsidP="002F4EAB">
      <w:pPr>
        <w:rPr>
          <w:b/>
        </w:rPr>
      </w:pPr>
    </w:p>
    <w:p w:rsidR="002F4EAB" w:rsidRDefault="002F4EAB" w:rsidP="002F4EAB">
      <w:r>
        <w:rPr>
          <w:b/>
        </w:rPr>
        <w:t xml:space="preserve">Hosea 10:11-12. </w:t>
      </w:r>
      <w:r w:rsidR="006D4819">
        <w:t xml:space="preserve">In this recollection, Ephraim was a heifer </w:t>
      </w:r>
      <w:r>
        <w:t>used to threshing</w:t>
      </w:r>
      <w:r w:rsidR="00A759AB">
        <w:t xml:space="preserve"> (v. 11)</w:t>
      </w:r>
      <w:r>
        <w:t>, happy to strol</w:t>
      </w:r>
      <w:r w:rsidR="009441E6">
        <w:t xml:space="preserve">l </w:t>
      </w:r>
      <w:r w:rsidR="00EA58A1">
        <w:t>a</w:t>
      </w:r>
      <w:r w:rsidR="009441E6">
        <w:t xml:space="preserve">round and </w:t>
      </w:r>
      <w:r w:rsidR="00EA58A1">
        <w:t>a</w:t>
      </w:r>
      <w:r w:rsidR="009441E6">
        <w:t>round over the wheat</w:t>
      </w:r>
      <w:r>
        <w:t xml:space="preserve"> to break it up, free to eat as it goes (Deut. 25:4; Jer. 50:11). It was teachable and it had the strength of neck to s</w:t>
      </w:r>
      <w:r w:rsidR="00EA58A1">
        <w:t>ustain a yoke and pull a cart. S</w:t>
      </w:r>
      <w:r>
        <w:t>o Yahweh set Ephraim to this task. The sudden add</w:t>
      </w:r>
      <w:r w:rsidR="006D4819">
        <w:t>itional reference to Judah reminds people</w:t>
      </w:r>
      <w:r>
        <w:t xml:space="preserve"> that Judah is as much part of Israel as Ephraim; they are the service team that works for Yahweh (cf. 1:11 [2:1]). W</w:t>
      </w:r>
      <w:r w:rsidR="006D4819">
        <w:t xml:space="preserve">ith Judah and Jacob </w:t>
      </w:r>
      <w:r w:rsidRPr="000331B6">
        <w:t>in parallelism, Jacob will refer to the northern kingdom (cf. Mic. 1:5).</w:t>
      </w:r>
      <w:r>
        <w:t xml:space="preserve"> Plowing is stage one in the preparing of the ground for sowing, the breaking up of the hard earth; harrowing is stage two, the flattening and leveling of the ground (cf. Isa. 28:24). The parallelism im</w:t>
      </w:r>
      <w:r w:rsidR="006D4819">
        <w:t>plies that Judah and Jacob both plow then harrow</w:t>
      </w:r>
      <w:r>
        <w:t>, not that the tasks are divided up.</w:t>
      </w:r>
    </w:p>
    <w:p w:rsidR="002F4EAB" w:rsidRDefault="002F4EAB" w:rsidP="002F4EAB">
      <w:r>
        <w:t>The image stays the same as the rhetoric moves on (v. 12a)</w:t>
      </w:r>
      <w:r w:rsidR="00EA58A1">
        <w:t>.</w:t>
      </w:r>
      <w:r>
        <w:t xml:space="preserve"> Yahweh </w:t>
      </w:r>
      <w:r w:rsidR="00B81F4F">
        <w:t xml:space="preserve">(or Hosea) </w:t>
      </w:r>
      <w:r w:rsidR="00EA58A1">
        <w:t xml:space="preserve">was </w:t>
      </w:r>
      <w:r>
        <w:t>talking abo</w:t>
      </w:r>
      <w:r w:rsidR="00EA58A1">
        <w:t>ut Ephraim and Judah as heifers,</w:t>
      </w:r>
      <w:r>
        <w:t xml:space="preserve"> each in th</w:t>
      </w:r>
      <w:r w:rsidR="00EA58A1">
        <w:t>e third-person singular. N</w:t>
      </w:r>
      <w:r>
        <w:t xml:space="preserve">ow </w:t>
      </w:r>
      <w:r w:rsidR="00B81F4F">
        <w:t>Yahweh</w:t>
      </w:r>
      <w:r w:rsidR="00EA58A1">
        <w:t xml:space="preserve"> (or </w:t>
      </w:r>
      <w:r w:rsidR="00B81F4F">
        <w:t>Hosea) is addressing</w:t>
      </w:r>
      <w:r>
        <w:t xml:space="preserve"> the Ephraimites (and the Judahites?</w:t>
      </w:r>
      <w:r w:rsidR="00B81F4F">
        <w:t>) as the farmers</w:t>
      </w:r>
      <w:r>
        <w:t>, in</w:t>
      </w:r>
      <w:r w:rsidR="00B81F4F">
        <w:t xml:space="preserve"> the second-person plural. Further, t</w:t>
      </w:r>
      <w:r>
        <w:t>he farming process moves o</w:t>
      </w:r>
      <w:r w:rsidR="00B81F4F">
        <w:t xml:space="preserve">n from </w:t>
      </w:r>
      <w:r w:rsidR="006D4819">
        <w:t xml:space="preserve">preparatory </w:t>
      </w:r>
      <w:r>
        <w:t xml:space="preserve">plowing and harrowing to sowing and reaping. In 2:19 [21] (see the </w:t>
      </w:r>
      <w:r w:rsidR="00F14F90">
        <w:t>comments</w:t>
      </w:r>
      <w:r>
        <w:t xml:space="preserve">) faithfulness and commitment were two aspects of the marriage gift that Yahweh promised. There faithfulness was </w:t>
      </w:r>
      <w:r>
        <w:rPr>
          <w:i/>
        </w:rPr>
        <w:t>ședeq</w:t>
      </w:r>
      <w:r>
        <w:t xml:space="preserve">, here it is </w:t>
      </w:r>
      <w:r>
        <w:rPr>
          <w:i/>
        </w:rPr>
        <w:t>șədāqāh</w:t>
      </w:r>
      <w:r w:rsidR="006D4819">
        <w:t>;</w:t>
      </w:r>
      <w:r>
        <w:t xml:space="preserve"> if one can discern a d</w:t>
      </w:r>
      <w:r w:rsidR="006D4819">
        <w:t>ifference between the two</w:t>
      </w:r>
      <w:r>
        <w:t xml:space="preserve">, the former refers more often to Yahweh’s faithfulness, the latter to the faithfulness expected of </w:t>
      </w:r>
      <w:r w:rsidR="006D4819">
        <w:t>Israel. So here</w:t>
      </w:r>
      <w:r>
        <w:t xml:space="preserve"> Yahweh is exhorting his people to sow with a view to producing a crop of faithfulness in its life. Likewise commitment was Yahweh’s expect</w:t>
      </w:r>
      <w:r w:rsidR="006D4819">
        <w:t>ation in 4:1; 6:4, 6, and</w:t>
      </w:r>
      <w:r w:rsidR="00B81F4F">
        <w:t xml:space="preserve"> it is </w:t>
      </w:r>
      <w:r>
        <w:t>t</w:t>
      </w:r>
      <w:r w:rsidR="00EA58A1">
        <w:t xml:space="preserve">he crop Yahweh looks for here. </w:t>
      </w:r>
      <w:r w:rsidR="00B81F4F">
        <w:t>Then a</w:t>
      </w:r>
      <w:r>
        <w:t xml:space="preserve"> third colon follows, surprising in content as well as form. Tilling precedes sowing; it doesn’t follow it. Given that</w:t>
      </w:r>
      <w:r w:rsidR="006D4819">
        <w:t xml:space="preserve"> tillable land is land that hasn’</w:t>
      </w:r>
      <w:r>
        <w:t>t yet been cultivated, tilling is not so different from plowing, though it might be harder and more complicated. But</w:t>
      </w:r>
      <w:r w:rsidR="006D4819">
        <w:t xml:space="preserve"> if Hosea is talking </w:t>
      </w:r>
      <w:r>
        <w:t>about new</w:t>
      </w:r>
      <w:r w:rsidR="006D4819">
        <w:t>, un</w:t>
      </w:r>
      <w:r w:rsidR="006D4819" w:rsidRPr="006D4819">
        <w:t>cultivated</w:t>
      </w:r>
      <w:r w:rsidR="006D4819">
        <w:t xml:space="preserve"> land</w:t>
      </w:r>
      <w:r>
        <w:t xml:space="preserve">, he’s not referring to Israel in his own day but continuing to talk about the time back at the beginning, when Yahweh first put the yoke on Ephraim so it could be ridden. In other words, v. 12 </w:t>
      </w:r>
      <w:r w:rsidR="00B81F4F">
        <w:t xml:space="preserve">continues the recollection in v. 11: it </w:t>
      </w:r>
      <w:r>
        <w:t>comprises the exhortation that went with the action in v. 11.</w:t>
      </w:r>
    </w:p>
    <w:p w:rsidR="002F4EAB" w:rsidRPr="009604FF" w:rsidRDefault="002F4EAB" w:rsidP="002F4EAB">
      <w:r>
        <w:t xml:space="preserve">After the imperatives, at last (v. 12b) we get a more literal description of what Hosea means. Tilling means inquiring of Yahweh </w:t>
      </w:r>
      <w:r w:rsidRPr="000C5181">
        <w:t>(</w:t>
      </w:r>
      <w:r w:rsidRPr="000C5181">
        <w:rPr>
          <w:i/>
        </w:rPr>
        <w:t>dāraš</w:t>
      </w:r>
      <w:r w:rsidRPr="000C5181">
        <w:t>)</w:t>
      </w:r>
      <w:r>
        <w:t>. Only here does Hosea use this verb; he has previously used the related verb “seek help from” (</w:t>
      </w:r>
      <w:r>
        <w:rPr>
          <w:i/>
        </w:rPr>
        <w:t>biqqēš</w:t>
      </w:r>
      <w:r>
        <w:t>; 2:7 [9]; 3:5; 5:6, 15; 7:10), and the less technical term “ask things of” (</w:t>
      </w:r>
      <w:r>
        <w:rPr>
          <w:i/>
        </w:rPr>
        <w:t>šā’al</w:t>
      </w:r>
      <w:r>
        <w:t>;</w:t>
      </w:r>
      <w:r>
        <w:rPr>
          <w:i/>
        </w:rPr>
        <w:t xml:space="preserve"> </w:t>
      </w:r>
      <w:r>
        <w:t>4:12). These expressions have more concrete significance than the traditional E</w:t>
      </w:r>
      <w:r w:rsidR="00B900A5">
        <w:t>nglish expression “see</w:t>
      </w:r>
      <w:r w:rsidR="00EA58A1">
        <w:t>k</w:t>
      </w:r>
      <w:r w:rsidR="00B900A5">
        <w:t xml:space="preserve"> the Lord”;</w:t>
      </w:r>
      <w:r>
        <w:t xml:space="preserve"> they denote turning to Yahweh as the one who must give his people both concr</w:t>
      </w:r>
      <w:r w:rsidR="00B900A5">
        <w:t>ete direction and blessing. F</w:t>
      </w:r>
      <w:r>
        <w:t>ailure to treat Yahweh as</w:t>
      </w:r>
      <w:r w:rsidR="00B900A5">
        <w:t xml:space="preserve"> resource in these connections is w</w:t>
      </w:r>
      <w:r>
        <w:t>hat constitutes whoring. If his people do trea</w:t>
      </w:r>
      <w:r w:rsidR="00B900A5">
        <w:t>t Yahweh as resource, then he’</w:t>
      </w:r>
      <w:r>
        <w:t xml:space="preserve">ll </w:t>
      </w:r>
      <w:r w:rsidR="00B900A5">
        <w:t>show that there’</w:t>
      </w:r>
      <w:r>
        <w:t>ll never be need to as</w:t>
      </w:r>
      <w:r w:rsidR="00B900A5">
        <w:t>k the skeptical question in 10:3b</w:t>
      </w:r>
      <w:r>
        <w:t>. I</w:t>
      </w:r>
      <w:r w:rsidR="00B900A5">
        <w:t xml:space="preserve">n keeping with the imagery running through the passage, </w:t>
      </w:r>
      <w:r w:rsidR="00B900A5">
        <w:lastRenderedPageBreak/>
        <w:t>he’</w:t>
      </w:r>
      <w:r>
        <w:t>ll come and rain faithfulness</w:t>
      </w:r>
      <w:r w:rsidR="00B900A5" w:rsidRPr="00B900A5">
        <w:t xml:space="preserve"> (appropriately, </w:t>
      </w:r>
      <w:r w:rsidR="00B900A5" w:rsidRPr="00B900A5">
        <w:rPr>
          <w:i/>
        </w:rPr>
        <w:t>ședeq</w:t>
      </w:r>
      <w:r w:rsidR="00B900A5" w:rsidRPr="00B900A5">
        <w:t>)</w:t>
      </w:r>
      <w:r>
        <w:t xml:space="preserve">. “Coming” to do so suggests a personal involvement; it recalls the portrayal of God personally </w:t>
      </w:r>
      <w:r w:rsidR="00B900A5">
        <w:t xml:space="preserve">irrigating the land </w:t>
      </w:r>
      <w:r>
        <w:t>and watering the</w:t>
      </w:r>
      <w:r w:rsidR="00B900A5">
        <w:t xml:space="preserve"> mountains from his penthouse</w:t>
      </w:r>
      <w:r>
        <w:t xml:space="preserve"> </w:t>
      </w:r>
      <w:r w:rsidR="00B900A5">
        <w:t>(Pss. 65:9-10 [10-11];</w:t>
      </w:r>
      <w:r>
        <w:t xml:space="preserve"> 104:13</w:t>
      </w:r>
      <w:r w:rsidR="00B900A5">
        <w:t>). He’s not sending; he’s bringing. While rain is necessary to</w:t>
      </w:r>
      <w:r>
        <w:t xml:space="preserve"> the process from </w:t>
      </w:r>
      <w:r w:rsidR="00B900A5">
        <w:t>tilling to harvesting</w:t>
      </w:r>
      <w:r>
        <w:t>, here Hosea is talking a</w:t>
      </w:r>
      <w:r w:rsidR="00EA58A1">
        <w:t>bout a</w:t>
      </w:r>
      <w:r>
        <w:t xml:space="preserve"> faithfulness which will be a response to Israel’s having tilled, sown, and produced a harvest of its own faithfulness and commitment. But the promise might prompt a reconsideration of v. 12a: Israel’s sowing and reaping will be with a view to Yahweh showing his faithfulness and commitment.</w:t>
      </w:r>
    </w:p>
    <w:p w:rsidR="002F4EAB" w:rsidRDefault="002F4EAB" w:rsidP="002F4EAB"/>
    <w:p w:rsidR="00BA6D42" w:rsidRDefault="002F4EAB" w:rsidP="002F4EAB">
      <w:r>
        <w:rPr>
          <w:b/>
        </w:rPr>
        <w:t xml:space="preserve">Hosea 10:13-15. </w:t>
      </w:r>
      <w:r>
        <w:t>Suddenly there’s a switch to critique</w:t>
      </w:r>
      <w:r w:rsidR="00B81F4F">
        <w:t>, confirming the</w:t>
      </w:r>
      <w:r w:rsidR="00B900A5">
        <w:t xml:space="preserve"> inference that v. 12 was not the exhortation </w:t>
      </w:r>
      <w:r>
        <w:t>Yahweh is i</w:t>
      </w:r>
      <w:r w:rsidR="00B81F4F">
        <w:t xml:space="preserve">ssuing now, </w:t>
      </w:r>
      <w:r w:rsidR="00B900A5">
        <w:t xml:space="preserve">which would </w:t>
      </w:r>
      <w:r>
        <w:t>be surprising in light of everything that ha</w:t>
      </w:r>
      <w:r w:rsidR="00B81F4F">
        <w:t>s preceded in the Hosea scroll, but the exhortation Yahweh issued way back.</w:t>
      </w:r>
    </w:p>
    <w:p w:rsidR="002F4EAB" w:rsidRPr="009E1D64" w:rsidRDefault="002F4EAB" w:rsidP="002F4EAB">
      <w:r>
        <w:t>Actually Ephraim has done its plowing</w:t>
      </w:r>
      <w:r w:rsidR="00BA6D42">
        <w:t xml:space="preserve"> (v. 13)</w:t>
      </w:r>
      <w:r>
        <w:t>, and it’s not the kind that the exhortation had in mind. Instead of faithfulness, Ephraim has plowed the opposite (</w:t>
      </w:r>
      <w:r>
        <w:rPr>
          <w:i/>
        </w:rPr>
        <w:t>reša‘</w:t>
      </w:r>
      <w:r>
        <w:t>), failure to do the right thing by God or by other people. It has reaped in the community a harvest of villainy</w:t>
      </w:r>
      <w:r w:rsidR="00C1558C">
        <w:t xml:space="preserve"> or corruption</w:t>
      </w:r>
      <w:r>
        <w:t>. It h</w:t>
      </w:r>
      <w:r w:rsidR="00B81F4F">
        <w:t>as consumed the fruit issuing</w:t>
      </w:r>
      <w:r>
        <w:t xml:space="preserve"> from the deception that has characterized the nation’s politics (7:3) and </w:t>
      </w:r>
      <w:r w:rsidR="00B81F4F">
        <w:t xml:space="preserve">that </w:t>
      </w:r>
      <w:r>
        <w:t xml:space="preserve">thus has an effect on its moral life. </w:t>
      </w:r>
      <w:r w:rsidRPr="004E2762">
        <w:t xml:space="preserve">The words sum up the moral and relational failure </w:t>
      </w:r>
      <w:r>
        <w:t xml:space="preserve">with regard to God and to one another </w:t>
      </w:r>
      <w:r w:rsidRPr="004E2762">
        <w:t>that Hosea has denounced throughout.</w:t>
      </w:r>
      <w:r>
        <w:t xml:space="preserve"> The co</w:t>
      </w:r>
      <w:r w:rsidR="00B81F4F">
        <w:t>ntinuation of the denunciation in v. 13b</w:t>
      </w:r>
      <w:r>
        <w:t xml:space="preserve"> implies that Ephraim’s reliance on its own decision-making and on its human military resources is an expression of the faithlessness, villainy, and deceptiveness of its claim to rely on Yahweh. </w:t>
      </w:r>
      <w:r w:rsidR="009E1D64">
        <w:t xml:space="preserve">“They have therefore </w:t>
      </w:r>
      <w:r w:rsidR="009E1D64" w:rsidRPr="00B81F4F">
        <w:rPr>
          <w:i/>
        </w:rPr>
        <w:t>harvested the fruit</w:t>
      </w:r>
      <w:r w:rsidR="009E1D64">
        <w:t xml:space="preserve"> of iniquity and </w:t>
      </w:r>
      <w:r w:rsidR="009E1D64">
        <w:rPr>
          <w:i/>
        </w:rPr>
        <w:t>eaten fruit that deceives</w:t>
      </w:r>
      <w:r w:rsidR="009E1D64">
        <w:t>; that is, they have had weak and blind hope.”</w:t>
      </w:r>
      <w:r w:rsidR="009E1D64">
        <w:rPr>
          <w:rStyle w:val="FootnoteReference"/>
        </w:rPr>
        <w:footnoteReference w:id="480"/>
      </w:r>
    </w:p>
    <w:p w:rsidR="002F4EAB" w:rsidRPr="00046B3D" w:rsidRDefault="002F4EAB" w:rsidP="002F4EAB">
      <w:r>
        <w:t>Its policy will lead to disaster (v. 14), a</w:t>
      </w:r>
      <w:r w:rsidRPr="0038414A">
        <w:t>s the earlier reference to relying on its o</w:t>
      </w:r>
      <w:r w:rsidR="00DD219C">
        <w:t>wn decision-making said (10:</w:t>
      </w:r>
      <w:r>
        <w:t>6). The boom that will arise will be the sound of an army advancing and/or the sound of the collapsing walls of its fortresses. We can’t identify the event involving Shalman; it might have involved one of the Assyrian kings called Shalmaneser and the town of Arbela in Galilee, or the Moabite king Salamanu and a town across the Jordan (the name of modern Irbid, Jordan’s second city, corresponds to that of Arbela). What we can acknowledge is that such even</w:t>
      </w:r>
      <w:r w:rsidR="00DD219C">
        <w:t xml:space="preserve">ts commonly involve the </w:t>
      </w:r>
      <w:r>
        <w:t>suffering for ordinary people that the last colon refers to (cf. 13:16 [14:1]).</w:t>
      </w:r>
    </w:p>
    <w:p w:rsidR="002F4EAB" w:rsidRPr="002A0F7B" w:rsidRDefault="002F4EAB" w:rsidP="002F4EAB">
      <w:r>
        <w:t>“He has done” (v. 15) is perfect of certainty, denoting something that has happened in Yahweh’s intent and in Hosea’s vision (cf. LXX’s future verb in v. 15a, though not in v. 15b)—unless v. 15 is a note from after the calamity has happened. As people listened to Hose</w:t>
      </w:r>
      <w:r w:rsidR="00DD219C">
        <w:t>a they would be wondering about</w:t>
      </w:r>
      <w:r>
        <w:t xml:space="preserve"> the verb’s subject: who is it who has done it? Is it Yahweh? Is it Beth</w:t>
      </w:r>
      <w:r w:rsidR="00DD219C">
        <w:t>-</w:t>
      </w:r>
      <w:r>
        <w:t xml:space="preserve">el itself, as the cause of the calamity? </w:t>
      </w:r>
      <w:r w:rsidR="0004269A">
        <w:t>Is the subject impersonal (“Exactly</w:t>
      </w:r>
      <w:r>
        <w:t xml:space="preserve"> this they have done to you”</w:t>
      </w:r>
      <w:r w:rsidR="00983B46">
        <w:t>—cf. GK 144d</w:t>
      </w:r>
      <w:r>
        <w:t>)? Eve</w:t>
      </w:r>
      <w:r w:rsidR="00DD219C">
        <w:t>ntually the answer emerges when</w:t>
      </w:r>
      <w:r>
        <w:t xml:space="preserve"> the subject of the entire verse comes at the very end. It is the king of Israel who is responsible. Is this simply the current king? Or does Hosea refer to the first king of Ephraim, Jeroboam, who sealed Beth</w:t>
      </w:r>
      <w:r w:rsidR="00DD219C">
        <w:t>-</w:t>
      </w:r>
      <w:r>
        <w:t>el’s ultimate fate and brought on it an end as terrible as that of Bet Arbel, by making Beth</w:t>
      </w:r>
      <w:r w:rsidR="00DD219C">
        <w:t>-</w:t>
      </w:r>
      <w:r>
        <w:t>el one of his new kingdom’s national sanctuaries and turning it into a place of deep apostasy? Or does “the king of Israel” refer to the Ephraimite monarchy as a whole? Daybreak is often the moment for commencing battle and the moment when you might therefore hope for Yahweh’s great act of deliverance (Josh. 6:15;</w:t>
      </w:r>
      <w:r w:rsidRPr="003C77CA">
        <w:t xml:space="preserve"> </w:t>
      </w:r>
      <w:r>
        <w:t>Ps. 46:5 [6]). This dawn will be the reverse.</w:t>
      </w:r>
    </w:p>
    <w:p w:rsidR="002F4EAB" w:rsidRDefault="002F4EAB" w:rsidP="001D3546">
      <w:pPr>
        <w:pStyle w:val="Heading2"/>
      </w:pPr>
      <w:r>
        <w:t>Theological Implications</w:t>
      </w:r>
    </w:p>
    <w:p w:rsidR="00DD219C" w:rsidRDefault="002F4EAB" w:rsidP="009652A7">
      <w:pPr>
        <w:pStyle w:val="ListParagraph"/>
        <w:numPr>
          <w:ilvl w:val="0"/>
          <w:numId w:val="14"/>
        </w:numPr>
        <w:autoSpaceDE w:val="0"/>
        <w:autoSpaceDN w:val="0"/>
        <w:adjustRightInd w:val="0"/>
        <w:ind w:left="360"/>
        <w:rPr>
          <w:rFonts w:asciiTheme="minorHAnsi" w:eastAsiaTheme="minorHAnsi" w:hAnsiTheme="minorHAnsi" w:cs="Times-Roman"/>
          <w:szCs w:val="22"/>
        </w:rPr>
      </w:pPr>
      <w:r w:rsidRPr="0043253D">
        <w:rPr>
          <w:rFonts w:asciiTheme="minorHAnsi" w:hAnsiTheme="minorHAnsi"/>
          <w:szCs w:val="22"/>
        </w:rPr>
        <w:t xml:space="preserve">The image of breaking up your unbroken (fallow) ground </w:t>
      </w:r>
      <w:r>
        <w:rPr>
          <w:rFonts w:asciiTheme="minorHAnsi" w:hAnsiTheme="minorHAnsi"/>
          <w:szCs w:val="22"/>
        </w:rPr>
        <w:t xml:space="preserve">(v. 12) </w:t>
      </w:r>
      <w:r w:rsidRPr="0043253D">
        <w:rPr>
          <w:rFonts w:asciiTheme="minorHAnsi" w:hAnsiTheme="minorHAnsi"/>
          <w:szCs w:val="22"/>
        </w:rPr>
        <w:t>was key to Charles G. Finney’s teaching about revival, and specifically to promoting a revival.</w:t>
      </w:r>
      <w:r w:rsidRPr="0043253D">
        <w:rPr>
          <w:rStyle w:val="FootnoteReference"/>
          <w:rFonts w:asciiTheme="minorHAnsi" w:hAnsiTheme="minorHAnsi"/>
          <w:szCs w:val="22"/>
        </w:rPr>
        <w:footnoteReference w:id="481"/>
      </w:r>
      <w:r w:rsidRPr="0043253D">
        <w:rPr>
          <w:rFonts w:asciiTheme="minorHAnsi" w:hAnsiTheme="minorHAnsi"/>
          <w:szCs w:val="22"/>
        </w:rPr>
        <w:t xml:space="preserve"> </w:t>
      </w:r>
      <w:r w:rsidRPr="0043253D">
        <w:rPr>
          <w:rFonts w:asciiTheme="minorHAnsi" w:eastAsiaTheme="minorHAnsi" w:hAnsiTheme="minorHAnsi" w:cs="Times-Roman"/>
          <w:szCs w:val="22"/>
        </w:rPr>
        <w:t>To break up the fallow ground is to break up your hearts, to prepare your minds to bring forth fruit unto God. It involves self-</w:t>
      </w:r>
      <w:r w:rsidRPr="0043253D">
        <w:rPr>
          <w:rFonts w:asciiTheme="minorHAnsi" w:eastAsiaTheme="minorHAnsi" w:hAnsiTheme="minorHAnsi" w:cs="Times-Roman"/>
          <w:szCs w:val="22"/>
        </w:rPr>
        <w:lastRenderedPageBreak/>
        <w:t>examination in order to identify where one’s shortcomings lie: for instance, in ingratitude to God, or want of love for God, or neglect of the Bible, or neglect of social duties, or envy, or cheating. The results will be just as certain as they are when a farmer breaks up a fall</w:t>
      </w:r>
      <w:r>
        <w:rPr>
          <w:rFonts w:asciiTheme="minorHAnsi" w:eastAsiaTheme="minorHAnsi" w:hAnsiTheme="minorHAnsi" w:cs="Times-Roman"/>
          <w:szCs w:val="22"/>
        </w:rPr>
        <w:t>ow field, and fertilizes it, and so</w:t>
      </w:r>
      <w:r w:rsidR="009441E6">
        <w:rPr>
          <w:rFonts w:asciiTheme="minorHAnsi" w:eastAsiaTheme="minorHAnsi" w:hAnsiTheme="minorHAnsi" w:cs="Times-Roman"/>
          <w:szCs w:val="22"/>
        </w:rPr>
        <w:t>ws his wheat</w:t>
      </w:r>
      <w:r w:rsidRPr="0043253D">
        <w:rPr>
          <w:rFonts w:asciiTheme="minorHAnsi" w:eastAsiaTheme="minorHAnsi" w:hAnsiTheme="minorHAnsi" w:cs="Times-Roman"/>
          <w:szCs w:val="22"/>
        </w:rPr>
        <w:t>.</w:t>
      </w:r>
      <w:r w:rsidR="0004269A">
        <w:rPr>
          <w:rFonts w:asciiTheme="minorHAnsi" w:eastAsiaTheme="minorHAnsi" w:hAnsiTheme="minorHAnsi" w:cs="Times-Roman"/>
          <w:szCs w:val="22"/>
        </w:rPr>
        <w:t xml:space="preserve"> Whereas</w:t>
      </w:r>
      <w:r w:rsidR="00376325">
        <w:rPr>
          <w:rFonts w:asciiTheme="minorHAnsi" w:eastAsiaTheme="minorHAnsi" w:hAnsiTheme="minorHAnsi" w:cs="Times-Roman"/>
          <w:szCs w:val="22"/>
        </w:rPr>
        <w:t xml:space="preserve"> </w:t>
      </w:r>
      <w:r w:rsidR="0004269A">
        <w:rPr>
          <w:rFonts w:asciiTheme="minorHAnsi" w:eastAsiaTheme="minorHAnsi" w:hAnsiTheme="minorHAnsi" w:cs="Times-Roman"/>
          <w:szCs w:val="22"/>
        </w:rPr>
        <w:t xml:space="preserve">the word for </w:t>
      </w:r>
      <w:r w:rsidR="00376325">
        <w:rPr>
          <w:rFonts w:asciiTheme="minorHAnsi" w:eastAsiaTheme="minorHAnsi" w:hAnsiTheme="minorHAnsi" w:cs="Times-Roman"/>
          <w:szCs w:val="22"/>
        </w:rPr>
        <w:t>“fa</w:t>
      </w:r>
      <w:r w:rsidR="0004269A">
        <w:rPr>
          <w:rFonts w:asciiTheme="minorHAnsi" w:eastAsiaTheme="minorHAnsi" w:hAnsiTheme="minorHAnsi" w:cs="Times-Roman"/>
          <w:szCs w:val="22"/>
        </w:rPr>
        <w:t>llow ground” (as KJV translates it) is</w:t>
      </w:r>
      <w:r>
        <w:rPr>
          <w:rFonts w:asciiTheme="minorHAnsi" w:eastAsiaTheme="minorHAnsi" w:hAnsiTheme="minorHAnsi" w:cs="Times-Roman"/>
          <w:szCs w:val="22"/>
        </w:rPr>
        <w:t xml:space="preserve"> </w:t>
      </w:r>
      <w:r w:rsidR="0004269A">
        <w:rPr>
          <w:rFonts w:asciiTheme="minorHAnsi" w:eastAsiaTheme="minorHAnsi" w:hAnsiTheme="minorHAnsi" w:cs="Times-Roman"/>
          <w:szCs w:val="22"/>
        </w:rPr>
        <w:t xml:space="preserve">actually </w:t>
      </w:r>
      <w:r>
        <w:rPr>
          <w:rFonts w:asciiTheme="minorHAnsi" w:eastAsiaTheme="minorHAnsi" w:hAnsiTheme="minorHAnsi" w:cs="Times-Roman"/>
          <w:szCs w:val="22"/>
        </w:rPr>
        <w:t>not land that was cultivat</w:t>
      </w:r>
      <w:r w:rsidR="0004269A">
        <w:rPr>
          <w:rFonts w:asciiTheme="minorHAnsi" w:eastAsiaTheme="minorHAnsi" w:hAnsiTheme="minorHAnsi" w:cs="Times-Roman"/>
          <w:szCs w:val="22"/>
        </w:rPr>
        <w:t xml:space="preserve">ed but then abandoned to nature but </w:t>
      </w:r>
      <w:r>
        <w:rPr>
          <w:rFonts w:asciiTheme="minorHAnsi" w:eastAsiaTheme="minorHAnsi" w:hAnsiTheme="minorHAnsi" w:cs="Times-Roman"/>
          <w:szCs w:val="22"/>
        </w:rPr>
        <w:t>land that</w:t>
      </w:r>
      <w:r w:rsidR="0004269A">
        <w:rPr>
          <w:rFonts w:asciiTheme="minorHAnsi" w:eastAsiaTheme="minorHAnsi" w:hAnsiTheme="minorHAnsi" w:cs="Times-Roman"/>
          <w:szCs w:val="22"/>
        </w:rPr>
        <w:t xml:space="preserve"> has never been cultivated, Finney’s allegory refers to that first</w:t>
      </w:r>
      <w:r>
        <w:rPr>
          <w:rFonts w:asciiTheme="minorHAnsi" w:eastAsiaTheme="minorHAnsi" w:hAnsiTheme="minorHAnsi" w:cs="Times-Roman"/>
          <w:szCs w:val="22"/>
        </w:rPr>
        <w:t xml:space="preserve"> kind of land, which Hosea is indeed concerned about.</w:t>
      </w:r>
    </w:p>
    <w:p w:rsidR="002F4EAB" w:rsidRPr="00DD219C" w:rsidRDefault="0004269A" w:rsidP="009652A7">
      <w:pPr>
        <w:pStyle w:val="ListParagraph"/>
        <w:numPr>
          <w:ilvl w:val="0"/>
          <w:numId w:val="14"/>
        </w:numPr>
        <w:autoSpaceDE w:val="0"/>
        <w:autoSpaceDN w:val="0"/>
        <w:adjustRightInd w:val="0"/>
        <w:ind w:left="360"/>
        <w:rPr>
          <w:rFonts w:asciiTheme="minorHAnsi" w:eastAsiaTheme="minorHAnsi" w:hAnsiTheme="minorHAnsi" w:cs="Times-Roman"/>
          <w:szCs w:val="22"/>
        </w:rPr>
      </w:pPr>
      <w:r>
        <w:rPr>
          <w:rFonts w:asciiTheme="minorHAnsi" w:eastAsiaTheme="minorHAnsi" w:hAnsiTheme="minorHAnsi" w:cs="Times-Roman"/>
          <w:szCs w:val="22"/>
        </w:rPr>
        <w:t xml:space="preserve">Paul, in the context of his </w:t>
      </w:r>
      <w:r w:rsidR="002F4EAB" w:rsidRPr="00DD219C">
        <w:rPr>
          <w:rFonts w:asciiTheme="minorHAnsi" w:eastAsiaTheme="minorHAnsi" w:hAnsiTheme="minorHAnsi" w:cs="Times-Roman"/>
          <w:szCs w:val="22"/>
        </w:rPr>
        <w:t>exposition of the so</w:t>
      </w:r>
      <w:r>
        <w:rPr>
          <w:rFonts w:asciiTheme="minorHAnsi" w:eastAsiaTheme="minorHAnsi" w:hAnsiTheme="minorHAnsi" w:cs="Times-Roman"/>
          <w:szCs w:val="22"/>
        </w:rPr>
        <w:t xml:space="preserve">wing and reaping metaphor, </w:t>
      </w:r>
      <w:r w:rsidR="002F4EAB" w:rsidRPr="00DD219C">
        <w:rPr>
          <w:rFonts w:asciiTheme="minorHAnsi" w:eastAsiaTheme="minorHAnsi" w:hAnsiTheme="minorHAnsi" w:cs="Times-Roman"/>
          <w:szCs w:val="22"/>
        </w:rPr>
        <w:t>takes up the promise that God will rain faithfulness (v. 12, in the LXX version) to declare that God will increase the harvest of the Corinthians’ righteousness/faithfulness</w:t>
      </w:r>
      <w:r w:rsidR="00DD219C">
        <w:rPr>
          <w:rFonts w:asciiTheme="minorHAnsi" w:eastAsiaTheme="minorHAnsi" w:hAnsiTheme="minorHAnsi" w:cs="Times-Roman"/>
          <w:szCs w:val="22"/>
        </w:rPr>
        <w:t xml:space="preserve"> (2 Cor. 9:10). In effect</w:t>
      </w:r>
      <w:r w:rsidR="002F4EAB" w:rsidRPr="00DD219C">
        <w:rPr>
          <w:rFonts w:asciiTheme="minorHAnsi" w:eastAsiaTheme="minorHAnsi" w:hAnsiTheme="minorHAnsi" w:cs="Times-Roman"/>
          <w:szCs w:val="22"/>
        </w:rPr>
        <w:t xml:space="preserve"> he reaffirms to the chu</w:t>
      </w:r>
      <w:r w:rsidR="002F2D02">
        <w:rPr>
          <w:rFonts w:asciiTheme="minorHAnsi" w:eastAsiaTheme="minorHAnsi" w:hAnsiTheme="minorHAnsi" w:cs="Times-Roman"/>
          <w:szCs w:val="22"/>
        </w:rPr>
        <w:t>rch God</w:t>
      </w:r>
      <w:r w:rsidR="00DD219C">
        <w:rPr>
          <w:rFonts w:asciiTheme="minorHAnsi" w:eastAsiaTheme="minorHAnsi" w:hAnsiTheme="minorHAnsi" w:cs="Times-Roman"/>
          <w:szCs w:val="22"/>
        </w:rPr>
        <w:t xml:space="preserve">’s commission and </w:t>
      </w:r>
      <w:r w:rsidR="002F4EAB" w:rsidRPr="00DD219C">
        <w:rPr>
          <w:rFonts w:asciiTheme="minorHAnsi" w:eastAsiaTheme="minorHAnsi" w:hAnsiTheme="minorHAnsi" w:cs="Times-Roman"/>
          <w:szCs w:val="22"/>
        </w:rPr>
        <w:t xml:space="preserve">promise to Israel. Taking up both the ideas of teaching and of raining righteousness/faithfulness, Jerome takes it to refer </w:t>
      </w:r>
      <w:r w:rsidR="00DD219C">
        <w:rPr>
          <w:rFonts w:asciiTheme="minorHAnsi" w:eastAsiaTheme="minorHAnsi" w:hAnsiTheme="minorHAnsi" w:cs="Times-Roman"/>
          <w:szCs w:val="22"/>
        </w:rPr>
        <w:t>to Jesus, comparing Romans 10:4</w:t>
      </w:r>
      <w:r w:rsidR="002F4EAB" w:rsidRPr="00DD219C">
        <w:rPr>
          <w:rFonts w:asciiTheme="minorHAnsi" w:eastAsiaTheme="minorHAnsi" w:hAnsiTheme="minorHAnsi" w:cs="Times-Roman"/>
          <w:szCs w:val="22"/>
        </w:rPr>
        <w:t>.</w:t>
      </w:r>
      <w:r w:rsidR="002F4EAB">
        <w:rPr>
          <w:rStyle w:val="FootnoteReference"/>
          <w:rFonts w:asciiTheme="minorHAnsi" w:eastAsiaTheme="minorHAnsi" w:hAnsiTheme="minorHAnsi" w:cs="Times-Roman"/>
          <w:szCs w:val="22"/>
        </w:rPr>
        <w:footnoteReference w:id="482"/>
      </w:r>
      <w:r w:rsidR="002F4EAB" w:rsidRPr="00DD219C">
        <w:rPr>
          <w:rFonts w:asciiTheme="minorHAnsi" w:eastAsiaTheme="minorHAnsi" w:hAnsiTheme="minorHAnsi" w:cs="Times-Roman"/>
          <w:szCs w:val="22"/>
        </w:rPr>
        <w:t xml:space="preserve"> He thus looks at the imagery</w:t>
      </w:r>
      <w:r>
        <w:rPr>
          <w:rFonts w:asciiTheme="minorHAnsi" w:eastAsiaTheme="minorHAnsi" w:hAnsiTheme="minorHAnsi" w:cs="Times-Roman"/>
          <w:szCs w:val="22"/>
        </w:rPr>
        <w:t xml:space="preserve"> from the perspective of Israel’</w:t>
      </w:r>
      <w:r w:rsidR="002F4EAB" w:rsidRPr="00DD219C">
        <w:rPr>
          <w:rFonts w:asciiTheme="minorHAnsi" w:eastAsiaTheme="minorHAnsi" w:hAnsiTheme="minorHAnsi" w:cs="Times-Roman"/>
          <w:szCs w:val="22"/>
        </w:rPr>
        <w:t xml:space="preserve">s </w:t>
      </w:r>
      <w:r>
        <w:rPr>
          <w:rFonts w:asciiTheme="minorHAnsi" w:eastAsiaTheme="minorHAnsi" w:hAnsiTheme="minorHAnsi" w:cs="Times-Roman"/>
          <w:szCs w:val="22"/>
        </w:rPr>
        <w:t xml:space="preserve">having </w:t>
      </w:r>
      <w:r w:rsidR="002F4EAB" w:rsidRPr="00DD219C">
        <w:rPr>
          <w:rFonts w:asciiTheme="minorHAnsi" w:eastAsiaTheme="minorHAnsi" w:hAnsiTheme="minorHAnsi" w:cs="Times-Roman"/>
          <w:szCs w:val="22"/>
        </w:rPr>
        <w:t>failed to i</w:t>
      </w:r>
      <w:r>
        <w:rPr>
          <w:rFonts w:asciiTheme="minorHAnsi" w:eastAsiaTheme="minorHAnsi" w:hAnsiTheme="minorHAnsi" w:cs="Times-Roman"/>
          <w:szCs w:val="22"/>
        </w:rPr>
        <w:t>mplement its commission</w:t>
      </w:r>
      <w:r w:rsidR="00DD219C">
        <w:rPr>
          <w:rFonts w:asciiTheme="minorHAnsi" w:eastAsiaTheme="minorHAnsi" w:hAnsiTheme="minorHAnsi" w:cs="Times-Roman"/>
          <w:szCs w:val="22"/>
        </w:rPr>
        <w:t xml:space="preserve"> </w:t>
      </w:r>
      <w:r w:rsidR="002F4EAB" w:rsidRPr="00DD219C">
        <w:rPr>
          <w:rFonts w:asciiTheme="minorHAnsi" w:eastAsiaTheme="minorHAnsi" w:hAnsiTheme="minorHAnsi" w:cs="Times-Roman"/>
          <w:szCs w:val="22"/>
        </w:rPr>
        <w:t>failed to produce the fruit. Putting together these two applications of the phrase suggests how the just requirement of the Torah (which Israel didn’t fulfill) is fulfilled in those who live not according to the lower nature but according to the Spirit (Rom. 8:4).</w:t>
      </w:r>
    </w:p>
    <w:p w:rsidR="00B824CA" w:rsidRDefault="00FB1CE7" w:rsidP="00EF7B98">
      <w:pPr>
        <w:pStyle w:val="Heading1"/>
        <w:rPr>
          <w:rFonts w:eastAsiaTheme="minorHAnsi"/>
        </w:rPr>
      </w:pPr>
      <w:r>
        <w:rPr>
          <w:rFonts w:eastAsiaTheme="minorHAnsi"/>
        </w:rPr>
        <w:t>Hosea 11:</w:t>
      </w:r>
      <w:r w:rsidR="004C57CD">
        <w:rPr>
          <w:rFonts w:eastAsiaTheme="minorHAnsi"/>
        </w:rPr>
        <w:t>1—1</w:t>
      </w:r>
      <w:r>
        <w:rPr>
          <w:rFonts w:eastAsiaTheme="minorHAnsi"/>
        </w:rPr>
        <w:t>2:</w:t>
      </w:r>
      <w:r w:rsidR="00C05B7A">
        <w:rPr>
          <w:rFonts w:eastAsiaTheme="minorHAnsi"/>
        </w:rPr>
        <w:t>1</w:t>
      </w:r>
      <w:r w:rsidR="00DE6D65">
        <w:rPr>
          <w:rFonts w:eastAsiaTheme="minorHAnsi"/>
        </w:rPr>
        <w:t xml:space="preserve"> [2]</w:t>
      </w:r>
      <w:r w:rsidR="002F4EAB">
        <w:rPr>
          <w:rFonts w:eastAsiaTheme="minorHAnsi"/>
        </w:rPr>
        <w:t xml:space="preserve">: </w:t>
      </w:r>
      <w:r w:rsidR="00606F07">
        <w:rPr>
          <w:rFonts w:eastAsiaTheme="minorHAnsi"/>
        </w:rPr>
        <w:t xml:space="preserve">Unhappy </w:t>
      </w:r>
      <w:r w:rsidR="00DB7F0E">
        <w:rPr>
          <w:rFonts w:eastAsiaTheme="minorHAnsi"/>
        </w:rPr>
        <w:t>Recollections—</w:t>
      </w:r>
      <w:r w:rsidR="002F4EAB">
        <w:rPr>
          <w:rFonts w:eastAsiaTheme="minorHAnsi"/>
        </w:rPr>
        <w:t>The Son</w:t>
      </w:r>
    </w:p>
    <w:p w:rsidR="00B824CA" w:rsidRDefault="00B824CA" w:rsidP="001D3546">
      <w:pPr>
        <w:pStyle w:val="Heading2"/>
      </w:pPr>
      <w:r>
        <w:t>Translation</w:t>
      </w:r>
    </w:p>
    <w:p w:rsidR="00CE32C1" w:rsidRDefault="00B824CA" w:rsidP="00B824CA">
      <w:r>
        <w:rPr>
          <w:vertAlign w:val="superscript"/>
        </w:rPr>
        <w:t>1</w:t>
      </w:r>
      <w:r>
        <w:t>When</w:t>
      </w:r>
      <w:r w:rsidR="00C54572">
        <w:rPr>
          <w:rStyle w:val="FootnoteReference"/>
        </w:rPr>
        <w:footnoteReference w:id="483"/>
      </w:r>
      <w:r>
        <w:t xml:space="preserve"> </w:t>
      </w:r>
      <w:r w:rsidRPr="00B824CA">
        <w:t>Yiśrā’ēl</w:t>
      </w:r>
      <w:r>
        <w:t xml:space="preserve"> wa</w:t>
      </w:r>
      <w:r w:rsidRPr="00B824CA">
        <w:t>s</w:t>
      </w:r>
      <w:r w:rsidR="00217FCF">
        <w:t xml:space="preserve"> a boy, I loved</w:t>
      </w:r>
      <w:r>
        <w:t xml:space="preserve"> him,</w:t>
      </w:r>
      <w:r w:rsidR="00457D98">
        <w:rPr>
          <w:rStyle w:val="FootnoteReference"/>
        </w:rPr>
        <w:footnoteReference w:id="484"/>
      </w:r>
      <w:r>
        <w:t xml:space="preserve"> </w:t>
      </w:r>
    </w:p>
    <w:p w:rsidR="00B824CA" w:rsidRDefault="00CE32C1" w:rsidP="00B824CA">
      <w:r>
        <w:tab/>
      </w:r>
      <w:r w:rsidR="002476BB">
        <w:t>and from</w:t>
      </w:r>
      <w:r w:rsidR="002476BB">
        <w:rPr>
          <w:rStyle w:val="FootnoteReference"/>
        </w:rPr>
        <w:footnoteReference w:id="485"/>
      </w:r>
      <w:r w:rsidR="00B824CA">
        <w:t xml:space="preserve"> </w:t>
      </w:r>
      <w:r w:rsidR="001348C3">
        <w:t>Mișrayim I called</w:t>
      </w:r>
      <w:r w:rsidR="00F63C17" w:rsidRPr="00F63C17">
        <w:rPr>
          <w:vertAlign w:val="superscript"/>
        </w:rPr>
        <w:footnoteReference w:id="486"/>
      </w:r>
      <w:r w:rsidR="001348C3">
        <w:t xml:space="preserve"> to </w:t>
      </w:r>
      <w:r>
        <w:t>my son.</w:t>
      </w:r>
      <w:r w:rsidR="00F63C17">
        <w:rPr>
          <w:rStyle w:val="FootnoteReference"/>
        </w:rPr>
        <w:footnoteReference w:id="487"/>
      </w:r>
    </w:p>
    <w:p w:rsidR="00CE32C1" w:rsidRDefault="00CE32C1" w:rsidP="00B824CA">
      <w:r>
        <w:rPr>
          <w:vertAlign w:val="superscript"/>
        </w:rPr>
        <w:t>2</w:t>
      </w:r>
      <w:r w:rsidR="00883FAF">
        <w:t>T</w:t>
      </w:r>
      <w:r w:rsidR="00B63C66">
        <w:t>hey</w:t>
      </w:r>
      <w:r w:rsidR="00A12FB6">
        <w:t>’</w:t>
      </w:r>
      <w:r w:rsidR="006D4BAC">
        <w:t>ve</w:t>
      </w:r>
      <w:r w:rsidR="00A12FB6" w:rsidRPr="00A12FB6">
        <w:rPr>
          <w:vertAlign w:val="superscript"/>
        </w:rPr>
        <w:footnoteReference w:id="488"/>
      </w:r>
      <w:r w:rsidR="006D4BAC">
        <w:t xml:space="preserve"> </w:t>
      </w:r>
      <w:r w:rsidR="00B63C66">
        <w:t>called to them</w:t>
      </w:r>
      <w:r w:rsidR="00F80AD1">
        <w:t>,</w:t>
      </w:r>
    </w:p>
    <w:p w:rsidR="00CE32C1" w:rsidRDefault="00CE32C1" w:rsidP="00B824CA">
      <w:r>
        <w:tab/>
      </w:r>
      <w:r w:rsidR="00883FAF">
        <w:t xml:space="preserve">though </w:t>
      </w:r>
      <w:r w:rsidR="00A12FB6">
        <w:t>they’</w:t>
      </w:r>
      <w:r w:rsidR="005C45DE">
        <w:t xml:space="preserve">d thus gone </w:t>
      </w:r>
      <w:r w:rsidR="00F80AD1">
        <w:t>from before them—</w:t>
      </w:r>
    </w:p>
    <w:p w:rsidR="00CE32C1" w:rsidRDefault="00A12FB6" w:rsidP="00B824CA">
      <w:r>
        <w:t>It’</w:t>
      </w:r>
      <w:r w:rsidR="00883FAF">
        <w:t>s to the Masters</w:t>
      </w:r>
      <w:r w:rsidR="00F80AD1">
        <w:t xml:space="preserve"> </w:t>
      </w:r>
      <w:r w:rsidR="00883FAF">
        <w:t xml:space="preserve">that </w:t>
      </w:r>
      <w:r w:rsidR="00F80AD1">
        <w:t xml:space="preserve">they </w:t>
      </w:r>
      <w:r w:rsidR="00883FAF">
        <w:t>sacrifice</w:t>
      </w:r>
      <w:r w:rsidR="00CE32C1">
        <w:t xml:space="preserve">, </w:t>
      </w:r>
    </w:p>
    <w:p w:rsidR="00CE32C1" w:rsidRDefault="00CE32C1" w:rsidP="00B824CA">
      <w:r>
        <w:tab/>
        <w:t>a</w:t>
      </w:r>
      <w:r w:rsidR="00CF119E">
        <w:t>nd to carved sculptures</w:t>
      </w:r>
      <w:r w:rsidR="00883FAF" w:rsidRPr="00883FAF">
        <w:rPr>
          <w:vertAlign w:val="superscript"/>
        </w:rPr>
        <w:footnoteReference w:id="489"/>
      </w:r>
      <w:r w:rsidR="00883FAF">
        <w:t xml:space="preserve"> that they </w:t>
      </w:r>
      <w:r w:rsidR="00883FAF" w:rsidRPr="00883FAF">
        <w:t>burn incense</w:t>
      </w:r>
      <w:r>
        <w:t>.</w:t>
      </w:r>
    </w:p>
    <w:p w:rsidR="00DA33A5" w:rsidRDefault="00DA33A5" w:rsidP="00B824CA"/>
    <w:p w:rsidR="00CE32C1" w:rsidRDefault="00CE32C1" w:rsidP="00B824CA">
      <w:r>
        <w:rPr>
          <w:vertAlign w:val="superscript"/>
        </w:rPr>
        <w:t>3</w:t>
      </w:r>
      <w:r w:rsidR="00883FAF">
        <w:t>And</w:t>
      </w:r>
      <w:r w:rsidR="006C1C82">
        <w:t xml:space="preserve"> I was the one who</w:t>
      </w:r>
      <w:r>
        <w:t xml:space="preserve"> put </w:t>
      </w:r>
      <w:r w:rsidRPr="00CE32C1">
        <w:t>’Eprayim</w:t>
      </w:r>
      <w:r w:rsidR="00652743">
        <w:t xml:space="preserve"> on his feet—</w:t>
      </w:r>
      <w:r w:rsidR="00252FD5">
        <w:rPr>
          <w:rStyle w:val="FootnoteReference"/>
        </w:rPr>
        <w:footnoteReference w:id="490"/>
      </w:r>
      <w:r>
        <w:t xml:space="preserve"> </w:t>
      </w:r>
    </w:p>
    <w:p w:rsidR="00CE32C1" w:rsidRDefault="006D69FF" w:rsidP="00B824CA">
      <w:r>
        <w:tab/>
      </w:r>
      <w:r w:rsidR="00252FD5">
        <w:t xml:space="preserve">in </w:t>
      </w:r>
      <w:r>
        <w:t>taking them</w:t>
      </w:r>
      <w:r w:rsidR="00652743">
        <w:t xml:space="preserve"> </w:t>
      </w:r>
      <w:r w:rsidR="007E634C">
        <w:t>upon</w:t>
      </w:r>
      <w:r>
        <w:t xml:space="preserve"> hi</w:t>
      </w:r>
      <w:r w:rsidR="00CE32C1">
        <w:t>s arms.</w:t>
      </w:r>
      <w:r>
        <w:rPr>
          <w:rStyle w:val="FootnoteReference"/>
        </w:rPr>
        <w:footnoteReference w:id="491"/>
      </w:r>
    </w:p>
    <w:p w:rsidR="00CE32C1" w:rsidRDefault="00342897" w:rsidP="00B824CA">
      <w:r>
        <w:lastRenderedPageBreak/>
        <w:t>But they didn’</w:t>
      </w:r>
      <w:r w:rsidR="00CE32C1">
        <w:t xml:space="preserve">t acknowledge </w:t>
      </w:r>
    </w:p>
    <w:p w:rsidR="00CE32C1" w:rsidRDefault="00CE32C1" w:rsidP="00B824CA">
      <w:r>
        <w:tab/>
        <w:t>that I healed them.</w:t>
      </w:r>
      <w:r w:rsidR="006C1C82">
        <w:rPr>
          <w:rStyle w:val="FootnoteReference"/>
        </w:rPr>
        <w:footnoteReference w:id="492"/>
      </w:r>
    </w:p>
    <w:p w:rsidR="00CE32C1" w:rsidRDefault="00CE32C1" w:rsidP="00B824CA">
      <w:r>
        <w:rPr>
          <w:vertAlign w:val="superscript"/>
        </w:rPr>
        <w:t>4</w:t>
      </w:r>
      <w:r w:rsidR="00303E09">
        <w:t>With human cords</w:t>
      </w:r>
      <w:r w:rsidR="000F4A69">
        <w:rPr>
          <w:rStyle w:val="FootnoteReference"/>
        </w:rPr>
        <w:footnoteReference w:id="493"/>
      </w:r>
      <w:r w:rsidR="00883FAF">
        <w:t xml:space="preserve"> I would</w:t>
      </w:r>
      <w:r w:rsidR="00F75C88">
        <w:t xml:space="preserve"> draw</w:t>
      </w:r>
      <w:r>
        <w:t xml:space="preserve"> them, </w:t>
      </w:r>
    </w:p>
    <w:p w:rsidR="00CE32C1" w:rsidRDefault="00303E09" w:rsidP="00B824CA">
      <w:r>
        <w:tab/>
        <w:t>with loving ropes</w:t>
      </w:r>
      <w:r w:rsidR="00CE32C1">
        <w:t>.</w:t>
      </w:r>
    </w:p>
    <w:p w:rsidR="00CE32C1" w:rsidRDefault="00496A18" w:rsidP="00B824CA">
      <w:r>
        <w:t>I became for</w:t>
      </w:r>
      <w:r w:rsidR="00CE32C1">
        <w:t xml:space="preserve"> them </w:t>
      </w:r>
    </w:p>
    <w:p w:rsidR="00CE32C1" w:rsidRDefault="00E9747A" w:rsidP="00B824CA">
      <w:r>
        <w:tab/>
        <w:t>like people lift</w:t>
      </w:r>
      <w:r w:rsidR="00CE32C1">
        <w:t>ing</w:t>
      </w:r>
      <w:r w:rsidR="000F4A69">
        <w:rPr>
          <w:rStyle w:val="FootnoteReference"/>
        </w:rPr>
        <w:footnoteReference w:id="494"/>
      </w:r>
      <w:r w:rsidR="00CE32C1">
        <w:t xml:space="preserve"> a yoke</w:t>
      </w:r>
      <w:r w:rsidR="000F4A69">
        <w:rPr>
          <w:rStyle w:val="FootnoteReference"/>
        </w:rPr>
        <w:footnoteReference w:id="495"/>
      </w:r>
      <w:r w:rsidR="00CE32C1">
        <w:t xml:space="preserve"> on their cheeks</w:t>
      </w:r>
      <w:r w:rsidR="004A5D2C">
        <w:t xml:space="preserve">, </w:t>
      </w:r>
    </w:p>
    <w:p w:rsidR="004A5D2C" w:rsidRDefault="00883FAF" w:rsidP="00B824CA">
      <w:r>
        <w:tab/>
        <w:t>in order that</w:t>
      </w:r>
      <w:r w:rsidR="001E5631">
        <w:t xml:space="preserve"> I </w:t>
      </w:r>
      <w:r w:rsidR="000112A7">
        <w:t>might stretch out</w:t>
      </w:r>
      <w:r w:rsidR="001E5631">
        <w:rPr>
          <w:rStyle w:val="FootnoteReference"/>
        </w:rPr>
        <w:footnoteReference w:id="496"/>
      </w:r>
      <w:r w:rsidR="001E5631">
        <w:t xml:space="preserve"> to him so I might feed him</w:t>
      </w:r>
      <w:r w:rsidR="004A5D2C">
        <w:t>.</w:t>
      </w:r>
    </w:p>
    <w:p w:rsidR="004A5D2C" w:rsidRDefault="004A5D2C" w:rsidP="00B824CA"/>
    <w:p w:rsidR="004A5D2C" w:rsidRDefault="004A5D2C" w:rsidP="00B824CA">
      <w:r>
        <w:rPr>
          <w:vertAlign w:val="superscript"/>
        </w:rPr>
        <w:t>5</w:t>
      </w:r>
      <w:r w:rsidR="00972C80">
        <w:t>H</w:t>
      </w:r>
      <w:r>
        <w:t xml:space="preserve">e will </w:t>
      </w:r>
      <w:r w:rsidR="00972C80">
        <w:t>not</w:t>
      </w:r>
      <w:r w:rsidR="006750D7">
        <w:rPr>
          <w:rStyle w:val="FootnoteReference"/>
        </w:rPr>
        <w:footnoteReference w:id="497"/>
      </w:r>
      <w:r w:rsidR="00972C80">
        <w:t xml:space="preserve"> </w:t>
      </w:r>
      <w:r>
        <w:t>t</w:t>
      </w:r>
      <w:r w:rsidR="00070EC2">
        <w:t xml:space="preserve">urn back to the country of </w:t>
      </w:r>
      <w:r w:rsidR="00070EC2" w:rsidRPr="00070EC2">
        <w:t>Mișrayim</w:t>
      </w:r>
      <w:r>
        <w:t xml:space="preserve">, </w:t>
      </w:r>
    </w:p>
    <w:p w:rsidR="004A5D2C" w:rsidRDefault="00972C80" w:rsidP="00B824CA">
      <w:r>
        <w:tab/>
        <w:t>but</w:t>
      </w:r>
      <w:r w:rsidR="004A5D2C">
        <w:t xml:space="preserve"> </w:t>
      </w:r>
      <w:r w:rsidR="004A5D2C" w:rsidRPr="004A5D2C">
        <w:t>’Aššü</w:t>
      </w:r>
      <w:r w:rsidR="004A5D2C">
        <w:t>r will be his king</w:t>
      </w:r>
      <w:r>
        <w:t>,</w:t>
      </w:r>
      <w:r>
        <w:rPr>
          <w:rStyle w:val="FootnoteReference"/>
        </w:rPr>
        <w:footnoteReference w:id="498"/>
      </w:r>
    </w:p>
    <w:p w:rsidR="004A5D2C" w:rsidRDefault="004A5D2C" w:rsidP="00B824CA">
      <w:r>
        <w:tab/>
        <w:t>because they refused to turn back.</w:t>
      </w:r>
    </w:p>
    <w:p w:rsidR="004A5D2C" w:rsidRDefault="004A5D2C" w:rsidP="00B824CA">
      <w:r>
        <w:rPr>
          <w:vertAlign w:val="superscript"/>
        </w:rPr>
        <w:t>6</w:t>
      </w:r>
      <w:r w:rsidR="00873FAE">
        <w:t>A sword will whirl</w:t>
      </w:r>
      <w:r w:rsidR="00456584">
        <w:rPr>
          <w:rStyle w:val="FootnoteReference"/>
        </w:rPr>
        <w:footnoteReference w:id="499"/>
      </w:r>
      <w:r w:rsidR="00873FAE">
        <w:t xml:space="preserve"> against</w:t>
      </w:r>
      <w:r>
        <w:t xml:space="preserve"> his towns, </w:t>
      </w:r>
    </w:p>
    <w:p w:rsidR="004A5D2C" w:rsidRDefault="004A5D2C" w:rsidP="00B824CA">
      <w:r>
        <w:tab/>
        <w:t>and finish off his gate-bars.</w:t>
      </w:r>
      <w:r w:rsidR="000347AE">
        <w:rPr>
          <w:rStyle w:val="FootnoteReference"/>
        </w:rPr>
        <w:footnoteReference w:id="500"/>
      </w:r>
    </w:p>
    <w:p w:rsidR="004A5D2C" w:rsidRDefault="002A68CC" w:rsidP="00B824CA">
      <w:r>
        <w:t>It will consume [them] because of their</w:t>
      </w:r>
      <w:r w:rsidR="004A5D2C">
        <w:t xml:space="preserve"> plans,</w:t>
      </w:r>
    </w:p>
    <w:p w:rsidR="004A5D2C" w:rsidRDefault="004A5D2C" w:rsidP="00B824CA">
      <w:r>
        <w:rPr>
          <w:vertAlign w:val="superscript"/>
        </w:rPr>
        <w:tab/>
        <w:t>7</w:t>
      </w:r>
      <w:r>
        <w:t xml:space="preserve">since my people are </w:t>
      </w:r>
      <w:r w:rsidR="002D57B9">
        <w:t>hung up</w:t>
      </w:r>
      <w:r w:rsidR="002D57B9">
        <w:rPr>
          <w:rStyle w:val="FootnoteReference"/>
        </w:rPr>
        <w:footnoteReference w:id="501"/>
      </w:r>
      <w:r w:rsidR="002D57B9">
        <w:t xml:space="preserve"> on</w:t>
      </w:r>
      <w:r w:rsidR="002A68CC">
        <w:t xml:space="preserve"> turn</w:t>
      </w:r>
      <w:r w:rsidR="002D57B9">
        <w:t>ing</w:t>
      </w:r>
      <w:r w:rsidR="00873FAE">
        <w:t xml:space="preserve"> back to</w:t>
      </w:r>
      <w:r w:rsidR="002A68CC">
        <w:t xml:space="preserve"> me.</w:t>
      </w:r>
      <w:r w:rsidR="003D79E0">
        <w:rPr>
          <w:rStyle w:val="FootnoteReference"/>
        </w:rPr>
        <w:footnoteReference w:id="502"/>
      </w:r>
      <w:r>
        <w:t xml:space="preserve"> </w:t>
      </w:r>
    </w:p>
    <w:p w:rsidR="001560E1" w:rsidRDefault="00970ACE" w:rsidP="00B824CA">
      <w:r>
        <w:t>T</w:t>
      </w:r>
      <w:r w:rsidR="00883FAF">
        <w:t xml:space="preserve">hough </w:t>
      </w:r>
      <w:r w:rsidR="00650DE0">
        <w:t>people call it</w:t>
      </w:r>
      <w:r w:rsidR="001560E1">
        <w:t xml:space="preserve"> to</w:t>
      </w:r>
      <w:r w:rsidR="006D38C4">
        <w:t xml:space="preserve"> One</w:t>
      </w:r>
      <w:r w:rsidR="004A5D2C">
        <w:t xml:space="preserve"> on High</w:t>
      </w:r>
      <w:r w:rsidR="001560E1">
        <w:t>,</w:t>
      </w:r>
      <w:r w:rsidR="007C668D">
        <w:rPr>
          <w:rStyle w:val="FootnoteReference"/>
        </w:rPr>
        <w:footnoteReference w:id="503"/>
      </w:r>
      <w:r w:rsidR="006B4CED">
        <w:t xml:space="preserve"> </w:t>
      </w:r>
    </w:p>
    <w:p w:rsidR="004A5D2C" w:rsidRDefault="00FF6569" w:rsidP="00B824CA">
      <w:r>
        <w:tab/>
        <w:t>altogether</w:t>
      </w:r>
      <w:r w:rsidR="001560E1">
        <w:t xml:space="preserve"> it does not lift [hi</w:t>
      </w:r>
      <w:r w:rsidR="00CC45E7">
        <w:t>m</w:t>
      </w:r>
      <w:r w:rsidR="001560E1">
        <w:t>]</w:t>
      </w:r>
      <w:r w:rsidR="00CC45E7">
        <w:t xml:space="preserve"> up.</w:t>
      </w:r>
      <w:r w:rsidR="00B330B3">
        <w:rPr>
          <w:rStyle w:val="FootnoteReference"/>
        </w:rPr>
        <w:footnoteReference w:id="504"/>
      </w:r>
    </w:p>
    <w:p w:rsidR="0026076F" w:rsidRDefault="0026076F" w:rsidP="00B824CA"/>
    <w:p w:rsidR="00970ACE" w:rsidRDefault="00970ACE" w:rsidP="00B824CA">
      <w:r>
        <w:rPr>
          <w:vertAlign w:val="superscript"/>
        </w:rPr>
        <w:t>8</w:t>
      </w:r>
      <w:r>
        <w:t xml:space="preserve">How can I give you over, </w:t>
      </w:r>
      <w:r w:rsidRPr="00970ACE">
        <w:t>’Eprayim</w:t>
      </w:r>
      <w:r>
        <w:t xml:space="preserve">, </w:t>
      </w:r>
    </w:p>
    <w:p w:rsidR="00970ACE" w:rsidRDefault="00B46BCA" w:rsidP="00B824CA">
      <w:r>
        <w:tab/>
        <w:t>deliver you up</w:t>
      </w:r>
      <w:r w:rsidR="00970ACE">
        <w:t xml:space="preserve">, </w:t>
      </w:r>
      <w:r w:rsidR="00970ACE" w:rsidRPr="00970ACE">
        <w:t>Yiśrā’ēl</w:t>
      </w:r>
      <w:r w:rsidR="00970ACE">
        <w:t>?</w:t>
      </w:r>
    </w:p>
    <w:p w:rsidR="00970ACE" w:rsidRDefault="00970ACE" w:rsidP="00B824CA">
      <w:r>
        <w:t>How can I give you over</w:t>
      </w:r>
      <w:r w:rsidR="00242C81">
        <w:rPr>
          <w:rStyle w:val="FootnoteReference"/>
        </w:rPr>
        <w:footnoteReference w:id="505"/>
      </w:r>
      <w:r>
        <w:t xml:space="preserve"> like Admah, </w:t>
      </w:r>
    </w:p>
    <w:p w:rsidR="00970ACE" w:rsidRDefault="00970ACE" w:rsidP="00B824CA">
      <w:r>
        <w:lastRenderedPageBreak/>
        <w:tab/>
        <w:t>make you like Ṣəbō’îm?</w:t>
      </w:r>
    </w:p>
    <w:p w:rsidR="00970ACE" w:rsidRDefault="003B4902" w:rsidP="00B824CA">
      <w:r>
        <w:t>My attitude</w:t>
      </w:r>
      <w:r>
        <w:rPr>
          <w:rStyle w:val="FootnoteReference"/>
        </w:rPr>
        <w:footnoteReference w:id="506"/>
      </w:r>
      <w:r>
        <w:t xml:space="preserve"> has</w:t>
      </w:r>
      <w:r w:rsidR="00883FAF">
        <w:t xml:space="preserve"> overturned in</w:t>
      </w:r>
      <w:r>
        <w:rPr>
          <w:rStyle w:val="FootnoteReference"/>
        </w:rPr>
        <w:footnoteReference w:id="507"/>
      </w:r>
      <w:r w:rsidR="00970ACE">
        <w:t xml:space="preserve"> me, </w:t>
      </w:r>
    </w:p>
    <w:p w:rsidR="00970ACE" w:rsidRDefault="00FF6569" w:rsidP="00B824CA">
      <w:r>
        <w:tab/>
        <w:t xml:space="preserve">my </w:t>
      </w:r>
      <w:r w:rsidR="00EC3B3F">
        <w:t xml:space="preserve">deep </w:t>
      </w:r>
      <w:r>
        <w:t>relenting</w:t>
      </w:r>
      <w:r w:rsidR="00EC3B3F">
        <w:rPr>
          <w:rStyle w:val="FootnoteReference"/>
        </w:rPr>
        <w:footnoteReference w:id="508"/>
      </w:r>
      <w:r>
        <w:t xml:space="preserve"> has altogether </w:t>
      </w:r>
      <w:r w:rsidR="00EC3B3F">
        <w:t>warm</w:t>
      </w:r>
      <w:r w:rsidR="00E47C41">
        <w:t>ed</w:t>
      </w:r>
      <w:r w:rsidR="00970ACE">
        <w:t>.</w:t>
      </w:r>
    </w:p>
    <w:p w:rsidR="00970ACE" w:rsidRDefault="00970ACE" w:rsidP="00B824CA">
      <w:r>
        <w:rPr>
          <w:vertAlign w:val="superscript"/>
        </w:rPr>
        <w:t>9</w:t>
      </w:r>
      <w:r>
        <w:t xml:space="preserve">I will not act on my angry blazing, </w:t>
      </w:r>
    </w:p>
    <w:p w:rsidR="00970ACE" w:rsidRDefault="00970ACE" w:rsidP="00B824CA">
      <w:r>
        <w:tab/>
        <w:t>I will not turn back</w:t>
      </w:r>
      <w:r w:rsidR="00DB3C92" w:rsidRPr="00DB3C92">
        <w:rPr>
          <w:vertAlign w:val="superscript"/>
        </w:rPr>
        <w:footnoteReference w:id="509"/>
      </w:r>
      <w:r w:rsidR="00DB3C92" w:rsidRPr="00DB3C92">
        <w:t xml:space="preserve"> </w:t>
      </w:r>
      <w:r>
        <w:t>to</w:t>
      </w:r>
      <w:r w:rsidR="00DB3C92">
        <w:t xml:space="preserve"> </w:t>
      </w:r>
      <w:r w:rsidR="005C28CA">
        <w:t>devastate</w:t>
      </w:r>
      <w:r>
        <w:t xml:space="preserve"> </w:t>
      </w:r>
      <w:r w:rsidRPr="00970ACE">
        <w:t>’Eprayim</w:t>
      </w:r>
      <w:r>
        <w:t>.</w:t>
      </w:r>
    </w:p>
    <w:p w:rsidR="00970ACE" w:rsidRDefault="00970ACE" w:rsidP="00B824CA">
      <w:r>
        <w:t xml:space="preserve">Because I am God and not a human being, </w:t>
      </w:r>
    </w:p>
    <w:p w:rsidR="00970ACE" w:rsidRDefault="00970ACE" w:rsidP="00B824CA">
      <w:r>
        <w:tab/>
      </w:r>
      <w:r w:rsidR="00C053F0">
        <w:t>among you as the holy one</w:t>
      </w:r>
      <w:r>
        <w:t>,</w:t>
      </w:r>
    </w:p>
    <w:p w:rsidR="00970ACE" w:rsidRDefault="0084750D" w:rsidP="00B824CA">
      <w:r>
        <w:tab/>
        <w:t>and I will not come against a</w:t>
      </w:r>
      <w:r w:rsidR="00970ACE">
        <w:t xml:space="preserve"> town.</w:t>
      </w:r>
      <w:r w:rsidR="0025046C">
        <w:rPr>
          <w:rStyle w:val="FootnoteReference"/>
        </w:rPr>
        <w:footnoteReference w:id="510"/>
      </w:r>
    </w:p>
    <w:p w:rsidR="00970ACE" w:rsidRDefault="00970ACE" w:rsidP="00B824CA"/>
    <w:p w:rsidR="00970ACE" w:rsidRDefault="00070EC2" w:rsidP="00B824CA">
      <w:r>
        <w:rPr>
          <w:vertAlign w:val="superscript"/>
        </w:rPr>
        <w:t>10</w:t>
      </w:r>
      <w:r w:rsidR="00DE103F">
        <w:t>They will go after</w:t>
      </w:r>
      <w:r w:rsidR="00970ACE">
        <w:t xml:space="preserve"> Yahweh </w:t>
      </w:r>
    </w:p>
    <w:p w:rsidR="00970ACE" w:rsidRDefault="00DF3BF9" w:rsidP="00B824CA">
      <w:r>
        <w:tab/>
        <w:t>who roars like a lion, because</w:t>
      </w:r>
      <w:r w:rsidR="009A1721">
        <w:t xml:space="preserve"> he is the one who roars.</w:t>
      </w:r>
      <w:r w:rsidR="00970ACE">
        <w:t xml:space="preserve"> </w:t>
      </w:r>
    </w:p>
    <w:p w:rsidR="00970ACE" w:rsidRDefault="009A1721" w:rsidP="00B824CA">
      <w:r>
        <w:t>Children will come trembling</w:t>
      </w:r>
      <w:r w:rsidR="004207EF">
        <w:t xml:space="preserve"> from the sea</w:t>
      </w:r>
      <w:r w:rsidR="00550115">
        <w:rPr>
          <w:rStyle w:val="FootnoteReference"/>
        </w:rPr>
        <w:footnoteReference w:id="511"/>
      </w:r>
    </w:p>
    <w:p w:rsidR="00070EC2" w:rsidRDefault="009A1721" w:rsidP="00B824CA">
      <w:r>
        <w:rPr>
          <w:vertAlign w:val="superscript"/>
        </w:rPr>
        <w:tab/>
      </w:r>
      <w:r w:rsidR="00070EC2">
        <w:rPr>
          <w:vertAlign w:val="superscript"/>
        </w:rPr>
        <w:t>11</w:t>
      </w:r>
      <w:r>
        <w:t xml:space="preserve">as </w:t>
      </w:r>
      <w:r w:rsidR="00A52FF9">
        <w:t xml:space="preserve">they </w:t>
      </w:r>
      <w:r>
        <w:t>come trembling</w:t>
      </w:r>
      <w:r w:rsidR="00070EC2">
        <w:t xml:space="preserve"> like a sparrow from </w:t>
      </w:r>
      <w:r w:rsidR="00070EC2" w:rsidRPr="00070EC2">
        <w:t>Mișrayim</w:t>
      </w:r>
      <w:r w:rsidR="00070EC2">
        <w:t xml:space="preserve">, </w:t>
      </w:r>
    </w:p>
    <w:p w:rsidR="00970ACE" w:rsidRDefault="009A1721" w:rsidP="00B824CA">
      <w:r>
        <w:t>L</w:t>
      </w:r>
      <w:r w:rsidR="00070EC2">
        <w:t xml:space="preserve">ike a pigeon from the country of </w:t>
      </w:r>
      <w:r w:rsidR="00070EC2" w:rsidRPr="00070EC2">
        <w:t>’Aššür</w:t>
      </w:r>
      <w:r w:rsidR="00070EC2">
        <w:t>,</w:t>
      </w:r>
    </w:p>
    <w:p w:rsidR="00070EC2" w:rsidRDefault="00550115" w:rsidP="00B824CA">
      <w:r>
        <w:tab/>
        <w:t xml:space="preserve">and I will let them </w:t>
      </w:r>
      <w:r w:rsidR="00070EC2">
        <w:t>live in</w:t>
      </w:r>
      <w:r w:rsidR="00276469" w:rsidRPr="00276469">
        <w:rPr>
          <w:vertAlign w:val="superscript"/>
        </w:rPr>
        <w:footnoteReference w:id="512"/>
      </w:r>
      <w:r w:rsidR="00070EC2">
        <w:t xml:space="preserve"> their homes (</w:t>
      </w:r>
      <w:r w:rsidR="00C73987">
        <w:t>Yahweh’s proclamation</w:t>
      </w:r>
      <w:r w:rsidR="00070EC2">
        <w:t>).</w:t>
      </w:r>
    </w:p>
    <w:p w:rsidR="00C43E3C" w:rsidRDefault="00C43E3C" w:rsidP="00B824CA"/>
    <w:p w:rsidR="00C43E3C" w:rsidRDefault="00B53FD4" w:rsidP="00B824CA">
      <w:r>
        <w:rPr>
          <w:vertAlign w:val="superscript"/>
        </w:rPr>
        <w:t>12</w:t>
      </w:r>
      <w:r w:rsidR="00C43E3C" w:rsidRPr="00970ACE">
        <w:t>’Eprayim</w:t>
      </w:r>
      <w:r w:rsidR="002C71A3">
        <w:t xml:space="preserve"> has surrounded me with deceit</w:t>
      </w:r>
      <w:r w:rsidR="00C43E3C">
        <w:t xml:space="preserve">, </w:t>
      </w:r>
    </w:p>
    <w:p w:rsidR="00E65302" w:rsidRDefault="00C43E3C" w:rsidP="00B824CA">
      <w:r>
        <w:tab/>
      </w:r>
      <w:r w:rsidRPr="00C43E3C">
        <w:t>Yiśrā’ēl</w:t>
      </w:r>
      <w:r w:rsidR="006E0EEB">
        <w:t>’s household with lies</w:t>
      </w:r>
      <w:r w:rsidR="00AC35BC">
        <w:t>—</w:t>
      </w:r>
      <w:r w:rsidR="00AC35BC" w:rsidRPr="00AC35BC">
        <w:t>Yəhûdāh</w:t>
      </w:r>
      <w:r w:rsidR="00AC35BC">
        <w:t>, too</w:t>
      </w:r>
      <w:r w:rsidR="008B2C5A">
        <w:t>,</w:t>
      </w:r>
      <w:r w:rsidR="00B219D3">
        <w:rPr>
          <w:rStyle w:val="FootnoteReference"/>
        </w:rPr>
        <w:footnoteReference w:id="513"/>
      </w:r>
    </w:p>
    <w:p w:rsidR="006E0EEB" w:rsidRDefault="00342897" w:rsidP="00B824CA">
      <w:r>
        <w:t>S</w:t>
      </w:r>
      <w:r w:rsidR="001F1ACF">
        <w:t>till</w:t>
      </w:r>
      <w:r w:rsidR="001F1ACF">
        <w:rPr>
          <w:rStyle w:val="FootnoteReference"/>
        </w:rPr>
        <w:footnoteReference w:id="514"/>
      </w:r>
      <w:r w:rsidR="001F1ACF">
        <w:t xml:space="preserve"> </w:t>
      </w:r>
      <w:r w:rsidR="00E65302">
        <w:t>drifting</w:t>
      </w:r>
      <w:r w:rsidR="00211370">
        <w:rPr>
          <w:rStyle w:val="FootnoteReference"/>
        </w:rPr>
        <w:footnoteReference w:id="515"/>
      </w:r>
      <w:r w:rsidR="00923FE5">
        <w:t xml:space="preserve"> in relation to</w:t>
      </w:r>
      <w:r w:rsidR="00375EE8">
        <w:rPr>
          <w:rStyle w:val="FootnoteReference"/>
        </w:rPr>
        <w:footnoteReference w:id="516"/>
      </w:r>
      <w:r w:rsidR="006E0EEB">
        <w:t xml:space="preserve"> God, </w:t>
      </w:r>
    </w:p>
    <w:p w:rsidR="006E0EEB" w:rsidRDefault="006E0EEB" w:rsidP="00B824CA">
      <w:r>
        <w:tab/>
      </w:r>
      <w:r w:rsidR="00CA5691">
        <w:t xml:space="preserve">yes, </w:t>
      </w:r>
      <w:r w:rsidR="00923FE5">
        <w:t>in relation to</w:t>
      </w:r>
      <w:r>
        <w:t xml:space="preserve"> the </w:t>
      </w:r>
      <w:r w:rsidR="00CA5691">
        <w:t xml:space="preserve">truthful </w:t>
      </w:r>
      <w:r w:rsidR="001C3B39">
        <w:t>Holy O</w:t>
      </w:r>
      <w:r w:rsidR="00CA5691">
        <w:t>ne</w:t>
      </w:r>
      <w:r>
        <w:t>.</w:t>
      </w:r>
      <w:r w:rsidR="00707401">
        <w:rPr>
          <w:rStyle w:val="FootnoteReference"/>
        </w:rPr>
        <w:footnoteReference w:id="517"/>
      </w:r>
    </w:p>
    <w:p w:rsidR="00E853DA" w:rsidRDefault="00B5793D" w:rsidP="00B824CA">
      <w:r>
        <w:rPr>
          <w:vertAlign w:val="superscript"/>
        </w:rPr>
        <w:t>12:1</w:t>
      </w:r>
      <w:r w:rsidR="009B50F7">
        <w:t>’</w:t>
      </w:r>
      <w:r w:rsidR="00E853DA" w:rsidRPr="00E853DA">
        <w:t>Eprayim</w:t>
      </w:r>
      <w:r w:rsidR="00DC7B31">
        <w:t>—it</w:t>
      </w:r>
      <w:r w:rsidR="00342897">
        <w:t>’</w:t>
      </w:r>
      <w:r w:rsidR="008B2C5A">
        <w:t>s</w:t>
      </w:r>
      <w:r w:rsidR="00E853DA">
        <w:t xml:space="preserve"> shepherding</w:t>
      </w:r>
      <w:r w:rsidR="005D4DFE">
        <w:rPr>
          <w:rStyle w:val="FootnoteReference"/>
        </w:rPr>
        <w:footnoteReference w:id="518"/>
      </w:r>
      <w:r w:rsidR="00E853DA">
        <w:t xml:space="preserve"> </w:t>
      </w:r>
      <w:r w:rsidR="00326945">
        <w:t xml:space="preserve">a </w:t>
      </w:r>
      <w:r w:rsidR="00E853DA">
        <w:t xml:space="preserve">wind </w:t>
      </w:r>
    </w:p>
    <w:p w:rsidR="006E0EEB" w:rsidRDefault="00E853DA" w:rsidP="00B824CA">
      <w:r>
        <w:lastRenderedPageBreak/>
        <w:tab/>
        <w:t xml:space="preserve">and pursuing </w:t>
      </w:r>
      <w:r w:rsidR="009B50F7">
        <w:t xml:space="preserve">an </w:t>
      </w:r>
      <w:r w:rsidR="00326945">
        <w:t>east wind</w:t>
      </w:r>
      <w:r w:rsidR="009B50F7">
        <w:t>,</w:t>
      </w:r>
    </w:p>
    <w:p w:rsidR="00E853DA" w:rsidRDefault="00307811" w:rsidP="00B824CA">
      <w:r>
        <w:t xml:space="preserve">As </w:t>
      </w:r>
      <w:r w:rsidR="00326945">
        <w:t xml:space="preserve">all day </w:t>
      </w:r>
      <w:r>
        <w:t>it</w:t>
      </w:r>
      <w:r w:rsidR="00E853DA">
        <w:t xml:space="preserve"> make</w:t>
      </w:r>
      <w:r w:rsidR="00912BF0">
        <w:t>s manifold deceit</w:t>
      </w:r>
      <w:r w:rsidR="009B50F7">
        <w:t xml:space="preserve"> and destruction,</w:t>
      </w:r>
    </w:p>
    <w:p w:rsidR="00E853DA" w:rsidRDefault="009B50F7" w:rsidP="00B824CA">
      <w:r>
        <w:tab/>
        <w:t>w</w:t>
      </w:r>
      <w:r w:rsidR="00326945">
        <w:t>hen</w:t>
      </w:r>
      <w:r w:rsidR="00F41375">
        <w:t xml:space="preserve"> they</w:t>
      </w:r>
      <w:r>
        <w:t xml:space="preserve"> </w:t>
      </w:r>
      <w:r w:rsidR="00F41375">
        <w:t>seal</w:t>
      </w:r>
      <w:r w:rsidR="0030476A">
        <w:rPr>
          <w:rStyle w:val="FootnoteReference"/>
        </w:rPr>
        <w:footnoteReference w:id="519"/>
      </w:r>
      <w:r w:rsidR="00E853DA">
        <w:t xml:space="preserve"> a pact with Assyria,</w:t>
      </w:r>
    </w:p>
    <w:p w:rsidR="00E853DA" w:rsidRDefault="009B50F7" w:rsidP="00B824CA">
      <w:r>
        <w:tab/>
        <w:t>and</w:t>
      </w:r>
      <w:r w:rsidR="00E853DA">
        <w:t xml:space="preserve"> oil is carried to Egypt.</w:t>
      </w:r>
    </w:p>
    <w:p w:rsidR="00070EC2" w:rsidRDefault="00070EC2" w:rsidP="001D3546">
      <w:pPr>
        <w:pStyle w:val="Heading2"/>
      </w:pPr>
      <w:r>
        <w:t>Interpretation</w:t>
      </w:r>
    </w:p>
    <w:p w:rsidR="00615825" w:rsidRDefault="00683273" w:rsidP="003F5F85">
      <w:r>
        <w:t xml:space="preserve">A move from threat to recollection </w:t>
      </w:r>
      <w:r w:rsidR="00DB3C92">
        <w:t xml:space="preserve">again </w:t>
      </w:r>
      <w:r>
        <w:t>marks the beginn</w:t>
      </w:r>
      <w:r w:rsidR="002B6E88">
        <w:t>ing of a new section. Again some</w:t>
      </w:r>
      <w:r>
        <w:t xml:space="preserve">one listening to </w:t>
      </w:r>
      <w:r w:rsidR="00DB3C92">
        <w:t xml:space="preserve">the entire scroll </w:t>
      </w:r>
      <w:r>
        <w:t>might not immediately perceive the transition</w:t>
      </w:r>
      <w:r w:rsidR="00EE5646">
        <w:t>,</w:t>
      </w:r>
      <w:r>
        <w:t xml:space="preserve"> </w:t>
      </w:r>
      <w:r w:rsidR="002B6E88">
        <w:t xml:space="preserve">this time </w:t>
      </w:r>
      <w:r>
        <w:t xml:space="preserve">because the section opens with a </w:t>
      </w:r>
      <w:r>
        <w:rPr>
          <w:i/>
        </w:rPr>
        <w:t>kî</w:t>
      </w:r>
      <w:r w:rsidR="002B6E88">
        <w:t>, which usually means “because” and</w:t>
      </w:r>
      <w:r>
        <w:t xml:space="preserve"> </w:t>
      </w:r>
      <w:r w:rsidR="00EE5646">
        <w:t xml:space="preserve">thus </w:t>
      </w:r>
      <w:r>
        <w:t xml:space="preserve">initially suggests that v. </w:t>
      </w:r>
      <w:r w:rsidR="002B6E88">
        <w:t>1 provides</w:t>
      </w:r>
      <w:r>
        <w:t xml:space="preserve"> th</w:t>
      </w:r>
      <w:r w:rsidR="002B6E88">
        <w:t>e reason for the threat in 10:15</w:t>
      </w:r>
      <w:r>
        <w:t xml:space="preserve">. </w:t>
      </w:r>
      <w:r w:rsidR="00DD3B37">
        <w:t>Likewise in v. 11</w:t>
      </w:r>
      <w:r w:rsidR="00F525E4">
        <w:t xml:space="preserve"> the phrase “</w:t>
      </w:r>
      <w:r w:rsidR="00C73987">
        <w:t>Yahweh’s proclamation</w:t>
      </w:r>
      <w:r w:rsidR="00F525E4">
        <w:t>”</w:t>
      </w:r>
      <w:r w:rsidR="00EE5646">
        <w:t xml:space="preserve"> has made the Masoretes think </w:t>
      </w:r>
      <w:r w:rsidR="00F525E4">
        <w:t xml:space="preserve">the </w:t>
      </w:r>
      <w:r w:rsidR="00FC7840">
        <w:t>sub</w:t>
      </w:r>
      <w:r w:rsidR="00F525E4">
        <w:t xml:space="preserve">section closes there (they provide a </w:t>
      </w:r>
      <w:r w:rsidR="00F525E4" w:rsidRPr="00F525E4">
        <w:rPr>
          <w:i/>
        </w:rPr>
        <w:t>setumah</w:t>
      </w:r>
      <w:r w:rsidR="00F525E4">
        <w:t>)</w:t>
      </w:r>
      <w:r w:rsidR="00EE5646">
        <w:t>. B</w:t>
      </w:r>
      <w:r w:rsidR="00DD3B37">
        <w:t xml:space="preserve">ut </w:t>
      </w:r>
      <w:r w:rsidR="00F525E4">
        <w:t>that phrase</w:t>
      </w:r>
      <w:r w:rsidR="00EE5646">
        <w:t xml:space="preserve"> doesn’</w:t>
      </w:r>
      <w:r w:rsidR="00F525E4">
        <w:t>t usuall</w:t>
      </w:r>
      <w:r w:rsidR="00DD3B37">
        <w:t>y mark the ending</w:t>
      </w:r>
      <w:r w:rsidR="00EE5646">
        <w:t>. Further,</w:t>
      </w:r>
      <w:r w:rsidR="002B6E88">
        <w:t xml:space="preserve"> these sections in Hosea characteristically</w:t>
      </w:r>
      <w:r w:rsidR="00EE5646">
        <w:t xml:space="preserve"> move from </w:t>
      </w:r>
      <w:r w:rsidR="00F525E4">
        <w:t xml:space="preserve">recollection to confrontation </w:t>
      </w:r>
      <w:r w:rsidR="00EE5646">
        <w:t>and threat</w:t>
      </w:r>
      <w:r w:rsidR="00A62863">
        <w:t>,</w:t>
      </w:r>
      <w:r w:rsidR="00EE5646">
        <w:t xml:space="preserve"> before coming</w:t>
      </w:r>
      <w:r w:rsidR="00F525E4">
        <w:t xml:space="preserve"> to an end and to the next recollection. Thus the English chapter rightly does</w:t>
      </w:r>
      <w:r w:rsidR="00307811">
        <w:t xml:space="preserve"> not end at v. 11, though </w:t>
      </w:r>
      <w:r w:rsidR="00F525E4">
        <w:t xml:space="preserve">it does end in the middle </w:t>
      </w:r>
      <w:r w:rsidR="000870FF">
        <w:t>of the confrontation and threat verses</w:t>
      </w:r>
      <w:r w:rsidR="001C7128">
        <w:t xml:space="preserve"> (11:12—12:1</w:t>
      </w:r>
      <w:r w:rsidR="00DD3B37">
        <w:t xml:space="preserve"> [12:1-2]</w:t>
      </w:r>
      <w:r w:rsidR="00EE5646">
        <w:t>)</w:t>
      </w:r>
      <w:r w:rsidR="00307811">
        <w:t>; perhaps it does so on the basis of a “positi</w:t>
      </w:r>
      <w:r w:rsidR="001C7128">
        <w:t>ve” understanding of 11:12</w:t>
      </w:r>
      <w:r w:rsidR="00B65686">
        <w:t xml:space="preserve"> (see the notes)</w:t>
      </w:r>
      <w:r w:rsidR="00C05B7A">
        <w:t>.</w:t>
      </w:r>
      <w:r w:rsidR="001C7128">
        <w:t xml:space="preserve"> As a section Hosea 11:1—12:1</w:t>
      </w:r>
      <w:r w:rsidR="00DD3B37">
        <w:t xml:space="preserve"> [2]</w:t>
      </w:r>
      <w:r w:rsidR="000870FF">
        <w:t xml:space="preserve"> follows the </w:t>
      </w:r>
      <w:r w:rsidR="00615825">
        <w:t>pattern of the other “recollection” sections</w:t>
      </w:r>
      <w:r w:rsidR="00A62863">
        <w:t>,</w:t>
      </w:r>
      <w:r w:rsidR="00615825">
        <w:t xml:space="preserve"> in closing in solemn fashion.</w:t>
      </w:r>
      <w:r w:rsidR="000870FF">
        <w:t xml:space="preserve"> </w:t>
      </w:r>
      <w:r w:rsidR="00EE5646">
        <w:t>So it</w:t>
      </w:r>
      <w:r w:rsidR="000870FF">
        <w:t xml:space="preserve"> begins by recalling the beginning of the relationship between Yahweh and Israel, notes </w:t>
      </w:r>
      <w:r w:rsidR="00EE5646">
        <w:t>t</w:t>
      </w:r>
      <w:r w:rsidR="000870FF">
        <w:t xml:space="preserve">he contrasting way Israel has subsequently behaved, </w:t>
      </w:r>
      <w:r w:rsidR="00EE5646">
        <w:t xml:space="preserve">and </w:t>
      </w:r>
      <w:r w:rsidR="000870FF">
        <w:t>declares Yahweh’</w:t>
      </w:r>
      <w:r w:rsidR="00EE5646">
        <w:t>s resolve</w:t>
      </w:r>
      <w:r w:rsidR="000870FF">
        <w:t xml:space="preserve"> to attend to its wrongdoing. </w:t>
      </w:r>
      <w:r w:rsidR="00FA21F3">
        <w:t>Amidst these elements, i</w:t>
      </w:r>
      <w:r w:rsidR="000870FF">
        <w:t>t is distinctive for its account of the tension within Yahweh over whether to punish or forgive (vv. 8-9)</w:t>
      </w:r>
      <w:r w:rsidR="00FA21F3">
        <w:t xml:space="preserve"> and for its vision of people returning to follow Yahweh (vv. 10-11).</w:t>
      </w:r>
    </w:p>
    <w:p w:rsidR="003F5F85" w:rsidRDefault="003F5F85" w:rsidP="003F5F85"/>
    <w:p w:rsidR="003F5F85" w:rsidRDefault="003F5F85" w:rsidP="003F5F85">
      <w:r>
        <w:rPr>
          <w:b/>
        </w:rPr>
        <w:t>Hosea 11:1</w:t>
      </w:r>
      <w:r w:rsidR="00DA33A5">
        <w:rPr>
          <w:b/>
        </w:rPr>
        <w:t>-2</w:t>
      </w:r>
      <w:r w:rsidR="007C61A0">
        <w:rPr>
          <w:b/>
        </w:rPr>
        <w:t xml:space="preserve">. </w:t>
      </w:r>
      <w:r w:rsidR="007C61A0" w:rsidRPr="007C61A0">
        <w:t>“B</w:t>
      </w:r>
      <w:r w:rsidRPr="003F5F85">
        <w:t>oy</w:t>
      </w:r>
      <w:r>
        <w:t>” (</w:t>
      </w:r>
      <w:r w:rsidRPr="003F5F85">
        <w:rPr>
          <w:i/>
        </w:rPr>
        <w:t>na‘ar</w:t>
      </w:r>
      <w:r>
        <w:t xml:space="preserve">) </w:t>
      </w:r>
      <w:r w:rsidR="00A759AB">
        <w:t xml:space="preserve">(v. 1) </w:t>
      </w:r>
      <w:r w:rsidR="007C61A0">
        <w:t>is a general term for someone from three months to young adulthood</w:t>
      </w:r>
      <w:r w:rsidR="00AF0F43">
        <w:t>. It can be mildly affectionate; it’s used of</w:t>
      </w:r>
      <w:r w:rsidR="00EE5646">
        <w:t xml:space="preserve"> Ishmael, Benjamin, and Absalom</w:t>
      </w:r>
      <w:r w:rsidR="00AF0F43">
        <w:t xml:space="preserve">. It’s </w:t>
      </w:r>
      <w:r w:rsidR="00EE5646">
        <w:t xml:space="preserve">also </w:t>
      </w:r>
      <w:r w:rsidR="00AF0F43">
        <w:t>commonly used of</w:t>
      </w:r>
      <w:r w:rsidR="007C61A0">
        <w:t xml:space="preserve"> </w:t>
      </w:r>
      <w:r w:rsidR="00AF0F43">
        <w:t xml:space="preserve">a </w:t>
      </w:r>
      <w:r w:rsidR="007C61A0">
        <w:t>servant</w:t>
      </w:r>
      <w:r w:rsidR="00AF0F43">
        <w:t xml:space="preserve"> (e.g. Gehazi)</w:t>
      </w:r>
      <w:r w:rsidR="007C61A0">
        <w:t>. Only here is it used of Israel. “I lov</w:t>
      </w:r>
      <w:r w:rsidR="00EE5646">
        <w:t>ed the boy” is thus a</w:t>
      </w:r>
      <w:r w:rsidR="007C61A0">
        <w:t xml:space="preserve"> familial expression</w:t>
      </w:r>
      <w:r w:rsidR="00DD3B37">
        <w:t xml:space="preserve">, though natural </w:t>
      </w:r>
      <w:r w:rsidR="00AF0F43">
        <w:t>for an adoptive</w:t>
      </w:r>
      <w:r w:rsidR="00DD3B37">
        <w:t xml:space="preserve"> parent or for a master as</w:t>
      </w:r>
      <w:r w:rsidR="00EE5646">
        <w:t xml:space="preserve"> for a natural father. I</w:t>
      </w:r>
      <w:r w:rsidR="00AF0F43">
        <w:t xml:space="preserve">n this connection, not least in Hosea, “love” </w:t>
      </w:r>
      <w:r w:rsidR="00A62863">
        <w:t xml:space="preserve">once again </w:t>
      </w:r>
      <w:r w:rsidR="00AF0F43">
        <w:t>carries the connotations of loyalty and co</w:t>
      </w:r>
      <w:r w:rsidR="00EE5646">
        <w:t xml:space="preserve">mmitment as well as affection. </w:t>
      </w:r>
      <w:r w:rsidR="00EE5646" w:rsidRPr="00EE5646">
        <w:t xml:space="preserve">“My son” </w:t>
      </w:r>
      <w:r w:rsidR="00EE5646">
        <w:t>in t</w:t>
      </w:r>
      <w:r w:rsidR="00AF0F43">
        <w:t>he second colon thus sharpens the declaration</w:t>
      </w:r>
      <w:r w:rsidR="0052799B">
        <w:t xml:space="preserve">. </w:t>
      </w:r>
      <w:r w:rsidR="00EE5646">
        <w:t xml:space="preserve">It </w:t>
      </w:r>
      <w:r w:rsidR="0052799B">
        <w:t>also suggests “kindliness and endearment”</w:t>
      </w:r>
      <w:r w:rsidR="007C4A19" w:rsidRPr="007C4A19">
        <w:rPr>
          <w:vertAlign w:val="superscript"/>
        </w:rPr>
        <w:footnoteReference w:id="520"/>
      </w:r>
      <w:r w:rsidR="0052799B">
        <w:t xml:space="preserve"> on the lips of Eli (1 Sam</w:t>
      </w:r>
      <w:r w:rsidR="00A62863">
        <w:t>.</w:t>
      </w:r>
      <w:r w:rsidR="0052799B">
        <w:t xml:space="preserve"> 3:6, 16; 4:16), though </w:t>
      </w:r>
      <w:r w:rsidR="007C4A19">
        <w:t xml:space="preserve">on other lips </w:t>
      </w:r>
      <w:r w:rsidR="00EE5646">
        <w:t>in an</w:t>
      </w:r>
      <w:r w:rsidR="0052799B">
        <w:t xml:space="preserve"> honorary </w:t>
      </w:r>
      <w:r w:rsidR="007C4A19">
        <w:t xml:space="preserve">or ironic </w:t>
      </w:r>
      <w:r w:rsidR="0052799B">
        <w:t xml:space="preserve">way (1 Sam. 24:17; 26:17; </w:t>
      </w:r>
      <w:r w:rsidR="00A62863">
        <w:t xml:space="preserve">2 </w:t>
      </w:r>
      <w:r w:rsidR="0052799B">
        <w:t>Kings 8:9; 16:7; and Proverbs).</w:t>
      </w:r>
      <w:r w:rsidR="007C4A19">
        <w:t xml:space="preserve"> Again its application is by no means confined to a natural father. It is otherwise used of Israel only in Exodus 4:22-23, which fits with Yahweh’s referring to Egypt here. In </w:t>
      </w:r>
      <w:r w:rsidR="00EE5646">
        <w:t xml:space="preserve">Exodus, too, the implication is </w:t>
      </w:r>
      <w:r w:rsidR="007C4A19">
        <w:t xml:space="preserve">that Israel is Yahweh’s servant, </w:t>
      </w:r>
      <w:r w:rsidR="00A62863">
        <w:t xml:space="preserve">whom he intends to take so </w:t>
      </w:r>
      <w:r w:rsidR="007C4A19">
        <w:t xml:space="preserve">he can serve Yahweh </w:t>
      </w:r>
      <w:r w:rsidR="00C5745C">
        <w:t xml:space="preserve">rather than </w:t>
      </w:r>
      <w:r w:rsidR="007C4A19">
        <w:t>Pharaoh.</w:t>
      </w:r>
      <w:r w:rsidR="001348C3">
        <w:t xml:space="preserve"> This</w:t>
      </w:r>
      <w:r w:rsidR="00C5745C">
        <w:t xml:space="preserve"> significance fits here</w:t>
      </w:r>
      <w:r w:rsidR="001348C3">
        <w:t>, give</w:t>
      </w:r>
      <w:r w:rsidR="00A62863">
        <w:t xml:space="preserve">n that “calling to” </w:t>
      </w:r>
      <w:r w:rsidR="001348C3">
        <w:t>characteristically denotes summoning.</w:t>
      </w:r>
      <w:r w:rsidR="001348C3">
        <w:rPr>
          <w:rStyle w:val="FootnoteReference"/>
        </w:rPr>
        <w:footnoteReference w:id="521"/>
      </w:r>
      <w:r w:rsidR="00C5745C">
        <w:t xml:space="preserve"> I</w:t>
      </w:r>
      <w:r w:rsidR="004138E0">
        <w:t xml:space="preserve">t </w:t>
      </w:r>
      <w:r w:rsidR="00C5745C">
        <w:t xml:space="preserve">also </w:t>
      </w:r>
      <w:r w:rsidR="004138E0">
        <w:t>fits the assumption in preceding re</w:t>
      </w:r>
      <w:r w:rsidR="00C5745C">
        <w:t>collections that the significance of</w:t>
      </w:r>
      <w:r w:rsidR="004138E0">
        <w:t xml:space="preserve"> Ephraim was to be useful, like grapes (9:10) or a vine (10:1) or a heifer (10:11).</w:t>
      </w:r>
    </w:p>
    <w:p w:rsidR="006D4BAC" w:rsidRDefault="00C5745C" w:rsidP="003F5F85">
      <w:r>
        <w:t xml:space="preserve">As </w:t>
      </w:r>
      <w:r w:rsidR="006D4BAC">
        <w:t xml:space="preserve">Yahweh continues </w:t>
      </w:r>
      <w:r>
        <w:t>to speak of Israel and Egypt</w:t>
      </w:r>
      <w:r w:rsidR="00DD3B37">
        <w:t xml:space="preserve"> (v. 2)</w:t>
      </w:r>
      <w:r>
        <w:t xml:space="preserve">, he moves to </w:t>
      </w:r>
      <w:r w:rsidR="00DD3B37">
        <w:t>speaking of both</w:t>
      </w:r>
      <w:r w:rsidR="00A62863">
        <w:t xml:space="preserve"> in </w:t>
      </w:r>
      <w:r w:rsidR="00DD3B37">
        <w:t>the plural</w:t>
      </w:r>
      <w:r>
        <w:t>. The problem is that in more recent times</w:t>
      </w:r>
      <w:r w:rsidR="006D4BAC">
        <w:t xml:space="preserve"> the Ephraimites have been calling to the Egyptians for help (cf. 7:11)</w:t>
      </w:r>
      <w:r w:rsidR="00F80AD1">
        <w:t xml:space="preserve">, notwithstanding the fact that long ago the </w:t>
      </w:r>
      <w:r>
        <w:t>Israelites had escaped from the Egyptians! F</w:t>
      </w:r>
      <w:r w:rsidR="00F80AD1">
        <w:t xml:space="preserve">urther, despite the fact that Yahweh summoned them as his servant, they now </w:t>
      </w:r>
      <w:r w:rsidR="00410265">
        <w:t>serve other masters and look to them for blessing.</w:t>
      </w:r>
    </w:p>
    <w:p w:rsidR="00CF119E" w:rsidRDefault="00CF119E" w:rsidP="003F5F85"/>
    <w:p w:rsidR="00CF119E" w:rsidRDefault="00CF119E" w:rsidP="003F5F85">
      <w:r>
        <w:rPr>
          <w:b/>
        </w:rPr>
        <w:t xml:space="preserve">Hosea 11:3-4. </w:t>
      </w:r>
      <w:r>
        <w:t xml:space="preserve">Yahweh reverts </w:t>
      </w:r>
      <w:r w:rsidR="00A62863">
        <w:t xml:space="preserve">again </w:t>
      </w:r>
      <w:r>
        <w:t xml:space="preserve">from accusation to </w:t>
      </w:r>
      <w:r w:rsidR="006D69FF">
        <w:t>recollection</w:t>
      </w:r>
      <w:r w:rsidR="00A759AB">
        <w:t xml:space="preserve"> (v. 3)</w:t>
      </w:r>
      <w:r w:rsidR="00252FD5">
        <w:t>. He had been th</w:t>
      </w:r>
      <w:r w:rsidR="007E634C">
        <w:t>e one w</w:t>
      </w:r>
      <w:r w:rsidR="00410265">
        <w:t>ho set Ephraim walking. The</w:t>
      </w:r>
      <w:r w:rsidR="007E634C">
        <w:t xml:space="preserve"> strange </w:t>
      </w:r>
      <w:r w:rsidR="00410265">
        <w:t xml:space="preserve">verbal </w:t>
      </w:r>
      <w:r w:rsidR="007E634C">
        <w:t xml:space="preserve">form </w:t>
      </w:r>
      <w:r w:rsidR="00410265">
        <w:t>comes from a word that</w:t>
      </w:r>
      <w:r w:rsidR="007E634C">
        <w:t xml:space="preserve"> nearly always </w:t>
      </w:r>
      <w:r w:rsidR="00410265">
        <w:t xml:space="preserve">refers to </w:t>
      </w:r>
      <w:r w:rsidR="00410265">
        <w:lastRenderedPageBreak/>
        <w:t>people investigating</w:t>
      </w:r>
      <w:r w:rsidR="007E634C">
        <w:t xml:space="preserve"> a country (“spy” is the </w:t>
      </w:r>
      <w:r w:rsidR="00063D80">
        <w:t>usual English tra</w:t>
      </w:r>
      <w:r w:rsidR="00410265">
        <w:t xml:space="preserve">nslation). </w:t>
      </w:r>
      <w:r w:rsidR="00C5745C">
        <w:t xml:space="preserve">An allusion to </w:t>
      </w:r>
      <w:r w:rsidR="00410265">
        <w:t xml:space="preserve">the Israelites </w:t>
      </w:r>
      <w:r w:rsidR="00C5745C">
        <w:t xml:space="preserve">investigating Canaan </w:t>
      </w:r>
      <w:r w:rsidR="00410265">
        <w:t xml:space="preserve">neatly accompanies </w:t>
      </w:r>
      <w:r w:rsidR="00063D80">
        <w:t>t</w:t>
      </w:r>
      <w:r w:rsidR="00C5745C">
        <w:t>he reference to Egypt and to Yahweh’s</w:t>
      </w:r>
      <w:r w:rsidR="00063D80">
        <w:t xml:space="preserve"> “taking” them (cf. Exod. 6:7; Deut. 4:20, 34).</w:t>
      </w:r>
      <w:r w:rsidR="00A62863">
        <w:t xml:space="preserve"> Yahweh</w:t>
      </w:r>
      <w:r w:rsidR="00C5745C">
        <w:t xml:space="preserve"> then</w:t>
      </w:r>
      <w:r w:rsidR="00FE6A8D">
        <w:t xml:space="preserve"> carried them </w:t>
      </w:r>
      <w:r w:rsidR="00A62863">
        <w:t>up</w:t>
      </w:r>
      <w:r w:rsidR="00FE6A8D">
        <w:t>on</w:t>
      </w:r>
      <w:r w:rsidR="00652743">
        <w:t xml:space="preserve"> his pinion</w:t>
      </w:r>
      <w:r w:rsidR="00063D80">
        <w:t>s, you could say (Deut. 32:11)</w:t>
      </w:r>
      <w:r w:rsidR="00FE6A8D">
        <w:t xml:space="preserve">, or </w:t>
      </w:r>
      <w:r w:rsidR="00063D80">
        <w:t>“</w:t>
      </w:r>
      <w:r w:rsidR="00A62863">
        <w:t>up</w:t>
      </w:r>
      <w:r w:rsidR="00FE6A8D">
        <w:t>on</w:t>
      </w:r>
      <w:r w:rsidR="00063D80">
        <w:t xml:space="preserve"> his arms” (</w:t>
      </w:r>
      <w:r w:rsidR="00FE6A8D">
        <w:t xml:space="preserve">cf. </w:t>
      </w:r>
      <w:r w:rsidR="00063D80">
        <w:t>Deut. 33:27).</w:t>
      </w:r>
      <w:r w:rsidR="006E151C">
        <w:t xml:space="preserve"> </w:t>
      </w:r>
      <w:r w:rsidR="00A62863">
        <w:t>But once more t</w:t>
      </w:r>
      <w:r w:rsidR="006E151C">
        <w:t>he failure of acknowledgment that Hosea traces back to the exodus is t</w:t>
      </w:r>
      <w:r w:rsidR="00410265">
        <w:t>he failure he denounces</w:t>
      </w:r>
      <w:r w:rsidR="00C5745C">
        <w:t>. “H</w:t>
      </w:r>
      <w:r w:rsidR="006E151C">
        <w:t xml:space="preserve">ealed” </w:t>
      </w:r>
      <w:r w:rsidR="00652743">
        <w:t>continues the exodus reference</w:t>
      </w:r>
      <w:r w:rsidR="00C5745C">
        <w:t xml:space="preserve"> (Exod. 15:26) while also being</w:t>
      </w:r>
      <w:r w:rsidR="006E151C" w:rsidRPr="006E151C">
        <w:t xml:space="preserve"> a prominent motif in Hosea (5:13; 6:1; 7:1; 14:4 [5])</w:t>
      </w:r>
      <w:r w:rsidR="00410265">
        <w:t>. People</w:t>
      </w:r>
      <w:r w:rsidR="00C5745C">
        <w:t xml:space="preserve"> failed to acknowledge Yahweh </w:t>
      </w:r>
      <w:r w:rsidR="006E151C">
        <w:t xml:space="preserve">as the healer then, and they </w:t>
      </w:r>
      <w:r w:rsidR="00410265">
        <w:t xml:space="preserve">fail to </w:t>
      </w:r>
      <w:r w:rsidR="006E151C">
        <w:t>do so now.</w:t>
      </w:r>
      <w:r w:rsidR="00C5745C">
        <w:t xml:space="preserve"> Both in Exodus and </w:t>
      </w:r>
      <w:r w:rsidR="004E4C97">
        <w:t>in Hosea 7:1; 14:4 [5], “healing” refers to somethi</w:t>
      </w:r>
      <w:r w:rsidR="00734903">
        <w:t>ng broader than the curing of physical maladies;</w:t>
      </w:r>
      <w:r w:rsidR="004E4C97">
        <w:t xml:space="preserve"> it suggests healing of body, mind, emotions, and spirit.</w:t>
      </w:r>
    </w:p>
    <w:p w:rsidR="00F75C88" w:rsidRDefault="00F75C88" w:rsidP="003F5F85">
      <w:r>
        <w:t>Yahw</w:t>
      </w:r>
      <w:r w:rsidR="00410265">
        <w:t>eh then changes the image to another</w:t>
      </w:r>
      <w:r>
        <w:t xml:space="preserve"> familiar one</w:t>
      </w:r>
      <w:r w:rsidR="00410265">
        <w:t xml:space="preserve"> (v. 4)</w:t>
      </w:r>
      <w:r>
        <w:t xml:space="preserve"> whereby he is the farmer and </w:t>
      </w:r>
      <w:r w:rsidR="00734903">
        <w:t>Ephraim</w:t>
      </w:r>
      <w:r w:rsidR="00410265">
        <w:t xml:space="preserve"> is the heifer</w:t>
      </w:r>
      <w:r w:rsidR="00734903">
        <w:t>. At the exodus and subsequently,</w:t>
      </w:r>
      <w:r>
        <w:t xml:space="preserve"> he was drawing Israel as</w:t>
      </w:r>
      <w:r w:rsidR="00734903">
        <w:t xml:space="preserve"> a farmer draws a heifer, and doing</w:t>
      </w:r>
      <w:r>
        <w:t xml:space="preserve"> so in a humane way</w:t>
      </w:r>
      <w:r w:rsidR="00734903">
        <w:t xml:space="preserve"> and/or</w:t>
      </w:r>
      <w:r w:rsidR="004E4C97">
        <w:t xml:space="preserve"> by human means such as prophets</w:t>
      </w:r>
      <w:r w:rsidR="00303E09">
        <w:t>.</w:t>
      </w:r>
      <w:r w:rsidR="004E4C97">
        <w:rPr>
          <w:rStyle w:val="FootnoteReference"/>
        </w:rPr>
        <w:footnoteReference w:id="522"/>
      </w:r>
      <w:r w:rsidR="00303E09">
        <w:t xml:space="preserve"> There was no painful fetter chafing the animal’s neck. They w</w:t>
      </w:r>
      <w:r w:rsidR="00734903">
        <w:t xml:space="preserve">ere loving or loyal ropes. </w:t>
      </w:r>
      <w:r w:rsidR="00303E09">
        <w:t xml:space="preserve">Yahweh behaved to the Ephraimites </w:t>
      </w:r>
      <w:r w:rsidR="00650DE0">
        <w:t>like a farmer</w:t>
      </w:r>
      <w:r w:rsidR="00E9747A">
        <w:t xml:space="preserve"> fix</w:t>
      </w:r>
      <w:r w:rsidR="00650DE0">
        <w:t>ing a yoke onto their cheeks</w:t>
      </w:r>
      <w:r w:rsidR="006C1C82">
        <w:t xml:space="preserve"> </w:t>
      </w:r>
      <w:r w:rsidR="00650DE0">
        <w:t xml:space="preserve">with the implication that </w:t>
      </w:r>
      <w:r w:rsidR="00E9747A">
        <w:t>farmers do so carefully</w:t>
      </w:r>
      <w:r w:rsidR="006C1C82">
        <w:t>, or</w:t>
      </w:r>
      <w:r w:rsidR="00650DE0">
        <w:t xml:space="preserve"> perhaps lifting the yoke that’</w:t>
      </w:r>
      <w:r w:rsidR="006C1C82">
        <w:t>s already on their cheeks</w:t>
      </w:r>
      <w:r w:rsidR="00E9747A">
        <w:t>.</w:t>
      </w:r>
      <w:r w:rsidR="00C8304A">
        <w:rPr>
          <w:rStyle w:val="FootnoteReference"/>
        </w:rPr>
        <w:footnoteReference w:id="523"/>
      </w:r>
      <w:r w:rsidR="00734903">
        <w:t xml:space="preserve"> The motif of </w:t>
      </w:r>
      <w:r w:rsidR="006C1C82">
        <w:t xml:space="preserve">care </w:t>
      </w:r>
      <w:r w:rsidR="00734903">
        <w:t>in the talk of human cords and loving ropes finds further expression in</w:t>
      </w:r>
      <w:r w:rsidR="006C1C82">
        <w:t xml:space="preserve"> the following colon with its reference to feeding</w:t>
      </w:r>
    </w:p>
    <w:p w:rsidR="006E151C" w:rsidRDefault="006E151C" w:rsidP="003F5F85"/>
    <w:p w:rsidR="00C05D3C" w:rsidRDefault="0026076F" w:rsidP="003F5F85">
      <w:r>
        <w:rPr>
          <w:b/>
        </w:rPr>
        <w:t xml:space="preserve">Hosea </w:t>
      </w:r>
      <w:r w:rsidR="001B7E28">
        <w:rPr>
          <w:b/>
        </w:rPr>
        <w:t>1</w:t>
      </w:r>
      <w:r>
        <w:rPr>
          <w:b/>
        </w:rPr>
        <w:t>1:5-7</w:t>
      </w:r>
      <w:r>
        <w:t>.</w:t>
      </w:r>
      <w:r w:rsidR="00A759AB">
        <w:t xml:space="preserve"> The obvious action for Yahweh</w:t>
      </w:r>
      <w:r w:rsidR="009A2E50">
        <w:t xml:space="preserve"> would</w:t>
      </w:r>
      <w:r w:rsidR="00A759AB">
        <w:t xml:space="preserve"> be to have</w:t>
      </w:r>
      <w:r w:rsidR="00972C80">
        <w:t xml:space="preserve"> Ephraim return to Egypt</w:t>
      </w:r>
      <w:r w:rsidR="00A759AB">
        <w:t xml:space="preserve"> (v. 5), given </w:t>
      </w:r>
      <w:r w:rsidR="00A759AB" w:rsidRPr="00A759AB">
        <w:t>Ephraim’s refusal to acknowledge Yahweh</w:t>
      </w:r>
      <w:r w:rsidR="00A759AB">
        <w:t>. H</w:t>
      </w:r>
      <w:r w:rsidR="00972C80">
        <w:t xml:space="preserve">e </w:t>
      </w:r>
      <w:r w:rsidR="00A759AB">
        <w:t xml:space="preserve">had </w:t>
      </w:r>
      <w:r w:rsidR="00972C80">
        <w:t>ear</w:t>
      </w:r>
      <w:r w:rsidR="009A2E50">
        <w:t xml:space="preserve">lier threatened </w:t>
      </w:r>
      <w:r w:rsidR="00A759AB">
        <w:t xml:space="preserve">this action </w:t>
      </w:r>
      <w:r w:rsidR="009A2E50">
        <w:t xml:space="preserve">(8:13; 9:3, 6), though there </w:t>
      </w:r>
      <w:r w:rsidR="00A759AB">
        <w:t>Egypt</w:t>
      </w:r>
      <w:r w:rsidR="00C05D3C">
        <w:t xml:space="preserve"> was perh</w:t>
      </w:r>
      <w:r w:rsidR="009A2E50">
        <w:t>aps a theological rathe</w:t>
      </w:r>
      <w:r w:rsidR="00410265">
        <w:t>r than geographical destination</w:t>
      </w:r>
      <w:r w:rsidR="00C05D3C">
        <w:t xml:space="preserve">. </w:t>
      </w:r>
      <w:r w:rsidR="009A2E50">
        <w:t>But</w:t>
      </w:r>
      <w:r w:rsidR="00650DE0">
        <w:t xml:space="preserve"> Ephraim itself wants to go</w:t>
      </w:r>
      <w:r w:rsidR="009A2E50">
        <w:t xml:space="preserve"> to Egypt</w:t>
      </w:r>
      <w:r w:rsidR="00650DE0">
        <w:t xml:space="preserve"> for help, as it wanted to return there once in the past</w:t>
      </w:r>
      <w:r w:rsidR="009A2E50">
        <w:t xml:space="preserve"> </w:t>
      </w:r>
      <w:r w:rsidR="00650DE0">
        <w:t>(Num.</w:t>
      </w:r>
      <w:r w:rsidR="001B17D1" w:rsidRPr="001B17D1">
        <w:t xml:space="preserve"> 14</w:t>
      </w:r>
      <w:r w:rsidR="00410265">
        <w:t>:1-3). T</w:t>
      </w:r>
      <w:r w:rsidR="00650DE0">
        <w:t xml:space="preserve">hat morose connection </w:t>
      </w:r>
      <w:r w:rsidR="009A2E50">
        <w:t xml:space="preserve">doesn’t </w:t>
      </w:r>
      <w:r w:rsidR="001B17D1" w:rsidRPr="001B17D1">
        <w:t>apply to Hosea’s ti</w:t>
      </w:r>
      <w:r w:rsidR="00650DE0">
        <w:t>me, wh</w:t>
      </w:r>
      <w:r w:rsidR="009A2E50">
        <w:t xml:space="preserve">ere the interest </w:t>
      </w:r>
      <w:r w:rsidR="001B17D1" w:rsidRPr="001B17D1">
        <w:t xml:space="preserve">issues from a desire to exercise political responsibility. </w:t>
      </w:r>
      <w:r w:rsidR="009A2E50">
        <w:t>So m</w:t>
      </w:r>
      <w:r w:rsidR="00C05D3C">
        <w:t>aybe Yahweh refuses to have Ephraim go geographically to Egypt</w:t>
      </w:r>
      <w:r w:rsidR="00422279">
        <w:t xml:space="preserve"> because it </w:t>
      </w:r>
      <w:r w:rsidR="00C05D3C">
        <w:t>would collude</w:t>
      </w:r>
      <w:r w:rsidR="009A2E50">
        <w:t xml:space="preserve"> with it</w:t>
      </w:r>
      <w:r w:rsidR="00422279">
        <w:t>s own action</w:t>
      </w:r>
      <w:r w:rsidR="00C05D3C">
        <w:t xml:space="preserve"> in going there for help</w:t>
      </w:r>
      <w:r w:rsidR="00422279">
        <w:t>. E</w:t>
      </w:r>
      <w:r w:rsidR="00410265">
        <w:t xml:space="preserve">phraim is resistant to Assyria, </w:t>
      </w:r>
      <w:r w:rsidR="00422279">
        <w:t>so As</w:t>
      </w:r>
      <w:r w:rsidR="009A2E50">
        <w:t>syria will be i</w:t>
      </w:r>
      <w:r w:rsidR="00F266DA">
        <w:t>ts destiny. Ephraim won’t</w:t>
      </w:r>
      <w:r w:rsidR="009A2E50">
        <w:t xml:space="preserve"> </w:t>
      </w:r>
      <w:r w:rsidR="00C05D3C">
        <w:t>return</w:t>
      </w:r>
      <w:r w:rsidR="009A2E50">
        <w:t xml:space="preserve"> to Yahweh, so it</w:t>
      </w:r>
      <w:r w:rsidR="00C05D3C">
        <w:t xml:space="preserve"> will not return to Egypt</w:t>
      </w:r>
      <w:r w:rsidR="00410265">
        <w:t xml:space="preserve"> as it wishes</w:t>
      </w:r>
      <w:r w:rsidR="00C05D3C">
        <w:t>.</w:t>
      </w:r>
    </w:p>
    <w:p w:rsidR="00650DE0" w:rsidRDefault="00650DE0" w:rsidP="003F5F85">
      <w:r>
        <w:t>Actually</w:t>
      </w:r>
      <w:r w:rsidR="009A2E50">
        <w:t xml:space="preserve"> </w:t>
      </w:r>
      <w:r>
        <w:t xml:space="preserve">Yahweh speaks </w:t>
      </w:r>
      <w:r w:rsidR="00F266DA">
        <w:t xml:space="preserve">(vv. 6-7a) </w:t>
      </w:r>
      <w:r w:rsidR="00C05D3C">
        <w:t>not of Ephraim’s going to Assyria bu</w:t>
      </w:r>
      <w:r w:rsidR="002A68CC">
        <w:t>t of Assyria</w:t>
      </w:r>
      <w:r w:rsidR="00F266DA">
        <w:t xml:space="preserve"> coming to it</w:t>
      </w:r>
      <w:r w:rsidR="00C05D3C">
        <w:t>. War will rage in its streets</w:t>
      </w:r>
      <w:r w:rsidR="009A2E50">
        <w:t>,</w:t>
      </w:r>
      <w:r w:rsidR="00C05D3C">
        <w:t xml:space="preserve"> and its gates will not withstand their attackers. </w:t>
      </w:r>
      <w:r>
        <w:t>War</w:t>
      </w:r>
      <w:r w:rsidR="002A68CC">
        <w:t xml:space="preserve"> will c</w:t>
      </w:r>
      <w:r w:rsidR="004F5AE9">
        <w:t>onsum</w:t>
      </w:r>
      <w:r>
        <w:t>e it for interrelated political and religious reasons. It</w:t>
      </w:r>
      <w:r w:rsidR="004F5AE9">
        <w:t xml:space="preserve"> insist</w:t>
      </w:r>
      <w:r>
        <w:t>s on shaping its</w:t>
      </w:r>
      <w:r w:rsidR="00F266DA">
        <w:t xml:space="preserve"> own political policies by </w:t>
      </w:r>
      <w:r w:rsidR="002A68CC">
        <w:t xml:space="preserve">rebelling against </w:t>
      </w:r>
      <w:r w:rsidR="004F5AE9">
        <w:t>Assyria</w:t>
      </w:r>
      <w:r w:rsidR="00F266DA">
        <w:t xml:space="preserve"> and</w:t>
      </w:r>
      <w:r w:rsidR="004F5AE9">
        <w:t xml:space="preserve"> allying with Egypt. But</w:t>
      </w:r>
      <w:r w:rsidR="002A68CC">
        <w:t xml:space="preserve"> </w:t>
      </w:r>
      <w:r>
        <w:t>it</w:t>
      </w:r>
      <w:r w:rsidR="004F5AE9">
        <w:t xml:space="preserve"> thus</w:t>
      </w:r>
      <w:r w:rsidR="002D57B9">
        <w:t xml:space="preserve"> give</w:t>
      </w:r>
      <w:r>
        <w:t>s expression to its being</w:t>
      </w:r>
      <w:r w:rsidR="002D57B9">
        <w:t xml:space="preserve"> bent</w:t>
      </w:r>
      <w:r w:rsidR="00873FAE">
        <w:t xml:space="preserve"> or hung</w:t>
      </w:r>
      <w:r>
        <w:t xml:space="preserve"> up on turning back to </w:t>
      </w:r>
      <w:r w:rsidR="002D57B9">
        <w:t>Ya</w:t>
      </w:r>
      <w:r>
        <w:t xml:space="preserve">hweh. Yahweh </w:t>
      </w:r>
      <w:r w:rsidR="006D38C4">
        <w:t xml:space="preserve">talks about “turning back” </w:t>
      </w:r>
      <w:r w:rsidR="002D57B9">
        <w:t>in three senses in three lines</w:t>
      </w:r>
      <w:r w:rsidR="004F5AE9">
        <w:t xml:space="preserve"> in vv. 5-7</w:t>
      </w:r>
      <w:r w:rsidR="002D57B9">
        <w:t>.</w:t>
      </w:r>
      <w:r w:rsidR="004840AF">
        <w:t xml:space="preserve"> </w:t>
      </w:r>
    </w:p>
    <w:p w:rsidR="00400934" w:rsidRDefault="001560E1" w:rsidP="003F5F85">
      <w:r>
        <w:t>Peop</w:t>
      </w:r>
      <w:r w:rsidR="004F5AE9">
        <w:t xml:space="preserve">le </w:t>
      </w:r>
      <w:r w:rsidR="00F266DA">
        <w:t xml:space="preserve">like Hosea </w:t>
      </w:r>
      <w:r w:rsidR="004F5AE9">
        <w:t>may summon Ephraim to call on</w:t>
      </w:r>
      <w:r>
        <w:t xml:space="preserve"> the One on High</w:t>
      </w:r>
      <w:r w:rsidR="00650DE0">
        <w:t xml:space="preserve"> (v. 7b), but it</w:t>
      </w:r>
      <w:r w:rsidR="004840AF">
        <w:t xml:space="preserve"> does not respond. Lifting Yahweh up is an aspect of serving Yahweh </w:t>
      </w:r>
      <w:r w:rsidR="004F5AE9">
        <w:t>(e.g., Ps</w:t>
      </w:r>
      <w:r w:rsidR="00846FB6">
        <w:t>s</w:t>
      </w:r>
      <w:r w:rsidR="00F266DA">
        <w:t xml:space="preserve">. 30:1 [2]; 145:1), as </w:t>
      </w:r>
      <w:r w:rsidR="004840AF">
        <w:t xml:space="preserve">is </w:t>
      </w:r>
      <w:r w:rsidR="00F266DA">
        <w:t xml:space="preserve">the entire people </w:t>
      </w:r>
      <w:r w:rsidR="004840AF">
        <w:t>l</w:t>
      </w:r>
      <w:r w:rsidR="004F5AE9">
        <w:t>ifting Yahweh up altogether</w:t>
      </w:r>
      <w:r w:rsidR="004840AF">
        <w:t xml:space="preserve"> (Ps. 34:3 [4]). Ephraim d</w:t>
      </w:r>
      <w:r w:rsidR="004F5AE9">
        <w:t>eclines to do so</w:t>
      </w:r>
      <w:r w:rsidR="004840AF">
        <w:t>.</w:t>
      </w:r>
    </w:p>
    <w:p w:rsidR="00400934" w:rsidRDefault="00400934" w:rsidP="003F5F85"/>
    <w:p w:rsidR="00DE103F" w:rsidRDefault="0070052C" w:rsidP="003F5F85">
      <w:r>
        <w:rPr>
          <w:b/>
        </w:rPr>
        <w:t>Hosea 1</w:t>
      </w:r>
      <w:r w:rsidR="00282E3E">
        <w:rPr>
          <w:b/>
        </w:rPr>
        <w:t>1</w:t>
      </w:r>
      <w:r>
        <w:rPr>
          <w:b/>
        </w:rPr>
        <w:t>:8-9</w:t>
      </w:r>
      <w:r>
        <w:t>. The section so far has described the two aspect</w:t>
      </w:r>
      <w:r w:rsidR="001B7E28">
        <w:t>s</w:t>
      </w:r>
      <w:r>
        <w:t xml:space="preserve"> to the relationship betwee</w:t>
      </w:r>
      <w:r w:rsidR="00F266DA">
        <w:t xml:space="preserve">n Yahweh and Israel. Yahweh </w:t>
      </w:r>
      <w:r>
        <w:t>made commitmen</w:t>
      </w:r>
      <w:r w:rsidR="001B7E28">
        <w:t>ts; Israe</w:t>
      </w:r>
      <w:r w:rsidR="00F266DA">
        <w:t>l has not responded. The section</w:t>
      </w:r>
      <w:r>
        <w:t xml:space="preserve"> has </w:t>
      </w:r>
      <w:r w:rsidR="009F5B9B">
        <w:t xml:space="preserve">then </w:t>
      </w:r>
      <w:r w:rsidR="00846FB6">
        <w:t xml:space="preserve">described Yahweh’s </w:t>
      </w:r>
      <w:r w:rsidR="001B7E28">
        <w:t>response</w:t>
      </w:r>
      <w:r>
        <w:t xml:space="preserve"> in relation to that second aspect; Yahweh must surely cast Israel off. </w:t>
      </w:r>
      <w:r w:rsidR="001B7E28">
        <w:t>Eve</w:t>
      </w:r>
      <w:r w:rsidR="00846FB6">
        <w:t xml:space="preserve">ryone knows how </w:t>
      </w:r>
      <w:r w:rsidR="001B7E28">
        <w:t>parent</w:t>
      </w:r>
      <w:r w:rsidR="00846FB6">
        <w:t>s</w:t>
      </w:r>
      <w:r w:rsidR="001B7E28">
        <w:t xml:space="preserve"> should treat a rebellious son (Deut</w:t>
      </w:r>
      <w:r w:rsidR="00846FB6">
        <w:t>.</w:t>
      </w:r>
      <w:r w:rsidR="001B7E28">
        <w:t xml:space="preserve"> 21:18-21)</w:t>
      </w:r>
      <w:r w:rsidR="00CB27B1">
        <w:t>, even if no one ever took the rule literally</w:t>
      </w:r>
      <w:r w:rsidR="001B7E28">
        <w:t xml:space="preserve">. </w:t>
      </w:r>
      <w:r w:rsidR="00F266DA">
        <w:t>How could parents act thus? And i</w:t>
      </w:r>
      <w:r w:rsidR="009F5B9B">
        <w:t>t’</w:t>
      </w:r>
      <w:r w:rsidR="00CB27B1">
        <w:t>s the same for Yahweh.</w:t>
      </w:r>
      <w:r w:rsidR="00CB27B1">
        <w:rPr>
          <w:rStyle w:val="FootnoteReference"/>
        </w:rPr>
        <w:footnoteReference w:id="524"/>
      </w:r>
      <w:r w:rsidR="00CB27B1">
        <w:t xml:space="preserve"> </w:t>
      </w:r>
    </w:p>
    <w:p w:rsidR="0070052C" w:rsidRDefault="009F5B9B" w:rsidP="003F5F85">
      <w:r>
        <w:t>So n</w:t>
      </w:r>
      <w:r w:rsidR="0070052C">
        <w:t xml:space="preserve">ow comes a </w:t>
      </w:r>
      <w:r w:rsidR="001B7E28">
        <w:t xml:space="preserve">further </w:t>
      </w:r>
      <w:r w:rsidR="0070052C">
        <w:t>commitment</w:t>
      </w:r>
      <w:r w:rsidR="00F266DA">
        <w:t xml:space="preserve"> on Yahweh’s part</w:t>
      </w:r>
      <w:r w:rsidR="00DE103F">
        <w:t xml:space="preserve"> (v. 8a)</w:t>
      </w:r>
      <w:r w:rsidR="0070052C">
        <w:t>. It takes the form of a series</w:t>
      </w:r>
      <w:r w:rsidR="00F266DA">
        <w:t xml:space="preserve"> of rhetorical questions which indicate how impossible it would be for Yahweh to cast Israel off.  That response</w:t>
      </w:r>
      <w:r w:rsidR="00846FB6">
        <w:t xml:space="preserve"> implied</w:t>
      </w:r>
      <w:r>
        <w:t xml:space="preserve"> that the only question for </w:t>
      </w:r>
      <w:r w:rsidR="00F266DA">
        <w:t xml:space="preserve">him was which of its lovers to </w:t>
      </w:r>
      <w:r>
        <w:t>surrender Ephraim to, whether</w:t>
      </w:r>
      <w:r w:rsidR="009E165D" w:rsidRPr="009E165D">
        <w:t xml:space="preserve"> </w:t>
      </w:r>
      <w:r w:rsidR="009E165D">
        <w:t>Egypt (as its behavior more r</w:t>
      </w:r>
      <w:r w:rsidR="00F266DA">
        <w:t>ecently indicat</w:t>
      </w:r>
      <w:r>
        <w:t>es it wishes) or</w:t>
      </w:r>
      <w:r w:rsidR="009E165D">
        <w:t xml:space="preserve"> Assyria (as its past beha</w:t>
      </w:r>
      <w:r>
        <w:t>vio</w:t>
      </w:r>
      <w:r w:rsidR="00F266DA">
        <w:t xml:space="preserve">r </w:t>
      </w:r>
      <w:r w:rsidR="00F266DA">
        <w:lastRenderedPageBreak/>
        <w:t>indicate</w:t>
      </w:r>
      <w:r>
        <w:t>d it wished). Such surrender</w:t>
      </w:r>
      <w:r w:rsidR="00846FB6">
        <w:t xml:space="preserve"> would be natural and reasonable on the part of spurned lover or </w:t>
      </w:r>
      <w:r w:rsidR="00241885">
        <w:t>spurned parent</w:t>
      </w:r>
      <w:r w:rsidR="00846FB6">
        <w:t>, even if few acted on it. I</w:t>
      </w:r>
      <w:r w:rsidR="00CB27B1">
        <w:t xml:space="preserve">t would be a natural and reasonable reaction on the part of </w:t>
      </w:r>
      <w:r w:rsidR="00846FB6">
        <w:t>a spurned ally</w:t>
      </w:r>
      <w:r w:rsidR="00CB27B1">
        <w:t xml:space="preserve"> such as Assyria, who would act on it without hesitation</w:t>
      </w:r>
      <w:r w:rsidR="00241885">
        <w:t xml:space="preserve">. </w:t>
      </w:r>
      <w:r w:rsidR="00D06DA4">
        <w:t xml:space="preserve">And </w:t>
      </w:r>
      <w:r w:rsidR="00241885">
        <w:t xml:space="preserve">Yahweh </w:t>
      </w:r>
      <w:r w:rsidR="00D06DA4">
        <w:t xml:space="preserve">himself </w:t>
      </w:r>
      <w:r w:rsidR="00241885">
        <w:t>has done it before. Admah and Zebo’im were two of the towns by the Dead Sea that were destroye</w:t>
      </w:r>
      <w:r>
        <w:t xml:space="preserve">d along with Sodom and Gomorrah (Deut. 29:23; </w:t>
      </w:r>
      <w:r w:rsidR="009756F7">
        <w:t>Genesis does not mention them</w:t>
      </w:r>
      <w:r w:rsidR="00241885">
        <w:t xml:space="preserve"> in this connection, though they do appear with Sodom and Gomorrah in Gen. 10:18; 14:2, 8).</w:t>
      </w:r>
      <w:r w:rsidR="009756F7">
        <w:t xml:space="preserve"> But the mention of them heightens the force of the rhetorical questions. How could Yahweh treat his son or wife in that way?</w:t>
      </w:r>
    </w:p>
    <w:p w:rsidR="009756F7" w:rsidRDefault="003B4902" w:rsidP="003F5F85">
      <w:r>
        <w:t>So Yahweh has had a change of attitude</w:t>
      </w:r>
      <w:r w:rsidR="009756F7">
        <w:t xml:space="preserve"> (v. 8b)</w:t>
      </w:r>
      <w:r w:rsidR="00E15EB3">
        <w:t xml:space="preserve">. The verb is the one used for Yahweh’s overturning of </w:t>
      </w:r>
      <w:r w:rsidR="00E15EB3" w:rsidRPr="00E15EB3">
        <w:t>Admah and Zebo’im</w:t>
      </w:r>
      <w:r w:rsidR="00E15EB3">
        <w:t>; instead of overturning Ephraim, Yahweh has overturned himself</w:t>
      </w:r>
      <w:r w:rsidR="009756F7">
        <w:t xml:space="preserve">. </w:t>
      </w:r>
      <w:r w:rsidR="00486DE9">
        <w:t xml:space="preserve">The expression </w:t>
      </w:r>
      <w:r w:rsidR="00E15EB3">
        <w:t>“</w:t>
      </w:r>
      <w:r w:rsidR="00E15EB3" w:rsidRPr="00E15EB3">
        <w:t>change of attitude</w:t>
      </w:r>
      <w:r w:rsidR="00E15EB3">
        <w:t>”</w:t>
      </w:r>
      <w:r w:rsidR="00E15EB3" w:rsidRPr="00E15EB3">
        <w:t xml:space="preserve"> </w:t>
      </w:r>
      <w:r w:rsidR="00486DE9">
        <w:t>comes only three other times (Ex</w:t>
      </w:r>
      <w:r w:rsidR="00B0777A">
        <w:t>od.</w:t>
      </w:r>
      <w:r w:rsidR="00486DE9">
        <w:t xml:space="preserve"> 14:5; </w:t>
      </w:r>
      <w:r w:rsidR="009756F7">
        <w:t>Ps</w:t>
      </w:r>
      <w:r w:rsidR="00B0777A">
        <w:t>.</w:t>
      </w:r>
      <w:r w:rsidR="009756F7">
        <w:t xml:space="preserve"> 105:25</w:t>
      </w:r>
      <w:r w:rsidR="00486DE9">
        <w:t>; Lam</w:t>
      </w:r>
      <w:r w:rsidR="00B0777A">
        <w:t>.</w:t>
      </w:r>
      <w:r w:rsidR="00486DE9">
        <w:t xml:space="preserve"> 1:20), only here of God, and only here with a positive sense of giving up a threatening stance.</w:t>
      </w:r>
      <w:r>
        <w:t xml:space="preserve"> </w:t>
      </w:r>
      <w:r w:rsidR="00E15EB3">
        <w:t xml:space="preserve"> To put it another way, Yahweh has </w:t>
      </w:r>
      <w:r w:rsidR="00B0777A">
        <w:t>“</w:t>
      </w:r>
      <w:r w:rsidR="00E15EB3">
        <w:t>relented.</w:t>
      </w:r>
      <w:r w:rsidR="00B0777A">
        <w:t>”</w:t>
      </w:r>
      <w:r w:rsidR="00846FB6">
        <w:t xml:space="preserve"> </w:t>
      </w:r>
      <w:r w:rsidR="00E15EB3">
        <w:t>Hosea uses the rare noun for relenting</w:t>
      </w:r>
      <w:r w:rsidR="00C2411D">
        <w:t xml:space="preserve"> (</w:t>
      </w:r>
      <w:r w:rsidR="00C2411D">
        <w:rPr>
          <w:i/>
        </w:rPr>
        <w:t>niḥûmîm</w:t>
      </w:r>
      <w:r w:rsidR="00C2411D">
        <w:t>)</w:t>
      </w:r>
      <w:r w:rsidR="00E15EB3">
        <w:t xml:space="preserve">, </w:t>
      </w:r>
      <w:r w:rsidR="00846FB6">
        <w:t xml:space="preserve">but </w:t>
      </w:r>
      <w:r w:rsidR="00E15EB3">
        <w:t xml:space="preserve">talk in terms of relenting </w:t>
      </w:r>
      <w:r w:rsidR="00C2411D">
        <w:t>(</w:t>
      </w:r>
      <w:r w:rsidR="00C2411D">
        <w:rPr>
          <w:i/>
        </w:rPr>
        <w:t xml:space="preserve">nāḥam </w:t>
      </w:r>
      <w:r w:rsidR="00C2411D">
        <w:t xml:space="preserve">niphal) </w:t>
      </w:r>
      <w:r w:rsidR="00E15EB3">
        <w:t xml:space="preserve">is the classic </w:t>
      </w:r>
      <w:r w:rsidR="00C2411D">
        <w:t xml:space="preserve">First Testament way to speak of Yahweh having a change of mind in the sense of giving up one intention and adopting another. Sometimes the verb refers to giving up an intention to bless, but much more commonly it denotes relenting of an intention to bring calamity. </w:t>
      </w:r>
      <w:r w:rsidR="00FF6569">
        <w:t xml:space="preserve">Whereas Ephraim is altogether unwilling to return to Yahweh (v. 6), Yahweh’s </w:t>
      </w:r>
      <w:r w:rsidR="00EC3B3F">
        <w:t xml:space="preserve">deep </w:t>
      </w:r>
      <w:r w:rsidR="00FF6569">
        <w:t>relen</w:t>
      </w:r>
      <w:r w:rsidR="00EC3B3F">
        <w:t xml:space="preserve">ting has altogether </w:t>
      </w:r>
      <w:r w:rsidR="00B0777A">
        <w:t>become ripe and tender: s</w:t>
      </w:r>
      <w:r w:rsidR="00A076C6">
        <w:t>uch is the etymological meaning of the rare verb for “growing warm,” elsewhere used of compassion (Gen</w:t>
      </w:r>
      <w:r w:rsidR="00846FB6">
        <w:t>.</w:t>
      </w:r>
      <w:r w:rsidR="00A076C6">
        <w:t xml:space="preserve"> 43:30; 1 Kings 3:26).</w:t>
      </w:r>
    </w:p>
    <w:p w:rsidR="00400934" w:rsidRDefault="00A076C6" w:rsidP="003F5F85">
      <w:r>
        <w:t>This warming thus overcomes the angry blazing (v. 9</w:t>
      </w:r>
      <w:r w:rsidR="00982046">
        <w:t>a</w:t>
      </w:r>
      <w:r>
        <w:t xml:space="preserve">)—rather surprisingly, given that warmth is less powerful than such heat. </w:t>
      </w:r>
      <w:r w:rsidR="00982046">
        <w:t>The implicit expl</w:t>
      </w:r>
      <w:r w:rsidR="00B0777A">
        <w:t xml:space="preserve">anation </w:t>
      </w:r>
      <w:r w:rsidR="00982046">
        <w:t>lies in the renewed statement in the parallel colon. For Yahweh to implement his anger would be to go back on the stance to Israel that Yahweh took from the beginning (vv. 1, 3-4).</w:t>
      </w:r>
    </w:p>
    <w:p w:rsidR="00982046" w:rsidRDefault="00982046" w:rsidP="003F5F85">
      <w:r>
        <w:t xml:space="preserve">The explicit explanation comes in the tricolon that follows </w:t>
      </w:r>
      <w:r w:rsidR="00A759AB" w:rsidRPr="00A759AB">
        <w:t>(v. 9b</w:t>
      </w:r>
      <w:r w:rsidR="00A759AB">
        <w:t>)</w:t>
      </w:r>
      <w:r w:rsidR="00A759AB" w:rsidRPr="00A759AB">
        <w:t xml:space="preserve"> </w:t>
      </w:r>
      <w:r>
        <w:t xml:space="preserve">and brings the </w:t>
      </w:r>
      <w:r w:rsidR="00C053F0">
        <w:t>section to its initial climax</w:t>
      </w:r>
      <w:r w:rsidR="00B0777A">
        <w:t xml:space="preserve">. </w:t>
      </w:r>
      <w:r w:rsidR="00C053F0">
        <w:t>Yahweh is God and not a h</w:t>
      </w:r>
      <w:r w:rsidR="00B0777A">
        <w:t xml:space="preserve">uman person. It’s natural for </w:t>
      </w:r>
      <w:r w:rsidR="00C053F0">
        <w:t>human being</w:t>
      </w:r>
      <w:r w:rsidR="00B0777A">
        <w:t>s</w:t>
      </w:r>
      <w:r w:rsidR="00C053F0">
        <w:t xml:space="preserve"> not onl</w:t>
      </w:r>
      <w:r w:rsidR="00B0777A">
        <w:t>y to get justifiably angry at</w:t>
      </w:r>
      <w:r w:rsidR="00C053F0">
        <w:t xml:space="preserve"> being treated fa</w:t>
      </w:r>
      <w:r w:rsidR="00846FB6">
        <w:t>ithlessly by offspring,</w:t>
      </w:r>
      <w:r w:rsidR="00B0777A">
        <w:t xml:space="preserve"> </w:t>
      </w:r>
      <w:r w:rsidR="00C053F0">
        <w:t>spouse</w:t>
      </w:r>
      <w:r w:rsidR="00846FB6">
        <w:t>,</w:t>
      </w:r>
      <w:r w:rsidR="00AF3A13">
        <w:t xml:space="preserve"> or ally</w:t>
      </w:r>
      <w:r w:rsidR="00C053F0">
        <w:t>, but also to act on that an</w:t>
      </w:r>
      <w:r w:rsidR="00846FB6">
        <w:t>ger. Yahweh is not bound by this</w:t>
      </w:r>
      <w:r w:rsidR="00C053F0">
        <w:t xml:space="preserve"> logic. To sharpen the point, he is the holy one</w:t>
      </w:r>
      <w:r w:rsidR="00AF3A13">
        <w:t>. “H</w:t>
      </w:r>
      <w:r w:rsidR="00CF054F">
        <w:t>oly</w:t>
      </w:r>
      <w:r w:rsidR="00AF3A13">
        <w:t>”</w:t>
      </w:r>
      <w:r w:rsidR="00CF054F">
        <w:t xml:space="preserve"> is </w:t>
      </w:r>
      <w:r w:rsidR="00AF3A13">
        <w:t>intrinsically a metaphysical term</w:t>
      </w:r>
      <w:r w:rsidR="00CF054F">
        <w:t xml:space="preserve"> not a moral one</w:t>
      </w:r>
      <w:r w:rsidR="00021E0E">
        <w:t>. It designate</w:t>
      </w:r>
      <w:r w:rsidR="00AF3A13">
        <w:t>s</w:t>
      </w:r>
      <w:r w:rsidR="00021E0E">
        <w:t xml:space="preserve"> God as belonging to a different category of being, as a supernatural being. </w:t>
      </w:r>
      <w:r w:rsidR="00AF3A13">
        <w:t>But other gods could be holy in this sense without their being inclined to faithfulness or mercy. T</w:t>
      </w:r>
      <w:r w:rsidR="00021E0E">
        <w:t xml:space="preserve">he implication of Yahweh’s asserting his </w:t>
      </w:r>
      <w:r w:rsidR="00AF3A13">
        <w:t xml:space="preserve">holiness </w:t>
      </w:r>
      <w:r w:rsidR="00021E0E">
        <w:t>is to introduce a moral or characterological aspect to the definition of holiness</w:t>
      </w:r>
      <w:r w:rsidR="00AF3A13">
        <w:t>,</w:t>
      </w:r>
      <w:r w:rsidR="00021E0E">
        <w:t xml:space="preserve"> as it</w:t>
      </w:r>
      <w:r w:rsidR="00846FB6">
        <w:t xml:space="preserve"> applies to Yahweh over against</w:t>
      </w:r>
      <w:r w:rsidR="00021E0E">
        <w:t xml:space="preserve"> other alleged supernatural or divine beings. It is as the holy one that Yahweh does not allow the necessity of punishment to overwhelm the necessity of being consistent to his own faithfulness in relationship</w:t>
      </w:r>
      <w:r w:rsidR="00846FB6">
        <w:t xml:space="preserve"> or </w:t>
      </w:r>
      <w:r w:rsidR="004207EF">
        <w:t xml:space="preserve">commitment; </w:t>
      </w:r>
      <w:r w:rsidR="004207EF">
        <w:rPr>
          <w:i/>
        </w:rPr>
        <w:t xml:space="preserve">ḥesed </w:t>
      </w:r>
      <w:r w:rsidR="00CC0CEE">
        <w:t>is the word Yah</w:t>
      </w:r>
      <w:r w:rsidR="004207EF">
        <w:t>weh could have used in this context</w:t>
      </w:r>
      <w:r w:rsidR="00021E0E">
        <w:t>.</w:t>
      </w:r>
      <w:r w:rsidR="00865F4C">
        <w:t xml:space="preserve"> </w:t>
      </w:r>
      <w:r w:rsidR="00846FB6">
        <w:t>A</w:t>
      </w:r>
      <w:r w:rsidR="00865F4C">
        <w:t>t this moment he does not intend to</w:t>
      </w:r>
      <w:r w:rsidR="00AF3A13">
        <w:t xml:space="preserve"> allow the necessity of punishment to overwhelm the necessity of faithfulness. As the section will go on to make clear</w:t>
      </w:r>
      <w:r w:rsidR="00865F4C">
        <w:t xml:space="preserve">, </w:t>
      </w:r>
      <w:r w:rsidR="0084750D">
        <w:t xml:space="preserve">that </w:t>
      </w:r>
      <w:r w:rsidR="00846FB6">
        <w:t>decision is not final</w:t>
      </w:r>
      <w:r w:rsidR="00AF3A13">
        <w:t>;</w:t>
      </w:r>
      <w:r w:rsidR="0084750D">
        <w:t xml:space="preserve"> it is subject to being rescinded if it continues to receive no po</w:t>
      </w:r>
      <w:r w:rsidR="00AF3A13">
        <w:t>sitive response. H</w:t>
      </w:r>
      <w:r w:rsidR="0084750D">
        <w:t>i</w:t>
      </w:r>
      <w:r w:rsidR="00AF3A13">
        <w:t>storically it did get rescinded;</w:t>
      </w:r>
      <w:r w:rsidR="00DE103F">
        <w:t xml:space="preserve"> Yahweh did bring to an end</w:t>
      </w:r>
      <w:r w:rsidR="0084750D">
        <w:t xml:space="preserve"> Ephraim’s </w:t>
      </w:r>
      <w:r w:rsidR="00DE103F">
        <w:t>life as nation</w:t>
      </w:r>
      <w:r w:rsidR="0084750D">
        <w:t xml:space="preserve">. But meanwhile, </w:t>
      </w:r>
      <w:r w:rsidR="001177C5">
        <w:t>Yahweh will not come against a</w:t>
      </w:r>
      <w:r w:rsidR="0084750D">
        <w:t xml:space="preserve"> town—</w:t>
      </w:r>
      <w:r w:rsidR="001177C5">
        <w:t>perhaps any town in Ephraim, but perhaps Samaria in particular.</w:t>
      </w:r>
    </w:p>
    <w:p w:rsidR="0084750D" w:rsidRDefault="0084750D" w:rsidP="003F5F85"/>
    <w:p w:rsidR="00ED1C1D" w:rsidRDefault="0084750D" w:rsidP="003F5F85">
      <w:r>
        <w:rPr>
          <w:b/>
        </w:rPr>
        <w:t>Hosea 11:10-11.</w:t>
      </w:r>
      <w:r>
        <w:t xml:space="preserve"> </w:t>
      </w:r>
      <w:r w:rsidR="00A52FF9">
        <w:t>So the</w:t>
      </w:r>
      <w:r w:rsidR="00846FB6">
        <w:t>re’</w:t>
      </w:r>
      <w:r w:rsidR="00AF3A13">
        <w:t>s reason to follow Yahweh, b</w:t>
      </w:r>
      <w:r w:rsidR="00A52FF9">
        <w:t>ut the reason to follow him is not confined to his faithfulness</w:t>
      </w:r>
      <w:r w:rsidR="005D13FA">
        <w:t xml:space="preserve"> (v. 10</w:t>
      </w:r>
      <w:r w:rsidR="00A759AB">
        <w:t>abα</w:t>
      </w:r>
      <w:r w:rsidR="005D13FA">
        <w:t>)</w:t>
      </w:r>
      <w:r w:rsidR="004207EF">
        <w:t xml:space="preserve">. </w:t>
      </w:r>
      <w:r w:rsidR="00A52FF9">
        <w:t xml:space="preserve">Yahweh’s bark is worse than his bite, but it is quite a bark, or rather </w:t>
      </w:r>
      <w:r w:rsidR="004207EF">
        <w:t xml:space="preserve">quite a </w:t>
      </w:r>
      <w:r w:rsidR="00A52FF9">
        <w:t xml:space="preserve">roar, and it cannot be </w:t>
      </w:r>
      <w:r w:rsidR="004207EF">
        <w:t xml:space="preserve">ignored. The object of his roar </w:t>
      </w:r>
      <w:r w:rsidR="00846FB6">
        <w:t>is not explicit here: maybe it’s Ephraim, maybe it’</w:t>
      </w:r>
      <w:r w:rsidR="004207EF">
        <w:t xml:space="preserve">s Egypt or Assyria. </w:t>
      </w:r>
    </w:p>
    <w:p w:rsidR="007902D1" w:rsidRDefault="004207EF" w:rsidP="003F5F85">
      <w:r>
        <w:t>Ephraim would be wise to play safe and come back trembling to Samaria</w:t>
      </w:r>
      <w:r w:rsidR="00846FB6">
        <w:t xml:space="preserve"> (v. 10bβ-11aα)</w:t>
      </w:r>
      <w:r>
        <w:t xml:space="preserve">. “Trembling” like other words for fear can be an awed response to </w:t>
      </w:r>
      <w:r w:rsidR="00AF3A13">
        <w:t xml:space="preserve">an </w:t>
      </w:r>
      <w:r>
        <w:t xml:space="preserve">entity that one can also trust, or a fearful response to an entity of which one is afraid. It would do no harm if there is a mixture. </w:t>
      </w:r>
      <w:r w:rsidR="00DD7694">
        <w:t>The fearsomeness of the l</w:t>
      </w:r>
      <w:r w:rsidR="007902D1">
        <w:t xml:space="preserve">ions scares the birds, but </w:t>
      </w:r>
      <w:r w:rsidR="00DD7694">
        <w:t xml:space="preserve">in a good sense. </w:t>
      </w:r>
      <w:r>
        <w:t>The tremblers will come from the sea, which in this context impl</w:t>
      </w:r>
      <w:r w:rsidR="00AF3A13">
        <w:t>ies coming from Egypt; a</w:t>
      </w:r>
      <w:r>
        <w:t xml:space="preserve"> diplomatic journey to Egypt would be as likely made </w:t>
      </w:r>
      <w:r>
        <w:lastRenderedPageBreak/>
        <w:t>by sea as by land (Isa. 30:6 hints</w:t>
      </w:r>
      <w:r w:rsidR="00ED1C1D">
        <w:t xml:space="preserve"> at the reason). The parallel colon makes e</w:t>
      </w:r>
      <w:r w:rsidR="00AF3A13">
        <w:t>xplicit that Egypt is where the tremblers</w:t>
      </w:r>
      <w:r w:rsidR="00ED1C1D">
        <w:t xml:space="preserve"> come from, and their returning all-a-tremble will be a sign that they have given up their illicit diplomatic venture. </w:t>
      </w:r>
      <w:r w:rsidR="00B74C13">
        <w:t xml:space="preserve">Yahweh </w:t>
      </w:r>
      <w:r w:rsidR="00AF3A13">
        <w:t xml:space="preserve">thus </w:t>
      </w:r>
      <w:r w:rsidR="00B74C13">
        <w:t>finally achieves his goal of delivering Israel from Egypt.</w:t>
      </w:r>
      <w:r w:rsidR="00B74C13">
        <w:rPr>
          <w:rStyle w:val="FootnoteReference"/>
        </w:rPr>
        <w:footnoteReference w:id="525"/>
      </w:r>
      <w:r w:rsidR="00B74C13">
        <w:t xml:space="preserve"> </w:t>
      </w:r>
    </w:p>
    <w:p w:rsidR="008F130F" w:rsidRDefault="00AF3A13" w:rsidP="003F5F85">
      <w:r>
        <w:t>T</w:t>
      </w:r>
      <w:r w:rsidR="00ED1C1D">
        <w:t xml:space="preserve">hey will </w:t>
      </w:r>
      <w:r>
        <w:t>equally give up</w:t>
      </w:r>
      <w:r w:rsidR="00ED1C1D">
        <w:t xml:space="preserve"> diplomatic mission</w:t>
      </w:r>
      <w:r w:rsidR="00550115">
        <w:t xml:space="preserve">s to Assyria </w:t>
      </w:r>
      <w:r w:rsidR="005D13FA" w:rsidRPr="005D13FA">
        <w:t>(v. 11aβb</w:t>
      </w:r>
      <w:r w:rsidR="005D13FA">
        <w:t>)</w:t>
      </w:r>
      <w:r w:rsidR="005D13FA" w:rsidRPr="005D13FA">
        <w:t xml:space="preserve"> </w:t>
      </w:r>
      <w:r w:rsidR="00550115">
        <w:t>and come back (implicitly t</w:t>
      </w:r>
      <w:r>
        <w:t>rembling) from there too. T</w:t>
      </w:r>
      <w:r w:rsidR="00550115">
        <w:t>here will be a neat reversal of Yah</w:t>
      </w:r>
      <w:r>
        <w:t>weh’s earlier threats. He</w:t>
      </w:r>
      <w:r w:rsidR="00550115">
        <w:t xml:space="preserve"> had threatened to stop them living in his land and have them live in Egypt and Assyria because that was where they looked to (9:3). Now they will come back tail between their legs from there, and Yahweh will let them live in their own homes. It will also be a ful</w:t>
      </w:r>
      <w:r w:rsidR="00621EF0">
        <w:t>fillment of the promise in 3:3-5</w:t>
      </w:r>
      <w:r w:rsidR="008F130F">
        <w:t>.</w:t>
      </w:r>
      <w:r w:rsidR="00D06DA4">
        <w:t xml:space="preserve"> Whereas Hosea</w:t>
      </w:r>
      <w:r w:rsidR="00D06DA4" w:rsidRPr="00D06DA4">
        <w:t xml:space="preserve"> </w:t>
      </w:r>
      <w:r w:rsidR="00D06DA4">
        <w:t xml:space="preserve">has </w:t>
      </w:r>
      <w:r w:rsidR="00D06DA4" w:rsidRPr="00D06DA4">
        <w:t>swi</w:t>
      </w:r>
      <w:r w:rsidR="00D06DA4">
        <w:t>tched</w:t>
      </w:r>
      <w:r w:rsidR="00D06DA4" w:rsidRPr="00D06DA4">
        <w:t xml:space="preserve"> back</w:t>
      </w:r>
      <w:r w:rsidR="00D06DA4">
        <w:t xml:space="preserve"> to speaking for himself for most of this last subsection</w:t>
      </w:r>
      <w:r w:rsidR="003030D9">
        <w:t xml:space="preserve"> (as in vv. 3aβ, 7b)</w:t>
      </w:r>
      <w:r w:rsidR="00D06DA4">
        <w:t>, he has Yahweh speaking directly again to underscore this last promise.</w:t>
      </w:r>
      <w:r w:rsidR="005D13FA">
        <w:t xml:space="preserve"> </w:t>
      </w:r>
      <w:r>
        <w:t xml:space="preserve">It is further underscored by the closing </w:t>
      </w:r>
      <w:r w:rsidR="00A00F46">
        <w:t>expression “</w:t>
      </w:r>
      <w:r w:rsidR="00C73987">
        <w:t>Yahweh’s proclamation</w:t>
      </w:r>
      <w:r w:rsidR="00B62C83">
        <w:t>.</w:t>
      </w:r>
      <w:r w:rsidR="00A00F46">
        <w:t xml:space="preserve">” </w:t>
      </w:r>
      <w:r w:rsidR="00B62C83">
        <w:t xml:space="preserve">In Hosea the phrase </w:t>
      </w:r>
      <w:r w:rsidR="00A00F46">
        <w:t>places some emphasis on what precedes</w:t>
      </w:r>
      <w:r w:rsidR="00B62C83">
        <w:t>,</w:t>
      </w:r>
      <w:r w:rsidR="007902D1">
        <w:t xml:space="preserve"> though</w:t>
      </w:r>
      <w:r w:rsidR="00A00F46">
        <w:t xml:space="preserve"> it does not mark the end of a section (see 2:13, 16, 21 [15, 18, 21]). </w:t>
      </w:r>
      <w:r w:rsidR="00722180">
        <w:t>The same usage is characteristic of other Prophets (</w:t>
      </w:r>
      <w:r w:rsidR="00722180" w:rsidRPr="00722180">
        <w:t xml:space="preserve">e.g. </w:t>
      </w:r>
      <w:r w:rsidR="00722180">
        <w:t xml:space="preserve">Amos </w:t>
      </w:r>
      <w:r w:rsidR="00722180" w:rsidRPr="00722180">
        <w:t>2:11; 3:10, 13; 4:6, 8, 9, 10, 11; 6:8, 14; 8:3, 9, 11; 9:7, 8, 12, 13)</w:t>
      </w:r>
      <w:r w:rsidR="00722180">
        <w:t xml:space="preserve"> though </w:t>
      </w:r>
      <w:r w:rsidR="00B62C83">
        <w:t xml:space="preserve">there </w:t>
      </w:r>
      <w:r w:rsidR="00722180">
        <w:t>it</w:t>
      </w:r>
      <w:r w:rsidR="00E111F2">
        <w:t xml:space="preserve"> occasionally appears at the end of a </w:t>
      </w:r>
      <w:r w:rsidR="00CB6D4F">
        <w:t>sub</w:t>
      </w:r>
      <w:r w:rsidR="00E111F2">
        <w:t>section (e.g., Amos 2:16; 3:15; 4:3</w:t>
      </w:r>
      <w:r w:rsidR="00722180">
        <w:t>, 5).</w:t>
      </w:r>
      <w:r w:rsidR="00E111F2">
        <w:t xml:space="preserve"> Generally, then</w:t>
      </w:r>
      <w:r w:rsidR="000C4B5C">
        <w:t>,</w:t>
      </w:r>
      <w:r w:rsidR="00E111F2">
        <w:t xml:space="preserve"> it suggests “What I have just said is particularly important, so think about it, but I am not done yet.” </w:t>
      </w:r>
      <w:r w:rsidR="00B62C83">
        <w:t xml:space="preserve">Such </w:t>
      </w:r>
      <w:r w:rsidR="00A00F46">
        <w:t xml:space="preserve">is </w:t>
      </w:r>
      <w:r w:rsidR="00B62C83">
        <w:t xml:space="preserve">the case </w:t>
      </w:r>
      <w:r w:rsidR="00A00F46">
        <w:t>here.</w:t>
      </w:r>
    </w:p>
    <w:p w:rsidR="00615825" w:rsidRDefault="00615825" w:rsidP="003F5F85"/>
    <w:p w:rsidR="000C4B5C" w:rsidRDefault="001C7128" w:rsidP="003F5F85">
      <w:r>
        <w:rPr>
          <w:b/>
        </w:rPr>
        <w:t>Hosea 11:12—12:1</w:t>
      </w:r>
      <w:r w:rsidR="000C4B5C">
        <w:rPr>
          <w:b/>
        </w:rPr>
        <w:t xml:space="preserve"> [12:1-2</w:t>
      </w:r>
      <w:r w:rsidR="00615825">
        <w:rPr>
          <w:b/>
        </w:rPr>
        <w:t xml:space="preserve">]. </w:t>
      </w:r>
      <w:r w:rsidR="00615825">
        <w:t xml:space="preserve">It would be encouraging if the section ended at v. 11 but </w:t>
      </w:r>
      <w:r w:rsidR="00C024E0">
        <w:t>Hosea’s message is generally more ambiguous</w:t>
      </w:r>
      <w:r w:rsidR="00526A72">
        <w:t>, so it’s not surprising that it doesn’</w:t>
      </w:r>
      <w:r w:rsidR="002C71A3">
        <w:t xml:space="preserve">t end there. </w:t>
      </w:r>
      <w:r w:rsidR="00243856">
        <w:t>Yahweh continues to speak in th</w:t>
      </w:r>
      <w:r w:rsidR="007902D1">
        <w:t xml:space="preserve">ese final verses, reminding </w:t>
      </w:r>
      <w:r w:rsidR="00243856">
        <w:t>listeners of the background to his</w:t>
      </w:r>
      <w:r w:rsidR="007902D1">
        <w:t xml:space="preserve"> promises or </w:t>
      </w:r>
      <w:r w:rsidR="002C71A3">
        <w:t xml:space="preserve">declarations of intent </w:t>
      </w:r>
      <w:r w:rsidR="007902D1">
        <w:t>in vv. 10-11</w:t>
      </w:r>
      <w:r w:rsidR="00243856">
        <w:t xml:space="preserve"> by taking up and developing the accusations in the opening of the section and restating accusati</w:t>
      </w:r>
      <w:r w:rsidR="007902D1">
        <w:t xml:space="preserve">ons from earlier in the scroll. They cannot simply be ignored in light of those promises and declarations. </w:t>
      </w:r>
    </w:p>
    <w:p w:rsidR="00B219D3" w:rsidRDefault="007902D1" w:rsidP="003F5F85">
      <w:r>
        <w:t xml:space="preserve">It is still the case </w:t>
      </w:r>
      <w:r w:rsidR="000C4B5C">
        <w:t xml:space="preserve">(11:12a [12:1a]) </w:t>
      </w:r>
      <w:r>
        <w:t>that Yahweh</w:t>
      </w:r>
      <w:r w:rsidR="00243856">
        <w:t xml:space="preserve"> dwells among them (v. 9), so they surround him—with deceit and lies.</w:t>
      </w:r>
      <w:r w:rsidR="00243856">
        <w:rPr>
          <w:rStyle w:val="FootnoteReference"/>
        </w:rPr>
        <w:footnoteReference w:id="526"/>
      </w:r>
      <w:r w:rsidR="00405661">
        <w:t xml:space="preserve"> Hosea</w:t>
      </w:r>
      <w:r w:rsidR="005926A3">
        <w:t xml:space="preserve"> has mostly spoken of falsehood </w:t>
      </w:r>
      <w:r w:rsidR="00405661">
        <w:t>as characterizing the nation</w:t>
      </w:r>
      <w:r w:rsidR="005926A3">
        <w:t>’</w:t>
      </w:r>
      <w:r w:rsidR="00405661">
        <w:t>s internal life and leading to its coups, but he has also indicated that it characterizes Ephraim’s relationship with Yahweh</w:t>
      </w:r>
      <w:r w:rsidR="005926A3">
        <w:t>.</w:t>
      </w:r>
      <w:r>
        <w:t xml:space="preserve"> Ephraim</w:t>
      </w:r>
      <w:r w:rsidR="00405661">
        <w:t xml:space="preserve"> claim</w:t>
      </w:r>
      <w:r w:rsidR="002F4350">
        <w:t>s</w:t>
      </w:r>
      <w:r w:rsidR="00405661">
        <w:t xml:space="preserve"> to be committed to Yahwe</w:t>
      </w:r>
      <w:r>
        <w:t>h and reliant on him</w:t>
      </w:r>
      <w:r w:rsidR="002F4350">
        <w:t>, but its</w:t>
      </w:r>
      <w:r w:rsidR="005926A3">
        <w:t xml:space="preserve"> </w:t>
      </w:r>
      <w:r w:rsidR="005926A3" w:rsidRPr="005926A3">
        <w:t>deception (4:</w:t>
      </w:r>
      <w:r>
        <w:t>2; 7:3; 10:13) and lying (7:16) include</w:t>
      </w:r>
      <w:r w:rsidR="005926A3">
        <w:t xml:space="preserve">s </w:t>
      </w:r>
      <w:r>
        <w:t xml:space="preserve">also </w:t>
      </w:r>
      <w:r w:rsidR="005926A3">
        <w:t>making</w:t>
      </w:r>
      <w:r w:rsidR="00405661">
        <w:t xml:space="preserve"> commitments to other deities and rely</w:t>
      </w:r>
      <w:r w:rsidR="005926A3">
        <w:t>ing on alliances with other peoples.</w:t>
      </w:r>
      <w:r w:rsidR="00B219D3">
        <w:t xml:space="preserve"> And Judah is no better</w:t>
      </w:r>
      <w:r w:rsidR="005926A3">
        <w:t xml:space="preserve">. </w:t>
      </w:r>
      <w:r>
        <w:t>T</w:t>
      </w:r>
      <w:r w:rsidR="002F4350">
        <w:t xml:space="preserve">he </w:t>
      </w:r>
      <w:r>
        <w:t>scroll again</w:t>
      </w:r>
      <w:r w:rsidR="002F4350">
        <w:t xml:space="preserve"> makes clear that its</w:t>
      </w:r>
      <w:r w:rsidR="00E64ABA">
        <w:t xml:space="preserve"> criti</w:t>
      </w:r>
      <w:r w:rsidR="00665027">
        <w:t xml:space="preserve">que of Ephraim by no means implies approval of </w:t>
      </w:r>
      <w:r w:rsidR="00E64ABA">
        <w:t>Judah (</w:t>
      </w:r>
      <w:r w:rsidR="00665027">
        <w:t xml:space="preserve">see </w:t>
      </w:r>
      <w:r w:rsidR="00E64ABA">
        <w:t>5:5, 10, 13, 14; 6:4</w:t>
      </w:r>
      <w:r>
        <w:t>, 11; 8:14; 10:11), which may</w:t>
      </w:r>
      <w:r w:rsidR="00E64ABA">
        <w:t xml:space="preserve"> be strangely comforting to Ephraim; it also makes it impossible for Judah to read the scroll in a way that offers false assurance. </w:t>
      </w:r>
    </w:p>
    <w:p w:rsidR="005926A3" w:rsidRDefault="00E64ABA" w:rsidP="003F5F85">
      <w:r>
        <w:t xml:space="preserve">Hosea </w:t>
      </w:r>
      <w:r w:rsidR="00665027">
        <w:t xml:space="preserve">then </w:t>
      </w:r>
      <w:r w:rsidR="002F4350">
        <w:t xml:space="preserve">offers a distinctive </w:t>
      </w:r>
      <w:r w:rsidR="00665027">
        <w:t>re</w:t>
      </w:r>
      <w:r w:rsidR="00D50AB0">
        <w:t>-expression of his critique</w:t>
      </w:r>
      <w:r w:rsidR="000C4B5C">
        <w:t xml:space="preserve"> (11:</w:t>
      </w:r>
      <w:r w:rsidR="00665027">
        <w:t>12b</w:t>
      </w:r>
      <w:r w:rsidR="000C4B5C">
        <w:t xml:space="preserve"> [12:1b]</w:t>
      </w:r>
      <w:r w:rsidR="00665027">
        <w:t>)</w:t>
      </w:r>
      <w:r w:rsidR="00B63F95">
        <w:t>. Esau the</w:t>
      </w:r>
      <w:r w:rsidR="002F4350">
        <w:t xml:space="preserve"> restive and restless wanderer wa</w:t>
      </w:r>
      <w:r w:rsidR="00B63F95">
        <w:t>s a drifter, in contrast to</w:t>
      </w:r>
      <w:r w:rsidR="00B63F95" w:rsidRPr="00B63F95">
        <w:t xml:space="preserve"> Jacob (Gen. 27:40), </w:t>
      </w:r>
      <w:r w:rsidR="00B63F95">
        <w:t xml:space="preserve">and Jeremiah reports Judah acknowledging  that it has drifted or wandered away from Yahweh (Jer. 2:31). </w:t>
      </w:r>
      <w:r w:rsidR="00665027">
        <w:t xml:space="preserve">So Ephraim or Judah </w:t>
      </w:r>
      <w:r w:rsidR="002F4350">
        <w:t>drifting</w:t>
      </w:r>
      <w:r w:rsidR="00665027">
        <w:t xml:space="preserve"> in their</w:t>
      </w:r>
      <w:r w:rsidR="001C3B39">
        <w:t xml:space="preserve"> relationship with</w:t>
      </w:r>
      <w:r w:rsidR="002F4350">
        <w:t xml:space="preserve"> Yahweh really means</w:t>
      </w:r>
      <w:r w:rsidR="00554EF4">
        <w:t xml:space="preserve"> drifting away from Yahweh. </w:t>
      </w:r>
      <w:r w:rsidR="001C3B39">
        <w:t xml:space="preserve">The parallel colon </w:t>
      </w:r>
      <w:r w:rsidR="000C4B5C">
        <w:t>underlines the scandal. They’</w:t>
      </w:r>
      <w:r w:rsidR="00665027">
        <w:t>ve been drifting in their</w:t>
      </w:r>
      <w:r w:rsidR="001C3B39">
        <w:t xml:space="preserve"> relationship with the supremely Holy One (Hosea uses the plural of majesty) who is himself the truthful one. </w:t>
      </w:r>
      <w:r w:rsidR="00AD50FD">
        <w:t>An irony here is that</w:t>
      </w:r>
      <w:r w:rsidR="001C3B39">
        <w:t xml:space="preserve"> </w:t>
      </w:r>
      <w:r w:rsidR="00250E88">
        <w:t xml:space="preserve">holy </w:t>
      </w:r>
      <w:r w:rsidR="001C3B39">
        <w:t>ones or</w:t>
      </w:r>
      <w:r w:rsidR="00250E88">
        <w:t xml:space="preserve"> (semi)-</w:t>
      </w:r>
      <w:r w:rsidR="001C3B39">
        <w:t>divine beings</w:t>
      </w:r>
      <w:r w:rsidR="002F4350">
        <w:t>,</w:t>
      </w:r>
      <w:r w:rsidR="00AD50FD">
        <w:t xml:space="preserve"> </w:t>
      </w:r>
      <w:r w:rsidR="00250E88">
        <w:t>and also Yahweh’s own truthfulness</w:t>
      </w:r>
      <w:r w:rsidR="00DC7B31">
        <w:t>,</w:t>
      </w:r>
      <w:r w:rsidR="00250E88">
        <w:t xml:space="preserve"> “surround” Yahweh (Ps. 89:7-8 [8-9]).</w:t>
      </w:r>
      <w:r w:rsidR="001C3B39">
        <w:t xml:space="preserve"> </w:t>
      </w:r>
      <w:r w:rsidR="002F4350">
        <w:t>Ephraim and Judah</w:t>
      </w:r>
      <w:r w:rsidR="00665027">
        <w:t xml:space="preserve"> have</w:t>
      </w:r>
      <w:r w:rsidR="00AD50FD">
        <w:t xml:space="preserve"> managed to surround Yahweh with lies an</w:t>
      </w:r>
      <w:r w:rsidR="00D50AB0">
        <w:t xml:space="preserve">d deceit (cf. 7:2) and </w:t>
      </w:r>
      <w:r w:rsidR="00665027">
        <w:t>have</w:t>
      </w:r>
      <w:r w:rsidR="00AD50FD">
        <w:t xml:space="preserve"> also </w:t>
      </w:r>
      <w:r w:rsidR="001C3B39">
        <w:t>ignored the</w:t>
      </w:r>
      <w:r w:rsidR="00AD50FD">
        <w:t xml:space="preserve"> truthfulness</w:t>
      </w:r>
      <w:r w:rsidR="001C3B39">
        <w:t xml:space="preserve"> that not only surrounds but characterizes</w:t>
      </w:r>
      <w:r w:rsidR="00AD50FD">
        <w:t xml:space="preserve"> </w:t>
      </w:r>
      <w:r w:rsidR="001C3B39">
        <w:t>the H</w:t>
      </w:r>
      <w:r w:rsidR="00AD50FD">
        <w:t>ol</w:t>
      </w:r>
      <w:r w:rsidR="001C3B39">
        <w:t>y One</w:t>
      </w:r>
      <w:r w:rsidR="00AD50FD">
        <w:t>.</w:t>
      </w:r>
      <w:r w:rsidR="002F4350">
        <w:t xml:space="preserve"> Another irony is that the </w:t>
      </w:r>
      <w:r w:rsidR="000C4B5C">
        <w:t xml:space="preserve">implicit </w:t>
      </w:r>
      <w:r w:rsidR="002F4350">
        <w:t>comparison with Esau foreshadows the focus on Jacob in the next section.</w:t>
      </w:r>
    </w:p>
    <w:p w:rsidR="009B50F7" w:rsidRDefault="00F41375" w:rsidP="003F5F85">
      <w:r>
        <w:t xml:space="preserve">Ephraim </w:t>
      </w:r>
      <w:r w:rsidR="009B50F7">
        <w:t xml:space="preserve">is </w:t>
      </w:r>
      <w:r w:rsidR="00DC7B31">
        <w:t xml:space="preserve">thus </w:t>
      </w:r>
      <w:r w:rsidR="009B50F7">
        <w:t>behaving in a way that is also effectively aimless</w:t>
      </w:r>
      <w:r w:rsidR="00960BF8">
        <w:t xml:space="preserve"> </w:t>
      </w:r>
      <w:r w:rsidR="001C7128">
        <w:t>(12:1</w:t>
      </w:r>
      <w:r w:rsidR="000C4B5C">
        <w:t xml:space="preserve"> [2] </w:t>
      </w:r>
      <w:r w:rsidR="00D50AB0">
        <w:t>aαβ</w:t>
      </w:r>
      <w:r w:rsidR="00DC7B31" w:rsidRPr="00DC7B31">
        <w:t>)</w:t>
      </w:r>
      <w:r w:rsidR="000C4B5C">
        <w:t xml:space="preserve">, </w:t>
      </w:r>
      <w:r w:rsidR="000C4B5C" w:rsidRPr="000C4B5C">
        <w:t>certainly fruitless</w:t>
      </w:r>
      <w:r w:rsidR="00960BF8">
        <w:t>. Hosea spoke earli</w:t>
      </w:r>
      <w:r w:rsidR="00DC7B31">
        <w:t>er of sowing wind</w:t>
      </w:r>
      <w:r w:rsidR="001E43D3">
        <w:t xml:space="preserve"> (8:7)</w:t>
      </w:r>
      <w:r w:rsidR="00DC7B31">
        <w:t>, in what looked</w:t>
      </w:r>
      <w:r w:rsidR="00973412">
        <w:t xml:space="preserve"> like a familiar aphorism. P</w:t>
      </w:r>
      <w:r w:rsidR="00960BF8">
        <w:t>erhaps this further line about winds is another aphorism. Trying to</w:t>
      </w:r>
      <w:r w:rsidR="00973412">
        <w:t xml:space="preserve"> shepherd </w:t>
      </w:r>
      <w:r>
        <w:t>wind is foolish. Chas</w:t>
      </w:r>
      <w:r w:rsidR="00960BF8">
        <w:t>ing the east wind</w:t>
      </w:r>
      <w:r w:rsidR="00326945">
        <w:t xml:space="preserve"> </w:t>
      </w:r>
      <w:r w:rsidR="00960BF8">
        <w:lastRenderedPageBreak/>
        <w:t>is even more foolish</w:t>
      </w:r>
      <w:r w:rsidR="00326945">
        <w:t xml:space="preserve">, because it is the fierce </w:t>
      </w:r>
      <w:r w:rsidR="006859CC">
        <w:t xml:space="preserve">and destructive </w:t>
      </w:r>
      <w:r w:rsidR="00326945">
        <w:t>hot wind off the desert.</w:t>
      </w:r>
      <w:r w:rsidR="00542ECE">
        <w:t xml:space="preserve"> </w:t>
      </w:r>
      <w:r w:rsidR="00542ECE" w:rsidRPr="00542ECE">
        <w:t>“Ephraim the alliance-seeker was therefore Ephraim the idiot.”</w:t>
      </w:r>
      <w:r w:rsidR="00542ECE">
        <w:rPr>
          <w:rStyle w:val="FootnoteReference"/>
        </w:rPr>
        <w:footnoteReference w:id="527"/>
      </w:r>
    </w:p>
    <w:p w:rsidR="00326945" w:rsidRPr="00615825" w:rsidRDefault="00326945" w:rsidP="003F5F85">
      <w:r>
        <w:t xml:space="preserve">The interpretation of the metaphor </w:t>
      </w:r>
      <w:r w:rsidR="00D50AB0">
        <w:t>(12:1</w:t>
      </w:r>
      <w:r w:rsidR="000C4B5C">
        <w:t xml:space="preserve"> [2] </w:t>
      </w:r>
      <w:r w:rsidR="00D50AB0">
        <w:t xml:space="preserve">aγb) </w:t>
      </w:r>
      <w:r>
        <w:t>closes the section</w:t>
      </w:r>
      <w:r w:rsidR="00973412">
        <w:t xml:space="preserve"> and restates how</w:t>
      </w:r>
      <w:r w:rsidR="00AA6A6D">
        <w:t xml:space="preserve"> Ephraim surrounds Yahweh with lies. It</w:t>
      </w:r>
      <w:r>
        <w:t xml:space="preserve"> is continuo</w:t>
      </w:r>
      <w:r w:rsidR="00AA6A6D">
        <w:t>usly engaged in multiplying deceit</w:t>
      </w:r>
      <w:r w:rsidR="00973412">
        <w:t>. T</w:t>
      </w:r>
      <w:r>
        <w:t xml:space="preserve">he stupidity of </w:t>
      </w:r>
      <w:r w:rsidR="00D50AB0">
        <w:t>its policy lies in how</w:t>
      </w:r>
      <w:r>
        <w:t xml:space="preserve"> it is thereby multiplying the dimensions of its own coming devastation (se</w:t>
      </w:r>
      <w:r w:rsidR="00973412">
        <w:t>e 7:13; 9:6; 10:14)</w:t>
      </w:r>
      <w:r w:rsidR="00D50AB0">
        <w:t>,</w:t>
      </w:r>
      <w:r w:rsidR="00973412">
        <w:t xml:space="preserve"> which</w:t>
      </w:r>
      <w:r>
        <w:t xml:space="preserve"> will come about because of the deceit involved in its </w:t>
      </w:r>
      <w:r w:rsidR="000C4B5C">
        <w:t xml:space="preserve">alliances with Assyria and </w:t>
      </w:r>
      <w:r>
        <w:t>Egypt</w:t>
      </w:r>
      <w:r w:rsidR="00D50AB0">
        <w:t>. It’</w:t>
      </w:r>
      <w:r w:rsidR="00CD01EB">
        <w:t>s m</w:t>
      </w:r>
      <w:r w:rsidR="00E72ADF">
        <w:t>ak</w:t>
      </w:r>
      <w:r w:rsidR="00CD01EB">
        <w:t xml:space="preserve">ing a pact with </w:t>
      </w:r>
      <w:r w:rsidR="00973412">
        <w:t xml:space="preserve">one while </w:t>
      </w:r>
      <w:r w:rsidR="00CD01EB">
        <w:t xml:space="preserve">hedging its bets by </w:t>
      </w:r>
      <w:r w:rsidR="00973412">
        <w:t>undertaking</w:t>
      </w:r>
      <w:r w:rsidR="00E72ADF">
        <w:t xml:space="preserve"> </w:t>
      </w:r>
      <w:r w:rsidR="00973412">
        <w:t xml:space="preserve">simultaneous </w:t>
      </w:r>
      <w:r w:rsidR="00E72ADF">
        <w:t xml:space="preserve">negotiations with </w:t>
      </w:r>
      <w:r w:rsidR="00973412">
        <w:t xml:space="preserve">the other. </w:t>
      </w:r>
      <w:r w:rsidR="00E72ADF">
        <w:t>Israel is a major prod</w:t>
      </w:r>
      <w:r w:rsidR="00973412">
        <w:t>ucer of olive oil and Egypt ha</w:t>
      </w:r>
      <w:r w:rsidR="00E72ADF">
        <w:t xml:space="preserve">s to import it, so exporting oil there </w:t>
      </w:r>
      <w:r w:rsidR="00973412">
        <w:t>will be part of the negotiation. Further, while t</w:t>
      </w:r>
      <w:r>
        <w:t xml:space="preserve">he point </w:t>
      </w:r>
      <w:r w:rsidR="00E72ADF">
        <w:t xml:space="preserve">about deceit and devastation applies on a </w:t>
      </w:r>
      <w:r>
        <w:t xml:space="preserve">political level </w:t>
      </w:r>
      <w:r w:rsidR="00973412">
        <w:t>(see 2 Kings 17:4-5),</w:t>
      </w:r>
      <w:r w:rsidR="00E72ADF">
        <w:t xml:space="preserve"> Ephraim’s more profound faithlessnes</w:t>
      </w:r>
      <w:r w:rsidR="00973412">
        <w:t>s l</w:t>
      </w:r>
      <w:r w:rsidR="00D50AB0">
        <w:t>ies in relation to Yahweh. It</w:t>
      </w:r>
      <w:r w:rsidR="00E72ADF">
        <w:t xml:space="preserve"> has no business making a </w:t>
      </w:r>
      <w:r w:rsidR="00973412">
        <w:t xml:space="preserve">pact or </w:t>
      </w:r>
      <w:r w:rsidR="00E72ADF">
        <w:t xml:space="preserve">covenant with anyone else. </w:t>
      </w:r>
    </w:p>
    <w:p w:rsidR="00400934" w:rsidRDefault="00400934" w:rsidP="001D3546">
      <w:pPr>
        <w:pStyle w:val="Heading2"/>
      </w:pPr>
      <w:r>
        <w:t>Theological Implications</w:t>
      </w:r>
    </w:p>
    <w:p w:rsidR="00681B12" w:rsidRDefault="0040207F" w:rsidP="009652A7">
      <w:pPr>
        <w:pStyle w:val="ListParagraph"/>
        <w:numPr>
          <w:ilvl w:val="0"/>
          <w:numId w:val="12"/>
        </w:numPr>
        <w:ind w:left="360"/>
      </w:pPr>
      <w:r>
        <w:t xml:space="preserve">Matthew 2:15 declares that </w:t>
      </w:r>
      <w:r w:rsidR="0081702C">
        <w:t xml:space="preserve">Jesus’s </w:t>
      </w:r>
      <w:r>
        <w:t>being taken to Egypt happened to fill or</w:t>
      </w:r>
      <w:r w:rsidR="002F2D02">
        <w:t xml:space="preserve"> fill out or fill up what God spoke</w:t>
      </w:r>
      <w:r>
        <w:t xml:space="preserve"> by means of the prophet in Hosea 11:1. </w:t>
      </w:r>
      <w:r w:rsidR="00E611F2">
        <w:t xml:space="preserve">There is no precedent in Jewish interpretation for a messianic understanding of the text. </w:t>
      </w:r>
      <w:r>
        <w:t>Commentators such as Jerome and Calvin</w:t>
      </w:r>
      <w:r w:rsidR="002B375B">
        <w:t xml:space="preserve"> acknowledg</w:t>
      </w:r>
      <w:r w:rsidR="00E611F2">
        <w:t xml:space="preserve">e the gap between Matthew’s statement and the contextual </w:t>
      </w:r>
      <w:r w:rsidR="002B375B">
        <w:t>meaning of Hosea’s declara</w:t>
      </w:r>
      <w:r w:rsidR="00D50AB0">
        <w:t>tion, though</w:t>
      </w:r>
      <w:r w:rsidR="002B375B">
        <w:t xml:space="preserve"> Theodore omits even to mention Matthew.</w:t>
      </w:r>
      <w:r w:rsidR="002B375B">
        <w:rPr>
          <w:rStyle w:val="FootnoteReference"/>
        </w:rPr>
        <w:footnoteReference w:id="528"/>
      </w:r>
      <w:r w:rsidR="00D50AB0">
        <w:t xml:space="preserve"> </w:t>
      </w:r>
      <w:r w:rsidR="00681B12">
        <w:t xml:space="preserve">Jerome justifies Matthew’s application to Jesus on the basis of </w:t>
      </w:r>
      <w:r w:rsidR="00D50AB0">
        <w:t>the typology that</w:t>
      </w:r>
      <w:r w:rsidR="00681B12">
        <w:t xml:space="preserve"> is more explicit in Galatians 4.</w:t>
      </w:r>
      <w:r w:rsidR="00681B12">
        <w:rPr>
          <w:rStyle w:val="FootnoteReference"/>
        </w:rPr>
        <w:footnoteReference w:id="529"/>
      </w:r>
      <w:r w:rsidR="00D50AB0">
        <w:t xml:space="preserve"> Calvin likewise</w:t>
      </w:r>
      <w:r w:rsidR="002B375B">
        <w:t xml:space="preserve"> declares that it is not enough to say that there was simply a comparison between the two sojourns in Egypt.</w:t>
      </w:r>
    </w:p>
    <w:p w:rsidR="002B375B" w:rsidRDefault="002B375B" w:rsidP="00DD3A10">
      <w:pPr>
        <w:pStyle w:val="Quote"/>
        <w:rPr>
          <w:rFonts w:eastAsia="Times New Roman"/>
        </w:rPr>
      </w:pPr>
    </w:p>
    <w:p w:rsidR="005C45DE" w:rsidRDefault="00020F79" w:rsidP="00DD3A10">
      <w:pPr>
        <w:pStyle w:val="Quote"/>
      </w:pPr>
      <w:r>
        <w:t>For it behaves us to consider this, that God, when he formerly redeemed his people from Egypt, only showed by a certain prelude the redemption which he deferred till the coming of Christ. Hence, as the body was then brought forth from Egypt into Judea, so at length the head also came forth from Egypt: and then God fully showed him to be the true deliverer of his people. This then is the meaning. Matthew therefore most fitly accommodates this passage to Christ, that God loved his Son from his first childhood and called him from Egypt.</w:t>
      </w:r>
      <w:r>
        <w:rPr>
          <w:rStyle w:val="FootnoteReference"/>
        </w:rPr>
        <w:footnoteReference w:id="530"/>
      </w:r>
    </w:p>
    <w:p w:rsidR="00AE4742" w:rsidRDefault="00AE4742" w:rsidP="00AE4742">
      <w:pPr>
        <w:rPr>
          <w:lang w:bidi="he-IL"/>
        </w:rPr>
      </w:pPr>
    </w:p>
    <w:p w:rsidR="00AE4742" w:rsidRDefault="00AE4742" w:rsidP="00AE4742">
      <w:pPr>
        <w:ind w:left="360" w:firstLine="0"/>
        <w:rPr>
          <w:lang w:bidi="he-IL"/>
        </w:rPr>
      </w:pPr>
      <w:r>
        <w:rPr>
          <w:lang w:bidi="he-IL"/>
        </w:rPr>
        <w:t>While there are appeals to typology in Paul here and elsewhere, neither here nor in his other quotations does Matthew indicate that he thinks in these terms. The typological explanation appeals to interpreters who feel the need to defend Hosea on some rational basis because of the attacks of people who dispute his use of the Scriptures (as Jerome acknowledges he needs to) or because they are themselves more comfortable if they can give a rational accoun</w:t>
      </w:r>
      <w:r w:rsidR="00DA03B4">
        <w:rPr>
          <w:lang w:bidi="he-IL"/>
        </w:rPr>
        <w:t>t of Matthew’s interpretation. But e</w:t>
      </w:r>
      <w:r>
        <w:rPr>
          <w:lang w:bidi="he-IL"/>
        </w:rPr>
        <w:t>lsewhere the New Testament is more inclined to associate the Holy Spirit with such interpretation, and this is more likely Matthew’s inclination. The Holy Spirit was involved in inspiring Hosea to speak to Ephraim in the way he does, with the significance that Theodore finds in his prophecy. But the Holy Spirit was also involved in inspiring Hosea to speak in words that would be open to being applied to Jesus. This latent second meaning was no</w:t>
      </w:r>
      <w:r w:rsidR="003443FE">
        <w:rPr>
          <w:lang w:bidi="he-IL"/>
        </w:rPr>
        <w:t>t</w:t>
      </w:r>
      <w:r>
        <w:rPr>
          <w:lang w:bidi="he-IL"/>
        </w:rPr>
        <w:t xml:space="preserve"> available to Hosea</w:t>
      </w:r>
      <w:r w:rsidR="003A640B">
        <w:rPr>
          <w:lang w:bidi="he-IL"/>
        </w:rPr>
        <w:t xml:space="preserve"> or his listeners; it became av</w:t>
      </w:r>
      <w:r>
        <w:rPr>
          <w:lang w:bidi="he-IL"/>
        </w:rPr>
        <w:t>a</w:t>
      </w:r>
      <w:r w:rsidR="003A640B">
        <w:rPr>
          <w:lang w:bidi="he-IL"/>
        </w:rPr>
        <w:t>i</w:t>
      </w:r>
      <w:r>
        <w:rPr>
          <w:lang w:bidi="he-IL"/>
        </w:rPr>
        <w:t>l</w:t>
      </w:r>
      <w:r w:rsidR="003A640B">
        <w:rPr>
          <w:lang w:bidi="he-IL"/>
        </w:rPr>
        <w:t>ab</w:t>
      </w:r>
      <w:r>
        <w:rPr>
          <w:lang w:bidi="he-IL"/>
        </w:rPr>
        <w:t>l</w:t>
      </w:r>
      <w:r w:rsidR="003A640B">
        <w:rPr>
          <w:lang w:bidi="he-IL"/>
        </w:rPr>
        <w:t>e</w:t>
      </w:r>
      <w:r>
        <w:rPr>
          <w:lang w:bidi="he-IL"/>
        </w:rPr>
        <w:t xml:space="preserve"> only when someone such as Matthew, inspired by the Holy Spirit</w:t>
      </w:r>
      <w:r w:rsidR="003A640B">
        <w:rPr>
          <w:lang w:bidi="he-IL"/>
        </w:rPr>
        <w:t>, spotted the words’ applicability to Jesus. While some such applications to Jesus can be given a typological interpretation, n</w:t>
      </w:r>
      <w:r w:rsidR="00DA03B4">
        <w:rPr>
          <w:lang w:bidi="he-IL"/>
        </w:rPr>
        <w:t>ot all of them can, so it is hardly</w:t>
      </w:r>
      <w:r w:rsidR="003A640B">
        <w:rPr>
          <w:lang w:bidi="he-IL"/>
        </w:rPr>
        <w:t xml:space="preserve"> the basic principle involved in Matthew’s interpretation.</w:t>
      </w:r>
    </w:p>
    <w:p w:rsidR="00A71046" w:rsidRDefault="002F2D02" w:rsidP="009652A7">
      <w:pPr>
        <w:pStyle w:val="ListParagraph"/>
        <w:numPr>
          <w:ilvl w:val="0"/>
          <w:numId w:val="12"/>
        </w:numPr>
        <w:ind w:left="360"/>
      </w:pPr>
      <w:r>
        <w:lastRenderedPageBreak/>
        <w:t>God</w:t>
      </w:r>
      <w:r w:rsidR="0046666C">
        <w:t>’s summons to Israel finds a counterpart in Jesus’</w:t>
      </w:r>
      <w:r w:rsidR="003443FE">
        <w:t>s</w:t>
      </w:r>
      <w:r w:rsidR="0046666C">
        <w:t xml:space="preserve"> summons of disciples. One could say that Jesus put Peter and Andrew, James and John onto their feet. They are challenged to follow him, as Israel was (v. 10). Their shortcomings as followers were less spectacular than Ephraim’s, but the restoration of a disciple who denies k</w:t>
      </w:r>
      <w:r w:rsidR="003443FE">
        <w:t xml:space="preserve">nowing Jesus is for him a </w:t>
      </w:r>
      <w:r w:rsidR="0046666C">
        <w:t>fulfillment of the  promise that Israel will become a real follower.</w:t>
      </w:r>
    </w:p>
    <w:p w:rsidR="000E76CF" w:rsidRDefault="000E76CF" w:rsidP="009652A7">
      <w:pPr>
        <w:pStyle w:val="ListParagraph"/>
        <w:numPr>
          <w:ilvl w:val="0"/>
          <w:numId w:val="12"/>
        </w:numPr>
        <w:ind w:left="360"/>
        <w:rPr>
          <w:lang w:bidi="he-IL"/>
        </w:rPr>
      </w:pPr>
      <w:r>
        <w:rPr>
          <w:lang w:bidi="he-IL"/>
        </w:rPr>
        <w:t>The relationship between God and his people involves God as adoptive father or master reaching out in love and commission to a potential son or servant</w:t>
      </w:r>
      <w:r w:rsidR="00DA03B4">
        <w:rPr>
          <w:lang w:bidi="he-IL"/>
        </w:rPr>
        <w:t>,</w:t>
      </w:r>
      <w:r>
        <w:rPr>
          <w:lang w:bidi="he-IL"/>
        </w:rPr>
        <w:t xml:space="preserve"> and his people responding with commitment as servant and as son. Thus God’s grace comes first; the relationship does not start with the people seeking a father or servant. But the response of son and servant is integral to the relationship. The relationship is not</w:t>
      </w:r>
      <w:r w:rsidR="00DA03B4">
        <w:rPr>
          <w:lang w:bidi="he-IL"/>
        </w:rPr>
        <w:t xml:space="preserve"> conditioned, but it does require that response</w:t>
      </w:r>
      <w:r>
        <w:rPr>
          <w:lang w:bidi="he-IL"/>
        </w:rPr>
        <w:t>.</w:t>
      </w:r>
      <w:r w:rsidR="00F04F2E">
        <w:rPr>
          <w:lang w:bidi="he-IL"/>
        </w:rPr>
        <w:t xml:space="preserve"> </w:t>
      </w:r>
      <w:r>
        <w:rPr>
          <w:lang w:bidi="he-IL"/>
        </w:rPr>
        <w:t>The relationship between God and his people thus involves loving it, summoning it, setting it on its feet, taking it, carrying it on his arms, healing it in a broad sense. It involves setting it about its task as a farmer does his animals, but in a gentle, considerate, and loving way.</w:t>
      </w:r>
      <w:r w:rsidR="00BD7476">
        <w:rPr>
          <w:lang w:bidi="he-IL"/>
        </w:rPr>
        <w:t xml:space="preserve"> </w:t>
      </w:r>
    </w:p>
    <w:p w:rsidR="001F3349" w:rsidRPr="001F3349" w:rsidRDefault="000E76CF" w:rsidP="009652A7">
      <w:pPr>
        <w:pStyle w:val="ListParagraph"/>
        <w:numPr>
          <w:ilvl w:val="0"/>
          <w:numId w:val="12"/>
        </w:numPr>
        <w:ind w:left="360"/>
        <w:rPr>
          <w:lang w:bidi="he-IL"/>
        </w:rPr>
      </w:pPr>
      <w:r>
        <w:rPr>
          <w:lang w:bidi="he-IL"/>
        </w:rPr>
        <w:t>The problem is that the people of God characteristically make commitments to other fathers or masters rather than or as well as the true God. They do not acknowledge him. They plan their own way of ensuring their security.</w:t>
      </w:r>
      <w:r w:rsidR="00A26BA5">
        <w:rPr>
          <w:lang w:bidi="he-IL"/>
        </w:rPr>
        <w:t xml:space="preserve"> Though they are summoned to turn back to the One on High, they decline to exalt him. </w:t>
      </w:r>
      <w:r>
        <w:rPr>
          <w:lang w:bidi="he-IL"/>
        </w:rPr>
        <w:t xml:space="preserve">God’s response is </w:t>
      </w:r>
      <w:r w:rsidR="00DA03B4">
        <w:rPr>
          <w:lang w:bidi="he-IL"/>
        </w:rPr>
        <w:t xml:space="preserve">then </w:t>
      </w:r>
      <w:r>
        <w:rPr>
          <w:lang w:bidi="he-IL"/>
        </w:rPr>
        <w:t>not to abandon them to the masters they prefer to serve</w:t>
      </w:r>
      <w:r w:rsidR="003443FE">
        <w:rPr>
          <w:lang w:bidi="he-IL"/>
        </w:rPr>
        <w:t>,</w:t>
      </w:r>
      <w:r>
        <w:rPr>
          <w:lang w:bidi="he-IL"/>
        </w:rPr>
        <w:t xml:space="preserve"> </w:t>
      </w:r>
      <w:r w:rsidR="00DA03B4">
        <w:rPr>
          <w:lang w:bidi="he-IL"/>
        </w:rPr>
        <w:t xml:space="preserve">or </w:t>
      </w:r>
      <w:r>
        <w:rPr>
          <w:lang w:bidi="he-IL"/>
        </w:rPr>
        <w:t>to give them another master of his choice, whose stance in relation to them will be much tougher.</w:t>
      </w:r>
      <w:r w:rsidR="001F3349">
        <w:rPr>
          <w:lang w:bidi="he-IL"/>
        </w:rPr>
        <w:t xml:space="preserve"> </w:t>
      </w:r>
      <w:r w:rsidR="001F3349" w:rsidRPr="001F3349">
        <w:rPr>
          <w:rFonts w:asciiTheme="minorHAnsi" w:hAnsiTheme="minorHAnsi"/>
          <w:i/>
          <w:szCs w:val="22"/>
        </w:rPr>
        <w:t>“</w:t>
      </w:r>
      <w:r w:rsidR="001F3349" w:rsidRPr="001F3349">
        <w:rPr>
          <w:rStyle w:val="Emphasis"/>
          <w:rFonts w:asciiTheme="minorHAnsi" w:hAnsiTheme="minorHAnsi"/>
          <w:i w:val="0"/>
          <w:szCs w:val="22"/>
        </w:rPr>
        <w:t>For the people, Yahweh is the maintainer</w:t>
      </w:r>
      <w:r w:rsidR="001F3349" w:rsidRPr="001F3349">
        <w:rPr>
          <w:rStyle w:val="st"/>
          <w:rFonts w:asciiTheme="minorHAnsi" w:hAnsiTheme="minorHAnsi"/>
          <w:i/>
          <w:szCs w:val="22"/>
        </w:rPr>
        <w:t xml:space="preserve"> </w:t>
      </w:r>
      <w:r w:rsidR="001F3349" w:rsidRPr="001F3349">
        <w:rPr>
          <w:rStyle w:val="st"/>
          <w:rFonts w:asciiTheme="minorHAnsi" w:hAnsiTheme="minorHAnsi"/>
          <w:szCs w:val="22"/>
        </w:rPr>
        <w:t>of the cosmos, who, albeit he has wounded, will also heal.”</w:t>
      </w:r>
      <w:r w:rsidR="001F3349" w:rsidRPr="0069537E">
        <w:rPr>
          <w:vertAlign w:val="superscript"/>
        </w:rPr>
        <w:footnoteReference w:id="531"/>
      </w:r>
      <w:r w:rsidR="00DA03B4">
        <w:rPr>
          <w:rStyle w:val="st"/>
          <w:rFonts w:asciiTheme="minorHAnsi" w:hAnsiTheme="minorHAnsi"/>
          <w:szCs w:val="22"/>
        </w:rPr>
        <w:t xml:space="preserve"> </w:t>
      </w:r>
      <w:r w:rsidR="001F3349" w:rsidRPr="001F3349">
        <w:rPr>
          <w:rStyle w:val="st"/>
          <w:rFonts w:asciiTheme="minorHAnsi" w:hAnsiTheme="minorHAnsi"/>
          <w:szCs w:val="22"/>
        </w:rPr>
        <w:t>Yahweh got involved with Israel historically and thus “acknowledged” Israel in a distinctive way, and that on this basis Yahweh insists on being exclusively “acknowledged” by Israel.</w:t>
      </w:r>
    </w:p>
    <w:p w:rsidR="00DA03B4" w:rsidRDefault="003443FE" w:rsidP="009652A7">
      <w:pPr>
        <w:pStyle w:val="ListParagraph"/>
        <w:numPr>
          <w:ilvl w:val="0"/>
          <w:numId w:val="12"/>
        </w:numPr>
        <w:ind w:left="360"/>
        <w:rPr>
          <w:lang w:bidi="he-IL"/>
        </w:rPr>
      </w:pPr>
      <w:r>
        <w:t xml:space="preserve">The parent-child metaphor, even more than </w:t>
      </w:r>
      <w:r w:rsidR="00DA03B4">
        <w:t xml:space="preserve">the husband-wife metaphor, </w:t>
      </w:r>
      <w:r>
        <w:t>facilitate</w:t>
      </w:r>
      <w:r w:rsidR="00DA03B4">
        <w:t>s</w:t>
      </w:r>
      <w:r>
        <w:t xml:space="preserve"> a wrestling with the question of what God is to do about his people’s faithlessness and rebellion. Does God simply cast the people off? Does he discipline them? Does he cast them off for a while and then restore them? Does he simply carry on challenging them? </w:t>
      </w:r>
      <w:r w:rsidR="00A26BA5">
        <w:t xml:space="preserve">As an adoptive parent </w:t>
      </w:r>
      <w:r w:rsidR="009E165D">
        <w:t xml:space="preserve">God is the prodigal father or mother </w:t>
      </w:r>
      <w:r w:rsidR="008E5348">
        <w:t>(“the image of God in Hos 11 is parental rather than specifically paternal or maternal”)</w:t>
      </w:r>
      <w:r w:rsidR="008E5348">
        <w:rPr>
          <w:rStyle w:val="FootnoteReference"/>
        </w:rPr>
        <w:footnoteReference w:id="532"/>
      </w:r>
      <w:r w:rsidR="008E5348">
        <w:t xml:space="preserve"> </w:t>
      </w:r>
      <w:r w:rsidR="009E165D">
        <w:t xml:space="preserve">perplexed and disconcerted by the behavior of </w:t>
      </w:r>
      <w:r w:rsidR="00241885">
        <w:t>their child.</w:t>
      </w:r>
      <w:r w:rsidR="00FB1CE7">
        <w:t xml:space="preserve"> </w:t>
      </w:r>
      <w:r w:rsidR="00A26BA5">
        <w:t xml:space="preserve">The child is not </w:t>
      </w:r>
      <w:r w:rsidR="00DA03B4">
        <w:t>the returning prodigal.</w:t>
      </w:r>
    </w:p>
    <w:p w:rsidR="00400934" w:rsidRDefault="00A26BA5" w:rsidP="009652A7">
      <w:pPr>
        <w:pStyle w:val="ListParagraph"/>
        <w:numPr>
          <w:ilvl w:val="0"/>
          <w:numId w:val="12"/>
        </w:numPr>
        <w:ind w:left="360"/>
        <w:rPr>
          <w:lang w:bidi="he-IL"/>
        </w:rPr>
      </w:pPr>
      <w:r>
        <w:t xml:space="preserve">Calvin comments: </w:t>
      </w:r>
    </w:p>
    <w:p w:rsidR="00020F79" w:rsidRDefault="00020F79" w:rsidP="00020F79">
      <w:pPr>
        <w:pStyle w:val="ListParagraph"/>
        <w:ind w:left="360" w:firstLine="0"/>
      </w:pPr>
    </w:p>
    <w:p w:rsidR="00020F79" w:rsidRDefault="00020F79" w:rsidP="00DD3A10">
      <w:pPr>
        <w:pStyle w:val="Quote"/>
      </w:pPr>
      <w:r>
        <w:t xml:space="preserve">God, we know, is subject to no passions; and we know that no change takes place in him. What then do these expressions mean, by which he appears to be changeable? Doubtless he accommodates himself to our ignorances whenever he puts on a character foreign to himself…. God does not in vain introduce himself as being uncertain; for we hence learn that he is not carried away too suddenly to inflict punishment, even when men in various </w:t>
      </w:r>
      <w:r w:rsidR="000D1E5E">
        <w:t xml:space="preserve">ways provoke his vengeance…. </w:t>
      </w:r>
      <w:r>
        <w:t xml:space="preserve">But when he says that his </w:t>
      </w:r>
      <w:r>
        <w:rPr>
          <w:i/>
        </w:rPr>
        <w:t>heart was changed,</w:t>
      </w:r>
      <w:r>
        <w:t xml:space="preserve"> and that his </w:t>
      </w:r>
      <w:r>
        <w:rPr>
          <w:i/>
        </w:rPr>
        <w:t>repentings were brought back again,</w:t>
      </w:r>
      <w:r>
        <w:t xml:space="preserve"> the same mode of speaking after the manner of men is adopted; for we know that these feelings belong not to God; he cannot be touched with repentance, and his heart cannot undergo changes…. But as God was merciful, and embraced his people with paternal affection, he could not forget that he was a Father, but would be willing to grant pardon; as is the case with a father, who, on seeing his son’s wicked disposition, suddenly feels a strong displeasure, and then, being seized with relenting, is inclined to spare him. God then declares that he wo</w:t>
      </w:r>
      <w:r w:rsidR="000D1E5E">
        <w:t>uld thus deal with his people.</w:t>
      </w:r>
      <w:r w:rsidR="000D1E5E">
        <w:rPr>
          <w:rStyle w:val="FootnoteReference"/>
        </w:rPr>
        <w:footnoteReference w:id="533"/>
      </w:r>
    </w:p>
    <w:p w:rsidR="00020F79" w:rsidRDefault="00020F79" w:rsidP="00020F79">
      <w:pPr>
        <w:pStyle w:val="ListParagraph"/>
        <w:ind w:left="360" w:firstLine="0"/>
      </w:pPr>
    </w:p>
    <w:p w:rsidR="009A3CEC" w:rsidRDefault="000D1E5E" w:rsidP="008273A4">
      <w:pPr>
        <w:pStyle w:val="ListParagraph"/>
        <w:ind w:left="360" w:firstLine="0"/>
      </w:pPr>
      <w:r>
        <w:lastRenderedPageBreak/>
        <w:t>In a general sense it cannot be right that God feels no passions; at least, the Scriptures rather consistently attribute to him passions such as delight, compassion,</w:t>
      </w:r>
      <w:r w:rsidR="00DA03B4">
        <w:t xml:space="preserve"> wrath,</w:t>
      </w:r>
      <w:r>
        <w:t xml:space="preserve"> and sorrow</w:t>
      </w:r>
      <w:r w:rsidR="004B793C">
        <w:t>, as well the capacity to have a change of mind</w:t>
      </w:r>
      <w:r>
        <w:t xml:space="preserve">. </w:t>
      </w:r>
    </w:p>
    <w:p w:rsidR="009A3CEC" w:rsidRDefault="009A3CEC" w:rsidP="008273A4">
      <w:pPr>
        <w:pStyle w:val="ListParagraph"/>
        <w:ind w:left="360" w:firstLine="0"/>
      </w:pPr>
    </w:p>
    <w:p w:rsidR="009A3CEC" w:rsidRPr="00AA6671" w:rsidRDefault="009A3CEC" w:rsidP="009A3CEC">
      <w:pPr>
        <w:pStyle w:val="ListParagraph"/>
        <w:ind w:left="720" w:firstLine="0"/>
        <w:rPr>
          <w:rStyle w:val="st"/>
          <w:rFonts w:asciiTheme="minorHAnsi" w:hAnsiTheme="minorHAnsi"/>
          <w:szCs w:val="22"/>
        </w:rPr>
      </w:pPr>
      <w:r w:rsidRPr="00AA6671">
        <w:rPr>
          <w:rFonts w:asciiTheme="minorHAnsi" w:eastAsiaTheme="minorHAnsi" w:hAnsiTheme="minorHAnsi" w:cs="TimesNewRomanPSMT"/>
          <w:szCs w:val="22"/>
        </w:rPr>
        <w:t>Hosea 11:1-9 conveys the emotive realm of a funeral. The historical recital,</w:t>
      </w:r>
      <w:r>
        <w:rPr>
          <w:rFonts w:asciiTheme="minorHAnsi" w:eastAsiaTheme="minorHAnsi" w:hAnsiTheme="minorHAnsi" w:cs="TimesNewRomanPSMT"/>
          <w:szCs w:val="22"/>
        </w:rPr>
        <w:t xml:space="preserve"> the pain that overwhelms the a</w:t>
      </w:r>
      <w:r w:rsidRPr="00AA6671">
        <w:rPr>
          <w:rFonts w:asciiTheme="minorHAnsi" w:eastAsiaTheme="minorHAnsi" w:hAnsiTheme="minorHAnsi" w:cs="TimesNewRomanPSMT"/>
          <w:szCs w:val="22"/>
        </w:rPr>
        <w:t>nger, the mood of hopelessness, and the bitter cries that emanate from the inmost part of the mourner (here, God) are all essential facets of a “dirge.” As a parent grieves for the death of a son, the Hebrew God cries out bitterly with four “how’s”—utterly painful and hopeless. Towards the end of the poem, there is still no sign of “return/repent</w:t>
      </w:r>
      <w:r>
        <w:rPr>
          <w:rFonts w:asciiTheme="minorHAnsi" w:eastAsiaTheme="minorHAnsi" w:hAnsiTheme="minorHAnsi" w:cs="TimesNewRomanPSMT"/>
          <w:szCs w:val="22"/>
        </w:rPr>
        <w:t>.</w:t>
      </w:r>
      <w:r w:rsidRPr="00AA6671">
        <w:rPr>
          <w:rFonts w:asciiTheme="minorHAnsi" w:eastAsiaTheme="minorHAnsi" w:hAnsiTheme="minorHAnsi" w:cs="TimesNewRomanPSMT"/>
          <w:szCs w:val="22"/>
        </w:rPr>
        <w:t>”</w:t>
      </w:r>
      <w:r>
        <w:rPr>
          <w:rStyle w:val="FootnoteReference"/>
          <w:rFonts w:asciiTheme="minorHAnsi" w:eastAsiaTheme="minorHAnsi" w:hAnsiTheme="minorHAnsi" w:cs="TimesNewRomanPSMT"/>
          <w:szCs w:val="22"/>
        </w:rPr>
        <w:footnoteReference w:id="534"/>
      </w:r>
    </w:p>
    <w:p w:rsidR="009A3CEC" w:rsidRDefault="009A3CEC" w:rsidP="008273A4">
      <w:pPr>
        <w:pStyle w:val="ListParagraph"/>
        <w:ind w:left="360" w:firstLine="0"/>
      </w:pPr>
    </w:p>
    <w:p w:rsidR="008273A4" w:rsidRDefault="000D1E5E" w:rsidP="008273A4">
      <w:pPr>
        <w:pStyle w:val="ListParagraph"/>
        <w:ind w:left="360" w:firstLine="0"/>
      </w:pPr>
      <w:r>
        <w:t xml:space="preserve">It is a problem that Calvin declares on </w:t>
      </w:r>
      <w:r w:rsidR="004B793C">
        <w:t>a philosophical basis what must be true about God and then evades teaching from the Scriptures that clashes with these philosophical convictions by declaring it to be the result of condescension. But indeed God</w:t>
      </w:r>
      <w:r>
        <w:t xml:space="preserve"> is</w:t>
      </w:r>
      <w:r w:rsidR="004B793C">
        <w:t xml:space="preserve"> not subject to random passions or changes of mind.</w:t>
      </w:r>
    </w:p>
    <w:p w:rsidR="00845178" w:rsidRPr="003A7486" w:rsidRDefault="003A7486" w:rsidP="009652A7">
      <w:pPr>
        <w:pStyle w:val="ListParagraph"/>
        <w:numPr>
          <w:ilvl w:val="0"/>
          <w:numId w:val="12"/>
        </w:numPr>
        <w:ind w:left="360"/>
        <w:rPr>
          <w:rFonts w:asciiTheme="minorHAnsi" w:hAnsiTheme="minorHAnsi"/>
          <w:szCs w:val="22"/>
        </w:rPr>
      </w:pPr>
      <w:r>
        <w:t>In general, b</w:t>
      </w:r>
      <w:r w:rsidR="00B0777A">
        <w:t>oth relenting of bringing blessing and relentin</w:t>
      </w:r>
      <w:r w:rsidR="000D3EAE">
        <w:t xml:space="preserve">g of bringing calamity issue from </w:t>
      </w:r>
      <w:r>
        <w:t xml:space="preserve">God’s </w:t>
      </w:r>
      <w:r w:rsidR="00B0777A" w:rsidRPr="00B0777A">
        <w:t>rational reconsiderat</w:t>
      </w:r>
      <w:r>
        <w:t xml:space="preserve">ion of </w:t>
      </w:r>
      <w:r w:rsidR="00DA03B4">
        <w:t xml:space="preserve">his </w:t>
      </w:r>
      <w:r>
        <w:t xml:space="preserve">intentions based on </w:t>
      </w:r>
      <w:r w:rsidR="00DA03B4">
        <w:t xml:space="preserve">new </w:t>
      </w:r>
      <w:r w:rsidR="00B0777A" w:rsidRPr="00B0777A">
        <w:t xml:space="preserve">factors that now need to be taken into account, such as a change of attitude on the part of the potential victims or </w:t>
      </w:r>
      <w:r w:rsidR="002F2D02">
        <w:t>beneficiaries of hi</w:t>
      </w:r>
      <w:r w:rsidR="00B0777A" w:rsidRPr="00B0777A">
        <w:t>s act (see especially Jer. 18).</w:t>
      </w:r>
      <w:r>
        <w:t xml:space="preserve"> What is noteworthy in Hosea 11</w:t>
      </w:r>
      <w:r w:rsidR="00B0777A" w:rsidRPr="00B0777A">
        <w:t xml:space="preserve"> is that the basis for reconsid</w:t>
      </w:r>
      <w:r w:rsidR="002F2D02">
        <w:t>eration comes from inside God</w:t>
      </w:r>
      <w:r w:rsidR="00B0777A" w:rsidRPr="00B0777A">
        <w:t xml:space="preserve"> himself. </w:t>
      </w:r>
      <w:r w:rsidRPr="008273A4">
        <w:rPr>
          <w:rFonts w:asciiTheme="minorHAnsi" w:eastAsiaTheme="minorHAnsi" w:hAnsiTheme="minorHAnsi"/>
          <w:szCs w:val="22"/>
        </w:rPr>
        <w:t xml:space="preserve">God's "change of heart" is not induced by human pleading, but by a love that renews hope through </w:t>
      </w:r>
      <w:r>
        <w:rPr>
          <w:rFonts w:asciiTheme="minorHAnsi" w:eastAsiaTheme="minorHAnsi" w:hAnsiTheme="minorHAnsi"/>
          <w:szCs w:val="22"/>
        </w:rPr>
        <w:t xml:space="preserve">bestowing </w:t>
      </w:r>
      <w:r w:rsidRPr="008273A4">
        <w:rPr>
          <w:rFonts w:asciiTheme="minorHAnsi" w:eastAsiaTheme="minorHAnsi" w:hAnsiTheme="minorHAnsi"/>
          <w:szCs w:val="22"/>
        </w:rPr>
        <w:t>undeserved blessing.</w:t>
      </w:r>
      <w:r>
        <w:rPr>
          <w:rStyle w:val="FootnoteReference"/>
          <w:rFonts w:asciiTheme="minorHAnsi" w:eastAsiaTheme="minorHAnsi" w:hAnsiTheme="minorHAnsi"/>
          <w:szCs w:val="22"/>
        </w:rPr>
        <w:footnoteReference w:id="535"/>
      </w:r>
      <w:r>
        <w:rPr>
          <w:rFonts w:asciiTheme="minorHAnsi" w:hAnsiTheme="minorHAnsi"/>
          <w:szCs w:val="22"/>
        </w:rPr>
        <w:t xml:space="preserve"> </w:t>
      </w:r>
      <w:r>
        <w:t>No</w:t>
      </w:r>
      <w:r w:rsidR="00B0777A" w:rsidRPr="00B0777A">
        <w:t xml:space="preserve"> Moses urge</w:t>
      </w:r>
      <w:r w:rsidR="002F2D02">
        <w:t>s God</w:t>
      </w:r>
      <w:r>
        <w:t xml:space="preserve"> to relent (contrast</w:t>
      </w:r>
      <w:r w:rsidR="00B0777A" w:rsidRPr="00B0777A">
        <w:t xml:space="preserve"> Exod. 32:12; also Ps. 90:13, the only other occurrence of the imperative of </w:t>
      </w:r>
      <w:r w:rsidR="00B0777A" w:rsidRPr="003A7486">
        <w:rPr>
          <w:i/>
        </w:rPr>
        <w:t xml:space="preserve">nāḥam </w:t>
      </w:r>
      <w:r w:rsidR="00B0777A" w:rsidRPr="00B0777A">
        <w:t>niphal).</w:t>
      </w:r>
      <w:r w:rsidR="00845178">
        <w:t xml:space="preserve"> </w:t>
      </w:r>
      <w:r w:rsidR="004B793C">
        <w:t>Is it “strange that Yahweh is still undecided at this late stage”?</w:t>
      </w:r>
      <w:r w:rsidR="004B793C">
        <w:rPr>
          <w:rStyle w:val="FootnoteReference"/>
        </w:rPr>
        <w:footnoteReference w:id="536"/>
      </w:r>
      <w:r w:rsidR="004B793C">
        <w:t xml:space="preserve"> It’s not so much that God is undecided as that on an ongoing basis God acknowledges two sets of internal obligations, and the section gives expression to both.</w:t>
      </w:r>
      <w:r w:rsidR="00845178">
        <w:t xml:space="preserve"> The background </w:t>
      </w:r>
      <w:r w:rsidR="00CC0CEE">
        <w:t xml:space="preserve">lies in </w:t>
      </w:r>
      <w:r>
        <w:t>the revelation at Sinai and it’</w:t>
      </w:r>
      <w:r w:rsidR="00CC0CEE">
        <w:t>s not unrel</w:t>
      </w:r>
      <w:r w:rsidR="002F2D02">
        <w:t>ated to Moses’ prayer for God</w:t>
      </w:r>
      <w:r w:rsidR="00CC0CEE">
        <w:t xml:space="preserve"> to relent. Faithfulness, compassion, and commitment </w:t>
      </w:r>
      <w:r w:rsidR="00845178">
        <w:t>on one hand, and a commitment to attend to wrongdoing</w:t>
      </w:r>
      <w:r w:rsidR="00DA03B4">
        <w:t xml:space="preserve"> on the other</w:t>
      </w:r>
      <w:r w:rsidR="00845178">
        <w:t xml:space="preserve">, </w:t>
      </w:r>
      <w:r w:rsidR="00CC0CEE">
        <w:t xml:space="preserve">are </w:t>
      </w:r>
      <w:r w:rsidR="002F2D02">
        <w:t>both aspects of God</w:t>
      </w:r>
      <w:r w:rsidR="00845178">
        <w:t>’s nature, b</w:t>
      </w:r>
      <w:r w:rsidR="00DA03B4">
        <w:t>ut the former set of qualities is</w:t>
      </w:r>
      <w:r w:rsidR="00845178">
        <w:t xml:space="preserve"> more central to that</w:t>
      </w:r>
      <w:r w:rsidR="00CC0CEE">
        <w:t xml:space="preserve"> nature than is blazing anger. </w:t>
      </w:r>
    </w:p>
    <w:p w:rsidR="00955F58" w:rsidRDefault="00845178" w:rsidP="009652A7">
      <w:pPr>
        <w:pStyle w:val="ListParagraph"/>
        <w:numPr>
          <w:ilvl w:val="0"/>
          <w:numId w:val="12"/>
        </w:numPr>
        <w:ind w:left="360"/>
      </w:pPr>
      <w:r>
        <w:t xml:space="preserve">In other words, God is the holy one. God’s being the holy one does not mean that love and justice are </w:t>
      </w:r>
      <w:r w:rsidR="002F2D02">
        <w:t>evenly balanced in God. God</w:t>
      </w:r>
      <w:r w:rsidR="00CC0CEE">
        <w:t xml:space="preserve">’s </w:t>
      </w:r>
      <w:r>
        <w:t xml:space="preserve">point here is that </w:t>
      </w:r>
      <w:r w:rsidR="00CC0CEE">
        <w:t>hol</w:t>
      </w:r>
      <w:r w:rsidR="003A7486">
        <w:t>iness doesn’</w:t>
      </w:r>
      <w:r w:rsidR="00CC0CEE">
        <w:t>t mean that he has to act in punishing wrongdoing</w:t>
      </w:r>
      <w:r w:rsidR="003A7486">
        <w:t>. It means</w:t>
      </w:r>
      <w:r>
        <w:t xml:space="preserve"> the opposite</w:t>
      </w:r>
      <w:r w:rsidR="003A7486">
        <w:t>, that</w:t>
      </w:r>
      <w:r w:rsidR="00CC0CEE">
        <w:t xml:space="preserve"> he does not need to act in punishing wron</w:t>
      </w:r>
      <w:r w:rsidR="00955F58">
        <w:t>gdoing—at least, not always. To put it another way, saying he is the holy one “among you” is like saying he is “the holy one of Israel.”</w:t>
      </w:r>
      <w:r w:rsidR="00955F58">
        <w:rPr>
          <w:rStyle w:val="FootnoteReference"/>
        </w:rPr>
        <w:footnoteReference w:id="537"/>
      </w:r>
      <w:r w:rsidR="00955F58">
        <w:t xml:space="preserve"> Being the holy one among you, </w:t>
      </w:r>
      <w:r w:rsidR="003A7486">
        <w:t xml:space="preserve">being </w:t>
      </w:r>
      <w:r w:rsidR="00955F58">
        <w:t>the holy one who has a special relatio</w:t>
      </w:r>
      <w:r w:rsidR="002F2D02">
        <w:t>nship with Israel, pushes God</w:t>
      </w:r>
      <w:r w:rsidR="00955F58">
        <w:t xml:space="preserve"> towards being merciful rather than punitive. Isaiah 40—55 develops this notion that God’s holiness is the foundation of his deliverance of his people</w:t>
      </w:r>
      <w:r w:rsidR="003A7486">
        <w:t>,</w:t>
      </w:r>
      <w:r w:rsidR="002F2D02">
        <w:t xml:space="preserve"> by emphasizing that God</w:t>
      </w:r>
      <w:r w:rsidR="00955F58">
        <w:t>’s being “the holy one of Israel” means he will deliver his people.</w:t>
      </w:r>
      <w:r w:rsidR="00246DFA">
        <w:t xml:space="preserve"> </w:t>
      </w:r>
      <w:r w:rsidR="00246DFA" w:rsidRPr="00246DFA">
        <w:t>In v. 9b “Hosea combines the transcendence and immanence of God in a single phrase</w:t>
      </w:r>
      <w:r w:rsidR="00246DFA">
        <w:t>.”</w:t>
      </w:r>
      <w:r w:rsidR="00246DFA">
        <w:rPr>
          <w:rStyle w:val="FootnoteReference"/>
        </w:rPr>
        <w:footnoteReference w:id="538"/>
      </w:r>
      <w:r w:rsidR="00DA03B4">
        <w:t xml:space="preserve"> Of course Yahweh is the holy one among the rest of humanity, too, with similar implications.</w:t>
      </w:r>
    </w:p>
    <w:p w:rsidR="00F34612" w:rsidRDefault="00955F58" w:rsidP="009652A7">
      <w:pPr>
        <w:pStyle w:val="ListParagraph"/>
        <w:numPr>
          <w:ilvl w:val="0"/>
          <w:numId w:val="12"/>
        </w:numPr>
        <w:ind w:left="360"/>
        <w:rPr>
          <w:rStyle w:val="st"/>
        </w:rPr>
      </w:pPr>
      <w:r>
        <w:t>It is important to</w:t>
      </w:r>
      <w:r w:rsidR="00CC0CEE">
        <w:t xml:space="preserve"> affirm</w:t>
      </w:r>
      <w:r>
        <w:t xml:space="preserve"> what is right and to avoid</w:t>
      </w:r>
      <w:r w:rsidR="00CC0CEE">
        <w:t xml:space="preserve"> giving the impression that wrong does not matter</w:t>
      </w:r>
      <w:r w:rsidR="003A7486">
        <w:t>, and</w:t>
      </w:r>
      <w:r w:rsidR="002F2D02">
        <w:t xml:space="preserve"> sometimes God</w:t>
      </w:r>
      <w:r>
        <w:t xml:space="preserve"> </w:t>
      </w:r>
      <w:r w:rsidR="003A7486">
        <w:t xml:space="preserve">does </w:t>
      </w:r>
      <w:r w:rsidR="00CC0CEE">
        <w:t>punish wrongdoing. But the balance wi</w:t>
      </w:r>
      <w:r>
        <w:t>thin his holiness means he doesn’</w:t>
      </w:r>
      <w:r w:rsidR="00CC0CEE">
        <w:t xml:space="preserve">t always have to do so. </w:t>
      </w:r>
      <w:r>
        <w:t>He</w:t>
      </w:r>
      <w:r w:rsidR="009756F7">
        <w:t xml:space="preserve"> is </w:t>
      </w:r>
      <w:r>
        <w:t xml:space="preserve">always having to decide </w:t>
      </w:r>
      <w:r w:rsidR="009756F7">
        <w:t>what to do where there is no single answer. In that situation, his “decis</w:t>
      </w:r>
      <w:r>
        <w:t>ions” are thus always tentative and he</w:t>
      </w:r>
      <w:r w:rsidRPr="00955F58">
        <w:t xml:space="preserve"> can have a change of mind.</w:t>
      </w:r>
      <w:r>
        <w:t xml:space="preserve"> </w:t>
      </w:r>
      <w:r w:rsidR="00011B18">
        <w:rPr>
          <w:rStyle w:val="st"/>
        </w:rPr>
        <w:t>“A</w:t>
      </w:r>
      <w:r w:rsidR="00F34612">
        <w:rPr>
          <w:rStyle w:val="st"/>
        </w:rPr>
        <w:t xml:space="preserve">lthough for rhetorical reasons </w:t>
      </w:r>
      <w:r w:rsidR="00F34612" w:rsidRPr="00955F58">
        <w:rPr>
          <w:rStyle w:val="st"/>
        </w:rPr>
        <w:t>these</w:t>
      </w:r>
      <w:r w:rsidR="00F34612" w:rsidRPr="00955F58">
        <w:rPr>
          <w:rStyle w:val="st"/>
          <w:i/>
        </w:rPr>
        <w:t xml:space="preserve"> </w:t>
      </w:r>
      <w:r w:rsidR="00F34612" w:rsidRPr="00955F58">
        <w:rPr>
          <w:rStyle w:val="Emphasis"/>
          <w:i w:val="0"/>
        </w:rPr>
        <w:t xml:space="preserve">divine announcements </w:t>
      </w:r>
      <w:r w:rsidR="00011B18" w:rsidRPr="00955F58">
        <w:rPr>
          <w:rStyle w:val="Emphasis"/>
          <w:i w:val="0"/>
        </w:rPr>
        <w:t xml:space="preserve">[such as 8:13; 9:3, 6] </w:t>
      </w:r>
      <w:r w:rsidR="00F34612" w:rsidRPr="00955F58">
        <w:rPr>
          <w:rStyle w:val="Emphasis"/>
          <w:i w:val="0"/>
        </w:rPr>
        <w:t>are crafted</w:t>
      </w:r>
      <w:r w:rsidR="00F34612">
        <w:rPr>
          <w:rStyle w:val="st"/>
        </w:rPr>
        <w:t xml:space="preserve"> in </w:t>
      </w:r>
      <w:r w:rsidR="00F34612">
        <w:rPr>
          <w:rStyle w:val="st"/>
        </w:rPr>
        <w:lastRenderedPageBreak/>
        <w:t>categorical language, they are not to </w:t>
      </w:r>
      <w:r w:rsidR="00011B18">
        <w:rPr>
          <w:rStyle w:val="st"/>
        </w:rPr>
        <w:t>be understood as… reflecting by themselves the full extent of YHWH’s decisions concerning Israel.” They are set in the context of 11:8-11.</w:t>
      </w:r>
      <w:r w:rsidR="00011B18">
        <w:rPr>
          <w:rStyle w:val="FootnoteReference"/>
        </w:rPr>
        <w:footnoteReference w:id="539"/>
      </w:r>
      <w:r w:rsidR="00F958FF">
        <w:rPr>
          <w:rStyle w:val="st"/>
        </w:rPr>
        <w:t xml:space="preserve"> But the converse is also true, as the English chapter division (linking v. 12 with vv. 1-11) suggests. It is not the case that the section to which vv.1-11 belongs differs from preceding ones in issuing in no new threat o</w:t>
      </w:r>
      <w:r w:rsidR="00CE5128">
        <w:rPr>
          <w:rStyle w:val="st"/>
        </w:rPr>
        <w:t>r a final rejection of judgment</w:t>
      </w:r>
      <w:r w:rsidR="00F958FF">
        <w:rPr>
          <w:rStyle w:val="FootnoteReference"/>
        </w:rPr>
        <w:footnoteReference w:id="540"/>
      </w:r>
      <w:r w:rsidR="00CE5128">
        <w:rPr>
          <w:rStyle w:val="st"/>
        </w:rPr>
        <w:t xml:space="preserve"> or in being simply a proclamation of salvation.</w:t>
      </w:r>
      <w:r w:rsidR="00CE5128">
        <w:rPr>
          <w:rStyle w:val="FootnoteReference"/>
        </w:rPr>
        <w:footnoteReference w:id="541"/>
      </w:r>
      <w:r w:rsidR="00282E3E">
        <w:rPr>
          <w:rStyle w:val="st"/>
        </w:rPr>
        <w:t xml:space="preserve"> </w:t>
      </w:r>
      <w:r w:rsidR="003A7486">
        <w:rPr>
          <w:rStyle w:val="st"/>
        </w:rPr>
        <w:t>“</w:t>
      </w:r>
      <w:r w:rsidR="00282E3E">
        <w:rPr>
          <w:rStyle w:val="st"/>
        </w:rPr>
        <w:t>Contradiction is pervasive in Hosea…; alternative futures are juxtaposed.”</w:t>
      </w:r>
      <w:r w:rsidR="00282E3E">
        <w:rPr>
          <w:rStyle w:val="FootnoteReference"/>
        </w:rPr>
        <w:footnoteReference w:id="542"/>
      </w:r>
    </w:p>
    <w:p w:rsidR="003A7486" w:rsidRPr="003443FE" w:rsidRDefault="003A7486" w:rsidP="009652A7">
      <w:pPr>
        <w:pStyle w:val="ListParagraph"/>
        <w:numPr>
          <w:ilvl w:val="0"/>
          <w:numId w:val="12"/>
        </w:numPr>
        <w:ind w:left="360"/>
        <w:rPr>
          <w:rFonts w:asciiTheme="minorHAnsi" w:hAnsiTheme="minorHAnsi"/>
          <w:szCs w:val="22"/>
        </w:rPr>
      </w:pPr>
      <w:r>
        <w:t>“Angry blazing” is a standard First</w:t>
      </w:r>
      <w:r w:rsidR="002F2D02">
        <w:t xml:space="preserve"> Testament description of God</w:t>
      </w:r>
      <w:r>
        <w:t>’s wrathful response to his people’s faithlessness (e.g., Exod. 32:12; Deut. 13:17 [18]; Jonah 3:9), though fortunately it comes as often as not in the</w:t>
      </w:r>
      <w:r w:rsidR="002F2D02">
        <w:t xml:space="preserve"> context of references to God</w:t>
      </w:r>
      <w:r>
        <w:t>’s not acting on it. But to act on the anger aroused by wrongdoing</w:t>
      </w:r>
      <w:r w:rsidRPr="00B0777A">
        <w:t xml:space="preserve"> is not only an expression of natural but regrett</w:t>
      </w:r>
      <w:r>
        <w:t>able feelings. It is the imposition</w:t>
      </w:r>
      <w:r w:rsidRPr="00B0777A">
        <w:t xml:space="preserve"> of a proper chast</w:t>
      </w:r>
      <w:r>
        <w:t xml:space="preserve">isement and </w:t>
      </w:r>
      <w:r w:rsidRPr="00B0777A">
        <w:t>a proper penalty. It would be wrong to treat such conduct as if it did not matter.</w:t>
      </w:r>
      <w:r w:rsidR="00B55912">
        <w:t xml:space="preserve"> Calvin again, comments</w:t>
      </w:r>
      <w:r>
        <w:t xml:space="preserve"> on “</w:t>
      </w:r>
      <w:r w:rsidRPr="000D3EAE">
        <w:t>I wi</w:t>
      </w:r>
      <w:r>
        <w:t>ll not act on my angry blazing,”</w:t>
      </w:r>
    </w:p>
    <w:p w:rsidR="003A7486" w:rsidRDefault="003A7486" w:rsidP="003A7486">
      <w:pPr>
        <w:pStyle w:val="ListParagraph"/>
        <w:ind w:left="360" w:firstLine="0"/>
      </w:pPr>
    </w:p>
    <w:p w:rsidR="003A7486" w:rsidRDefault="003A7486" w:rsidP="003A7486">
      <w:pPr>
        <w:pStyle w:val="Quote"/>
      </w:pPr>
      <w:r>
        <w:t>by which figurative mode of speaking he sets forth the punishment which was suitable to the sins of men. For it must ever be remembered, that God is exempt from every passion. But if no anger is to be supposed by us to be in God, what does he mean by the fury of his wrath? Even the relation between his nature and our innate or natural sins. But why does Scripture say that God is angry? Even because we imagine him to be so according to the perception of the flesh; for we do not apprehend God’s indignation, except as far as our sins provoke him to anger, and kindle his vengeance against us. Then God, with regard to our perception, calls the fury of his wrath the heavy judgement, which is equal to, or meet for, our sins.</w:t>
      </w:r>
      <w:r w:rsidRPr="000D3EAE">
        <w:rPr>
          <w:rFonts w:asciiTheme="minorHAnsi" w:hAnsiTheme="minorHAnsi"/>
          <w:color w:val="auto"/>
          <w:vertAlign w:val="superscript"/>
          <w:lang w:bidi="ar-SA"/>
        </w:rPr>
        <w:t xml:space="preserve"> </w:t>
      </w:r>
      <w:r w:rsidRPr="000D3EAE">
        <w:rPr>
          <w:vertAlign w:val="superscript"/>
        </w:rPr>
        <w:footnoteReference w:id="543"/>
      </w:r>
    </w:p>
    <w:p w:rsidR="003A7486" w:rsidRDefault="003A7486" w:rsidP="003A7486">
      <w:pPr>
        <w:pStyle w:val="ListParagraph"/>
        <w:ind w:left="360" w:firstLine="0"/>
      </w:pPr>
    </w:p>
    <w:p w:rsidR="003A7486" w:rsidRDefault="003A7486" w:rsidP="003A7486">
      <w:pPr>
        <w:pStyle w:val="ListParagraph"/>
        <w:ind w:left="360" w:firstLine="0"/>
      </w:pPr>
      <w:r>
        <w:t>The Scriptures consistently describe God as capable of anger (and “he is never angrier than in Hosea’s prophecies”)</w:t>
      </w:r>
      <w:r>
        <w:rPr>
          <w:rStyle w:val="FootnoteReference"/>
        </w:rPr>
        <w:footnoteReference w:id="544"/>
      </w:r>
      <w:r>
        <w:t xml:space="preserve"> and give no indication that they do not mean it. </w:t>
      </w:r>
    </w:p>
    <w:p w:rsidR="00955F58" w:rsidRDefault="00955F58" w:rsidP="009652A7">
      <w:pPr>
        <w:pStyle w:val="ListParagraph"/>
        <w:numPr>
          <w:ilvl w:val="0"/>
          <w:numId w:val="12"/>
        </w:numPr>
        <w:ind w:left="360"/>
        <w:rPr>
          <w:rStyle w:val="st"/>
        </w:rPr>
      </w:pPr>
      <w:r>
        <w:rPr>
          <w:rStyle w:val="st"/>
        </w:rPr>
        <w:t>God’s commitment to his people does not stop at declining to act in judgment. If he stopped there, he would again give the impression that right and wrong, faithfulness and faithlessness, do not matter. His original call to Israel was designed to turn it into a people that called on him</w:t>
      </w:r>
      <w:r w:rsidR="003548D8">
        <w:rPr>
          <w:rStyle w:val="st"/>
        </w:rPr>
        <w:t>, and beyond his holding back in mercy there is also a determination that they will fulfill their original vocation. They will give up c</w:t>
      </w:r>
      <w:r w:rsidR="00B55912">
        <w:rPr>
          <w:rStyle w:val="st"/>
        </w:rPr>
        <w:t xml:space="preserve">alling on other lovers and </w:t>
      </w:r>
      <w:r w:rsidR="003548D8">
        <w:rPr>
          <w:rStyle w:val="st"/>
        </w:rPr>
        <w:t>come trembling to him, to claim the promise that he will then l</w:t>
      </w:r>
      <w:r w:rsidR="00B55912">
        <w:rPr>
          <w:rStyle w:val="st"/>
        </w:rPr>
        <w:t>et them resettle in Canaan. It’s a promise, but it’</w:t>
      </w:r>
      <w:r w:rsidR="003548D8">
        <w:rPr>
          <w:rStyle w:val="st"/>
        </w:rPr>
        <w:t>s also by implication a challenge. They must come trembling back.</w:t>
      </w:r>
    </w:p>
    <w:p w:rsidR="00AA6671" w:rsidRDefault="00CD01EB" w:rsidP="009652A7">
      <w:pPr>
        <w:pStyle w:val="ListParagraph"/>
        <w:numPr>
          <w:ilvl w:val="0"/>
          <w:numId w:val="12"/>
        </w:numPr>
        <w:ind w:left="360"/>
        <w:rPr>
          <w:rStyle w:val="st"/>
        </w:rPr>
      </w:pPr>
      <w:r>
        <w:rPr>
          <w:rStyle w:val="st"/>
        </w:rPr>
        <w:t>When the people of God are subject to Go</w:t>
      </w:r>
      <w:r w:rsidR="003A7486">
        <w:rPr>
          <w:rStyle w:val="st"/>
        </w:rPr>
        <w:t xml:space="preserve">d’s rebuke and chastisement, they </w:t>
      </w:r>
      <w:r>
        <w:rPr>
          <w:rStyle w:val="st"/>
        </w:rPr>
        <w:t>can rejoice in his promise, but no</w:t>
      </w:r>
      <w:r w:rsidR="003A7486">
        <w:rPr>
          <w:rStyle w:val="st"/>
        </w:rPr>
        <w:t>t in such a way as to forget his challenge. Specifically, their</w:t>
      </w:r>
      <w:r>
        <w:rPr>
          <w:rStyle w:val="st"/>
        </w:rPr>
        <w:t xml:space="preserve"> covenant with God is an exclusive one, like the marriage covenant. It rules out other covenants or </w:t>
      </w:r>
      <w:r w:rsidR="003A7486">
        <w:rPr>
          <w:rStyle w:val="st"/>
        </w:rPr>
        <w:t>commitments or reliances. They have</w:t>
      </w:r>
      <w:r>
        <w:rPr>
          <w:rStyle w:val="st"/>
        </w:rPr>
        <w:t xml:space="preserve"> to be wary of drifting.</w:t>
      </w:r>
    </w:p>
    <w:p w:rsidR="00307811" w:rsidRDefault="00546B1E" w:rsidP="00EF7B98">
      <w:pPr>
        <w:pStyle w:val="Heading1"/>
        <w:rPr>
          <w:rFonts w:eastAsiaTheme="minorHAnsi"/>
        </w:rPr>
      </w:pPr>
      <w:r>
        <w:rPr>
          <w:rFonts w:eastAsiaTheme="minorHAnsi"/>
        </w:rPr>
        <w:t>Hosea 12:2-11</w:t>
      </w:r>
      <w:r w:rsidR="009A3CEC">
        <w:rPr>
          <w:rFonts w:eastAsiaTheme="minorHAnsi"/>
        </w:rPr>
        <w:t xml:space="preserve"> [3-12]</w:t>
      </w:r>
      <w:r w:rsidR="00307811">
        <w:rPr>
          <w:rFonts w:eastAsiaTheme="minorHAnsi"/>
        </w:rPr>
        <w:t xml:space="preserve">: </w:t>
      </w:r>
      <w:r w:rsidR="00DB7F0E">
        <w:rPr>
          <w:rFonts w:eastAsiaTheme="minorHAnsi"/>
        </w:rPr>
        <w:t>Unhappy Recollections—T</w:t>
      </w:r>
      <w:r w:rsidR="0026632A">
        <w:rPr>
          <w:rFonts w:eastAsiaTheme="minorHAnsi"/>
        </w:rPr>
        <w:t>he Heel</w:t>
      </w:r>
    </w:p>
    <w:p w:rsidR="00307811" w:rsidRDefault="00307811" w:rsidP="001D3546">
      <w:pPr>
        <w:pStyle w:val="Heading2"/>
      </w:pPr>
      <w:r>
        <w:t>Translation</w:t>
      </w:r>
    </w:p>
    <w:p w:rsidR="00C05B7A" w:rsidRDefault="00546B1E" w:rsidP="00C05B7A">
      <w:r>
        <w:rPr>
          <w:vertAlign w:val="superscript"/>
        </w:rPr>
        <w:t>2</w:t>
      </w:r>
      <w:r w:rsidR="00C05B7A">
        <w:t xml:space="preserve">Yahweh </w:t>
      </w:r>
      <w:r w:rsidR="00C84242">
        <w:t xml:space="preserve">both </w:t>
      </w:r>
      <w:r w:rsidR="00C05B7A">
        <w:t>ha</w:t>
      </w:r>
      <w:r w:rsidR="009126EF">
        <w:t>d</w:t>
      </w:r>
      <w:r w:rsidR="00AD50FD" w:rsidRPr="00AD50FD">
        <w:rPr>
          <w:vertAlign w:val="superscript"/>
        </w:rPr>
        <w:footnoteReference w:id="545"/>
      </w:r>
      <w:r w:rsidR="00AD50FD" w:rsidRPr="00AD50FD">
        <w:t xml:space="preserve"> </w:t>
      </w:r>
      <w:r w:rsidR="005D13FA">
        <w:t xml:space="preserve"> a</w:t>
      </w:r>
      <w:r w:rsidR="009D416B">
        <w:t xml:space="preserve"> confrontation</w:t>
      </w:r>
      <w:r w:rsidR="00C05B7A">
        <w:t xml:space="preserve"> with </w:t>
      </w:r>
      <w:r w:rsidR="00C05B7A" w:rsidRPr="00211370">
        <w:t>Yəhûdāh</w:t>
      </w:r>
      <w:r w:rsidR="00C05B7A">
        <w:t xml:space="preserve">, </w:t>
      </w:r>
    </w:p>
    <w:p w:rsidR="00C05B7A" w:rsidRDefault="009126EF" w:rsidP="00C05B7A">
      <w:r>
        <w:lastRenderedPageBreak/>
        <w:tab/>
        <w:t>and attended</w:t>
      </w:r>
      <w:r w:rsidR="000805C3">
        <w:rPr>
          <w:rStyle w:val="FootnoteReference"/>
        </w:rPr>
        <w:footnoteReference w:id="546"/>
      </w:r>
      <w:r>
        <w:t xml:space="preserve"> to Ya‘ăqōb</w:t>
      </w:r>
      <w:r w:rsidR="00BE753A">
        <w:t xml:space="preserve"> in accordance with its ways;</w:t>
      </w:r>
    </w:p>
    <w:p w:rsidR="00C05B7A" w:rsidRPr="00E853DA" w:rsidRDefault="00BE753A" w:rsidP="00C05B7A">
      <w:r>
        <w:tab/>
        <w:t>he</w:t>
      </w:r>
      <w:r w:rsidR="009126EF">
        <w:t xml:space="preserve"> would gi</w:t>
      </w:r>
      <w:r w:rsidR="00C05B7A">
        <w:t>ve back</w:t>
      </w:r>
      <w:r w:rsidR="004D6815" w:rsidRPr="004D6815">
        <w:rPr>
          <w:vertAlign w:val="superscript"/>
        </w:rPr>
        <w:footnoteReference w:id="547"/>
      </w:r>
      <w:r w:rsidR="00C05B7A">
        <w:t xml:space="preserve"> to him in accordance with his deeds.</w:t>
      </w:r>
    </w:p>
    <w:p w:rsidR="009126EF" w:rsidRDefault="00546B1E" w:rsidP="00C05B7A">
      <w:pPr>
        <w:pStyle w:val="ListParagraph"/>
        <w:ind w:left="720" w:firstLine="0"/>
      </w:pPr>
      <w:r>
        <w:rPr>
          <w:vertAlign w:val="superscript"/>
        </w:rPr>
        <w:t>3</w:t>
      </w:r>
      <w:r w:rsidR="00307811" w:rsidRPr="00307811">
        <w:t>In the womb</w:t>
      </w:r>
      <w:r w:rsidR="009126EF">
        <w:t xml:space="preserve"> he grasped </w:t>
      </w:r>
      <w:r w:rsidR="00F41375">
        <w:t xml:space="preserve">the heel of </w:t>
      </w:r>
      <w:r w:rsidR="009126EF">
        <w:t xml:space="preserve">his brother, </w:t>
      </w:r>
    </w:p>
    <w:p w:rsidR="00307811" w:rsidRDefault="009126EF" w:rsidP="00C05B7A">
      <w:pPr>
        <w:pStyle w:val="ListParagraph"/>
        <w:ind w:left="720" w:firstLine="0"/>
      </w:pPr>
      <w:r>
        <w:tab/>
        <w:t>and in his vigor</w:t>
      </w:r>
      <w:r w:rsidR="00645510">
        <w:rPr>
          <w:rStyle w:val="FootnoteReference"/>
        </w:rPr>
        <w:footnoteReference w:id="548"/>
      </w:r>
      <w:r>
        <w:t xml:space="preserve"> he exerted himself with God.</w:t>
      </w:r>
      <w:r w:rsidR="00C754F2">
        <w:rPr>
          <w:rStyle w:val="FootnoteReference"/>
        </w:rPr>
        <w:footnoteReference w:id="549"/>
      </w:r>
    </w:p>
    <w:p w:rsidR="001817B5" w:rsidRDefault="00546B1E" w:rsidP="00C05B7A">
      <w:pPr>
        <w:pStyle w:val="ListParagraph"/>
        <w:ind w:left="720" w:firstLine="0"/>
      </w:pPr>
      <w:r>
        <w:rPr>
          <w:vertAlign w:val="superscript"/>
        </w:rPr>
        <w:t>4</w:t>
      </w:r>
      <w:r w:rsidR="00BE753A">
        <w:t>He asserted authority</w:t>
      </w:r>
      <w:r w:rsidR="008E5973" w:rsidRPr="008E5973">
        <w:rPr>
          <w:vertAlign w:val="superscript"/>
        </w:rPr>
        <w:footnoteReference w:id="550"/>
      </w:r>
      <w:r w:rsidR="008E5973">
        <w:t xml:space="preserve"> in relation to</w:t>
      </w:r>
      <w:r w:rsidR="008E5973">
        <w:rPr>
          <w:rStyle w:val="FootnoteReference"/>
        </w:rPr>
        <w:footnoteReference w:id="551"/>
      </w:r>
      <w:r w:rsidR="001817B5">
        <w:t xml:space="preserve"> an envoy</w:t>
      </w:r>
      <w:r w:rsidR="0053239F">
        <w:rPr>
          <w:rStyle w:val="FootnoteReference"/>
        </w:rPr>
        <w:footnoteReference w:id="552"/>
      </w:r>
      <w:r w:rsidR="001817B5">
        <w:t xml:space="preserve"> a</w:t>
      </w:r>
      <w:r w:rsidR="00C20883">
        <w:t>nd won,</w:t>
      </w:r>
    </w:p>
    <w:p w:rsidR="009126EF" w:rsidRDefault="001817B5" w:rsidP="00C05B7A">
      <w:pPr>
        <w:pStyle w:val="ListParagraph"/>
        <w:ind w:left="720" w:firstLine="0"/>
      </w:pPr>
      <w:r>
        <w:tab/>
      </w:r>
      <w:r w:rsidR="00C20883">
        <w:t xml:space="preserve">though </w:t>
      </w:r>
      <w:r>
        <w:t>he</w:t>
      </w:r>
      <w:r w:rsidR="00EC2EAC">
        <w:rPr>
          <w:rStyle w:val="FootnoteReference"/>
        </w:rPr>
        <w:footnoteReference w:id="553"/>
      </w:r>
      <w:r>
        <w:t xml:space="preserve"> cried and asked </w:t>
      </w:r>
      <w:r w:rsidR="00777EE0">
        <w:t>him for grace</w:t>
      </w:r>
      <w:r>
        <w:t>.</w:t>
      </w:r>
    </w:p>
    <w:p w:rsidR="001817B5" w:rsidRDefault="001817B5" w:rsidP="00C05B7A">
      <w:pPr>
        <w:pStyle w:val="ListParagraph"/>
        <w:ind w:left="720" w:firstLine="0"/>
      </w:pPr>
      <w:r>
        <w:t>At Bȇt-‘ēl he</w:t>
      </w:r>
      <w:r w:rsidR="00015310">
        <w:rPr>
          <w:rStyle w:val="FootnoteReference"/>
        </w:rPr>
        <w:footnoteReference w:id="554"/>
      </w:r>
      <w:r>
        <w:t xml:space="preserve"> would find him; </w:t>
      </w:r>
    </w:p>
    <w:p w:rsidR="001817B5" w:rsidRDefault="00D50879" w:rsidP="00C05B7A">
      <w:pPr>
        <w:pStyle w:val="ListParagraph"/>
        <w:ind w:left="720" w:firstLine="0"/>
      </w:pPr>
      <w:r>
        <w:tab/>
        <w:t>there he would speak with us.</w:t>
      </w:r>
      <w:r w:rsidR="00DA234F">
        <w:rPr>
          <w:rStyle w:val="FootnoteReference"/>
        </w:rPr>
        <w:footnoteReference w:id="555"/>
      </w:r>
    </w:p>
    <w:p w:rsidR="00D50879" w:rsidRDefault="00D50879" w:rsidP="00C05B7A">
      <w:pPr>
        <w:pStyle w:val="ListParagraph"/>
        <w:ind w:left="720" w:firstLine="0"/>
      </w:pPr>
    </w:p>
    <w:p w:rsidR="001817B5" w:rsidRDefault="001817B5" w:rsidP="00C05B7A">
      <w:pPr>
        <w:pStyle w:val="ListParagraph"/>
        <w:ind w:left="720" w:firstLine="0"/>
      </w:pPr>
      <w:r>
        <w:rPr>
          <w:vertAlign w:val="superscript"/>
        </w:rPr>
        <w:t>5</w:t>
      </w:r>
      <w:r>
        <w:t>Y</w:t>
      </w:r>
      <w:r w:rsidR="00B85AF2">
        <w:t>es, Y</w:t>
      </w:r>
      <w:r>
        <w:t xml:space="preserve">ahweh the God of Armies, </w:t>
      </w:r>
    </w:p>
    <w:p w:rsidR="001817B5" w:rsidRDefault="001817B5" w:rsidP="00C05B7A">
      <w:pPr>
        <w:pStyle w:val="ListParagraph"/>
        <w:ind w:left="720" w:firstLine="0"/>
      </w:pPr>
      <w:r>
        <w:tab/>
        <w:t xml:space="preserve">Yahweh </w:t>
      </w:r>
      <w:r w:rsidR="00F6509B">
        <w:t xml:space="preserve">is </w:t>
      </w:r>
      <w:r>
        <w:t>his invocation.</w:t>
      </w:r>
    </w:p>
    <w:p w:rsidR="006C7511" w:rsidRDefault="001817B5" w:rsidP="00C05B7A">
      <w:pPr>
        <w:pStyle w:val="ListParagraph"/>
        <w:ind w:left="720" w:firstLine="0"/>
      </w:pPr>
      <w:r>
        <w:rPr>
          <w:vertAlign w:val="superscript"/>
        </w:rPr>
        <w:t>6</w:t>
      </w:r>
      <w:r w:rsidR="00BB3DE9">
        <w:t xml:space="preserve">You: </w:t>
      </w:r>
      <w:r w:rsidR="00994432">
        <w:t>you are to</w:t>
      </w:r>
      <w:r w:rsidR="00EF76CA">
        <w:t xml:space="preserve"> turn</w:t>
      </w:r>
      <w:r w:rsidR="009F3B95">
        <w:t xml:space="preserve"> back</w:t>
      </w:r>
      <w:r w:rsidR="009F4403">
        <w:t xml:space="preserve"> through</w:t>
      </w:r>
      <w:r w:rsidR="00FF4AB1">
        <w:rPr>
          <w:rStyle w:val="FootnoteReference"/>
        </w:rPr>
        <w:footnoteReference w:id="556"/>
      </w:r>
      <w:r w:rsidR="002710D8">
        <w:t xml:space="preserve"> your God—</w:t>
      </w:r>
    </w:p>
    <w:p w:rsidR="001817B5" w:rsidRDefault="006C7511" w:rsidP="00C05B7A">
      <w:pPr>
        <w:pStyle w:val="ListParagraph"/>
        <w:ind w:left="720" w:firstLine="0"/>
      </w:pPr>
      <w:r>
        <w:tab/>
      </w:r>
      <w:r w:rsidR="001817B5">
        <w:t xml:space="preserve">keep </w:t>
      </w:r>
      <w:r w:rsidR="00AF45FE">
        <w:t>commitmen</w:t>
      </w:r>
      <w:r w:rsidR="00C75405">
        <w:t>t in</w:t>
      </w:r>
      <w:r w:rsidR="00AF45FE">
        <w:rPr>
          <w:rStyle w:val="FootnoteReference"/>
        </w:rPr>
        <w:footnoteReference w:id="557"/>
      </w:r>
      <w:r w:rsidR="00F94F78">
        <w:t xml:space="preserve"> decision-making</w:t>
      </w:r>
      <w:r>
        <w:t>,</w:t>
      </w:r>
    </w:p>
    <w:p w:rsidR="006C7511" w:rsidRDefault="006C7511" w:rsidP="00C05B7A">
      <w:pPr>
        <w:pStyle w:val="ListParagraph"/>
        <w:ind w:left="720" w:firstLine="0"/>
      </w:pPr>
      <w:r>
        <w:tab/>
        <w:t>and hope in y</w:t>
      </w:r>
      <w:r w:rsidR="006F0E82">
        <w:t>ou</w:t>
      </w:r>
      <w:r>
        <w:t>r God continually.</w:t>
      </w:r>
    </w:p>
    <w:p w:rsidR="006C7511" w:rsidRDefault="006C7511" w:rsidP="00C05B7A">
      <w:pPr>
        <w:pStyle w:val="ListParagraph"/>
        <w:ind w:left="720" w:firstLine="0"/>
      </w:pPr>
    </w:p>
    <w:p w:rsidR="006C7511" w:rsidRDefault="006C7511" w:rsidP="00C05B7A">
      <w:pPr>
        <w:pStyle w:val="ListParagraph"/>
        <w:ind w:left="720" w:firstLine="0"/>
      </w:pPr>
      <w:r>
        <w:rPr>
          <w:vertAlign w:val="superscript"/>
        </w:rPr>
        <w:t>7</w:t>
      </w:r>
      <w:r w:rsidR="002627FE">
        <w:t>Phoenicia,</w:t>
      </w:r>
      <w:r w:rsidR="002627FE">
        <w:rPr>
          <w:rStyle w:val="FootnoteReference"/>
        </w:rPr>
        <w:footnoteReference w:id="558"/>
      </w:r>
      <w:r>
        <w:t xml:space="preserve"> in whose hand are lying balances, </w:t>
      </w:r>
    </w:p>
    <w:p w:rsidR="006C7511" w:rsidRDefault="006C7511" w:rsidP="00C05B7A">
      <w:pPr>
        <w:pStyle w:val="ListParagraph"/>
        <w:ind w:left="720" w:firstLine="0"/>
      </w:pPr>
      <w:r>
        <w:tab/>
        <w:t>likes to defraud.</w:t>
      </w:r>
    </w:p>
    <w:p w:rsidR="006C7511" w:rsidRDefault="006C7511" w:rsidP="00C05B7A">
      <w:pPr>
        <w:pStyle w:val="ListParagraph"/>
        <w:ind w:left="720" w:firstLine="0"/>
      </w:pPr>
      <w:r>
        <w:rPr>
          <w:vertAlign w:val="superscript"/>
        </w:rPr>
        <w:t>8</w:t>
      </w:r>
      <w:r w:rsidRPr="006C7511">
        <w:t>’Eprayim</w:t>
      </w:r>
      <w:r>
        <w:t xml:space="preserve"> has said, I have indeed got rich,</w:t>
      </w:r>
    </w:p>
    <w:p w:rsidR="006C7511" w:rsidRDefault="00B5793D" w:rsidP="00C05B7A">
      <w:pPr>
        <w:pStyle w:val="ListParagraph"/>
        <w:ind w:left="720" w:firstLine="0"/>
      </w:pPr>
      <w:r>
        <w:tab/>
        <w:t>I’</w:t>
      </w:r>
      <w:r w:rsidR="006C7511">
        <w:t>ve found vigor</w:t>
      </w:r>
      <w:r w:rsidR="00C14A2A">
        <w:t>, as far as I’</w:t>
      </w:r>
      <w:r w:rsidR="00420A9F">
        <w:t>m concerned</w:t>
      </w:r>
      <w:r w:rsidR="006C7511">
        <w:t>.</w:t>
      </w:r>
    </w:p>
    <w:p w:rsidR="007703EA" w:rsidRDefault="00EA6573" w:rsidP="00C05B7A">
      <w:pPr>
        <w:pStyle w:val="ListParagraph"/>
        <w:ind w:left="720" w:firstLine="0"/>
      </w:pPr>
      <w:r>
        <w:t xml:space="preserve">All my </w:t>
      </w:r>
      <w:r w:rsidR="0094519D">
        <w:t>labo</w:t>
      </w:r>
      <w:r>
        <w:t>r</w:t>
      </w:r>
      <w:r w:rsidR="00420A9F">
        <w:t>s:</w:t>
      </w:r>
      <w:r w:rsidR="0094519D">
        <w:rPr>
          <w:rStyle w:val="FootnoteReference"/>
        </w:rPr>
        <w:footnoteReference w:id="559"/>
      </w:r>
      <w:r w:rsidR="000805C3">
        <w:t xml:space="preserve"> </w:t>
      </w:r>
      <w:r w:rsidR="00420A9F" w:rsidRPr="00420A9F">
        <w:t xml:space="preserve">people will not find, </w:t>
      </w:r>
      <w:r w:rsidR="00C14A2A">
        <w:t>as far as I’</w:t>
      </w:r>
      <w:r w:rsidR="00420A9F">
        <w:t>m concerned,</w:t>
      </w:r>
      <w:r w:rsidR="007703EA">
        <w:t xml:space="preserve"> </w:t>
      </w:r>
    </w:p>
    <w:p w:rsidR="007703EA" w:rsidRDefault="007703EA" w:rsidP="00C05B7A">
      <w:pPr>
        <w:pStyle w:val="ListParagraph"/>
        <w:ind w:left="720" w:firstLine="0"/>
      </w:pPr>
      <w:r>
        <w:tab/>
        <w:t>waywardness</w:t>
      </w:r>
      <w:r w:rsidR="006E25FB">
        <w:rPr>
          <w:rStyle w:val="FootnoteReference"/>
        </w:rPr>
        <w:footnoteReference w:id="560"/>
      </w:r>
      <w:r>
        <w:t xml:space="preserve"> that </w:t>
      </w:r>
      <w:r w:rsidR="003B0854">
        <w:t>i</w:t>
      </w:r>
      <w:r w:rsidR="00264A03">
        <w:t>s wrongdoing.</w:t>
      </w:r>
    </w:p>
    <w:p w:rsidR="002532E3" w:rsidRDefault="002532E3" w:rsidP="00C05B7A">
      <w:pPr>
        <w:pStyle w:val="ListParagraph"/>
        <w:ind w:left="720" w:firstLine="0"/>
        <w:rPr>
          <w:vertAlign w:val="superscript"/>
        </w:rPr>
      </w:pPr>
    </w:p>
    <w:p w:rsidR="00264A03" w:rsidRDefault="00264A03" w:rsidP="00C05B7A">
      <w:pPr>
        <w:pStyle w:val="ListParagraph"/>
        <w:ind w:left="720" w:firstLine="0"/>
      </w:pPr>
      <w:r>
        <w:rPr>
          <w:vertAlign w:val="superscript"/>
        </w:rPr>
        <w:t>9</w:t>
      </w:r>
      <w:r w:rsidR="000E429C">
        <w:t>But I—I</w:t>
      </w:r>
      <w:r>
        <w:t xml:space="preserve"> am Yahweh your God, </w:t>
      </w:r>
    </w:p>
    <w:p w:rsidR="00264A03" w:rsidRDefault="00264A03" w:rsidP="00C05B7A">
      <w:pPr>
        <w:pStyle w:val="ListParagraph"/>
        <w:ind w:left="720" w:firstLine="0"/>
      </w:pPr>
      <w:r>
        <w:tab/>
        <w:t xml:space="preserve">from the country of </w:t>
      </w:r>
      <w:r w:rsidRPr="00264A03">
        <w:t>Mișrayim</w:t>
      </w:r>
      <w:r>
        <w:t>.</w:t>
      </w:r>
    </w:p>
    <w:p w:rsidR="00264A03" w:rsidRDefault="00D95F28" w:rsidP="00C05B7A">
      <w:pPr>
        <w:pStyle w:val="ListParagraph"/>
        <w:ind w:left="720" w:firstLine="0"/>
      </w:pPr>
      <w:r>
        <w:t>I will again make</w:t>
      </w:r>
      <w:r w:rsidR="00264A03">
        <w:t xml:space="preserve"> you live in tents, </w:t>
      </w:r>
    </w:p>
    <w:p w:rsidR="00264A03" w:rsidRDefault="00586006" w:rsidP="00C05B7A">
      <w:pPr>
        <w:pStyle w:val="ListParagraph"/>
        <w:ind w:left="720" w:firstLine="0"/>
      </w:pPr>
      <w:r>
        <w:tab/>
        <w:t>as in the days of a set meeting</w:t>
      </w:r>
      <w:r w:rsidR="00264A03">
        <w:t>.</w:t>
      </w:r>
      <w:r w:rsidR="00354ED0">
        <w:rPr>
          <w:rStyle w:val="FootnoteReference"/>
        </w:rPr>
        <w:footnoteReference w:id="561"/>
      </w:r>
    </w:p>
    <w:p w:rsidR="00264A03" w:rsidRDefault="00264A03" w:rsidP="00C05B7A">
      <w:pPr>
        <w:pStyle w:val="ListParagraph"/>
        <w:ind w:left="720" w:firstLine="0"/>
      </w:pPr>
      <w:r>
        <w:rPr>
          <w:vertAlign w:val="superscript"/>
        </w:rPr>
        <w:t>10</w:t>
      </w:r>
      <w:r>
        <w:t xml:space="preserve">I would speak </w:t>
      </w:r>
      <w:r w:rsidR="0094307A">
        <w:t xml:space="preserve">urgently </w:t>
      </w:r>
      <w:r>
        <w:t>to</w:t>
      </w:r>
      <w:r w:rsidR="0094307A">
        <w:rPr>
          <w:rStyle w:val="FootnoteReference"/>
        </w:rPr>
        <w:footnoteReference w:id="562"/>
      </w:r>
      <w:r>
        <w:t xml:space="preserve"> the prophets, </w:t>
      </w:r>
    </w:p>
    <w:p w:rsidR="00264A03" w:rsidRDefault="00264A03" w:rsidP="00C05B7A">
      <w:pPr>
        <w:pStyle w:val="ListParagraph"/>
        <w:ind w:left="720" w:firstLine="0"/>
      </w:pPr>
      <w:r>
        <w:tab/>
        <w:t xml:space="preserve">when I granted many </w:t>
      </w:r>
      <w:r w:rsidR="004F7301">
        <w:t>a vision</w:t>
      </w:r>
      <w:r w:rsidR="000B33E8">
        <w:t>,</w:t>
      </w:r>
    </w:p>
    <w:p w:rsidR="00264A03" w:rsidRDefault="00264A03" w:rsidP="00C05B7A">
      <w:pPr>
        <w:pStyle w:val="ListParagraph"/>
        <w:ind w:left="720" w:firstLine="0"/>
      </w:pPr>
      <w:r>
        <w:tab/>
        <w:t>and by means of the p</w:t>
      </w:r>
      <w:r w:rsidR="000B33E8">
        <w:t>rophets would give pictures</w:t>
      </w:r>
      <w:r>
        <w:t>.</w:t>
      </w:r>
      <w:r w:rsidR="002532E3">
        <w:rPr>
          <w:rStyle w:val="FootnoteReference"/>
        </w:rPr>
        <w:footnoteReference w:id="563"/>
      </w:r>
    </w:p>
    <w:p w:rsidR="00606CC5" w:rsidRDefault="00606CC5" w:rsidP="00C05B7A">
      <w:pPr>
        <w:pStyle w:val="ListParagraph"/>
        <w:ind w:left="720" w:firstLine="0"/>
      </w:pPr>
      <w:r>
        <w:rPr>
          <w:vertAlign w:val="superscript"/>
        </w:rPr>
        <w:t>11</w:t>
      </w:r>
      <w:r>
        <w:t>If Gil‘ād</w:t>
      </w:r>
      <w:r w:rsidR="00B85AF2">
        <w:t xml:space="preserve"> wa</w:t>
      </w:r>
      <w:r w:rsidR="009E7CED">
        <w:t>s evil</w:t>
      </w:r>
      <w:r w:rsidR="004E2A89">
        <w:t>, indeed they were</w:t>
      </w:r>
      <w:r>
        <w:t xml:space="preserve"> empty, </w:t>
      </w:r>
    </w:p>
    <w:p w:rsidR="00606CC5" w:rsidRDefault="00606CC5" w:rsidP="00C05B7A">
      <w:pPr>
        <w:pStyle w:val="ListParagraph"/>
        <w:ind w:left="720" w:firstLine="0"/>
      </w:pPr>
      <w:r>
        <w:tab/>
        <w:t xml:space="preserve">when </w:t>
      </w:r>
      <w:r w:rsidR="0004245B">
        <w:t>they sacrificed bulls</w:t>
      </w:r>
      <w:r w:rsidR="00E1200C">
        <w:rPr>
          <w:rStyle w:val="FootnoteReference"/>
        </w:rPr>
        <w:footnoteReference w:id="564"/>
      </w:r>
      <w:r w:rsidR="0004245B">
        <w:t xml:space="preserve"> at</w:t>
      </w:r>
      <w:r w:rsidR="004E2A89">
        <w:t xml:space="preserve"> Gilgāl,</w:t>
      </w:r>
    </w:p>
    <w:p w:rsidR="00606CC5" w:rsidRDefault="00C7531F" w:rsidP="00C05B7A">
      <w:pPr>
        <w:pStyle w:val="ListParagraph"/>
        <w:ind w:left="720" w:firstLine="0"/>
      </w:pPr>
      <w:r>
        <w:t>Also their altars will be</w:t>
      </w:r>
      <w:r>
        <w:rPr>
          <w:rStyle w:val="FootnoteReference"/>
        </w:rPr>
        <w:footnoteReference w:id="565"/>
      </w:r>
      <w:r w:rsidR="004E2A89">
        <w:t xml:space="preserve"> like heaps</w:t>
      </w:r>
      <w:r w:rsidR="00A53EEC">
        <w:rPr>
          <w:rStyle w:val="FootnoteReference"/>
        </w:rPr>
        <w:footnoteReference w:id="566"/>
      </w:r>
      <w:r w:rsidR="00606CC5">
        <w:t xml:space="preserve"> </w:t>
      </w:r>
    </w:p>
    <w:p w:rsidR="00606CC5" w:rsidRPr="00606CC5" w:rsidRDefault="00CD2DE9" w:rsidP="00C05B7A">
      <w:pPr>
        <w:pStyle w:val="ListParagraph"/>
        <w:ind w:left="720" w:firstLine="0"/>
      </w:pPr>
      <w:r>
        <w:tab/>
        <w:t>alongside</w:t>
      </w:r>
      <w:r w:rsidR="00606CC5">
        <w:t xml:space="preserve"> the furrows of the field.</w:t>
      </w:r>
    </w:p>
    <w:p w:rsidR="00D50879" w:rsidRDefault="00D50879" w:rsidP="001D3546">
      <w:pPr>
        <w:pStyle w:val="Heading2"/>
      </w:pPr>
      <w:r>
        <w:t>Interpretation</w:t>
      </w:r>
    </w:p>
    <w:p w:rsidR="006C7511" w:rsidRDefault="00C14A2A" w:rsidP="00D50879">
      <w:pPr>
        <w:pStyle w:val="ListParagraph"/>
        <w:ind w:left="0" w:firstLine="720"/>
      </w:pPr>
      <w:r>
        <w:t>Again Hosea moves</w:t>
      </w:r>
      <w:r w:rsidR="002D45DD">
        <w:t xml:space="preserve"> from </w:t>
      </w:r>
      <w:r w:rsidR="00D50879">
        <w:t>confrontation to recollecti</w:t>
      </w:r>
      <w:r>
        <w:t>on, though</w:t>
      </w:r>
      <w:r w:rsidR="00D50879">
        <w:t xml:space="preserve"> again the two sections flow into each other syntactically. Here Hosea looks back to the ancestral beginnings of Judah a</w:t>
      </w:r>
      <w:r w:rsidR="002D45DD">
        <w:t>nd especially of Jacob the</w:t>
      </w:r>
      <w:r w:rsidR="00D50879">
        <w:t xml:space="preserve"> father</w:t>
      </w:r>
      <w:r w:rsidR="002D45DD">
        <w:t xml:space="preserve"> of Ephraim and Judah</w:t>
      </w:r>
      <w:r w:rsidR="00537371">
        <w:t>,</w:t>
      </w:r>
      <w:r w:rsidR="003C2193">
        <w:t xml:space="preserve"> </w:t>
      </w:r>
      <w:r w:rsidR="00D50879">
        <w:t>then makes another tr</w:t>
      </w:r>
      <w:r w:rsidR="007913C5">
        <w:t xml:space="preserve">ansition to </w:t>
      </w:r>
      <w:r w:rsidR="00AD50FD">
        <w:t>critique</w:t>
      </w:r>
      <w:r w:rsidR="00C7531F">
        <w:t xml:space="preserve"> and threat</w:t>
      </w:r>
      <w:r w:rsidR="00374AB7">
        <w:t>, but also incorporates a promise.</w:t>
      </w:r>
    </w:p>
    <w:p w:rsidR="00D50879" w:rsidRDefault="00D50879" w:rsidP="00D50879">
      <w:pPr>
        <w:pStyle w:val="ListParagraph"/>
        <w:ind w:left="0" w:firstLine="720"/>
      </w:pPr>
    </w:p>
    <w:p w:rsidR="007913C5" w:rsidRDefault="001C7128" w:rsidP="00D50879">
      <w:pPr>
        <w:pStyle w:val="ListParagraph"/>
        <w:ind w:left="0" w:firstLine="720"/>
      </w:pPr>
      <w:r>
        <w:rPr>
          <w:b/>
        </w:rPr>
        <w:t>Hosea 12:2-4</w:t>
      </w:r>
      <w:r w:rsidR="007913C5">
        <w:rPr>
          <w:b/>
        </w:rPr>
        <w:t xml:space="preserve"> [3-5]</w:t>
      </w:r>
      <w:r w:rsidR="00D50879">
        <w:rPr>
          <w:b/>
        </w:rPr>
        <w:t xml:space="preserve">. </w:t>
      </w:r>
      <w:r w:rsidR="00562427">
        <w:t xml:space="preserve">Initially </w:t>
      </w:r>
      <w:r w:rsidR="00C84242">
        <w:t xml:space="preserve">Hosea’s listeners </w:t>
      </w:r>
      <w:r w:rsidR="00562427">
        <w:t>wo</w:t>
      </w:r>
      <w:r w:rsidR="00C84242">
        <w:t>uld hear</w:t>
      </w:r>
      <w:r w:rsidR="00537371">
        <w:t xml:space="preserve"> this </w:t>
      </w:r>
      <w:r w:rsidR="00562427">
        <w:t xml:space="preserve">section as </w:t>
      </w:r>
      <w:r w:rsidR="00C84242">
        <w:t xml:space="preserve">directly </w:t>
      </w:r>
      <w:r w:rsidR="00562427">
        <w:t xml:space="preserve">continuing the indictment of </w:t>
      </w:r>
      <w:r w:rsidR="003C2193">
        <w:t xml:space="preserve">the two nations of </w:t>
      </w:r>
      <w:r w:rsidR="00562427">
        <w:t>Judah and Jacob</w:t>
      </w:r>
      <w:r w:rsidR="003C2193">
        <w:t>, taking</w:t>
      </w:r>
      <w:r w:rsidR="00C84242">
        <w:t xml:space="preserve"> Jacob</w:t>
      </w:r>
      <w:r w:rsidR="003C2193">
        <w:t xml:space="preserve"> to </w:t>
      </w:r>
      <w:r w:rsidR="00562427">
        <w:t xml:space="preserve">refer to Ephraim as in 10:11 (see the </w:t>
      </w:r>
      <w:r w:rsidR="00F14F90">
        <w:t>comments</w:t>
      </w:r>
      <w:r w:rsidR="00562427">
        <w:t>)</w:t>
      </w:r>
      <w:r w:rsidR="00C84242">
        <w:t xml:space="preserve">. But they would then </w:t>
      </w:r>
      <w:r>
        <w:t>discover from v. 3</w:t>
      </w:r>
      <w:r w:rsidR="00C84242">
        <w:t xml:space="preserve"> </w:t>
      </w:r>
      <w:r w:rsidR="007913C5">
        <w:t xml:space="preserve">[4] </w:t>
      </w:r>
      <w:r w:rsidR="00C84242">
        <w:t xml:space="preserve">that </w:t>
      </w:r>
      <w:r w:rsidR="003C2193">
        <w:t>Jacob is</w:t>
      </w:r>
      <w:r w:rsidR="00C84242">
        <w:t xml:space="preserve"> th</w:t>
      </w:r>
      <w:r w:rsidR="003C2193">
        <w:t>e eponymous ancest</w:t>
      </w:r>
      <w:r w:rsidR="00537371">
        <w:t>or of the present nation, as</w:t>
      </w:r>
      <w:r w:rsidR="003C2193">
        <w:t xml:space="preserve"> presumably </w:t>
      </w:r>
      <w:r w:rsidR="00537371">
        <w:t xml:space="preserve">then </w:t>
      </w:r>
      <w:r w:rsidR="003C2193">
        <w:t>is Judah. The</w:t>
      </w:r>
      <w:r w:rsidR="00C84242">
        <w:t xml:space="preserve"> present nations are continuing to </w:t>
      </w:r>
      <w:r w:rsidR="003C2193">
        <w:t xml:space="preserve">live out their ancestors’ destiny, or </w:t>
      </w:r>
      <w:r w:rsidR="00C84242">
        <w:t xml:space="preserve">the ancestors </w:t>
      </w:r>
      <w:r w:rsidR="003C2193">
        <w:t xml:space="preserve">foreshadow the nations, or </w:t>
      </w:r>
      <w:r w:rsidR="00C84242">
        <w:t xml:space="preserve">are types of which the nations are antitypes. “Look at these ancestors and you will see yourselves mirroring them.” </w:t>
      </w:r>
    </w:p>
    <w:p w:rsidR="00D50879" w:rsidRDefault="00557CC7" w:rsidP="00D50879">
      <w:pPr>
        <w:pStyle w:val="ListParagraph"/>
        <w:ind w:left="0" w:firstLine="720"/>
      </w:pPr>
      <w:r>
        <w:t>For Yahweh’s argument with Judah</w:t>
      </w:r>
      <w:r w:rsidR="007913C5">
        <w:t xml:space="preserve"> (v. 2 [3])</w:t>
      </w:r>
      <w:r>
        <w:t xml:space="preserve">, see Genesis 38 and Joshua 7. For Yahweh’s attending to Jacob, see the broader story of his troubled </w:t>
      </w:r>
      <w:r w:rsidR="00537371">
        <w:t>life in Genesis 27—49, which</w:t>
      </w:r>
      <w:r>
        <w:t xml:space="preserve"> tells of how Jacob’s decisions often recoil on him (e.g., in his relationship with Esau and Laban</w:t>
      </w:r>
      <w:r w:rsidR="003C2193">
        <w:t>)</w:t>
      </w:r>
      <w:r>
        <w:t>, though it also indicates that Yahweh nevertheless preserves and blesses him. Here Hosea put</w:t>
      </w:r>
      <w:r w:rsidR="003C2193">
        <w:t>s</w:t>
      </w:r>
      <w:r>
        <w:t xml:space="preserve"> the emphasis the other way around in both respects. He sees Yahweh involved in bringing about the recoil and </w:t>
      </w:r>
      <w:r w:rsidR="00537371">
        <w:t>he</w:t>
      </w:r>
      <w:r w:rsidR="009367A2">
        <w:t xml:space="preserve"> ignores the preservation and blessing.</w:t>
      </w:r>
      <w:r w:rsidR="00DC75CA">
        <w:t xml:space="preserve"> </w:t>
      </w:r>
      <w:r w:rsidR="00DC75CA" w:rsidRPr="00DC75CA">
        <w:t>We don’t know whether Hosea would have known the Genesis account in something like the form that we have it</w:t>
      </w:r>
      <w:r w:rsidR="00DC75CA">
        <w:t>, but comparing the two nevertheless helps bring out their respective natures.</w:t>
      </w:r>
    </w:p>
    <w:p w:rsidR="004C4541" w:rsidRDefault="00537371" w:rsidP="00D50879">
      <w:pPr>
        <w:pStyle w:val="ListParagraph"/>
        <w:ind w:left="0" w:firstLine="720"/>
      </w:pPr>
      <w:r>
        <w:t>Hosea first (v. 3</w:t>
      </w:r>
      <w:r w:rsidR="007913C5">
        <w:t xml:space="preserve"> [4]</w:t>
      </w:r>
      <w:r>
        <w:t>) describes</w:t>
      </w:r>
      <w:r w:rsidR="009367A2">
        <w:t xml:space="preserve"> some of those ways and deeds</w:t>
      </w:r>
      <w:r w:rsidR="003C2193">
        <w:t xml:space="preserve"> that earned Yahweh’s disciplinary response</w:t>
      </w:r>
      <w:r>
        <w:t>. Initially</w:t>
      </w:r>
      <w:r w:rsidR="005D596A">
        <w:t xml:space="preserve"> there wa</w:t>
      </w:r>
      <w:r w:rsidR="009367A2">
        <w:t xml:space="preserve">s the </w:t>
      </w:r>
      <w:r w:rsidR="00381B8C">
        <w:t xml:space="preserve">fighting with Esau in the womb and the </w:t>
      </w:r>
      <w:r w:rsidR="009367A2">
        <w:t>r</w:t>
      </w:r>
      <w:r>
        <w:t>eaching after him as they we</w:t>
      </w:r>
      <w:r w:rsidR="00381B8C">
        <w:t>re born</w:t>
      </w:r>
      <w:r w:rsidR="009367A2">
        <w:t xml:space="preserve"> (see Gen. 25:21-26</w:t>
      </w:r>
      <w:r w:rsidR="005D596A">
        <w:t xml:space="preserve">). </w:t>
      </w:r>
      <w:r w:rsidR="004C4541">
        <w:t>In Genesis this</w:t>
      </w:r>
      <w:r w:rsidR="004C4541" w:rsidRPr="004C4541">
        <w:t xml:space="preserve"> description of Jacob carries no necessary note of critique</w:t>
      </w:r>
      <w:r>
        <w:t xml:space="preserve">; it </w:t>
      </w:r>
      <w:r w:rsidR="004C4541">
        <w:t xml:space="preserve">may even imply he is reaching after the fulfillment of God’s promise. Likewise Tg gives a positive </w:t>
      </w:r>
      <w:r w:rsidR="004C4541">
        <w:lastRenderedPageBreak/>
        <w:t xml:space="preserve">interpretation of this </w:t>
      </w:r>
      <w:r w:rsidR="005D596A">
        <w:t>account of Jacob in Hosea. But Hosea’s wording suggests a different</w:t>
      </w:r>
      <w:r w:rsidR="004C4541">
        <w:t xml:space="preserve"> reading of the story. </w:t>
      </w:r>
      <w:r w:rsidR="005D596A" w:rsidRPr="005D596A">
        <w:t xml:space="preserve">“Grasp the heel of” is </w:t>
      </w:r>
      <w:r w:rsidR="005D596A" w:rsidRPr="005D596A">
        <w:rPr>
          <w:i/>
        </w:rPr>
        <w:t>‘āqab</w:t>
      </w:r>
      <w:r w:rsidR="005D596A" w:rsidRPr="005D596A">
        <w:t>, a denominative verb deri</w:t>
      </w:r>
      <w:r>
        <w:t>ved from the word for “heel</w:t>
      </w:r>
      <w:r w:rsidR="005D596A" w:rsidRPr="005D596A">
        <w:t xml:space="preserve">” </w:t>
      </w:r>
      <w:r>
        <w:t>which</w:t>
      </w:r>
      <w:r w:rsidR="005D596A">
        <w:t xml:space="preserve"> </w:t>
      </w:r>
      <w:r w:rsidR="004C4541">
        <w:t>suggest</w:t>
      </w:r>
      <w:r w:rsidR="005D596A">
        <w:t xml:space="preserve">s attacking someone </w:t>
      </w:r>
      <w:r w:rsidR="009367A2">
        <w:t>from behind</w:t>
      </w:r>
      <w:r w:rsidR="00381B8C">
        <w:t xml:space="preserve"> (see Jer. 9:3</w:t>
      </w:r>
      <w:r>
        <w:t>)</w:t>
      </w:r>
      <w:r w:rsidR="00381B8C">
        <w:t>; compare</w:t>
      </w:r>
      <w:r>
        <w:t xml:space="preserve"> and contrast </w:t>
      </w:r>
      <w:r w:rsidR="00381B8C">
        <w:t xml:space="preserve">the </w:t>
      </w:r>
      <w:r>
        <w:t>related adjective in 6:8 (</w:t>
      </w:r>
      <w:r w:rsidR="00381B8C">
        <w:t xml:space="preserve">see the note). </w:t>
      </w:r>
      <w:r w:rsidR="004C4541">
        <w:t>Hosea’s evaluation</w:t>
      </w:r>
      <w:r w:rsidR="004C4541" w:rsidRPr="004C4541">
        <w:t xml:space="preserve"> corresponds to </w:t>
      </w:r>
      <w:r w:rsidR="00381B8C">
        <w:t>Esau</w:t>
      </w:r>
      <w:r w:rsidR="005D596A">
        <w:t>’s. He</w:t>
      </w:r>
      <w:r w:rsidR="00381B8C">
        <w:t xml:space="preserve"> made the link between his brother’s</w:t>
      </w:r>
      <w:r w:rsidR="005D596A">
        <w:t xml:space="preserve"> name and his acts (Gen. 27:36):</w:t>
      </w:r>
      <w:r w:rsidR="00381B8C">
        <w:t xml:space="preserve"> Jacob was grabber or heel by name and by nature. </w:t>
      </w:r>
      <w:r w:rsidR="005D596A">
        <w:t>T</w:t>
      </w:r>
      <w:r w:rsidR="00D9540E">
        <w:t>he parallel colon takes things much further. When he had reached his adult strength</w:t>
      </w:r>
      <w:r w:rsidR="00433DA7">
        <w:t xml:space="preserve"> (cf. Jacob’s words in Gen. 49:3)</w:t>
      </w:r>
      <w:r w:rsidR="00D9540E">
        <w:t xml:space="preserve">, God was the object of his reach. </w:t>
      </w:r>
      <w:r w:rsidR="001A2F9B">
        <w:t>“Two conflicts are decisive for Jacob’s life…: that with his brother and that with God.”</w:t>
      </w:r>
      <w:r w:rsidR="001A2F9B">
        <w:rPr>
          <w:rStyle w:val="FootnoteReference"/>
        </w:rPr>
        <w:footnoteReference w:id="567"/>
      </w:r>
      <w:r w:rsidR="001A2F9B">
        <w:t xml:space="preserve"> </w:t>
      </w:r>
      <w:r w:rsidR="005D596A">
        <w:t>“Exerted himself” is</w:t>
      </w:r>
      <w:r w:rsidR="005D168F">
        <w:t xml:space="preserve"> </w:t>
      </w:r>
      <w:r w:rsidR="00D9540E">
        <w:rPr>
          <w:i/>
        </w:rPr>
        <w:t>śārāh</w:t>
      </w:r>
      <w:r w:rsidR="00D9540E">
        <w:t xml:space="preserve">: </w:t>
      </w:r>
      <w:r w:rsidR="00DC75CA">
        <w:t>there are two such roots and</w:t>
      </w:r>
      <w:r w:rsidR="005D168F">
        <w:t xml:space="preserve"> </w:t>
      </w:r>
      <w:r w:rsidR="00D9540E">
        <w:t>Sarah’s name c</w:t>
      </w:r>
      <w:r w:rsidR="00B658E0">
        <w:t>omes from the other one meaning</w:t>
      </w:r>
      <w:r w:rsidR="00DC75CA">
        <w:t xml:space="preserve"> “rule,”</w:t>
      </w:r>
      <w:r w:rsidR="005D168F">
        <w:t xml:space="preserve"> </w:t>
      </w:r>
      <w:r w:rsidR="00DC75CA">
        <w:t>but it looks the same</w:t>
      </w:r>
      <w:r w:rsidR="00D9540E">
        <w:t>, and Jacob</w:t>
      </w:r>
      <w:r w:rsidR="00D9540E">
        <w:rPr>
          <w:i/>
        </w:rPr>
        <w:t xml:space="preserve"> </w:t>
      </w:r>
      <w:r w:rsidR="00D9540E">
        <w:t>was the true des</w:t>
      </w:r>
      <w:r w:rsidR="005D596A">
        <w:t xml:space="preserve">cendant of his grandmother. </w:t>
      </w:r>
      <w:r w:rsidR="00B658E0">
        <w:t xml:space="preserve">Genesis </w:t>
      </w:r>
      <w:r w:rsidR="00D9540E">
        <w:t>rather makes a link with Jacob’s new name Isra</w:t>
      </w:r>
      <w:r w:rsidR="005D168F">
        <w:t>el, which etymologically implie</w:t>
      </w:r>
      <w:r w:rsidR="00D9540E">
        <w:t>s “God exerts himsel</w:t>
      </w:r>
      <w:r w:rsidR="005D596A">
        <w:t xml:space="preserve">f” but which to Genesis </w:t>
      </w:r>
      <w:r w:rsidR="007913C5">
        <w:t xml:space="preserve">suggests </w:t>
      </w:r>
      <w:r w:rsidR="00D9540E">
        <w:t>Jacob</w:t>
      </w:r>
      <w:r w:rsidR="00B658E0">
        <w:t xml:space="preserve"> exerting himself with God (</w:t>
      </w:r>
      <w:r w:rsidR="00D9540E">
        <w:t xml:space="preserve">Gen. </w:t>
      </w:r>
      <w:r w:rsidR="00C164E6">
        <w:t>32:28 [29]).</w:t>
      </w:r>
      <w:r w:rsidR="004C4541">
        <w:t xml:space="preserve"> </w:t>
      </w:r>
    </w:p>
    <w:p w:rsidR="00C164E6" w:rsidRDefault="00777EE0" w:rsidP="00D50879">
      <w:pPr>
        <w:pStyle w:val="ListParagraph"/>
        <w:ind w:left="0" w:firstLine="720"/>
      </w:pPr>
      <w:r>
        <w:t>Hosea goes on to expand on his reminder of the Jacob story (v. 4</w:t>
      </w:r>
      <w:r w:rsidR="00FB6D33">
        <w:t>a</w:t>
      </w:r>
      <w:r w:rsidR="007913C5">
        <w:t xml:space="preserve"> [5a]</w:t>
      </w:r>
      <w:r>
        <w:t xml:space="preserve">). </w:t>
      </w:r>
      <w:r w:rsidR="00560039">
        <w:t>I</w:t>
      </w:r>
      <w:r w:rsidR="00DC75CA">
        <w:t xml:space="preserve">n Genesis </w:t>
      </w:r>
      <w:r w:rsidR="007913C5">
        <w:t xml:space="preserve">Jacob is wrestled by </w:t>
      </w:r>
      <w:r w:rsidR="00DC75CA">
        <w:t>“someone</w:t>
      </w:r>
      <w:r w:rsidR="00AA1A6F">
        <w:t>” (</w:t>
      </w:r>
      <w:r w:rsidR="00AA1A6F">
        <w:rPr>
          <w:i/>
        </w:rPr>
        <w:t>’îš</w:t>
      </w:r>
      <w:r w:rsidR="00AA1A6F">
        <w:t xml:space="preserve">, </w:t>
      </w:r>
      <w:r w:rsidR="00DC75CA">
        <w:t>which one would usually take to denote “a man</w:t>
      </w:r>
      <w:r w:rsidR="00AA1A6F">
        <w:t>”)</w:t>
      </w:r>
      <w:r w:rsidR="007913C5">
        <w:t xml:space="preserve"> who</w:t>
      </w:r>
      <w:r w:rsidR="00AA1A6F">
        <w:t xml:space="preserve"> eventually says that Jacob has exerted himsel</w:t>
      </w:r>
      <w:r w:rsidR="0050205F">
        <w:t xml:space="preserve">f </w:t>
      </w:r>
      <w:r w:rsidR="00AA1A6F">
        <w:t>with God (</w:t>
      </w:r>
      <w:r w:rsidR="00AA1A6F">
        <w:rPr>
          <w:i/>
        </w:rPr>
        <w:t>’ĕlōhîm</w:t>
      </w:r>
      <w:r w:rsidR="00AA1A6F">
        <w:t xml:space="preserve">) and with </w:t>
      </w:r>
      <w:r w:rsidR="00386FFC">
        <w:t>men (</w:t>
      </w:r>
      <w:r w:rsidR="00386FFC">
        <w:rPr>
          <w:i/>
        </w:rPr>
        <w:t>’ănāšîm</w:t>
      </w:r>
      <w:r w:rsidR="00386FFC">
        <w:t>)</w:t>
      </w:r>
      <w:r w:rsidR="0050205F">
        <w:t xml:space="preserve"> </w:t>
      </w:r>
      <w:r w:rsidR="007913C5">
        <w:t>and won (</w:t>
      </w:r>
      <w:r w:rsidR="007913C5" w:rsidRPr="007913C5">
        <w:t>Gen. 32:28 [29]</w:t>
      </w:r>
      <w:r w:rsidR="007913C5">
        <w:t>)—</w:t>
      </w:r>
      <w:r w:rsidR="008747B3">
        <w:t xml:space="preserve">the </w:t>
      </w:r>
      <w:r w:rsidR="00B658E0">
        <w:t xml:space="preserve">same </w:t>
      </w:r>
      <w:r w:rsidR="00386FFC">
        <w:t xml:space="preserve">verbs </w:t>
      </w:r>
      <w:r w:rsidR="007913C5">
        <w:t>here in vv. 3-4</w:t>
      </w:r>
      <w:r w:rsidR="008747B3">
        <w:t xml:space="preserve"> </w:t>
      </w:r>
      <w:r w:rsidR="007913C5">
        <w:t>[4-5]. Gen</w:t>
      </w:r>
      <w:r w:rsidR="00386FFC">
        <w:t>esis</w:t>
      </w:r>
      <w:r w:rsidR="00C164E6">
        <w:t xml:space="preserve"> is </w:t>
      </w:r>
      <w:r w:rsidR="00386FFC">
        <w:t xml:space="preserve">thus </w:t>
      </w:r>
      <w:r w:rsidR="00C164E6">
        <w:t xml:space="preserve">ambiguous over whether Jacob wrestles with </w:t>
      </w:r>
      <w:r w:rsidR="00386FFC">
        <w:t>a human being, or with God, o</w:t>
      </w:r>
      <w:r w:rsidR="00B658E0">
        <w:t>r with something in between;</w:t>
      </w:r>
      <w:r w:rsidR="007913C5">
        <w:t xml:space="preserve"> </w:t>
      </w:r>
      <w:r w:rsidR="00FF3A2B">
        <w:t xml:space="preserve">Hosea’s </w:t>
      </w:r>
      <w:r w:rsidR="00386FFC">
        <w:t xml:space="preserve">word </w:t>
      </w:r>
      <w:r w:rsidR="008747B3">
        <w:t>“</w:t>
      </w:r>
      <w:r w:rsidR="00386FFC">
        <w:t>envoy</w:t>
      </w:r>
      <w:r w:rsidR="008747B3">
        <w:t>”</w:t>
      </w:r>
      <w:r w:rsidR="00386FFC">
        <w:t xml:space="preserve"> (</w:t>
      </w:r>
      <w:r w:rsidR="00386FFC">
        <w:rPr>
          <w:i/>
        </w:rPr>
        <w:t>mal’āk</w:t>
      </w:r>
      <w:r w:rsidR="00386FFC">
        <w:t>, traditionally “angel”)</w:t>
      </w:r>
      <w:r w:rsidR="008747B3">
        <w:t xml:space="preserve">, </w:t>
      </w:r>
      <w:r w:rsidR="00FF3A2B">
        <w:t xml:space="preserve">is </w:t>
      </w:r>
      <w:r w:rsidR="008747B3">
        <w:t>a nice ambiguous compromise</w:t>
      </w:r>
      <w:r w:rsidR="00386FFC">
        <w:t xml:space="preserve">. </w:t>
      </w:r>
      <w:r w:rsidR="006113B9">
        <w:t xml:space="preserve">In </w:t>
      </w:r>
      <w:r w:rsidR="0050205F">
        <w:t>Genesis 32:22-32</w:t>
      </w:r>
      <w:r w:rsidR="008747B3">
        <w:t xml:space="preserve"> [23-33]</w:t>
      </w:r>
      <w:r w:rsidR="00DA234F">
        <w:t xml:space="preserve"> </w:t>
      </w:r>
      <w:r w:rsidR="00CE1C87">
        <w:t>there is no talk of weeping or of grace</w:t>
      </w:r>
      <w:r w:rsidR="00560039">
        <w:t xml:space="preserve">, though </w:t>
      </w:r>
      <w:r w:rsidR="00CE1C87">
        <w:t>o</w:t>
      </w:r>
      <w:r w:rsidR="006113B9">
        <w:t>n either side</w:t>
      </w:r>
      <w:r w:rsidR="00B658E0">
        <w:t xml:space="preserve"> of that</w:t>
      </w:r>
      <w:r w:rsidR="008747B3">
        <w:t xml:space="preserve"> passage,</w:t>
      </w:r>
      <w:r w:rsidR="006113B9">
        <w:t xml:space="preserve"> Jacob seeks </w:t>
      </w:r>
      <w:r w:rsidR="00CE1C87">
        <w:t xml:space="preserve">and finds </w:t>
      </w:r>
      <w:r w:rsidR="006113B9">
        <w:t>grace from Esau (32:5 [6]; 33:8, 10, 15)</w:t>
      </w:r>
      <w:r w:rsidR="00CE1C87">
        <w:t xml:space="preserve"> and they both weep (33:4). </w:t>
      </w:r>
      <w:r w:rsidR="008747B3">
        <w:t>Here</w:t>
      </w:r>
      <w:r w:rsidR="00560039">
        <w:t>, Jacob is crying</w:t>
      </w:r>
      <w:r w:rsidR="00B658E0">
        <w:t>.</w:t>
      </w:r>
      <w:r w:rsidR="00560039">
        <w:t xml:space="preserve"> and seeking and finding grace from </w:t>
      </w:r>
      <w:r w:rsidR="008747B3">
        <w:t xml:space="preserve">the envoy or from God, which would also be </w:t>
      </w:r>
      <w:r w:rsidR="00560039">
        <w:t>a reasonable way of expressing the implications of the Genesis version.</w:t>
      </w:r>
    </w:p>
    <w:p w:rsidR="00FB6D33" w:rsidRDefault="00560039" w:rsidP="00D50879">
      <w:pPr>
        <w:pStyle w:val="ListParagraph"/>
        <w:ind w:left="0" w:firstLine="720"/>
      </w:pPr>
      <w:r>
        <w:t>The continuation of the account (v. 4b</w:t>
      </w:r>
      <w:r w:rsidR="00FF3A2B">
        <w:t xml:space="preserve"> [5b] </w:t>
      </w:r>
      <w:r w:rsidR="007B363D">
        <w:t>) carries on</w:t>
      </w:r>
      <w:r>
        <w:t xml:space="preserve"> keep</w:t>
      </w:r>
      <w:r w:rsidR="007B363D">
        <w:t>ing</w:t>
      </w:r>
      <w:r>
        <w:t xml:space="preserve"> the audience on its toes. </w:t>
      </w:r>
      <w:r w:rsidR="00015310">
        <w:t xml:space="preserve">God finding Jacob would be a good description of what </w:t>
      </w:r>
      <w:r w:rsidR="00B658E0">
        <w:t xml:space="preserve">once happened </w:t>
      </w:r>
      <w:r w:rsidR="00015310" w:rsidRPr="00015310">
        <w:t>at Beth</w:t>
      </w:r>
      <w:r w:rsidR="00DD219C">
        <w:t>-</w:t>
      </w:r>
      <w:r w:rsidR="00015310" w:rsidRPr="00015310">
        <w:t xml:space="preserve">el and will happen </w:t>
      </w:r>
      <w:r w:rsidR="00015310">
        <w:t xml:space="preserve">there </w:t>
      </w:r>
      <w:r w:rsidR="00015310" w:rsidRPr="00015310">
        <w:t>again (28:10-22; 35:1-15)</w:t>
      </w:r>
      <w:r w:rsidR="007B363D">
        <w:t>. It wa</w:t>
      </w:r>
      <w:r w:rsidR="00DA234F">
        <w:t>s on that s</w:t>
      </w:r>
      <w:r w:rsidR="007B363D">
        <w:t>econd occasion that Yahweh gave Jacob his new name</w:t>
      </w:r>
      <w:r w:rsidR="00FF3A2B">
        <w:t>,</w:t>
      </w:r>
      <w:r w:rsidR="007B363D">
        <w:t xml:space="preserve"> as</w:t>
      </w:r>
      <w:r w:rsidR="00DA234F">
        <w:t xml:space="preserve"> the one with whom</w:t>
      </w:r>
      <w:r w:rsidR="00B658E0">
        <w:t xml:space="preserve"> God exerts himself and </w:t>
      </w:r>
      <w:r w:rsidR="00DA234F">
        <w:t>who exerts himself with God. B</w:t>
      </w:r>
      <w:r w:rsidR="00015310">
        <w:t xml:space="preserve">ut in Genesis Jacob is the </w:t>
      </w:r>
      <w:r w:rsidR="007B363D">
        <w:t>one who does the finding, of</w:t>
      </w:r>
      <w:r>
        <w:t xml:space="preserve"> grace and also of Esau (32:19 [20])</w:t>
      </w:r>
      <w:r w:rsidR="00015310">
        <w:t>, and finding God would be a good description of what happens on those two occasions at Beth</w:t>
      </w:r>
      <w:r w:rsidR="00DD219C">
        <w:t>-</w:t>
      </w:r>
      <w:r w:rsidR="00015310">
        <w:t xml:space="preserve">el. </w:t>
      </w:r>
      <w:r w:rsidR="00DA234F">
        <w:t>There, too, Jacob speaks with God, but th</w:t>
      </w:r>
      <w:r w:rsidR="001C7128">
        <w:t>e second colon in v. 4b</w:t>
      </w:r>
      <w:r w:rsidR="007B363D">
        <w:t xml:space="preserve"> </w:t>
      </w:r>
      <w:r w:rsidR="00FF3A2B">
        <w:t xml:space="preserve">[5b] </w:t>
      </w:r>
      <w:r w:rsidR="00DA234F">
        <w:t xml:space="preserve">more </w:t>
      </w:r>
      <w:r w:rsidR="007B363D">
        <w:t>strikingly</w:t>
      </w:r>
      <w:r w:rsidR="00DA234F">
        <w:t xml:space="preserve"> note</w:t>
      </w:r>
      <w:r w:rsidR="007B363D">
        <w:t>s</w:t>
      </w:r>
      <w:r w:rsidR="00DA234F">
        <w:t xml:space="preserve"> that God speaks with </w:t>
      </w:r>
      <w:r w:rsidR="00DA234F" w:rsidRPr="00B658E0">
        <w:rPr>
          <w:i/>
        </w:rPr>
        <w:t>us</w:t>
      </w:r>
      <w:r w:rsidR="00DA234F">
        <w:t xml:space="preserve">. </w:t>
      </w:r>
      <w:r w:rsidR="006D0507">
        <w:t>Yahweh’s dealings with the Jacob of the past also relate to the Jacob of the present.</w:t>
      </w:r>
    </w:p>
    <w:p w:rsidR="00454FF4" w:rsidRDefault="00454FF4" w:rsidP="00D50879">
      <w:pPr>
        <w:pStyle w:val="ListParagraph"/>
        <w:ind w:left="0" w:firstLine="720"/>
      </w:pPr>
    </w:p>
    <w:p w:rsidR="00454FF4" w:rsidRDefault="001C7128" w:rsidP="00D50879">
      <w:pPr>
        <w:pStyle w:val="ListParagraph"/>
        <w:ind w:left="0" w:firstLine="720"/>
      </w:pPr>
      <w:r>
        <w:rPr>
          <w:b/>
        </w:rPr>
        <w:t>Hosea 12:5-6</w:t>
      </w:r>
      <w:r w:rsidR="00FF3A2B">
        <w:rPr>
          <w:b/>
        </w:rPr>
        <w:t xml:space="preserve"> [6-7]</w:t>
      </w:r>
      <w:r w:rsidR="00454FF4">
        <w:rPr>
          <w:b/>
        </w:rPr>
        <w:t xml:space="preserve">. </w:t>
      </w:r>
      <w:r w:rsidR="00454FF4">
        <w:t>The declaration about Yahweh</w:t>
      </w:r>
      <w:r>
        <w:t xml:space="preserve"> </w:t>
      </w:r>
      <w:r w:rsidR="005D13FA">
        <w:t xml:space="preserve">(v. 5 [6]) </w:t>
      </w:r>
      <w:r>
        <w:t xml:space="preserve">both follows from vv. 2-4 </w:t>
      </w:r>
      <w:r w:rsidR="00FF3A2B">
        <w:t xml:space="preserve">[3-5] </w:t>
      </w:r>
      <w:r>
        <w:t>and leads into v. 6</w:t>
      </w:r>
      <w:r w:rsidR="00FF3A2B">
        <w:t xml:space="preserve"> [7]</w:t>
      </w:r>
      <w:r w:rsidR="00454FF4">
        <w:t>. The title “Yahweh God of Armies” and its variants do n</w:t>
      </w:r>
      <w:r w:rsidR="00B658E0">
        <w:t>ot appear in the Torah; they</w:t>
      </w:r>
      <w:r w:rsidR="007B363D">
        <w:t xml:space="preserve"> </w:t>
      </w:r>
      <w:r w:rsidR="00454FF4">
        <w:t xml:space="preserve">become frequent only in </w:t>
      </w:r>
      <w:r w:rsidR="00474A82">
        <w:t xml:space="preserve">Amos, </w:t>
      </w:r>
      <w:r w:rsidR="00454FF4">
        <w:t>Isaiah</w:t>
      </w:r>
      <w:r w:rsidR="00474A82">
        <w:t>,</w:t>
      </w:r>
      <w:r w:rsidR="00454FF4">
        <w:t xml:space="preserve"> and Jeremiah</w:t>
      </w:r>
      <w:r w:rsidR="007B363D">
        <w:t>. They suggest</w:t>
      </w:r>
      <w:r w:rsidR="00474A82">
        <w:t xml:space="preserve"> that Yahweh is the lord of all military fo</w:t>
      </w:r>
      <w:r w:rsidR="007B363D">
        <w:t>rces, supernatural and natural, and</w:t>
      </w:r>
      <w:r w:rsidR="0028007A">
        <w:t xml:space="preserve"> </w:t>
      </w:r>
      <w:r w:rsidR="00B658E0">
        <w:t xml:space="preserve">is </w:t>
      </w:r>
      <w:r w:rsidR="0028007A">
        <w:t xml:space="preserve">not </w:t>
      </w:r>
      <w:r w:rsidR="00B658E0">
        <w:t>some</w:t>
      </w:r>
      <w:r w:rsidR="0028007A">
        <w:t xml:space="preserve">one to be messed with. One </w:t>
      </w:r>
      <w:r w:rsidR="00FF3A2B">
        <w:t>significance of the expression</w:t>
      </w:r>
      <w:r w:rsidR="00474A82">
        <w:t xml:space="preserve"> here is that the envoy would have been a member of the heavenly armies</w:t>
      </w:r>
      <w:r w:rsidR="007C5741">
        <w:t xml:space="preserve"> or </w:t>
      </w:r>
      <w:r w:rsidR="007B363D">
        <w:t xml:space="preserve">would be </w:t>
      </w:r>
      <w:r w:rsidR="007C5741">
        <w:t>associated with them (cf. the juxtaposition in Pss. 103:20-21; 148:2).</w:t>
      </w:r>
      <w:r w:rsidR="006F0E82">
        <w:t xml:space="preserve"> It is then as Yahweh that this God is invoked or </w:t>
      </w:r>
      <w:r w:rsidR="006B2D3D">
        <w:t>made mention of. T</w:t>
      </w:r>
      <w:r w:rsidR="006B2D3D" w:rsidRPr="006B2D3D">
        <w:t xml:space="preserve">he formulations </w:t>
      </w:r>
      <w:r w:rsidR="006B2D3D">
        <w:t xml:space="preserve">are similar to those </w:t>
      </w:r>
      <w:r w:rsidR="006B2D3D" w:rsidRPr="006B2D3D">
        <w:t xml:space="preserve">in </w:t>
      </w:r>
      <w:r w:rsidR="006B2D3D">
        <w:t xml:space="preserve">Amos </w:t>
      </w:r>
      <w:r w:rsidR="006B2D3D" w:rsidRPr="006B2D3D">
        <w:t>4:13; 9:5-6</w:t>
      </w:r>
      <w:r w:rsidR="00354ED0">
        <w:t>, but the declaration that</w:t>
      </w:r>
      <w:r w:rsidR="006B2D3D">
        <w:t xml:space="preserve"> Yahweh </w:t>
      </w:r>
      <w:r w:rsidR="007B363D">
        <w:t xml:space="preserve">is </w:t>
      </w:r>
      <w:r w:rsidR="006B2D3D">
        <w:t>this God’s invocation, the</w:t>
      </w:r>
      <w:r w:rsidR="00B658E0">
        <w:t xml:space="preserve"> name by which he is to be address</w:t>
      </w:r>
      <w:r w:rsidR="006B2D3D">
        <w:t>ed, parallels Exodus 3:15</w:t>
      </w:r>
      <w:r w:rsidR="00354ED0">
        <w:t xml:space="preserve"> (cf. Tg)</w:t>
      </w:r>
      <w:r w:rsidR="006B2D3D">
        <w:t>.</w:t>
      </w:r>
    </w:p>
    <w:p w:rsidR="009F4403" w:rsidRDefault="009F3B95" w:rsidP="00D50879">
      <w:pPr>
        <w:pStyle w:val="ListParagraph"/>
        <w:ind w:left="0" w:firstLine="720"/>
      </w:pPr>
      <w:r>
        <w:t>The declaration about Yahweh is the im</w:t>
      </w:r>
      <w:r w:rsidR="005A613D">
        <w:t>plicit backing for w</w:t>
      </w:r>
      <w:r>
        <w:t>hat follows (v. 6</w:t>
      </w:r>
      <w:r w:rsidR="00FF3A2B">
        <w:t xml:space="preserve"> [7]</w:t>
      </w:r>
      <w:r w:rsidR="005A613D">
        <w:t>). In light of 11:10-11, v. 6a [7a] could be heard as a promise, but then in light of v. 6b it could be heard as an exhortation</w:t>
      </w:r>
      <w:r w:rsidR="00FF05A3">
        <w:t xml:space="preserve">. </w:t>
      </w:r>
      <w:r w:rsidR="005A613D">
        <w:t>Either way, “t</w:t>
      </w:r>
      <w:r w:rsidR="00FF05A3">
        <w:t>urn</w:t>
      </w:r>
      <w:r w:rsidR="0019402D">
        <w:t xml:space="preserve"> back”</w:t>
      </w:r>
      <w:r>
        <w:t xml:space="preserve"> </w:t>
      </w:r>
      <w:r w:rsidR="0019402D" w:rsidRPr="0019402D">
        <w:t>(</w:t>
      </w:r>
      <w:r w:rsidR="0019402D" w:rsidRPr="0019402D">
        <w:rPr>
          <w:i/>
        </w:rPr>
        <w:t>šûb</w:t>
      </w:r>
      <w:r w:rsidR="0019402D">
        <w:t>)</w:t>
      </w:r>
      <w:r w:rsidR="0028007A">
        <w:t xml:space="preserve"> makes another link with Jacob (Gen. 28:15), but the verb here </w:t>
      </w:r>
      <w:r w:rsidR="007B363D">
        <w:t xml:space="preserve">implicitly </w:t>
      </w:r>
      <w:r w:rsidR="0028007A">
        <w:t>refers to coming back to Yahweh</w:t>
      </w:r>
      <w:r w:rsidR="00AF45FE">
        <w:t xml:space="preserve">, </w:t>
      </w:r>
      <w:r w:rsidR="007B363D">
        <w:t>more explicitly to</w:t>
      </w:r>
      <w:r w:rsidR="00AF45FE">
        <w:t xml:space="preserve"> coming back by means of Yahweh</w:t>
      </w:r>
      <w:r w:rsidR="0028007A">
        <w:t>. It thus</w:t>
      </w:r>
      <w:r w:rsidR="0019402D">
        <w:t xml:space="preserve"> </w:t>
      </w:r>
      <w:r w:rsidR="005A613D">
        <w:t xml:space="preserve">also </w:t>
      </w:r>
      <w:r>
        <w:t xml:space="preserve">recalls </w:t>
      </w:r>
      <w:r w:rsidR="0019402D">
        <w:t>th</w:t>
      </w:r>
      <w:r w:rsidR="005A613D">
        <w:t>e promise in 3:5, and</w:t>
      </w:r>
      <w:r w:rsidR="0019402D">
        <w:t xml:space="preserve"> </w:t>
      </w:r>
      <w:r>
        <w:t xml:space="preserve">the many times Hosea has spoken </w:t>
      </w:r>
      <w:r w:rsidR="00FD77F2">
        <w:t>regret</w:t>
      </w:r>
      <w:r w:rsidR="007B363D">
        <w:t>fully</w:t>
      </w:r>
      <w:r w:rsidR="00FF05A3">
        <w:t xml:space="preserve"> of turning back </w:t>
      </w:r>
      <w:r w:rsidR="007B363D">
        <w:t>or not doing so</w:t>
      </w:r>
      <w:r>
        <w:t xml:space="preserve"> (</w:t>
      </w:r>
      <w:r w:rsidR="0019402D">
        <w:t xml:space="preserve">2:7 [9]; </w:t>
      </w:r>
      <w:r>
        <w:t>5:4; 7:10</w:t>
      </w:r>
      <w:r w:rsidR="0019402D">
        <w:t>, 16; 11:5; cf. 6:1</w:t>
      </w:r>
      <w:r>
        <w:t>)</w:t>
      </w:r>
      <w:r w:rsidR="00FD77F2">
        <w:t xml:space="preserve">. </w:t>
      </w:r>
      <w:r w:rsidR="002C00B4">
        <w:t>T</w:t>
      </w:r>
      <w:r w:rsidR="007B363D">
        <w:t>hrough</w:t>
      </w:r>
      <w:r w:rsidR="00FF3A2B">
        <w:t xml:space="preserve"> Yahweh’</w:t>
      </w:r>
      <w:r w:rsidR="005A613D">
        <w:t>s</w:t>
      </w:r>
      <w:r w:rsidR="00FF3A2B">
        <w:t xml:space="preserve"> action</w:t>
      </w:r>
      <w:r w:rsidR="009F4403">
        <w:t xml:space="preserve">, Ephraim will come back. There follow two </w:t>
      </w:r>
      <w:r w:rsidR="002C00B4">
        <w:t xml:space="preserve">imperative </w:t>
      </w:r>
      <w:r w:rsidR="009F4403">
        <w:t>col</w:t>
      </w:r>
      <w:r w:rsidR="002C00B4">
        <w:t>a</w:t>
      </w:r>
      <w:r w:rsidR="00AF45FE">
        <w:t>, and</w:t>
      </w:r>
      <w:r w:rsidR="00FF3A2B">
        <w:t xml:space="preserve"> </w:t>
      </w:r>
      <w:r w:rsidR="002710D8">
        <w:t>promi</w:t>
      </w:r>
      <w:r w:rsidR="00FF3A2B">
        <w:t xml:space="preserve">ses can lead into </w:t>
      </w:r>
      <w:r w:rsidR="002710D8">
        <w:t>exhortation</w:t>
      </w:r>
      <w:r w:rsidR="00FF3A2B">
        <w:t>s</w:t>
      </w:r>
      <w:r w:rsidR="002710D8">
        <w:t xml:space="preserve"> to make an approp</w:t>
      </w:r>
      <w:r w:rsidR="002C00B4">
        <w:t>riate response</w:t>
      </w:r>
      <w:r w:rsidR="00AF45FE">
        <w:t>. But these imperatives</w:t>
      </w:r>
      <w:r w:rsidR="002C00B4">
        <w:t xml:space="preserve"> spell out the promise’s implications</w:t>
      </w:r>
      <w:r w:rsidR="002710D8">
        <w:t>. They a</w:t>
      </w:r>
      <w:r w:rsidR="001C5166">
        <w:t>re the kind of</w:t>
      </w:r>
      <w:r w:rsidR="002710D8">
        <w:t xml:space="preserve"> imperatives that </w:t>
      </w:r>
      <w:r w:rsidR="002C00B4">
        <w:t xml:space="preserve">themselves </w:t>
      </w:r>
      <w:r w:rsidR="002C00B4">
        <w:lastRenderedPageBreak/>
        <w:t>make a pledg</w:t>
      </w:r>
      <w:r w:rsidR="002710D8">
        <w:t>e.</w:t>
      </w:r>
      <w:r w:rsidR="002710D8">
        <w:rPr>
          <w:rStyle w:val="FootnoteReference"/>
        </w:rPr>
        <w:footnoteReference w:id="568"/>
      </w:r>
      <w:r w:rsidR="00FF3A2B">
        <w:t xml:space="preserve"> The first </w:t>
      </w:r>
      <w:r w:rsidR="001C5166">
        <w:t>reexpresses a promise f</w:t>
      </w:r>
      <w:r w:rsidR="007B363D">
        <w:t>rom 2:19 [21] concerning</w:t>
      </w:r>
      <w:r w:rsidR="00FD032C">
        <w:t xml:space="preserve"> the future life of the community</w:t>
      </w:r>
      <w:r w:rsidR="002C00B4">
        <w:t>. Its</w:t>
      </w:r>
      <w:r w:rsidR="00FF3A2B">
        <w:t xml:space="preserve"> two terms </w:t>
      </w:r>
      <w:r w:rsidR="001C5166">
        <w:t>comprise a hendiadys</w:t>
      </w:r>
      <w:r w:rsidR="002C00B4">
        <w:t>: t</w:t>
      </w:r>
      <w:r w:rsidR="00AF45FE">
        <w:t xml:space="preserve">he </w:t>
      </w:r>
      <w:r w:rsidR="001C5166">
        <w:t xml:space="preserve">exercise </w:t>
      </w:r>
      <w:r w:rsidR="00AF45FE">
        <w:t xml:space="preserve">of </w:t>
      </w:r>
      <w:r w:rsidR="001C5166">
        <w:t>authority in a</w:t>
      </w:r>
      <w:r w:rsidR="00FD032C">
        <w:t xml:space="preserve"> way that expresses commitment</w:t>
      </w:r>
      <w:r w:rsidR="00BB3DE9">
        <w:t xml:space="preserve"> will form a contrast with the </w:t>
      </w:r>
      <w:r w:rsidR="00AF45FE">
        <w:t xml:space="preserve">mutual </w:t>
      </w:r>
      <w:r w:rsidR="00BB3DE9">
        <w:t>de</w:t>
      </w:r>
      <w:r w:rsidR="00FD032C">
        <w:t>ceit that presently characterizes the leadership. The parallel colon makes a parallel point</w:t>
      </w:r>
      <w:r w:rsidR="00BB3DE9">
        <w:t>. Instead of organizing its political affairs on the basis of</w:t>
      </w:r>
      <w:r w:rsidR="00FD032C">
        <w:t xml:space="preserve"> the assumption that it must</w:t>
      </w:r>
      <w:r w:rsidR="00BB3DE9">
        <w:t xml:space="preserve"> take responsibility for its own affairs and put its hope in all</w:t>
      </w:r>
      <w:r w:rsidR="00FD032C">
        <w:t>iances with Assyria or Egypt, Ephraim</w:t>
      </w:r>
      <w:r w:rsidR="00BB3DE9">
        <w:t xml:space="preserve"> will put its hope in Yahweh. He is “your God,” the line repeats. It is the reason why Ephraim can and must hope in him.</w:t>
      </w:r>
    </w:p>
    <w:p w:rsidR="009F4403" w:rsidRDefault="009F4403" w:rsidP="00D50879">
      <w:pPr>
        <w:pStyle w:val="ListParagraph"/>
        <w:ind w:left="0" w:firstLine="720"/>
      </w:pPr>
    </w:p>
    <w:p w:rsidR="00FF3A2B" w:rsidRDefault="00BB3DE9" w:rsidP="00D50879">
      <w:pPr>
        <w:pStyle w:val="ListParagraph"/>
        <w:ind w:left="0" w:firstLine="720"/>
      </w:pPr>
      <w:r w:rsidRPr="00BB3DE9">
        <w:rPr>
          <w:b/>
        </w:rPr>
        <w:t>Hosea</w:t>
      </w:r>
      <w:r w:rsidR="007A6B6D">
        <w:rPr>
          <w:b/>
        </w:rPr>
        <w:t xml:space="preserve"> 12:7-8</w:t>
      </w:r>
      <w:r w:rsidR="00FF3A2B">
        <w:rPr>
          <w:b/>
        </w:rPr>
        <w:t xml:space="preserve"> [8-9]</w:t>
      </w:r>
      <w:r>
        <w:rPr>
          <w:b/>
        </w:rPr>
        <w:t xml:space="preserve">. </w:t>
      </w:r>
      <w:r>
        <w:t xml:space="preserve">As happened in the previous section, Hosea moves from promise to confrontation. </w:t>
      </w:r>
    </w:p>
    <w:p w:rsidR="00BB3DE9" w:rsidRDefault="00BB3DE9" w:rsidP="00D50879">
      <w:pPr>
        <w:pStyle w:val="ListParagraph"/>
        <w:ind w:left="0" w:firstLine="720"/>
      </w:pPr>
      <w:r>
        <w:t>He begins with a metaphor, or a little allegory, or another aphorism</w:t>
      </w:r>
      <w:r w:rsidR="00FF3A2B">
        <w:t xml:space="preserve"> (v. </w:t>
      </w:r>
      <w:r w:rsidR="005D13FA">
        <w:t>7 [</w:t>
      </w:r>
      <w:r w:rsidR="00FF3A2B">
        <w:t>8</w:t>
      </w:r>
      <w:r w:rsidR="005D13FA">
        <w:t>]</w:t>
      </w:r>
      <w:r w:rsidR="00FF3A2B">
        <w:t>)</w:t>
      </w:r>
      <w:r w:rsidR="002C00B4">
        <w:t>. “Lying balance</w:t>
      </w:r>
      <w:r w:rsidR="0052367E">
        <w:t>s”</w:t>
      </w:r>
      <w:r w:rsidR="008224F7">
        <w:t xml:space="preserve"> is a motif in</w:t>
      </w:r>
      <w:r w:rsidR="0052367E">
        <w:t xml:space="preserve"> Proverbs (11:1; 20:23; also Amo</w:t>
      </w:r>
      <w:r w:rsidR="002C00B4">
        <w:t>s 8:5); t</w:t>
      </w:r>
      <w:r w:rsidR="008224F7">
        <w:t xml:space="preserve">hey are </w:t>
      </w:r>
      <w:r w:rsidR="0052367E">
        <w:t xml:space="preserve">to be contrasted </w:t>
      </w:r>
      <w:r w:rsidR="00FD032C">
        <w:t xml:space="preserve">there </w:t>
      </w:r>
      <w:r w:rsidR="0052367E">
        <w:t>with “</w:t>
      </w:r>
      <w:r w:rsidR="008224F7">
        <w:t>authoritative scales</w:t>
      </w:r>
      <w:r w:rsidR="0052367E">
        <w:t>”</w:t>
      </w:r>
      <w:r w:rsidR="008224F7">
        <w:t xml:space="preserve"> (Prov. 16:11), the </w:t>
      </w:r>
      <w:r w:rsidR="002C00B4">
        <w:t xml:space="preserve">kind with which one could exercise proper </w:t>
      </w:r>
      <w:r w:rsidR="008224F7">
        <w:t>au</w:t>
      </w:r>
      <w:r w:rsidR="002C00B4">
        <w:t>thority</w:t>
      </w:r>
      <w:r w:rsidR="007A6B6D">
        <w:t xml:space="preserve"> (v. 6</w:t>
      </w:r>
      <w:r w:rsidR="008224F7">
        <w:t xml:space="preserve">). </w:t>
      </w:r>
      <w:r w:rsidR="00FD032C">
        <w:t>“Someo</w:t>
      </w:r>
      <w:r w:rsidR="002627FE">
        <w:t xml:space="preserve">ne </w:t>
      </w:r>
      <w:r w:rsidR="002627FE" w:rsidRPr="002627FE">
        <w:t>in</w:t>
      </w:r>
      <w:r w:rsidR="002627FE">
        <w:t xml:space="preserve"> whose hand are lying balances likes to defraud</w:t>
      </w:r>
      <w:r w:rsidR="002C00B4">
        <w:t>” is a statement of the</w:t>
      </w:r>
      <w:r w:rsidR="00FD032C">
        <w:t xml:space="preserve"> self-evident</w:t>
      </w:r>
      <w:r w:rsidR="008224F7">
        <w:t xml:space="preserve"> </w:t>
      </w:r>
      <w:r w:rsidR="00FD032C">
        <w:t>such as</w:t>
      </w:r>
      <w:r w:rsidR="008224F7">
        <w:t xml:space="preserve"> appears in Proverbs</w:t>
      </w:r>
      <w:r w:rsidR="002C00B4">
        <w:t xml:space="preserve"> (e.g., </w:t>
      </w:r>
      <w:r w:rsidR="00796486">
        <w:t>12:17</w:t>
      </w:r>
      <w:r w:rsidR="000936CE">
        <w:t>; 16:17</w:t>
      </w:r>
      <w:r w:rsidR="00796486">
        <w:t>)</w:t>
      </w:r>
      <w:r w:rsidR="002C00B4">
        <w:t>: t</w:t>
      </w:r>
      <w:r w:rsidR="008224F7">
        <w:t xml:space="preserve">he statement of the obvious also constitutes a </w:t>
      </w:r>
      <w:r w:rsidR="00FD032C">
        <w:t xml:space="preserve">protest or </w:t>
      </w:r>
      <w:r w:rsidR="00A10835">
        <w:t xml:space="preserve">denunciation. </w:t>
      </w:r>
      <w:r w:rsidR="002C00B4">
        <w:t>Here</w:t>
      </w:r>
      <w:r w:rsidR="002627FE">
        <w:t xml:space="preserve">, the possible aphorism takes the form of a racial slur. </w:t>
      </w:r>
      <w:r w:rsidR="00FD032C">
        <w:t>T</w:t>
      </w:r>
      <w:r w:rsidR="002627FE">
        <w:t>he fraudulent trader</w:t>
      </w:r>
      <w:r w:rsidR="00FD032C">
        <w:t xml:space="preserve"> is </w:t>
      </w:r>
      <w:r w:rsidR="00FD032C" w:rsidRPr="00FD032C">
        <w:t>Phoe</w:t>
      </w:r>
      <w:r w:rsidR="00FD032C">
        <w:t>nicia</w:t>
      </w:r>
      <w:r w:rsidR="002C00B4">
        <w:t>, l</w:t>
      </w:r>
      <w:r w:rsidR="000B3E23">
        <w:t>ocated on the Mediterranean to the</w:t>
      </w:r>
      <w:r w:rsidR="002C00B4">
        <w:t xml:space="preserve"> northwest of Ephraim. I</w:t>
      </w:r>
      <w:r w:rsidR="00FD032C">
        <w:t>t’s a trading people;</w:t>
      </w:r>
      <w:r w:rsidR="002627FE">
        <w:t xml:space="preserve"> “Phoenic</w:t>
      </w:r>
      <w:r w:rsidR="00FD032C">
        <w:t>ian” comes to mean trader. H</w:t>
      </w:r>
      <w:r w:rsidR="002627FE">
        <w:t>ere Ho</w:t>
      </w:r>
      <w:r w:rsidR="000B3E23">
        <w:t>s</w:t>
      </w:r>
      <w:r w:rsidR="002627FE">
        <w:t>ea uses the primary noun referring to the people.</w:t>
      </w:r>
      <w:r w:rsidR="000B3E23">
        <w:t xml:space="preserve"> The slur says,</w:t>
      </w:r>
      <w:r w:rsidR="0088721F">
        <w:t xml:space="preserve"> “Beware those Phoenician traders (Ephraim’s neighbors); </w:t>
      </w:r>
      <w:r w:rsidR="00B97A81">
        <w:t>they’</w:t>
      </w:r>
      <w:r w:rsidR="005C264A">
        <w:t xml:space="preserve">re all dishonest.” </w:t>
      </w:r>
    </w:p>
    <w:p w:rsidR="005C264A" w:rsidRDefault="000B3E23" w:rsidP="00D50879">
      <w:pPr>
        <w:pStyle w:val="ListParagraph"/>
        <w:ind w:left="0" w:firstLine="720"/>
      </w:pPr>
      <w:r>
        <w:t xml:space="preserve">In light of the definition, </w:t>
      </w:r>
      <w:r w:rsidR="00B97A81">
        <w:t xml:space="preserve">Hosea </w:t>
      </w:r>
      <w:r w:rsidR="0088721F">
        <w:t>puts Ephraim in its place (v. 8</w:t>
      </w:r>
      <w:r w:rsidR="00FF3A2B">
        <w:t xml:space="preserve"> [9]</w:t>
      </w:r>
      <w:r w:rsidR="0088721F">
        <w:t xml:space="preserve">). The rhetoric works in a similar way to that of chapter 4: denounce </w:t>
      </w:r>
      <w:r>
        <w:t>some people</w:t>
      </w:r>
      <w:r w:rsidR="0088721F">
        <w:t>, watch the audience nod in agreement, then turn the argument against them.</w:t>
      </w:r>
      <w:r w:rsidR="006E1E6C">
        <w:t xml:space="preserve"> Like Phoenicia, Ephraim has </w:t>
      </w:r>
      <w:r w:rsidR="000936CE">
        <w:t xml:space="preserve">worked hard and </w:t>
      </w:r>
      <w:r w:rsidR="006E1E6C">
        <w:t>got rich</w:t>
      </w:r>
      <w:r w:rsidR="00740F20" w:rsidRPr="00740F20">
        <w:t xml:space="preserve"> </w:t>
      </w:r>
      <w:r w:rsidR="00740F20">
        <w:t>(</w:t>
      </w:r>
      <w:r w:rsidR="00740F20" w:rsidRPr="00740F20">
        <w:t xml:space="preserve">Hosea </w:t>
      </w:r>
      <w:r w:rsidR="00740F20">
        <w:t xml:space="preserve">doesn’t </w:t>
      </w:r>
      <w:r w:rsidR="00740F20" w:rsidRPr="00740F20">
        <w:t>speak of oppression within Ephraim, as Amos does</w:t>
      </w:r>
      <w:r w:rsidR="00740F20">
        <w:t>; h</w:t>
      </w:r>
      <w:r w:rsidR="00740F20" w:rsidRPr="00740F20">
        <w:t>is focus continues to lie on religion and t</w:t>
      </w:r>
      <w:r w:rsidR="00740F20">
        <w:t>he associated realm of politics)</w:t>
      </w:r>
      <w:r w:rsidR="00740F20" w:rsidRPr="00740F20">
        <w:t xml:space="preserve">. </w:t>
      </w:r>
      <w:r w:rsidR="003B0854">
        <w:t>Hosea hardly refers</w:t>
      </w:r>
      <w:r w:rsidR="00FD032C">
        <w:t xml:space="preserve"> to Ephraim’s final decades when it had had to</w:t>
      </w:r>
      <w:r w:rsidR="003B0854">
        <w:t xml:space="preserve"> </w:t>
      </w:r>
      <w:r w:rsidR="00FD032C">
        <w:t xml:space="preserve">pay </w:t>
      </w:r>
      <w:r w:rsidR="003B0854">
        <w:t xml:space="preserve">the cost </w:t>
      </w:r>
      <w:r w:rsidR="00FD032C">
        <w:t>of</w:t>
      </w:r>
      <w:r w:rsidR="000936CE">
        <w:t xml:space="preserve"> </w:t>
      </w:r>
      <w:r w:rsidR="003B0854">
        <w:t xml:space="preserve">seeking protection </w:t>
      </w:r>
      <w:r w:rsidR="000936CE">
        <w:t>from Assyria and Egypt</w:t>
      </w:r>
      <w:r w:rsidR="00740F20">
        <w:t xml:space="preserve">. </w:t>
      </w:r>
      <w:r w:rsidR="000936CE">
        <w:t>H</w:t>
      </w:r>
      <w:r w:rsidR="00B97A81">
        <w:t>e refers</w:t>
      </w:r>
      <w:r w:rsidR="00740F20">
        <w:t xml:space="preserve"> back to Ephraim’s</w:t>
      </w:r>
      <w:r w:rsidR="003B0854">
        <w:t xml:space="preserve"> halcyon days in the time of Jeroboam II</w:t>
      </w:r>
      <w:r w:rsidR="000936CE">
        <w:t>, when</w:t>
      </w:r>
      <w:r w:rsidR="00433DA7">
        <w:t xml:space="preserve"> Ephraim was lik</w:t>
      </w:r>
      <w:r w:rsidR="00B97A81">
        <w:t>e Jacob in its “riches” (cf. Jacob’s</w:t>
      </w:r>
      <w:r w:rsidR="00433DA7">
        <w:t xml:space="preserve"> wives’ words</w:t>
      </w:r>
      <w:r w:rsidR="003B0854">
        <w:t xml:space="preserve"> </w:t>
      </w:r>
      <w:r w:rsidR="00433DA7">
        <w:t xml:space="preserve">in Gen. 31:16), in its </w:t>
      </w:r>
      <w:r w:rsidR="003B0854">
        <w:t xml:space="preserve">“vigor” (cf. v. </w:t>
      </w:r>
      <w:r w:rsidR="007A6B6D">
        <w:t>3</w:t>
      </w:r>
      <w:r w:rsidR="00FF3A2B">
        <w:t xml:space="preserve"> [4]</w:t>
      </w:r>
      <w:r w:rsidR="00EA6573">
        <w:t>) and in its “labors” (cf. Gen. 31:42).</w:t>
      </w:r>
      <w:r w:rsidR="00796486">
        <w:t xml:space="preserve"> </w:t>
      </w:r>
      <w:r w:rsidR="00740F20">
        <w:t>The words Hosea puts on Ephraim’s lips transition</w:t>
      </w:r>
      <w:r w:rsidR="000E429C">
        <w:t xml:space="preserve"> to speak</w:t>
      </w:r>
      <w:r w:rsidR="000E429C" w:rsidRPr="000E429C">
        <w:t xml:space="preserve">ing </w:t>
      </w:r>
      <w:r w:rsidR="000E429C">
        <w:t xml:space="preserve">more </w:t>
      </w:r>
      <w:r w:rsidR="00B97A81">
        <w:t>the language of Hosea than</w:t>
      </w:r>
      <w:r w:rsidR="00740F20">
        <w:t xml:space="preserve"> of Genesis when</w:t>
      </w:r>
      <w:r w:rsidR="000E429C">
        <w:t xml:space="preserve"> it comes to talk about waywardness (4:8; 5:5; 7:1; 8:13; 9:7, 9; 13:12; 14:1-2 [2-3]) and wrongdoing (4:7-8; 8:11, 13; 9:9; 10:8-9; 13:2, 12; but Gen. 31:36). </w:t>
      </w:r>
      <w:r w:rsidR="00740F20">
        <w:t>The c</w:t>
      </w:r>
      <w:r w:rsidR="00B97A81">
        <w:t>ontrast between the judgment Ephraim is</w:t>
      </w:r>
      <w:r w:rsidR="000936CE">
        <w:t xml:space="preserve"> prepared to make on Phoenicia and its delusion about itself hardly needs articulating.</w:t>
      </w:r>
      <w:r w:rsidR="000A6545">
        <w:t xml:space="preserve"> </w:t>
      </w:r>
      <w:r w:rsidR="008022DB">
        <w:t>“By quoting the defendant, the prophet offers proof of guilt with words from the defendant’s own mouth.”</w:t>
      </w:r>
      <w:r w:rsidR="008022DB">
        <w:rPr>
          <w:rStyle w:val="FootnoteReference"/>
        </w:rPr>
        <w:footnoteReference w:id="569"/>
      </w:r>
    </w:p>
    <w:p w:rsidR="000E429C" w:rsidRDefault="000E429C" w:rsidP="00D50879">
      <w:pPr>
        <w:pStyle w:val="ListParagraph"/>
        <w:ind w:left="0" w:firstLine="720"/>
      </w:pPr>
    </w:p>
    <w:p w:rsidR="00FF3A2B" w:rsidRDefault="000E429C" w:rsidP="002532E3">
      <w:pPr>
        <w:pStyle w:val="ListParagraph"/>
        <w:ind w:left="0" w:firstLine="720"/>
      </w:pPr>
      <w:r>
        <w:rPr>
          <w:b/>
        </w:rPr>
        <w:t>Hosea 12:9-1</w:t>
      </w:r>
      <w:r w:rsidR="007A6B6D">
        <w:rPr>
          <w:b/>
        </w:rPr>
        <w:t>1</w:t>
      </w:r>
      <w:r w:rsidR="00FF3A2B">
        <w:rPr>
          <w:b/>
        </w:rPr>
        <w:t xml:space="preserve"> [10-12]</w:t>
      </w:r>
      <w:r>
        <w:rPr>
          <w:b/>
        </w:rPr>
        <w:t xml:space="preserve">. </w:t>
      </w:r>
      <w:r w:rsidR="002532E3">
        <w:t>It is Yahweh himself who implic</w:t>
      </w:r>
      <w:r w:rsidR="00B97A81">
        <w:t>itly articulates it</w:t>
      </w:r>
      <w:r w:rsidR="002532E3">
        <w:t>. Ephraim may not be a f</w:t>
      </w:r>
      <w:r w:rsidR="00B97A81">
        <w:t xml:space="preserve">raud and </w:t>
      </w:r>
      <w:r w:rsidR="00740F20">
        <w:t xml:space="preserve">liar in the way </w:t>
      </w:r>
      <w:r w:rsidR="002532E3">
        <w:t xml:space="preserve">Phoenicia is, but its waywardness and wrongdoing </w:t>
      </w:r>
      <w:r w:rsidR="00740F20">
        <w:t xml:space="preserve">do </w:t>
      </w:r>
      <w:r w:rsidR="002532E3">
        <w:t xml:space="preserve">consist in being fraudulent and lying </w:t>
      </w:r>
      <w:r w:rsidR="002532E3" w:rsidRPr="00912BF0">
        <w:t>(cf. 11:12 [12:1</w:t>
      </w:r>
      <w:r w:rsidR="002532E3">
        <w:t xml:space="preserve">]) in </w:t>
      </w:r>
      <w:r w:rsidR="00FF3A2B">
        <w:t>its own way. It pretends to</w:t>
      </w:r>
      <w:r w:rsidR="002532E3">
        <w:t xml:space="preserve"> a</w:t>
      </w:r>
      <w:r w:rsidR="00740F20">
        <w:t>cknowl</w:t>
      </w:r>
      <w:r w:rsidR="00FF3A2B">
        <w:t>edge</w:t>
      </w:r>
      <w:r w:rsidR="00740F20">
        <w:t xml:space="preserve"> Yahweh, but it doesn’</w:t>
      </w:r>
      <w:r w:rsidR="002532E3">
        <w:t xml:space="preserve">t really do so. </w:t>
      </w:r>
    </w:p>
    <w:p w:rsidR="002532E3" w:rsidRDefault="002532E3" w:rsidP="002532E3">
      <w:pPr>
        <w:pStyle w:val="ListParagraph"/>
        <w:ind w:left="0" w:firstLine="720"/>
      </w:pPr>
      <w:r>
        <w:t xml:space="preserve">Hence Yahweh’s reminder </w:t>
      </w:r>
      <w:r w:rsidR="00FF3A2B">
        <w:t>(v. 9 [10]</w:t>
      </w:r>
      <w:r w:rsidR="001A304D">
        <w:t>)</w:t>
      </w:r>
      <w:r w:rsidR="00FF3A2B">
        <w:t xml:space="preserve"> </w:t>
      </w:r>
      <w:r>
        <w:t>of the relationship that has</w:t>
      </w:r>
      <w:r w:rsidR="001A304D">
        <w:t xml:space="preserve"> obtained “since Egypt,” when Yahweh</w:t>
      </w:r>
      <w:r>
        <w:t xml:space="preserve"> began callin</w:t>
      </w:r>
      <w:r w:rsidR="00B910E6">
        <w:t>g to them (11:1). Since then, Yahweh</w:t>
      </w:r>
      <w:r>
        <w:t xml:space="preserve"> has asserted himself as</w:t>
      </w:r>
      <w:r w:rsidR="00B97A81">
        <w:t xml:space="preserve"> master (“your God”) and they’ve been his servant; except that they’</w:t>
      </w:r>
      <w:r>
        <w:t>ve deceived him.</w:t>
      </w:r>
      <w:r w:rsidR="001A304D">
        <w:t xml:space="preserve"> </w:t>
      </w:r>
      <w:r w:rsidR="00B910E6">
        <w:t>So he will</w:t>
      </w:r>
      <w:r w:rsidR="001A304D">
        <w:t xml:space="preserve"> discipline them</w:t>
      </w:r>
      <w:r>
        <w:t>. They can extend the resemblance to Jacob by living in tents (Gen. 31:25; 33:19). Maybe the idea is that their wealth has gone, maybe that their proper houses have been d</w:t>
      </w:r>
      <w:r w:rsidR="00B910E6">
        <w:t>estroyed b</w:t>
      </w:r>
      <w:r>
        <w:t>y invaders, maybe that they have been thrown out of the land and are back in their wilderness style of life</w:t>
      </w:r>
      <w:r w:rsidR="00B910E6">
        <w:t>, living as refugees</w:t>
      </w:r>
      <w:r>
        <w:t xml:space="preserve">. Whichever it is, the parallel colon nuances the point with its reference to the time of one of Israel’s set festivals (cf. 2:11 [13]; 9:5). It would not be surprising if occasions such </w:t>
      </w:r>
      <w:r w:rsidR="001A304D">
        <w:t xml:space="preserve">as Sukkot were when Hosea </w:t>
      </w:r>
      <w:r>
        <w:lastRenderedPageBreak/>
        <w:t xml:space="preserve">delivered </w:t>
      </w:r>
      <w:r w:rsidR="001A304D">
        <w:t xml:space="preserve">some of </w:t>
      </w:r>
      <w:r>
        <w:t xml:space="preserve">his messages, to everyone’s annoyance at his spoiling the festivity (see 9:1-9 and the </w:t>
      </w:r>
      <w:r w:rsidR="00F14F90">
        <w:t>comments</w:t>
      </w:r>
      <w:r>
        <w:t>). At Sukkot people stayed not in tents but in bivouacs</w:t>
      </w:r>
      <w:r w:rsidR="00B910E6">
        <w:t xml:space="preserve"> (</w:t>
      </w:r>
      <w:r w:rsidR="00B910E6" w:rsidRPr="00B910E6">
        <w:rPr>
          <w:i/>
        </w:rPr>
        <w:t>sukkôt</w:t>
      </w:r>
      <w:r w:rsidR="00B910E6">
        <w:t>) as</w:t>
      </w:r>
      <w:r>
        <w:t xml:space="preserve"> they had lived in the wilderness, but the experience would still provide a plausible co</w:t>
      </w:r>
      <w:r w:rsidR="00B97A81">
        <w:t>ntext fo</w:t>
      </w:r>
      <w:r w:rsidR="001A304D">
        <w:t>r inviting Ephraim to envisage</w:t>
      </w:r>
      <w:r>
        <w:t xml:space="preserve"> living wilderness-style on a more permeant basis—not just for a week.</w:t>
      </w:r>
    </w:p>
    <w:p w:rsidR="002532E3" w:rsidRDefault="00B910E6" w:rsidP="002532E3">
      <w:pPr>
        <w:pStyle w:val="ListParagraph"/>
        <w:ind w:left="0" w:firstLine="720"/>
      </w:pPr>
      <w:r>
        <w:t>Yahweh goes</w:t>
      </w:r>
      <w:r w:rsidR="002532E3">
        <w:t xml:space="preserve"> on to refer to speak</w:t>
      </w:r>
      <w:r w:rsidR="007A6B6D">
        <w:t>ing through prophets (v. 10</w:t>
      </w:r>
      <w:r w:rsidR="001A304D">
        <w:t xml:space="preserve"> [11]</w:t>
      </w:r>
      <w:r w:rsidR="002532E3">
        <w:t>)</w:t>
      </w:r>
      <w:r>
        <w:t>, extending</w:t>
      </w:r>
      <w:r w:rsidR="002532E3">
        <w:t xml:space="preserve"> the rec</w:t>
      </w:r>
      <w:r>
        <w:t>ollection of his acting as master giving</w:t>
      </w:r>
      <w:r w:rsidR="002532E3">
        <w:t xml:space="preserve"> instructions to his servant</w:t>
      </w:r>
      <w:r w:rsidR="00601209">
        <w:t>. Israel canno</w:t>
      </w:r>
      <w:r>
        <w:t>t claim not to have known</w:t>
      </w:r>
      <w:r w:rsidR="00601209">
        <w:t xml:space="preserve"> the Master’s revelations. He has given people such as Elijah, Elisha, Micaiah, </w:t>
      </w:r>
      <w:r w:rsidR="00B97A81">
        <w:t xml:space="preserve">and Amos many visions. </w:t>
      </w:r>
    </w:p>
    <w:p w:rsidR="0004245B" w:rsidRPr="00361493" w:rsidRDefault="007D1079" w:rsidP="002532E3">
      <w:pPr>
        <w:pStyle w:val="ListParagraph"/>
        <w:ind w:left="0" w:firstLine="720"/>
      </w:pPr>
      <w:r>
        <w:t>If Ephraim is unpersuaded, i</w:t>
      </w:r>
      <w:r w:rsidR="00C7531F">
        <w:t xml:space="preserve">t could think about </w:t>
      </w:r>
      <w:r w:rsidR="00B5793D">
        <w:t>Gilead (v. 11</w:t>
      </w:r>
      <w:r w:rsidR="001A304D">
        <w:t xml:space="preserve"> [12]). The mention of Gilead</w:t>
      </w:r>
      <w:r w:rsidR="00FA0237">
        <w:t xml:space="preserve"> continues the </w:t>
      </w:r>
      <w:r>
        <w:t xml:space="preserve">allusions to the Jacob story (Gen. 31:21-54). Another </w:t>
      </w:r>
      <w:r w:rsidR="00DA6D56">
        <w:t xml:space="preserve">reason </w:t>
      </w:r>
      <w:r w:rsidR="001A304D">
        <w:t xml:space="preserve">for mentioning Gilead </w:t>
      </w:r>
      <w:r w:rsidR="00FA0237">
        <w:t>is</w:t>
      </w:r>
      <w:r>
        <w:t xml:space="preserve"> the events refe</w:t>
      </w:r>
      <w:r w:rsidR="003B58AA">
        <w:t>rred to in 6:8, where also Gilead is charact</w:t>
      </w:r>
      <w:r w:rsidR="00DA6D56">
        <w:t xml:space="preserve">erized as </w:t>
      </w:r>
      <w:r w:rsidR="003B58AA">
        <w:rPr>
          <w:i/>
        </w:rPr>
        <w:t>‘ăqubbāh</w:t>
      </w:r>
      <w:r w:rsidR="003B58AA">
        <w:t xml:space="preserve">, “Jacobbed” (see the </w:t>
      </w:r>
      <w:r w:rsidR="00F14F90">
        <w:t>comments</w:t>
      </w:r>
      <w:r w:rsidR="003B58AA">
        <w:t xml:space="preserve"> and the note)</w:t>
      </w:r>
      <w:r>
        <w:t xml:space="preserve">. </w:t>
      </w:r>
      <w:r w:rsidR="00B910E6">
        <w:t xml:space="preserve">The </w:t>
      </w:r>
      <w:r w:rsidR="00C7531F">
        <w:t>Gilead</w:t>
      </w:r>
      <w:r w:rsidR="00B910E6">
        <w:t>ites</w:t>
      </w:r>
      <w:r w:rsidR="009E7CED">
        <w:t xml:space="preserve"> have already been designated evildoers because of their </w:t>
      </w:r>
      <w:r w:rsidR="00BA758F">
        <w:t>M</w:t>
      </w:r>
      <w:r w:rsidR="00B910E6">
        <w:t>achiavellian political activity</w:t>
      </w:r>
      <w:r w:rsidR="009E7CED">
        <w:t xml:space="preserve">. </w:t>
      </w:r>
      <w:r w:rsidR="00FA0237">
        <w:t>T</w:t>
      </w:r>
      <w:r w:rsidR="004E2A89">
        <w:t>heir words were</w:t>
      </w:r>
      <w:r w:rsidR="00BA758F">
        <w:t xml:space="preserve"> empty</w:t>
      </w:r>
      <w:r w:rsidR="004E2A89">
        <w:t xml:space="preserve"> (cf. 10:4).</w:t>
      </w:r>
      <w:r w:rsidR="0004245B">
        <w:t xml:space="preserve"> The second colon will then refer to the event in which Gilead was leader that also involved events at Gilgal (9:15)—apparently an act of worship in which the plotter</w:t>
      </w:r>
      <w:r w:rsidR="00B910E6">
        <w:t>s</w:t>
      </w:r>
      <w:r w:rsidR="0004245B">
        <w:t xml:space="preserve"> sealed their commitment and prayed for Yahweh’s help. Yahweh’s response may have seemed to be positive at the time (the coup succeeded)</w:t>
      </w:r>
      <w:r w:rsidR="00C7531F">
        <w:t xml:space="preserve">, but that </w:t>
      </w:r>
      <w:r w:rsidR="00FA0237">
        <w:t>inference would be misleading</w:t>
      </w:r>
      <w:r w:rsidR="0004245B">
        <w:t xml:space="preserve">. </w:t>
      </w:r>
      <w:r w:rsidR="00CD2DE9">
        <w:t xml:space="preserve">While </w:t>
      </w:r>
      <w:r w:rsidR="00FA0237">
        <w:t>Gilead will be</w:t>
      </w:r>
      <w:r w:rsidR="00C7531F">
        <w:t xml:space="preserve"> one of the first </w:t>
      </w:r>
      <w:r w:rsidR="00C7531F" w:rsidRPr="00C7531F">
        <w:t>area</w:t>
      </w:r>
      <w:r w:rsidR="00C7531F">
        <w:t>s of Ephraim to be</w:t>
      </w:r>
      <w:r w:rsidR="00C7531F" w:rsidRPr="00C7531F">
        <w:t xml:space="preserve"> invaded, devastated, and annexed by Assyria</w:t>
      </w:r>
      <w:r w:rsidR="00CD2DE9">
        <w:t xml:space="preserve">, </w:t>
      </w:r>
      <w:r w:rsidR="00C7531F">
        <w:t>the pattern of crit</w:t>
      </w:r>
      <w:r w:rsidR="007A6B6D">
        <w:t>ique and threat in vv. 9-11</w:t>
      </w:r>
      <w:r w:rsidR="00C7531F">
        <w:t xml:space="preserve"> </w:t>
      </w:r>
      <w:r w:rsidR="001A304D">
        <w:t xml:space="preserve">[10-12] </w:t>
      </w:r>
      <w:r w:rsidR="00C7531F">
        <w:t>suggests that th</w:t>
      </w:r>
      <w:r w:rsidR="006859CC">
        <w:t>is</w:t>
      </w:r>
      <w:r w:rsidR="00C7531F">
        <w:t xml:space="preserve"> prospect still lies in the future</w:t>
      </w:r>
      <w:r w:rsidR="00C7531F" w:rsidRPr="00C7531F">
        <w:t xml:space="preserve">. </w:t>
      </w:r>
      <w:r w:rsidR="00C7531F">
        <w:t xml:space="preserve">Yahweh </w:t>
      </w:r>
      <w:r w:rsidR="00CD2DE9">
        <w:t xml:space="preserve">will </w:t>
      </w:r>
      <w:r w:rsidR="00C7531F">
        <w:t>act in judgment on the Gileadites’ action</w:t>
      </w:r>
      <w:r w:rsidR="0004245B">
        <w:t xml:space="preserve"> </w:t>
      </w:r>
      <w:r w:rsidR="00C7531F">
        <w:t>through the devastation of their</w:t>
      </w:r>
      <w:r w:rsidR="00B910E6">
        <w:t xml:space="preserve"> shrines</w:t>
      </w:r>
      <w:r w:rsidR="00CD2DE9">
        <w:t xml:space="preserve">, leaving the altars like the piles of stones by the side of a field </w:t>
      </w:r>
      <w:r w:rsidR="00B910E6">
        <w:t xml:space="preserve">when a farmer has cleared </w:t>
      </w:r>
      <w:r w:rsidR="00CD2DE9">
        <w:t>them</w:t>
      </w:r>
      <w:r w:rsidR="00B910E6">
        <w:t xml:space="preserve"> from it</w:t>
      </w:r>
      <w:r w:rsidR="0004245B">
        <w:t>.</w:t>
      </w:r>
      <w:r w:rsidR="00361493">
        <w:t xml:space="preserve"> There </w:t>
      </w:r>
      <w:r w:rsidR="00B910E6">
        <w:t xml:space="preserve">is </w:t>
      </w:r>
      <w:r w:rsidR="00361493">
        <w:t xml:space="preserve">a </w:t>
      </w:r>
      <w:r w:rsidR="00B910E6">
        <w:t xml:space="preserve">verbal </w:t>
      </w:r>
      <w:r w:rsidR="00361493">
        <w:t>link between Gilead, Gilgal, and heaps of stones (</w:t>
      </w:r>
      <w:r w:rsidR="00361493">
        <w:rPr>
          <w:i/>
        </w:rPr>
        <w:t>gallîm</w:t>
      </w:r>
      <w:r w:rsidR="00392F1B">
        <w:t>), while the collocation of Gilead and a heap of stones makes for another link with the Jacob story (see Gen. 31:45-52).</w:t>
      </w:r>
    </w:p>
    <w:p w:rsidR="009367A2" w:rsidRDefault="009367A2" w:rsidP="001D3546">
      <w:pPr>
        <w:pStyle w:val="Heading2"/>
      </w:pPr>
      <w:r>
        <w:t>Theological Implications</w:t>
      </w:r>
    </w:p>
    <w:p w:rsidR="00F85D38" w:rsidRDefault="00F85D38" w:rsidP="009652A7">
      <w:pPr>
        <w:pStyle w:val="ListParagraph"/>
        <w:numPr>
          <w:ilvl w:val="0"/>
          <w:numId w:val="15"/>
        </w:numPr>
        <w:ind w:left="360"/>
      </w:pPr>
      <w:r>
        <w:t>The story of our ancestors from the beginning of our story (Jacob, Rachel, and Leah; Moses, Aaron and Miriam; Elizabeth and Zachariah, Mary and Joseph) is designed</w:t>
      </w:r>
      <w:r w:rsidR="00FA0237">
        <w:t xml:space="preserve"> to be illuminating for us. It’</w:t>
      </w:r>
      <w:r>
        <w:t>s not primarily th</w:t>
      </w:r>
      <w:r w:rsidR="00FA0237">
        <w:t>at they give us examples to follow or avoid</w:t>
      </w:r>
      <w:r>
        <w:t xml:space="preserve"> but that they provide </w:t>
      </w:r>
      <w:r w:rsidR="00FA0237">
        <w:t>us with a mirror in which to</w:t>
      </w:r>
      <w:r>
        <w:t xml:space="preserve"> see ourselves and gain insight i</w:t>
      </w:r>
      <w:r w:rsidR="00FA0237">
        <w:t xml:space="preserve">nto the significance of our </w:t>
      </w:r>
      <w:r>
        <w:t>actions, and an illustration of how God has dealt with people like us.</w:t>
      </w:r>
    </w:p>
    <w:p w:rsidR="00F85D38" w:rsidRDefault="00FA0237" w:rsidP="009652A7">
      <w:pPr>
        <w:pStyle w:val="ListParagraph"/>
        <w:numPr>
          <w:ilvl w:val="0"/>
          <w:numId w:val="15"/>
        </w:numPr>
        <w:ind w:left="360"/>
      </w:pPr>
      <w:r>
        <w:t>Jacob’s</w:t>
      </w:r>
      <w:r w:rsidR="00F85D38">
        <w:t xml:space="preserve"> st</w:t>
      </w:r>
      <w:r>
        <w:t xml:space="preserve">ory provides </w:t>
      </w:r>
      <w:r w:rsidR="00F85D38">
        <w:t xml:space="preserve">a particularly significant instance because he embodies the ambiguity of what it means to be </w:t>
      </w:r>
      <w:r>
        <w:t xml:space="preserve">Israel. We are people </w:t>
      </w:r>
      <w:r w:rsidR="00F85D38">
        <w:t>who want to assert ourselves over our brother or sister</w:t>
      </w:r>
      <w:r w:rsidR="00C337E6">
        <w:t>, and in relation to God. We find that God lets us defeat him. Yet we are confused: we also weep and plead for grace.</w:t>
      </w:r>
    </w:p>
    <w:p w:rsidR="004D03F3" w:rsidRDefault="009367A2" w:rsidP="009652A7">
      <w:pPr>
        <w:pStyle w:val="ListParagraph"/>
        <w:numPr>
          <w:ilvl w:val="0"/>
          <w:numId w:val="15"/>
        </w:numPr>
        <w:ind w:left="360"/>
      </w:pPr>
      <w:r>
        <w:t xml:space="preserve">There is more than one way to tell stories </w:t>
      </w:r>
      <w:r w:rsidR="006D0507">
        <w:t xml:space="preserve">that appear </w:t>
      </w:r>
      <w:r>
        <w:t>in the Scriptures.</w:t>
      </w:r>
      <w:r w:rsidR="004D03F3">
        <w:t xml:space="preserve"> Doubtless there is more than one way to tell any story, but the importance and profundity of the events related in the Scriptures makes it especially fruitful to reflect on them on the assumption that not everything has been said and that more significance emerges from them when we consider them again in light of the events of our own time.</w:t>
      </w:r>
    </w:p>
    <w:p w:rsidR="00A01883" w:rsidRDefault="004D03F3" w:rsidP="009652A7">
      <w:pPr>
        <w:pStyle w:val="ListParagraph"/>
        <w:numPr>
          <w:ilvl w:val="0"/>
          <w:numId w:val="15"/>
        </w:numPr>
        <w:ind w:left="360"/>
      </w:pPr>
      <w:r>
        <w:t xml:space="preserve">While this fact reflects something of the inherent nature of hermeneutics, it also reflects the fact that in the Scriptures God speaks with </w:t>
      </w:r>
      <w:r w:rsidRPr="004D03F3">
        <w:rPr>
          <w:i/>
        </w:rPr>
        <w:t>us</w:t>
      </w:r>
      <w:r>
        <w:t>. God did not merely speak with Jacob; in doing so he spoke and speaks with us. He had us in mind in his speaking then. We respond to the nature of the Scriptures when we approach them expecting to discover that God speaks to us.</w:t>
      </w:r>
      <w:r w:rsidR="00A01883">
        <w:t xml:space="preserve"> Thus Hebrews </w:t>
      </w:r>
      <w:r w:rsidR="00FA0237">
        <w:t>can quote the Scriptures and speak</w:t>
      </w:r>
      <w:r w:rsidR="00A01883">
        <w:t xml:space="preserve"> in terms of what the Holy Spirit </w:t>
      </w:r>
      <w:r w:rsidR="00A01883">
        <w:rPr>
          <w:i/>
        </w:rPr>
        <w:t>says</w:t>
      </w:r>
      <w:r w:rsidR="00A01883">
        <w:t xml:space="preserve"> (Heb. 3:7).</w:t>
      </w:r>
    </w:p>
    <w:p w:rsidR="00A01883" w:rsidRDefault="006B2D3D" w:rsidP="009652A7">
      <w:pPr>
        <w:pStyle w:val="ListParagraph"/>
        <w:numPr>
          <w:ilvl w:val="0"/>
          <w:numId w:val="15"/>
        </w:numPr>
        <w:ind w:left="360"/>
      </w:pPr>
      <w:r>
        <w:t>Yahweh is the name by which God is to be invoked.</w:t>
      </w:r>
      <w:r w:rsidR="001A304D">
        <w:t xml:space="preserve"> It is odd that the church declin</w:t>
      </w:r>
      <w:r w:rsidR="00A01883">
        <w:t>es to invoke God by the name he provided for this purpose.</w:t>
      </w:r>
    </w:p>
    <w:p w:rsidR="00FF4AB1" w:rsidRDefault="00FF4AB1" w:rsidP="009652A7">
      <w:pPr>
        <w:pStyle w:val="ListParagraph"/>
        <w:numPr>
          <w:ilvl w:val="0"/>
          <w:numId w:val="15"/>
        </w:numPr>
        <w:ind w:left="360"/>
      </w:pPr>
      <w:r>
        <w:t>We come back to God through God.</w:t>
      </w:r>
      <w:r w:rsidR="00A01883">
        <w:t xml:space="preserve"> </w:t>
      </w:r>
      <w:r w:rsidR="00A01883" w:rsidRPr="00A01883">
        <w:t>“On His promise and His support, which He promises you, you can rely, and return to Him.”</w:t>
      </w:r>
      <w:r w:rsidR="00A01883" w:rsidRPr="00A01883">
        <w:rPr>
          <w:vertAlign w:val="superscript"/>
        </w:rPr>
        <w:footnoteReference w:id="570"/>
      </w:r>
      <w:r w:rsidR="00A01883">
        <w:t xml:space="preserve"> Both the word and the action are important. The promising word </w:t>
      </w:r>
      <w:r w:rsidR="00A01883">
        <w:lastRenderedPageBreak/>
        <w:t>encourages us to come back. The support operates by continuing to remind us of that promise and to dangle before us the advantages that accrue from coming back, and to keep us aware of the disadvantages of persisting in our waywardness.</w:t>
      </w:r>
    </w:p>
    <w:p w:rsidR="00906B7C" w:rsidRDefault="00906B7C" w:rsidP="009652A7">
      <w:pPr>
        <w:pStyle w:val="ListParagraph"/>
        <w:numPr>
          <w:ilvl w:val="0"/>
          <w:numId w:val="15"/>
        </w:numPr>
        <w:ind w:left="360"/>
      </w:pPr>
      <w:r>
        <w:t>Coming back finds its fruit in the exercise of leadership in a way that embodies commitment, and in trusting God for our destiny rather than thinking we are responsible for it.</w:t>
      </w:r>
    </w:p>
    <w:p w:rsidR="00906B7C" w:rsidRDefault="00906B7C" w:rsidP="009652A7">
      <w:pPr>
        <w:pStyle w:val="ListParagraph"/>
        <w:numPr>
          <w:ilvl w:val="0"/>
          <w:numId w:val="15"/>
        </w:numPr>
        <w:ind w:left="360"/>
      </w:pPr>
      <w:r>
        <w:t>It</w:t>
      </w:r>
      <w:r w:rsidR="00EC06DF">
        <w:t xml:space="preserve"> can be</w:t>
      </w:r>
      <w:r>
        <w:t xml:space="preserve"> dangerous </w:t>
      </w:r>
      <w:r w:rsidR="00EC06DF">
        <w:t xml:space="preserve">and foolish </w:t>
      </w:r>
      <w:r>
        <w:t>to critique other peoples. The critique is inclined to rebound on us</w:t>
      </w:r>
      <w:r w:rsidR="00EC06DF">
        <w:t xml:space="preserve"> and to discourage us from seeing our own faults</w:t>
      </w:r>
      <w:r>
        <w:t xml:space="preserve">. It would be wiser to treat the lifestyle of other peoples in a way related to how we treat the stories of our ancestors. The question they raise is, how does what we see in them help us see something we need to face in ourselves? There is a mechanism whereby we </w:t>
      </w:r>
      <w:r>
        <w:rPr>
          <w:rStyle w:val="st"/>
        </w:rPr>
        <w:t xml:space="preserve">defend ourselves against our own unpleasant traits by declining to face them while noting them to others. As </w:t>
      </w:r>
      <w:r>
        <w:t>“men do not suspect faults which they do not commit</w:t>
      </w:r>
      <w:r w:rsidR="00EC06DF">
        <w:t>,</w:t>
      </w:r>
      <w:r>
        <w:t>”</w:t>
      </w:r>
      <w:r w:rsidR="000B1A0A">
        <w:rPr>
          <w:rStyle w:val="FootnoteReference"/>
        </w:rPr>
        <w:footnoteReference w:id="571"/>
      </w:r>
      <w:r w:rsidR="00EC06DF">
        <w:t xml:space="preserve"> they do suspect faults that they do commit.</w:t>
      </w:r>
    </w:p>
    <w:p w:rsidR="00EC06DF" w:rsidRDefault="007A6B6D" w:rsidP="00EF7B98">
      <w:pPr>
        <w:pStyle w:val="Heading1"/>
      </w:pPr>
      <w:r>
        <w:t>Hosea 12:12</w:t>
      </w:r>
      <w:r w:rsidR="00EC06DF">
        <w:t>—</w:t>
      </w:r>
      <w:r w:rsidR="00077752">
        <w:t>13:16</w:t>
      </w:r>
      <w:r w:rsidR="00EF36CE">
        <w:t xml:space="preserve"> [12:13—14:1]</w:t>
      </w:r>
      <w:r w:rsidR="00EC06DF">
        <w:t>: U</w:t>
      </w:r>
      <w:r w:rsidR="00D02E8B">
        <w:t>nhappy Recollections</w:t>
      </w:r>
      <w:r>
        <w:t>—</w:t>
      </w:r>
      <w:r w:rsidR="00D02E8B">
        <w:t>T</w:t>
      </w:r>
      <w:r>
        <w:t xml:space="preserve">he </w:t>
      </w:r>
      <w:r w:rsidR="0026632A">
        <w:t>Shepherds</w:t>
      </w:r>
    </w:p>
    <w:p w:rsidR="00EC06DF" w:rsidRDefault="00EC06DF" w:rsidP="001D3546">
      <w:pPr>
        <w:pStyle w:val="Heading2"/>
      </w:pPr>
      <w:r w:rsidRPr="00EC06DF">
        <w:t>Translation</w:t>
      </w:r>
    </w:p>
    <w:p w:rsidR="00EC06DF" w:rsidRDefault="005E69E6" w:rsidP="00EC06DF">
      <w:r>
        <w:rPr>
          <w:vertAlign w:val="superscript"/>
        </w:rPr>
        <w:t>12</w:t>
      </w:r>
      <w:r w:rsidR="00252D59" w:rsidRPr="00252D59">
        <w:t>Ya‘ăqōb</w:t>
      </w:r>
      <w:r w:rsidR="00781E48">
        <w:t xml:space="preserve"> fled to the fields</w:t>
      </w:r>
      <w:r w:rsidR="00252D59">
        <w:t xml:space="preserve"> of ’Ărā</w:t>
      </w:r>
      <w:r w:rsidR="00EC06DF">
        <w:t>m;</w:t>
      </w:r>
      <w:r w:rsidR="00447F72">
        <w:rPr>
          <w:rStyle w:val="FootnoteReference"/>
        </w:rPr>
        <w:footnoteReference w:id="572"/>
      </w:r>
    </w:p>
    <w:p w:rsidR="00EC06DF" w:rsidRDefault="00EC06DF" w:rsidP="00EC06DF">
      <w:r>
        <w:tab/>
        <w:t>Israel served for a wife,</w:t>
      </w:r>
    </w:p>
    <w:p w:rsidR="00EC06DF" w:rsidRDefault="00EC06DF" w:rsidP="00EC06DF">
      <w:r>
        <w:tab/>
      </w:r>
      <w:r w:rsidR="00F91EAD">
        <w:t xml:space="preserve">and for a wife </w:t>
      </w:r>
      <w:r w:rsidR="0067768F">
        <w:t>acted as</w:t>
      </w:r>
      <w:r>
        <w:t xml:space="preserve"> a keeper.</w:t>
      </w:r>
    </w:p>
    <w:p w:rsidR="00EC06DF" w:rsidRDefault="005E69E6" w:rsidP="00EC06DF">
      <w:r>
        <w:rPr>
          <w:vertAlign w:val="superscript"/>
        </w:rPr>
        <w:t>13</w:t>
      </w:r>
      <w:r w:rsidR="00252D59">
        <w:t xml:space="preserve">When </w:t>
      </w:r>
      <w:r w:rsidR="006C3A1C" w:rsidRPr="006C3A1C">
        <w:t>by a prophet</w:t>
      </w:r>
      <w:r w:rsidR="006C3A1C">
        <w:t xml:space="preserve"> </w:t>
      </w:r>
      <w:r w:rsidR="00252D59">
        <w:t xml:space="preserve">Yahweh took up </w:t>
      </w:r>
    </w:p>
    <w:p w:rsidR="00252D59" w:rsidRDefault="00252D59" w:rsidP="00EC06DF">
      <w:r>
        <w:tab/>
      </w:r>
      <w:r w:rsidRPr="00252D59">
        <w:t>Yiśrā’ēl</w:t>
      </w:r>
      <w:r>
        <w:t xml:space="preserve"> from </w:t>
      </w:r>
      <w:r w:rsidRPr="00252D59">
        <w:t>Mișrayim</w:t>
      </w:r>
      <w:r>
        <w:t>,</w:t>
      </w:r>
    </w:p>
    <w:p w:rsidR="00252D59" w:rsidRDefault="00252D59" w:rsidP="00EC06DF">
      <w:r>
        <w:tab/>
        <w:t>by a prophet it was kept.</w:t>
      </w:r>
      <w:r w:rsidR="00E46A54">
        <w:rPr>
          <w:rStyle w:val="FootnoteReference"/>
        </w:rPr>
        <w:footnoteReference w:id="573"/>
      </w:r>
    </w:p>
    <w:p w:rsidR="003A2127" w:rsidRDefault="00785176" w:rsidP="00785176">
      <w:pPr>
        <w:tabs>
          <w:tab w:val="left" w:pos="6150"/>
        </w:tabs>
      </w:pPr>
      <w:r>
        <w:tab/>
      </w:r>
    </w:p>
    <w:p w:rsidR="009F7E87" w:rsidRDefault="005E69E6" w:rsidP="00EC06DF">
      <w:r>
        <w:rPr>
          <w:vertAlign w:val="superscript"/>
        </w:rPr>
        <w:t>14</w:t>
      </w:r>
      <w:r w:rsidR="00252D59" w:rsidRPr="00252D59">
        <w:t>’Eprayim</w:t>
      </w:r>
      <w:r w:rsidR="00252D59">
        <w:t xml:space="preserve"> </w:t>
      </w:r>
      <w:r w:rsidR="00015DE2">
        <w:t>provoked to</w:t>
      </w:r>
      <w:r w:rsidR="0016079F">
        <w:t xml:space="preserve"> great bitterness</w:t>
      </w:r>
      <w:r w:rsidR="009F7E87">
        <w:t>;</w:t>
      </w:r>
      <w:r w:rsidR="00015DE2">
        <w:rPr>
          <w:rStyle w:val="FootnoteReference"/>
        </w:rPr>
        <w:footnoteReference w:id="574"/>
      </w:r>
      <w:r w:rsidR="009F7E87">
        <w:t xml:space="preserve"> </w:t>
      </w:r>
    </w:p>
    <w:p w:rsidR="00077752" w:rsidRDefault="009F7E87" w:rsidP="00EC06DF">
      <w:r>
        <w:tab/>
      </w:r>
      <w:r w:rsidR="00077752">
        <w:t>his blood</w:t>
      </w:r>
      <w:r>
        <w:t>shed</w:t>
      </w:r>
      <w:r w:rsidR="00291ABF">
        <w:t>,</w:t>
      </w:r>
      <w:r>
        <w:t xml:space="preserve"> </w:t>
      </w:r>
      <w:r w:rsidR="000D6C22">
        <w:t xml:space="preserve">he </w:t>
      </w:r>
      <w:r w:rsidR="000E329B">
        <w:t>will let</w:t>
      </w:r>
      <w:r w:rsidR="000D6C22">
        <w:t xml:space="preserve"> </w:t>
      </w:r>
      <w:r w:rsidR="00C82DDE">
        <w:t xml:space="preserve">rest </w:t>
      </w:r>
      <w:r w:rsidR="00077752">
        <w:t>on him,</w:t>
      </w:r>
      <w:r w:rsidR="00893800">
        <w:rPr>
          <w:rStyle w:val="FootnoteReference"/>
        </w:rPr>
        <w:footnoteReference w:id="575"/>
      </w:r>
      <w:r w:rsidR="00077752">
        <w:t xml:space="preserve"> </w:t>
      </w:r>
    </w:p>
    <w:p w:rsidR="00EC06DF" w:rsidRDefault="004167B9" w:rsidP="00EC06DF">
      <w:r>
        <w:tab/>
        <w:t xml:space="preserve">his </w:t>
      </w:r>
      <w:r w:rsidR="000D6C22">
        <w:t>reviling</w:t>
      </w:r>
      <w:r w:rsidR="00291ABF">
        <w:t>,</w:t>
      </w:r>
      <w:r w:rsidR="007238CD">
        <w:t xml:space="preserve"> </w:t>
      </w:r>
      <w:r w:rsidR="00E80F56">
        <w:t xml:space="preserve">he </w:t>
      </w:r>
      <w:r w:rsidR="00077752">
        <w:t>will t</w:t>
      </w:r>
      <w:r w:rsidR="000D6C22">
        <w:t xml:space="preserve">urn back </w:t>
      </w:r>
      <w:r w:rsidR="00077752">
        <w:t>on him</w:t>
      </w:r>
      <w:r w:rsidR="007238CD">
        <w:t>—his Lord will</w:t>
      </w:r>
      <w:r w:rsidR="00077752">
        <w:t>.</w:t>
      </w:r>
    </w:p>
    <w:p w:rsidR="002629E9" w:rsidRDefault="00077752" w:rsidP="00EC06DF">
      <w:r>
        <w:rPr>
          <w:vertAlign w:val="superscript"/>
        </w:rPr>
        <w:t>13:1</w:t>
      </w:r>
      <w:r>
        <w:t xml:space="preserve">When </w:t>
      </w:r>
      <w:r w:rsidRPr="00077752">
        <w:t>’Eprayim</w:t>
      </w:r>
      <w:r w:rsidR="000E329B">
        <w:t xml:space="preserve"> spoke with </w:t>
      </w:r>
      <w:r w:rsidR="00922DF5">
        <w:t>quivering</w:t>
      </w:r>
      <w:r>
        <w:t xml:space="preserve">, </w:t>
      </w:r>
    </w:p>
    <w:p w:rsidR="00077752" w:rsidRDefault="002629E9" w:rsidP="00EC06DF">
      <w:r>
        <w:tab/>
      </w:r>
      <w:r w:rsidR="00D356D4">
        <w:t>while he lifted up</w:t>
      </w:r>
      <w:r w:rsidR="00EF36CE">
        <w:t xml:space="preserve"> [his voice]</w:t>
      </w:r>
      <w:r w:rsidR="00D356D4">
        <w:rPr>
          <w:rStyle w:val="FootnoteReference"/>
        </w:rPr>
        <w:footnoteReference w:id="576"/>
      </w:r>
      <w:r w:rsidR="00077752">
        <w:t xml:space="preserve"> in Israel</w:t>
      </w:r>
      <w:r>
        <w:t>,</w:t>
      </w:r>
    </w:p>
    <w:p w:rsidR="002629E9" w:rsidRDefault="00DB2957" w:rsidP="00EC06DF">
      <w:r>
        <w:t>He incurred guilt</w:t>
      </w:r>
      <w:r w:rsidR="002629E9">
        <w:t xml:space="preserve"> through the Master, and died, </w:t>
      </w:r>
    </w:p>
    <w:p w:rsidR="002629E9" w:rsidRDefault="002629E9" w:rsidP="00EC06DF">
      <w:r>
        <w:tab/>
      </w:r>
      <w:r>
        <w:rPr>
          <w:vertAlign w:val="superscript"/>
        </w:rPr>
        <w:t>2</w:t>
      </w:r>
      <w:r w:rsidR="000E329B">
        <w:t>but</w:t>
      </w:r>
      <w:r>
        <w:t xml:space="preserve"> now they continue doing wrong.</w:t>
      </w:r>
    </w:p>
    <w:p w:rsidR="002629E9" w:rsidRDefault="002629E9" w:rsidP="00EC06DF">
      <w:r>
        <w:t>They made a cast image</w:t>
      </w:r>
      <w:r w:rsidR="003C0EBE">
        <w:t xml:space="preserve"> for themselves</w:t>
      </w:r>
      <w:r>
        <w:t xml:space="preserve">, </w:t>
      </w:r>
    </w:p>
    <w:p w:rsidR="002629E9" w:rsidRDefault="002629E9" w:rsidP="00EC06DF">
      <w:r>
        <w:tab/>
        <w:t>from their silver an idol</w:t>
      </w:r>
      <w:r w:rsidR="005E69E6">
        <w:t>,</w:t>
      </w:r>
      <w:r>
        <w:t xml:space="preserve"> in accordance with their insight</w:t>
      </w:r>
      <w:r w:rsidR="004B136B">
        <w:t>.</w:t>
      </w:r>
      <w:r w:rsidR="00785176">
        <w:rPr>
          <w:rStyle w:val="FootnoteReference"/>
        </w:rPr>
        <w:footnoteReference w:id="577"/>
      </w:r>
      <w:r>
        <w:t xml:space="preserve"> </w:t>
      </w:r>
    </w:p>
    <w:p w:rsidR="002629E9" w:rsidRDefault="004B136B" w:rsidP="00EC06DF">
      <w:r>
        <w:t>“T</w:t>
      </w:r>
      <w:r w:rsidR="002629E9">
        <w:t>he work</w:t>
      </w:r>
      <w:r>
        <w:t xml:space="preserve"> of craftsmen, all of it,”</w:t>
      </w:r>
    </w:p>
    <w:p w:rsidR="004B136B" w:rsidRDefault="004B136B" w:rsidP="00EC06DF">
      <w:r>
        <w:tab/>
      </w:r>
      <w:r w:rsidR="00EF36CE">
        <w:t>t</w:t>
      </w:r>
      <w:r w:rsidR="00DC2BEE">
        <w:t>hey’</w:t>
      </w:r>
      <w:r>
        <w:t>re saying about them.</w:t>
      </w:r>
    </w:p>
    <w:p w:rsidR="004B136B" w:rsidRDefault="00A65844" w:rsidP="00EC06DF">
      <w:r>
        <w:lastRenderedPageBreak/>
        <w:t>People who offer</w:t>
      </w:r>
      <w:r w:rsidR="002629E9">
        <w:t xml:space="preserve"> </w:t>
      </w:r>
      <w:r>
        <w:t>sacrifice—</w:t>
      </w:r>
      <w:r>
        <w:rPr>
          <w:rStyle w:val="FootnoteReference"/>
        </w:rPr>
        <w:footnoteReference w:id="578"/>
      </w:r>
    </w:p>
    <w:p w:rsidR="002629E9" w:rsidRDefault="00A65844" w:rsidP="00EC06DF">
      <w:r>
        <w:tab/>
        <w:t>they kiss bullock</w:t>
      </w:r>
      <w:r w:rsidR="004B136B">
        <w:t>s.</w:t>
      </w:r>
    </w:p>
    <w:p w:rsidR="004B136B" w:rsidRDefault="004B136B" w:rsidP="00EC06DF">
      <w:r>
        <w:rPr>
          <w:vertAlign w:val="superscript"/>
        </w:rPr>
        <w:t>3</w:t>
      </w:r>
      <w:r>
        <w:t xml:space="preserve">Therefore, they will be like morning cloud, </w:t>
      </w:r>
    </w:p>
    <w:p w:rsidR="004B136B" w:rsidRDefault="004B136B" w:rsidP="00EC06DF">
      <w:r>
        <w:tab/>
        <w:t xml:space="preserve">like </w:t>
      </w:r>
      <w:r w:rsidR="00B97270">
        <w:t xml:space="preserve">the </w:t>
      </w:r>
      <w:r>
        <w:t>dew</w:t>
      </w:r>
      <w:r w:rsidR="00B97270">
        <w:t>,</w:t>
      </w:r>
      <w:r>
        <w:t xml:space="preserve"> going early</w:t>
      </w:r>
      <w:r w:rsidR="00B97270">
        <w:t xml:space="preserve"> in the day</w:t>
      </w:r>
      <w:r>
        <w:t>,</w:t>
      </w:r>
    </w:p>
    <w:p w:rsidR="004B136B" w:rsidRDefault="004B136B" w:rsidP="00EC06DF">
      <w:r>
        <w:t xml:space="preserve">Like chaff that whirls from the threshing floor, </w:t>
      </w:r>
    </w:p>
    <w:p w:rsidR="004B136B" w:rsidRDefault="004B136B" w:rsidP="00EC06DF">
      <w:r>
        <w:tab/>
        <w:t>lik</w:t>
      </w:r>
      <w:r w:rsidR="005E69E6">
        <w:t>e smoke from an opening</w:t>
      </w:r>
      <w:r w:rsidR="00FE48DD">
        <w:t>.</w:t>
      </w:r>
    </w:p>
    <w:p w:rsidR="004B136B" w:rsidRDefault="004B136B" w:rsidP="00EC06DF"/>
    <w:p w:rsidR="004B136B" w:rsidRDefault="004B136B" w:rsidP="00EC06DF">
      <w:r>
        <w:rPr>
          <w:vertAlign w:val="superscript"/>
        </w:rPr>
        <w:t>4</w:t>
      </w:r>
      <w:r>
        <w:t xml:space="preserve">But I am Yahweh your God, </w:t>
      </w:r>
    </w:p>
    <w:p w:rsidR="004B136B" w:rsidRDefault="004B136B" w:rsidP="00EC06DF">
      <w:r>
        <w:tab/>
        <w:t xml:space="preserve">from the country of </w:t>
      </w:r>
      <w:r w:rsidRPr="004B136B">
        <w:t>Mișrayim</w:t>
      </w:r>
      <w:r>
        <w:t>.</w:t>
      </w:r>
    </w:p>
    <w:p w:rsidR="004B136B" w:rsidRDefault="00756F36" w:rsidP="00EC06DF">
      <w:r>
        <w:t>You’</w:t>
      </w:r>
      <w:r w:rsidR="004B136B">
        <w:t xml:space="preserve">re to acknowledge no God apart from me; </w:t>
      </w:r>
    </w:p>
    <w:p w:rsidR="004B136B" w:rsidRDefault="00A46196" w:rsidP="00EC06DF">
      <w:r>
        <w:tab/>
        <w:t>t</w:t>
      </w:r>
      <w:r w:rsidR="00DC2BEE">
        <w:t>here’</w:t>
      </w:r>
      <w:r w:rsidR="004B136B">
        <w:t>s no deliverer except me.</w:t>
      </w:r>
    </w:p>
    <w:p w:rsidR="004B136B" w:rsidRDefault="004B136B" w:rsidP="00EC06DF">
      <w:r>
        <w:rPr>
          <w:vertAlign w:val="superscript"/>
        </w:rPr>
        <w:t>5</w:t>
      </w:r>
      <w:r w:rsidR="00DC2BEE">
        <w:t>I’</w:t>
      </w:r>
      <w:r>
        <w:t>m the one who acknowledged you</w:t>
      </w:r>
      <w:r w:rsidR="005C0990">
        <w:rPr>
          <w:rStyle w:val="FootnoteReference"/>
        </w:rPr>
        <w:footnoteReference w:id="579"/>
      </w:r>
      <w:r>
        <w:t xml:space="preserve"> in the wilderness, </w:t>
      </w:r>
    </w:p>
    <w:p w:rsidR="004B136B" w:rsidRDefault="004B136B" w:rsidP="00EC06DF">
      <w:r>
        <w:tab/>
        <w:t>in a land of great drought.</w:t>
      </w:r>
    </w:p>
    <w:p w:rsidR="007269E0" w:rsidRDefault="007269E0" w:rsidP="00EC06DF">
      <w:r>
        <w:rPr>
          <w:vertAlign w:val="superscript"/>
        </w:rPr>
        <w:t>6</w:t>
      </w:r>
      <w:r w:rsidR="00F57707">
        <w:t>With their pasturing</w:t>
      </w:r>
      <w:r>
        <w:t xml:space="preserve">, they were full; </w:t>
      </w:r>
    </w:p>
    <w:p w:rsidR="007269E0" w:rsidRDefault="00F57707" w:rsidP="00EC06DF">
      <w:r>
        <w:tab/>
      </w:r>
      <w:r w:rsidR="007269E0">
        <w:t>they wer</w:t>
      </w:r>
      <w:r>
        <w:t>e full and</w:t>
      </w:r>
      <w:r w:rsidR="00F618F6">
        <w:t xml:space="preserve"> their attitude became elated</w:t>
      </w:r>
      <w:r w:rsidR="007269E0">
        <w:t>;</w:t>
      </w:r>
      <w:r w:rsidR="00F618F6">
        <w:rPr>
          <w:rStyle w:val="FootnoteReference"/>
        </w:rPr>
        <w:footnoteReference w:id="580"/>
      </w:r>
    </w:p>
    <w:p w:rsidR="007269E0" w:rsidRDefault="007959B2" w:rsidP="00EC06DF">
      <w:r>
        <w:tab/>
        <w:t>thus they disregarded</w:t>
      </w:r>
      <w:r w:rsidR="00A84DBC">
        <w:t xml:space="preserve"> me</w:t>
      </w:r>
      <w:r w:rsidR="007269E0">
        <w:t>.</w:t>
      </w:r>
    </w:p>
    <w:p w:rsidR="007269E0" w:rsidRDefault="007269E0" w:rsidP="00EC06DF">
      <w:r>
        <w:rPr>
          <w:vertAlign w:val="superscript"/>
        </w:rPr>
        <w:t>7</w:t>
      </w:r>
      <w:r w:rsidR="00DC2BEE">
        <w:t>So I’</w:t>
      </w:r>
      <w:r>
        <w:t xml:space="preserve">ve become like a lion to them, </w:t>
      </w:r>
    </w:p>
    <w:p w:rsidR="007269E0" w:rsidRDefault="007269E0" w:rsidP="00EC06DF">
      <w:r>
        <w:tab/>
        <w:t>l</w:t>
      </w:r>
      <w:r w:rsidR="00E46A54">
        <w:t>ike a leopard by the way</w:t>
      </w:r>
      <w:r w:rsidR="00DC2BEE">
        <w:t>,</w:t>
      </w:r>
      <w:r w:rsidR="005E69E6">
        <w:t xml:space="preserve"> </w:t>
      </w:r>
      <w:r w:rsidR="00E46A54">
        <w:t>I keep</w:t>
      </w:r>
      <w:r w:rsidR="00EE44B6">
        <w:t xml:space="preserve"> watch</w:t>
      </w:r>
      <w:r>
        <w:t>.</w:t>
      </w:r>
      <w:r w:rsidR="00B14698">
        <w:rPr>
          <w:rStyle w:val="FootnoteReference"/>
        </w:rPr>
        <w:footnoteReference w:id="581"/>
      </w:r>
    </w:p>
    <w:p w:rsidR="007269E0" w:rsidRDefault="007269E0" w:rsidP="00EC06DF">
      <w:r>
        <w:rPr>
          <w:vertAlign w:val="superscript"/>
        </w:rPr>
        <w:t>8</w:t>
      </w:r>
      <w:r w:rsidR="00DC2BEE">
        <w:t>I’</w:t>
      </w:r>
      <w:r w:rsidR="00726E48">
        <w:t>ll meet</w:t>
      </w:r>
      <w:r w:rsidR="008A3D18">
        <w:t xml:space="preserve"> them like a bear that</w:t>
      </w:r>
      <w:r w:rsidR="00DC2BEE">
        <w:t>’</w:t>
      </w:r>
      <w:r>
        <w:t xml:space="preserve">s lost its young, </w:t>
      </w:r>
    </w:p>
    <w:p w:rsidR="007269E0" w:rsidRDefault="00DC2BEE" w:rsidP="00EC06DF">
      <w:r>
        <w:tab/>
        <w:t>I’</w:t>
      </w:r>
      <w:r w:rsidR="007269E0">
        <w:t>ll rip the casing of their heart.</w:t>
      </w:r>
    </w:p>
    <w:p w:rsidR="007269E0" w:rsidRDefault="00DC2BEE" w:rsidP="00EC06DF">
      <w:r>
        <w:t>I’</w:t>
      </w:r>
      <w:r w:rsidR="00806D4C">
        <w:t>ll consume them the</w:t>
      </w:r>
      <w:r w:rsidR="007269E0">
        <w:t>r</w:t>
      </w:r>
      <w:r w:rsidR="00806D4C">
        <w:t>e</w:t>
      </w:r>
      <w:r w:rsidR="00F31471">
        <w:t xml:space="preserve"> like a panthe</w:t>
      </w:r>
      <w:r w:rsidR="00B14698">
        <w:t>r</w:t>
      </w:r>
      <w:r w:rsidR="007269E0">
        <w:t xml:space="preserve">, </w:t>
      </w:r>
    </w:p>
    <w:p w:rsidR="007269E0" w:rsidRDefault="00E46A54" w:rsidP="00EC06DF">
      <w:r>
        <w:tab/>
        <w:t>like</w:t>
      </w:r>
      <w:r w:rsidR="007269E0">
        <w:t xml:space="preserve"> a creature of the wild that tears them apart.</w:t>
      </w:r>
    </w:p>
    <w:p w:rsidR="00635E38" w:rsidRDefault="00635E38" w:rsidP="00EC06DF"/>
    <w:p w:rsidR="00D26929" w:rsidRDefault="007269E0" w:rsidP="00EC06DF">
      <w:r>
        <w:rPr>
          <w:vertAlign w:val="superscript"/>
        </w:rPr>
        <w:t>9</w:t>
      </w:r>
      <w:r w:rsidR="00D26929">
        <w:t>Your devastation,</w:t>
      </w:r>
      <w:r w:rsidR="008A3D18">
        <w:rPr>
          <w:rStyle w:val="FootnoteReference"/>
        </w:rPr>
        <w:footnoteReference w:id="582"/>
      </w:r>
      <w:r w:rsidR="00D26929">
        <w:t xml:space="preserve"> </w:t>
      </w:r>
      <w:r w:rsidR="00D26929" w:rsidRPr="00D26929">
        <w:t>Yiśrā’ēl</w:t>
      </w:r>
      <w:r w:rsidR="008A3D18">
        <w:t>!—</w:t>
      </w:r>
    </w:p>
    <w:p w:rsidR="007269E0" w:rsidRDefault="008A3D18" w:rsidP="00EC06DF">
      <w:r>
        <w:tab/>
        <w:t>b</w:t>
      </w:r>
      <w:r w:rsidR="00D26929">
        <w:t>ecause in me</w:t>
      </w:r>
      <w:r w:rsidR="005E69E6">
        <w:rPr>
          <w:rStyle w:val="FootnoteReference"/>
        </w:rPr>
        <w:footnoteReference w:id="583"/>
      </w:r>
      <w:r w:rsidR="00D26929">
        <w:t xml:space="preserve"> is your help.</w:t>
      </w:r>
      <w:r w:rsidR="00462F90">
        <w:rPr>
          <w:rStyle w:val="FootnoteReference"/>
        </w:rPr>
        <w:footnoteReference w:id="584"/>
      </w:r>
    </w:p>
    <w:p w:rsidR="00FC0486" w:rsidRDefault="00806D4C" w:rsidP="00EC06DF">
      <w:r>
        <w:rPr>
          <w:vertAlign w:val="superscript"/>
        </w:rPr>
        <w:t>10</w:t>
      </w:r>
      <w:r>
        <w:t>Huh,</w:t>
      </w:r>
      <w:r w:rsidR="00BC42F2">
        <w:rPr>
          <w:rStyle w:val="FootnoteReference"/>
        </w:rPr>
        <w:footnoteReference w:id="585"/>
      </w:r>
      <w:r>
        <w:t xml:space="preserve"> where is your king, </w:t>
      </w:r>
    </w:p>
    <w:p w:rsidR="00FC0486" w:rsidRDefault="00FC0486" w:rsidP="00EC06DF">
      <w:r>
        <w:tab/>
        <w:t xml:space="preserve">so he may deliver you </w:t>
      </w:r>
      <w:r w:rsidR="00806D4C">
        <w:t>in all</w:t>
      </w:r>
      <w:r>
        <w:t xml:space="preserve"> your towns,</w:t>
      </w:r>
    </w:p>
    <w:p w:rsidR="00806D4C" w:rsidRDefault="00FC0486" w:rsidP="00EC06DF">
      <w:r>
        <w:t>Y</w:t>
      </w:r>
      <w:r w:rsidR="004957D4">
        <w:t>our decision-makers</w:t>
      </w:r>
      <w:r w:rsidR="00806D4C">
        <w:t>,</w:t>
      </w:r>
      <w:r>
        <w:t xml:space="preserve"> o</w:t>
      </w:r>
      <w:r w:rsidR="00806D4C">
        <w:t xml:space="preserve">f whom you said, </w:t>
      </w:r>
    </w:p>
    <w:p w:rsidR="00806D4C" w:rsidRDefault="00806D4C" w:rsidP="00EC06DF">
      <w:r>
        <w:tab/>
        <w:t>“Give me a king and officials.”</w:t>
      </w:r>
    </w:p>
    <w:p w:rsidR="00806D4C" w:rsidRDefault="00806D4C" w:rsidP="00EC06DF">
      <w:r>
        <w:rPr>
          <w:vertAlign w:val="superscript"/>
        </w:rPr>
        <w:t>11</w:t>
      </w:r>
      <w:r>
        <w:t xml:space="preserve">I would give you a king in my anger, </w:t>
      </w:r>
    </w:p>
    <w:p w:rsidR="00806D4C" w:rsidRDefault="00806D4C" w:rsidP="00EC06DF">
      <w:r>
        <w:tab/>
        <w:t>and take him in my fury.</w:t>
      </w:r>
      <w:r w:rsidR="00D641EA">
        <w:rPr>
          <w:rStyle w:val="FootnoteReference"/>
        </w:rPr>
        <w:footnoteReference w:id="586"/>
      </w:r>
    </w:p>
    <w:p w:rsidR="008A3D18" w:rsidRDefault="008A3D18" w:rsidP="00EC06DF"/>
    <w:p w:rsidR="00806D4C" w:rsidRDefault="00FC0486" w:rsidP="00EC06DF">
      <w:r>
        <w:rPr>
          <w:vertAlign w:val="superscript"/>
        </w:rPr>
        <w:t>12</w:t>
      </w:r>
      <w:r w:rsidR="00806D4C" w:rsidRPr="00806D4C">
        <w:t>’Eprayim</w:t>
      </w:r>
      <w:r w:rsidR="005305AF">
        <w:t>’s waywardness is bound</w:t>
      </w:r>
      <w:r w:rsidR="00806D4C">
        <w:t xml:space="preserve">, </w:t>
      </w:r>
    </w:p>
    <w:p w:rsidR="00806D4C" w:rsidRDefault="00806D4C" w:rsidP="00EC06DF">
      <w:r>
        <w:tab/>
        <w:t>its wrongdoing hidden away.</w:t>
      </w:r>
    </w:p>
    <w:p w:rsidR="00806D4C" w:rsidRDefault="00806D4C" w:rsidP="00EC06DF">
      <w:r>
        <w:rPr>
          <w:vertAlign w:val="superscript"/>
        </w:rPr>
        <w:lastRenderedPageBreak/>
        <w:t>13</w:t>
      </w:r>
      <w:r w:rsidR="007555A8">
        <w:t>When the pains of a woman giving birth</w:t>
      </w:r>
      <w:r w:rsidR="0072189F">
        <w:t xml:space="preserve"> come to him,</w:t>
      </w:r>
    </w:p>
    <w:p w:rsidR="00806D4C" w:rsidRDefault="0072189F" w:rsidP="00EC06DF">
      <w:r>
        <w:tab/>
      </w:r>
      <w:r w:rsidR="001C0DEA">
        <w:t>h</w:t>
      </w:r>
      <w:r>
        <w:t>e</w:t>
      </w:r>
      <w:r w:rsidR="00726E48">
        <w:t>’ll be</w:t>
      </w:r>
      <w:r w:rsidR="001C0DEA">
        <w:t xml:space="preserve"> a son who’</w:t>
      </w:r>
      <w:r w:rsidR="00806D4C">
        <w:t>s not smart.</w:t>
      </w:r>
    </w:p>
    <w:p w:rsidR="003372BA" w:rsidRDefault="00726E48" w:rsidP="00EC06DF">
      <w:r>
        <w:t>Because at the time he wo</w:t>
      </w:r>
      <w:r w:rsidR="00AE75AF">
        <w:t>n’</w:t>
      </w:r>
      <w:r w:rsidR="003372BA">
        <w:t xml:space="preserve">t </w:t>
      </w:r>
      <w:r w:rsidR="007555A8">
        <w:t xml:space="preserve">remain </w:t>
      </w:r>
      <w:r w:rsidR="003372BA">
        <w:t>stand</w:t>
      </w:r>
      <w:r w:rsidR="007555A8">
        <w:t>ing</w:t>
      </w:r>
      <w:r w:rsidR="00AE75AF">
        <w:t>,</w:t>
      </w:r>
      <w:r w:rsidR="003372BA">
        <w:t xml:space="preserve"> </w:t>
      </w:r>
    </w:p>
    <w:p w:rsidR="00806D4C" w:rsidRDefault="003372BA" w:rsidP="00EC06DF">
      <w:r>
        <w:tab/>
        <w:t xml:space="preserve">at the breaking </w:t>
      </w:r>
      <w:r w:rsidR="00AE75AF">
        <w:t xml:space="preserve">out </w:t>
      </w:r>
      <w:r>
        <w:t>of children.</w:t>
      </w:r>
    </w:p>
    <w:p w:rsidR="003372BA" w:rsidRDefault="003372BA" w:rsidP="00EC06DF">
      <w:r>
        <w:rPr>
          <w:vertAlign w:val="superscript"/>
        </w:rPr>
        <w:t>14</w:t>
      </w:r>
      <w:r>
        <w:t>From the hand of Šə</w:t>
      </w:r>
      <w:r w:rsidR="000C6D94">
        <w:t xml:space="preserve">’ôl I </w:t>
      </w:r>
      <w:r w:rsidR="007F14DE">
        <w:t>would</w:t>
      </w:r>
      <w:r>
        <w:t xml:space="preserve"> redeem them, </w:t>
      </w:r>
    </w:p>
    <w:p w:rsidR="003372BA" w:rsidRDefault="003372BA" w:rsidP="00EC06DF">
      <w:r>
        <w:tab/>
        <w:t>from d</w:t>
      </w:r>
      <w:r w:rsidR="000C6D94">
        <w:t xml:space="preserve">eath I </w:t>
      </w:r>
      <w:r w:rsidR="007F14DE">
        <w:t>would</w:t>
      </w:r>
      <w:r w:rsidR="000C6D94">
        <w:t xml:space="preserve"> restore them</w:t>
      </w:r>
      <w:r w:rsidR="007F14DE">
        <w:t>.</w:t>
      </w:r>
      <w:r w:rsidR="000C6D94">
        <w:rPr>
          <w:rStyle w:val="FootnoteReference"/>
        </w:rPr>
        <w:footnoteReference w:id="587"/>
      </w:r>
    </w:p>
    <w:p w:rsidR="003372BA" w:rsidRDefault="003372BA" w:rsidP="00EC06DF">
      <w:r>
        <w:t>Huh,</w:t>
      </w:r>
      <w:r w:rsidR="00472091">
        <w:rPr>
          <w:rStyle w:val="FootnoteReference"/>
        </w:rPr>
        <w:footnoteReference w:id="588"/>
      </w:r>
      <w:r>
        <w:t xml:space="preserve"> your </w:t>
      </w:r>
      <w:r w:rsidR="00F07BF3">
        <w:t>terrible plague</w:t>
      </w:r>
      <w:r>
        <w:t>,</w:t>
      </w:r>
      <w:r w:rsidR="00F07BF3">
        <w:rPr>
          <w:rStyle w:val="FootnoteReference"/>
        </w:rPr>
        <w:footnoteReference w:id="589"/>
      </w:r>
      <w:r>
        <w:t xml:space="preserve"> death, </w:t>
      </w:r>
    </w:p>
    <w:p w:rsidR="003372BA" w:rsidRDefault="003372BA" w:rsidP="00EC06DF">
      <w:r>
        <w:tab/>
        <w:t xml:space="preserve">huh, your destruction, </w:t>
      </w:r>
      <w:r w:rsidRPr="003372BA">
        <w:t>Šə’ôl</w:t>
      </w:r>
      <w:r>
        <w:t>.</w:t>
      </w:r>
    </w:p>
    <w:p w:rsidR="004E13CF" w:rsidRDefault="00AA14EE" w:rsidP="00EC06DF">
      <w:r>
        <w:t>R</w:t>
      </w:r>
      <w:r w:rsidR="003372BA">
        <w:t>elenting</w:t>
      </w:r>
      <w:r>
        <w:t>: it</w:t>
      </w:r>
      <w:r w:rsidR="00194EF1">
        <w:t>’</w:t>
      </w:r>
      <w:r w:rsidR="003372BA">
        <w:t xml:space="preserve">s hidden from my eyes, </w:t>
      </w:r>
    </w:p>
    <w:p w:rsidR="003372BA" w:rsidRDefault="004E13CF" w:rsidP="00EC06DF">
      <w:r>
        <w:tab/>
      </w:r>
      <w:r>
        <w:rPr>
          <w:vertAlign w:val="superscript"/>
        </w:rPr>
        <w:t>15</w:t>
      </w:r>
      <w:r w:rsidR="00C6676E">
        <w:t>because</w:t>
      </w:r>
      <w:r w:rsidR="003372BA">
        <w:t xml:space="preserve"> he </w:t>
      </w:r>
      <w:r w:rsidR="00AA14EE">
        <w:t xml:space="preserve">acts like a </w:t>
      </w:r>
      <w:r w:rsidR="00C6676E">
        <w:t xml:space="preserve">wild </w:t>
      </w:r>
      <w:r w:rsidR="00AA14EE">
        <w:t>donkey</w:t>
      </w:r>
      <w:r w:rsidR="00AA14EE">
        <w:rPr>
          <w:rStyle w:val="FootnoteReference"/>
        </w:rPr>
        <w:footnoteReference w:id="590"/>
      </w:r>
      <w:r>
        <w:t xml:space="preserve"> among brothers</w:t>
      </w:r>
      <w:r w:rsidR="00AA14EE">
        <w:t>.</w:t>
      </w:r>
      <w:r w:rsidR="00194EF1">
        <w:rPr>
          <w:rStyle w:val="FootnoteReference"/>
        </w:rPr>
        <w:footnoteReference w:id="591"/>
      </w:r>
    </w:p>
    <w:p w:rsidR="008F65E2" w:rsidRDefault="008F65E2" w:rsidP="00EC06DF"/>
    <w:p w:rsidR="004E13CF" w:rsidRDefault="00762AD6" w:rsidP="00EC06DF">
      <w:r>
        <w:t>An east wind, a supernatural</w:t>
      </w:r>
      <w:r w:rsidR="004E13CF">
        <w:t xml:space="preserve"> wind,</w:t>
      </w:r>
      <w:r>
        <w:rPr>
          <w:rStyle w:val="FootnoteReference"/>
        </w:rPr>
        <w:footnoteReference w:id="592"/>
      </w:r>
      <w:r w:rsidR="004E13CF">
        <w:t xml:space="preserve"> will come, </w:t>
      </w:r>
    </w:p>
    <w:p w:rsidR="004E13CF" w:rsidRDefault="004E13CF" w:rsidP="00EC06DF">
      <w:r>
        <w:tab/>
        <w:t>going up from the wilderness</w:t>
      </w:r>
      <w:r w:rsidR="00120F56">
        <w:t>,</w:t>
      </w:r>
    </w:p>
    <w:p w:rsidR="004E13CF" w:rsidRDefault="0012093A" w:rsidP="00EC06DF">
      <w:r>
        <w:t xml:space="preserve">So </w:t>
      </w:r>
      <w:r w:rsidR="004E13CF">
        <w:t>his fountain</w:t>
      </w:r>
      <w:r>
        <w:t xml:space="preserve"> will be shamed</w:t>
      </w:r>
      <w:r w:rsidR="00120F56">
        <w:t>,</w:t>
      </w:r>
      <w:r>
        <w:rPr>
          <w:rStyle w:val="FootnoteReference"/>
        </w:rPr>
        <w:footnoteReference w:id="593"/>
      </w:r>
    </w:p>
    <w:p w:rsidR="004E13CF" w:rsidRDefault="004E13CF" w:rsidP="00EC06DF">
      <w:r>
        <w:tab/>
      </w:r>
      <w:r w:rsidR="0012093A">
        <w:t xml:space="preserve"> </w:t>
      </w:r>
      <w:r>
        <w:t>his spring</w:t>
      </w:r>
      <w:r w:rsidR="0012093A">
        <w:t xml:space="preserve"> will dry up</w:t>
      </w:r>
      <w:r>
        <w:t>.</w:t>
      </w:r>
    </w:p>
    <w:p w:rsidR="004E13CF" w:rsidRDefault="004E13CF" w:rsidP="00EC06DF">
      <w:r>
        <w:t>It</w:t>
      </w:r>
      <w:r w:rsidR="001E6622">
        <w:t>—it</w:t>
      </w:r>
      <w:r>
        <w:t xml:space="preserve"> will plunder the treasury, </w:t>
      </w:r>
    </w:p>
    <w:p w:rsidR="004E13CF" w:rsidRDefault="004E13CF" w:rsidP="00EC06DF">
      <w:r>
        <w:tab/>
        <w:t>all the desirable objects.</w:t>
      </w:r>
    </w:p>
    <w:p w:rsidR="00042FDC" w:rsidRDefault="00065C5C" w:rsidP="00EC06DF">
      <w:r>
        <w:rPr>
          <w:vertAlign w:val="superscript"/>
        </w:rPr>
        <w:t>16</w:t>
      </w:r>
      <w:r w:rsidR="00042FDC">
        <w:t>Šōmə</w:t>
      </w:r>
      <w:r w:rsidR="00C75EB4">
        <w:t>rôn will make restitution,</w:t>
      </w:r>
      <w:r w:rsidR="00F31471">
        <w:rPr>
          <w:rStyle w:val="FootnoteReference"/>
        </w:rPr>
        <w:footnoteReference w:id="594"/>
      </w:r>
      <w:r w:rsidR="00C75EB4">
        <w:t xml:space="preserve"> </w:t>
      </w:r>
    </w:p>
    <w:p w:rsidR="004E13CF" w:rsidRDefault="00042FDC" w:rsidP="00EC06DF">
      <w:r>
        <w:tab/>
        <w:t>because she has defied her God.</w:t>
      </w:r>
    </w:p>
    <w:p w:rsidR="00042FDC" w:rsidRDefault="00042FDC" w:rsidP="00EC06DF">
      <w:r>
        <w:t>By the sword they will fall, their infants will be dashed down,</w:t>
      </w:r>
    </w:p>
    <w:p w:rsidR="004E13CF" w:rsidRDefault="00042FDC" w:rsidP="00EC06DF">
      <w:r>
        <w:tab/>
        <w:t xml:space="preserve">its pregnant women </w:t>
      </w:r>
      <w:r w:rsidR="00194EF1">
        <w:t xml:space="preserve">will be </w:t>
      </w:r>
      <w:r>
        <w:t>torn apart.</w:t>
      </w:r>
    </w:p>
    <w:p w:rsidR="00120F56" w:rsidRDefault="00120F56" w:rsidP="001D3546">
      <w:pPr>
        <w:pStyle w:val="Heading2"/>
      </w:pPr>
      <w:r>
        <w:t>Interpretation</w:t>
      </w:r>
    </w:p>
    <w:p w:rsidR="008D1693" w:rsidRDefault="00120F56" w:rsidP="00120F56">
      <w:r>
        <w:t>The final recollection combines the motifs from the preceding two, Jacob (12:2-11 [3-12]) and the exodus (11:1—12:1</w:t>
      </w:r>
      <w:r w:rsidR="007A6B6D">
        <w:t xml:space="preserve"> </w:t>
      </w:r>
      <w:r w:rsidR="00197B98">
        <w:t>[</w:t>
      </w:r>
      <w:r w:rsidR="007A6B6D">
        <w:t>2]</w:t>
      </w:r>
      <w:r w:rsidR="00197B98">
        <w:t>). But</w:t>
      </w:r>
      <w:r>
        <w:t xml:space="preserve"> the recollection itself is brief; it soon gives way to a final sustained set of confrontations and threats.</w:t>
      </w:r>
      <w:r w:rsidR="008D1693">
        <w:t xml:space="preserve"> </w:t>
      </w:r>
      <w:r w:rsidR="00197B98" w:rsidRPr="00197B98">
        <w:t xml:space="preserve">MT rightly places a </w:t>
      </w:r>
      <w:r w:rsidR="006454D0">
        <w:t>petuh</w:t>
      </w:r>
      <w:r w:rsidR="00197B98" w:rsidRPr="00197B98">
        <w:t xml:space="preserve">ah after 13:16 </w:t>
      </w:r>
      <w:r w:rsidR="004957D4">
        <w:t xml:space="preserve">[14:1] </w:t>
      </w:r>
      <w:r w:rsidR="00197B98" w:rsidRPr="00197B98">
        <w:t>and 4QXIIc has a line space at this point</w:t>
      </w:r>
      <w:r w:rsidR="00197B98" w:rsidRPr="00197B98">
        <w:rPr>
          <w:vertAlign w:val="superscript"/>
        </w:rPr>
        <w:footnoteReference w:id="595"/>
      </w:r>
      <w:r w:rsidR="00197B98" w:rsidRPr="00197B98">
        <w:t xml:space="preserve"> </w:t>
      </w:r>
      <w:r w:rsidR="00197B98">
        <w:t>(</w:t>
      </w:r>
      <w:r w:rsidR="00197B98" w:rsidRPr="00197B98">
        <w:t>MT also has a setumah after 13:11</w:t>
      </w:r>
      <w:r w:rsidR="00197B98">
        <w:t>), whereas p</w:t>
      </w:r>
      <w:r w:rsidR="008D1693">
        <w:t>rinted Hebrew Bible</w:t>
      </w:r>
      <w:r w:rsidR="00197B98">
        <w:t>s transition</w:t>
      </w:r>
      <w:r w:rsidR="008D1693">
        <w:t xml:space="preserve"> the final chapter a</w:t>
      </w:r>
      <w:r w:rsidR="00197B98">
        <w:t>t 13:16 (which is thus 14:1).</w:t>
      </w:r>
      <w:r w:rsidR="008D1693">
        <w:t xml:space="preserve"> </w:t>
      </w:r>
      <w:r w:rsidR="00987CDD">
        <w:t>The Haftarah begins at 12:12 and continues to the end of the scroll.</w:t>
      </w:r>
    </w:p>
    <w:p w:rsidR="00120F56" w:rsidRDefault="00120F56" w:rsidP="00120F56"/>
    <w:p w:rsidR="004957D4" w:rsidRDefault="007A6B6D" w:rsidP="00120F56">
      <w:r>
        <w:rPr>
          <w:b/>
        </w:rPr>
        <w:t>Hosea 12:12-13</w:t>
      </w:r>
      <w:r w:rsidR="004957D4">
        <w:rPr>
          <w:b/>
        </w:rPr>
        <w:t xml:space="preserve"> [13-14]</w:t>
      </w:r>
      <w:r w:rsidR="00120F56">
        <w:rPr>
          <w:b/>
        </w:rPr>
        <w:t xml:space="preserve">. </w:t>
      </w:r>
      <w:r w:rsidR="00781E48">
        <w:t>Hosea returns to sp</w:t>
      </w:r>
      <w:r w:rsidR="00B03989">
        <w:t>eak</w:t>
      </w:r>
      <w:r w:rsidR="00197B98">
        <w:t>ing</w:t>
      </w:r>
      <w:r w:rsidR="00B03989">
        <w:t xml:space="preserve"> of Jacob, and </w:t>
      </w:r>
      <w:r w:rsidR="00197B98">
        <w:t xml:space="preserve">of </w:t>
      </w:r>
      <w:r w:rsidR="007238CD">
        <w:t>the</w:t>
      </w:r>
      <w:r w:rsidR="00781E48">
        <w:t xml:space="preserve"> flight that comes between the two experiences at Beth</w:t>
      </w:r>
      <w:r w:rsidR="00DD219C">
        <w:t>-</w:t>
      </w:r>
      <w:r w:rsidR="004957D4">
        <w:t>el (Gen.</w:t>
      </w:r>
      <w:r w:rsidR="00781E48">
        <w:t xml:space="preserve"> 29—31</w:t>
      </w:r>
      <w:r w:rsidR="004957D4">
        <w:t>)</w:t>
      </w:r>
      <w:r w:rsidR="00781E48">
        <w:t xml:space="preserve">. </w:t>
      </w:r>
    </w:p>
    <w:p w:rsidR="006C3A1C" w:rsidRDefault="004957D4" w:rsidP="00120F56">
      <w:r>
        <w:t>Jacob</w:t>
      </w:r>
      <w:r w:rsidR="007238CD">
        <w:t xml:space="preserve"> fled (</w:t>
      </w:r>
      <w:r>
        <w:t xml:space="preserve">v. 12 [13]; </w:t>
      </w:r>
      <w:r w:rsidR="007238CD">
        <w:t xml:space="preserve">e.g., </w:t>
      </w:r>
      <w:r>
        <w:t xml:space="preserve">Gen. </w:t>
      </w:r>
      <w:r w:rsidR="006C3A1C" w:rsidRPr="006C3A1C">
        <w:t>27:43) to the field</w:t>
      </w:r>
      <w:r w:rsidR="007238CD">
        <w:t xml:space="preserve">s (e.g., 29:2) of Aram (e.g., </w:t>
      </w:r>
      <w:r w:rsidR="00B03989">
        <w:t>28:1-7)</w:t>
      </w:r>
      <w:r w:rsidR="00785176">
        <w:t xml:space="preserve">, </w:t>
      </w:r>
      <w:r w:rsidR="007238CD">
        <w:t>served there (29:15-30) for a wife (</w:t>
      </w:r>
      <w:r w:rsidR="006C3A1C" w:rsidRPr="006C3A1C">
        <w:t>2</w:t>
      </w:r>
      <w:r w:rsidR="007238CD">
        <w:t>9:21), and kept the flock (30:31) for another wife (</w:t>
      </w:r>
      <w:r w:rsidR="006C3A1C" w:rsidRPr="006C3A1C">
        <w:t>29:28).</w:t>
      </w:r>
      <w:r w:rsidR="006C3A1C">
        <w:t xml:space="preserve"> Thus i</w:t>
      </w:r>
      <w:r w:rsidR="00B03989">
        <w:t xml:space="preserve">n Aram, </w:t>
      </w:r>
      <w:r w:rsidR="00B03989">
        <w:lastRenderedPageBreak/>
        <w:t>Ephraim’s occasional ally</w:t>
      </w:r>
      <w:r w:rsidR="00B03989" w:rsidRPr="00B03989">
        <w:t xml:space="preserve"> in what is now northern Syria</w:t>
      </w:r>
      <w:r w:rsidR="00B03989">
        <w:t>,</w:t>
      </w:r>
      <w:r w:rsidR="005827B7">
        <w:t xml:space="preserve"> Jacob</w:t>
      </w:r>
      <w:r w:rsidR="00781E48">
        <w:t xml:space="preserve"> served Laban for sev</w:t>
      </w:r>
      <w:r w:rsidR="007238CD">
        <w:t>en years for Rachel, found he’</w:t>
      </w:r>
      <w:r w:rsidR="00781E48">
        <w:t>d got Leah</w:t>
      </w:r>
      <w:r w:rsidR="007238CD">
        <w:t>, then</w:t>
      </w:r>
      <w:r w:rsidR="00F91EAD">
        <w:t xml:space="preserve"> kept sheep for </w:t>
      </w:r>
      <w:r w:rsidR="00781E48">
        <w:t>a</w:t>
      </w:r>
      <w:r w:rsidR="00AD712C">
        <w:t xml:space="preserve">nother seven </w:t>
      </w:r>
      <w:r w:rsidR="00B03989">
        <w:t>ye</w:t>
      </w:r>
      <w:r w:rsidR="007238CD">
        <w:t>ars for Rachel. Hosea</w:t>
      </w:r>
      <w:r w:rsidR="00B03989">
        <w:t xml:space="preserve"> make</w:t>
      </w:r>
      <w:r w:rsidR="007238CD">
        <w:t>s no</w:t>
      </w:r>
      <w:r w:rsidR="00B03989">
        <w:t xml:space="preserve"> explicit positive or negative comment, but</w:t>
      </w:r>
      <w:r w:rsidR="00AD712C">
        <w:t xml:space="preserve"> at the be</w:t>
      </w:r>
      <w:r w:rsidR="00B03989">
        <w:t>g</w:t>
      </w:r>
      <w:r w:rsidR="007238CD">
        <w:t>inning of a recollection he would likely</w:t>
      </w:r>
      <w:r w:rsidR="00B03989">
        <w:t xml:space="preserve"> again</w:t>
      </w:r>
      <w:r w:rsidR="00AD712C">
        <w:t xml:space="preserve"> </w:t>
      </w:r>
      <w:r w:rsidR="00B03989">
        <w:t xml:space="preserve">be </w:t>
      </w:r>
      <w:r w:rsidR="00AD712C">
        <w:t>making a positive point: Jacob served and kept</w:t>
      </w:r>
      <w:r w:rsidR="00A17678">
        <w:t xml:space="preserve"> (sheep), and thus got a wife from among his own people rather than from among the Canaanites (Gen. 28:1).</w:t>
      </w:r>
      <w:r w:rsidR="00A17678">
        <w:rPr>
          <w:rStyle w:val="FootnoteReference"/>
        </w:rPr>
        <w:footnoteReference w:id="596"/>
      </w:r>
    </w:p>
    <w:p w:rsidR="00EE2BC3" w:rsidRDefault="00B03989" w:rsidP="00120F56">
      <w:r>
        <w:t>M</w:t>
      </w:r>
      <w:r w:rsidR="00781E48">
        <w:t>ore keeping was involved when Yahweh got Israel out of Egypt</w:t>
      </w:r>
      <w:r w:rsidR="007238CD">
        <w:t xml:space="preserve"> (v. 13</w:t>
      </w:r>
      <w:r w:rsidR="005827B7">
        <w:t xml:space="preserve"> [14]</w:t>
      </w:r>
      <w:r w:rsidR="006C3A1C">
        <w:t>); keeping is the last word in each line.</w:t>
      </w:r>
      <w:r w:rsidR="005C0EBB">
        <w:t xml:space="preserve"> The prophet in the first colon is Moses</w:t>
      </w:r>
      <w:r>
        <w:t xml:space="preserve"> </w:t>
      </w:r>
      <w:r w:rsidRPr="00B03989">
        <w:t>(Deut. 18:15-16)</w:t>
      </w:r>
      <w:r w:rsidR="005827B7">
        <w:t xml:space="preserve">, and </w:t>
      </w:r>
      <w:r w:rsidR="005C0EBB">
        <w:t>the</w:t>
      </w:r>
      <w:r w:rsidR="007238CD">
        <w:t xml:space="preserve"> last colon </w:t>
      </w:r>
      <w:r w:rsidR="005827B7">
        <w:t xml:space="preserve">likely </w:t>
      </w:r>
      <w:r w:rsidR="007238CD">
        <w:t>also refers to him</w:t>
      </w:r>
      <w:r>
        <w:t>.</w:t>
      </w:r>
      <w:r w:rsidR="0094307A">
        <w:t xml:space="preserve"> </w:t>
      </w:r>
      <w:r w:rsidR="005C0EBB">
        <w:t xml:space="preserve">He isn’t called a keeper </w:t>
      </w:r>
      <w:r w:rsidR="0067768F">
        <w:t>in Exodus, but he does shepherd</w:t>
      </w:r>
      <w:r w:rsidR="005C0EBB">
        <w:t xml:space="preserve"> sheep (Exod. </w:t>
      </w:r>
      <w:r w:rsidR="007238CD">
        <w:t>3:1) and</w:t>
      </w:r>
      <w:r w:rsidR="0067768F">
        <w:t xml:space="preserve"> implicitly shepherds Israel (Num. 27:16-17). </w:t>
      </w:r>
      <w:r w:rsidR="00EE2BC3">
        <w:t xml:space="preserve">So “the Lord says, ‘acknowledge what you owe to </w:t>
      </w:r>
      <w:r>
        <w:t xml:space="preserve">me.’” Jacob was your father, notwithstanding </w:t>
      </w:r>
      <w:r w:rsidR="00EE2BC3">
        <w:t>h</w:t>
      </w:r>
      <w:r>
        <w:t>is being</w:t>
      </w:r>
      <w:r w:rsidR="00EE2BC3">
        <w:t xml:space="preserve"> </w:t>
      </w:r>
      <w:r>
        <w:t>just a fugitive and a servant. And y</w:t>
      </w:r>
      <w:r w:rsidR="00EE2BC3">
        <w:t>ou got out of Egypt only because I brought it about.</w:t>
      </w:r>
      <w:r w:rsidR="00EE2BC3">
        <w:rPr>
          <w:rStyle w:val="FootnoteReference"/>
        </w:rPr>
        <w:footnoteReference w:id="597"/>
      </w:r>
    </w:p>
    <w:p w:rsidR="0067768F" w:rsidRDefault="0067768F" w:rsidP="00120F56"/>
    <w:p w:rsidR="0067768F" w:rsidRDefault="0067768F" w:rsidP="00120F56">
      <w:r>
        <w:rPr>
          <w:b/>
        </w:rPr>
        <w:t>H</w:t>
      </w:r>
      <w:r w:rsidR="007A6B6D">
        <w:rPr>
          <w:b/>
        </w:rPr>
        <w:t>osea 12:14</w:t>
      </w:r>
      <w:r w:rsidR="005827B7">
        <w:rPr>
          <w:b/>
        </w:rPr>
        <w:t xml:space="preserve"> [15]</w:t>
      </w:r>
      <w:r>
        <w:rPr>
          <w:b/>
        </w:rPr>
        <w:t>—13:3.</w:t>
      </w:r>
      <w:r w:rsidR="00B03989">
        <w:t xml:space="preserve"> </w:t>
      </w:r>
      <w:r>
        <w:t>P</w:t>
      </w:r>
      <w:r w:rsidR="00BA5C2D">
        <w:t>redictably, however, things</w:t>
      </w:r>
      <w:r>
        <w:t xml:space="preserve"> </w:t>
      </w:r>
      <w:r w:rsidR="00F409E1">
        <w:t xml:space="preserve">now </w:t>
      </w:r>
      <w:r>
        <w:t>go sout</w:t>
      </w:r>
      <w:r w:rsidR="00F409E1">
        <w:t>h</w:t>
      </w:r>
      <w:r w:rsidR="00BA5C2D">
        <w:t>.</w:t>
      </w:r>
      <w:r w:rsidR="00B57169">
        <w:t xml:space="preserve"> Provoking Yahweh </w:t>
      </w:r>
      <w:r w:rsidR="00B03989">
        <w:t xml:space="preserve">to anger </w:t>
      </w:r>
      <w:r w:rsidR="005827B7">
        <w:t xml:space="preserve">(v. 14 [15] </w:t>
      </w:r>
      <w:r w:rsidR="00B03989">
        <w:t xml:space="preserve">is a common characteristic </w:t>
      </w:r>
      <w:r w:rsidR="00922DF5">
        <w:t xml:space="preserve">of </w:t>
      </w:r>
      <w:r w:rsidR="00B03989">
        <w:t>Israel</w:t>
      </w:r>
      <w:r w:rsidR="00B57169">
        <w:t xml:space="preserve">, especially in </w:t>
      </w:r>
      <w:r w:rsidR="00F409E1">
        <w:t xml:space="preserve">Deuteronomy and </w:t>
      </w:r>
      <w:r w:rsidR="00B57169">
        <w:t xml:space="preserve">in </w:t>
      </w:r>
      <w:r w:rsidR="00B03989">
        <w:t>1 and 2 Kings, through</w:t>
      </w:r>
      <w:r w:rsidR="00B57169">
        <w:t xml:space="preserve"> wo</w:t>
      </w:r>
      <w:r w:rsidR="00922DF5">
        <w:t xml:space="preserve">rshiping other deities and </w:t>
      </w:r>
      <w:r w:rsidR="00B57169">
        <w:t>worshiping Yahweh in inappropriate ways</w:t>
      </w:r>
      <w:r w:rsidR="007238CD">
        <w:t>. It issues</w:t>
      </w:r>
      <w:r w:rsidR="00922DF5">
        <w:t xml:space="preserve"> from</w:t>
      </w:r>
      <w:r w:rsidR="007238CD">
        <w:t xml:space="preserve"> making </w:t>
      </w:r>
      <w:r w:rsidR="00F409E1">
        <w:t>the gold bul</w:t>
      </w:r>
      <w:r w:rsidR="0037691B">
        <w:t>lock</w:t>
      </w:r>
      <w:r w:rsidR="00F409E1">
        <w:t xml:space="preserve"> at S</w:t>
      </w:r>
      <w:r w:rsidR="00922DF5">
        <w:t xml:space="preserve">inai (Deut.9:18; cf. 32:21), </w:t>
      </w:r>
      <w:r w:rsidR="00F409E1">
        <w:t xml:space="preserve">the analogous actions of </w:t>
      </w:r>
      <w:r w:rsidR="00B57169">
        <w:t>Jeroboam I</w:t>
      </w:r>
      <w:r w:rsidR="00922DF5">
        <w:t xml:space="preserve"> (1 Kings 14:9, 15), </w:t>
      </w:r>
      <w:r w:rsidR="00F409E1">
        <w:t>events in Ephraim in Hosea’s own time (2 Kings 17:11, 17</w:t>
      </w:r>
      <w:r w:rsidR="00015DE2">
        <w:t>)</w:t>
      </w:r>
      <w:r w:rsidR="00922DF5">
        <w:t xml:space="preserve">, and </w:t>
      </w:r>
      <w:r w:rsidR="00F409E1">
        <w:t>subsequent events in Judah (</w:t>
      </w:r>
      <w:r w:rsidR="00920A28">
        <w:t>2 Kings 23:26)</w:t>
      </w:r>
      <w:r w:rsidR="00015DE2">
        <w:t>.</w:t>
      </w:r>
      <w:r w:rsidR="007238CD">
        <w:t xml:space="preserve"> “Provocation” can describe</w:t>
      </w:r>
      <w:r w:rsidR="00922DF5">
        <w:t xml:space="preserve"> </w:t>
      </w:r>
      <w:r w:rsidR="00F409E1">
        <w:t>the entire period from Moses’ day to</w:t>
      </w:r>
      <w:r w:rsidR="00920A28">
        <w:t xml:space="preserve"> the end of Ephraim an</w:t>
      </w:r>
      <w:r w:rsidR="00194EF1">
        <w:t>d afterwards. But</w:t>
      </w:r>
      <w:r w:rsidR="00920A28">
        <w:t xml:space="preserve"> </w:t>
      </w:r>
      <w:r w:rsidR="00C82DDE">
        <w:t xml:space="preserve">only here is bitterness (implicitly) attributed to Yahweh. It’s usually </w:t>
      </w:r>
      <w:r w:rsidR="007238CD">
        <w:t xml:space="preserve">a human emotion, and not a </w:t>
      </w:r>
      <w:r w:rsidR="00C82DDE">
        <w:t>nice one. It indicates the strength of the anger that</w:t>
      </w:r>
      <w:r w:rsidR="00922DF5">
        <w:t xml:space="preserve"> Ephraim managed to provoke. Further, Ephraim </w:t>
      </w:r>
      <w:r w:rsidR="004167B9">
        <w:t>will let its bloodshed rest on it</w:t>
      </w:r>
      <w:r w:rsidR="00C82DDE">
        <w:t>self. The expression suggest</w:t>
      </w:r>
      <w:r w:rsidR="004167B9">
        <w:t>s</w:t>
      </w:r>
      <w:r w:rsidR="00C82DDE">
        <w:t xml:space="preserve"> a certain</w:t>
      </w:r>
      <w:r w:rsidR="004167B9">
        <w:t xml:space="preserve"> recklessness or heedlessness. It has kept indulging in the bloodshed involved in its political violence (4:2) and </w:t>
      </w:r>
      <w:r w:rsidR="00194EF1">
        <w:t xml:space="preserve">it </w:t>
      </w:r>
      <w:r w:rsidR="007238CD">
        <w:t>has simply not worried</w:t>
      </w:r>
      <w:r w:rsidR="004167B9">
        <w:t>. It hasn</w:t>
      </w:r>
      <w:r w:rsidR="007238CD">
        <w:t>’t considered</w:t>
      </w:r>
      <w:r w:rsidR="00922DF5">
        <w:t xml:space="preserve"> how</w:t>
      </w:r>
      <w:r w:rsidR="004167B9">
        <w:t xml:space="preserve"> there must b</w:t>
      </w:r>
      <w:r w:rsidR="007238CD">
        <w:t xml:space="preserve">e consequences, </w:t>
      </w:r>
      <w:r w:rsidR="00922DF5">
        <w:t>how</w:t>
      </w:r>
      <w:r w:rsidR="004167B9">
        <w:t xml:space="preserve"> blo</w:t>
      </w:r>
      <w:r w:rsidR="00922DF5">
        <w:t>od cries out from the ground. Nor has i</w:t>
      </w:r>
      <w:r w:rsidR="007238CD">
        <w:t>t considered</w:t>
      </w:r>
      <w:r w:rsidR="00922DF5">
        <w:t xml:space="preserve"> how its</w:t>
      </w:r>
      <w:r w:rsidR="004167B9">
        <w:t xml:space="preserve"> Lord makes things rebound on people. </w:t>
      </w:r>
      <w:r w:rsidR="000D6C22">
        <w:t xml:space="preserve">Reviling </w:t>
      </w:r>
      <w:r w:rsidR="007238CD">
        <w:t xml:space="preserve">complements bloodshed as the other aspect to </w:t>
      </w:r>
      <w:r w:rsidR="000D6C22">
        <w:t>Ephr</w:t>
      </w:r>
      <w:r w:rsidR="007238CD">
        <w:t xml:space="preserve">aim’s wrongdoing. Alongside </w:t>
      </w:r>
      <w:r w:rsidR="000D6C22">
        <w:t>wrongdoin</w:t>
      </w:r>
      <w:r w:rsidR="007238CD">
        <w:t xml:space="preserve">g in human relationships is </w:t>
      </w:r>
      <w:r w:rsidR="000D6C22">
        <w:t>wrongdoing in relationships with God, in cou</w:t>
      </w:r>
      <w:r w:rsidR="00922DF5">
        <w:t>rting the Masters rather than it</w:t>
      </w:r>
      <w:r w:rsidR="000D6C22">
        <w:t>s one Lord and Master. “His Lord” is the last word in the line, and in retrospect the audience could ask w</w:t>
      </w:r>
      <w:r w:rsidR="005827B7">
        <w:t>hether it is the subject of “will let</w:t>
      </w:r>
      <w:r w:rsidR="000D6C22">
        <w:t xml:space="preserve"> rest” as well as the subject of “will turn back.” Either way, the verbs imply that wrongdoings have natural consequences but also that God is involved in that process.</w:t>
      </w:r>
    </w:p>
    <w:p w:rsidR="000D6C22" w:rsidRDefault="006238C6" w:rsidP="00120F56">
      <w:r>
        <w:t xml:space="preserve">Hosea </w:t>
      </w:r>
      <w:r w:rsidR="00731002">
        <w:t>spell</w:t>
      </w:r>
      <w:r>
        <w:t>s</w:t>
      </w:r>
      <w:r w:rsidR="00731002">
        <w:t xml:space="preserve"> out the point (13:1</w:t>
      </w:r>
      <w:r w:rsidR="00B56474">
        <w:t>-2aα</w:t>
      </w:r>
      <w:r w:rsidR="00922DF5">
        <w:t xml:space="preserve">). </w:t>
      </w:r>
      <w:r>
        <w:t>Like “trembling” (</w:t>
      </w:r>
      <w:r w:rsidRPr="006238C6">
        <w:t>11:10</w:t>
      </w:r>
      <w:r>
        <w:t>),</w:t>
      </w:r>
      <w:r w:rsidRPr="006238C6">
        <w:t xml:space="preserve"> </w:t>
      </w:r>
      <w:r>
        <w:t xml:space="preserve">“quivering” </w:t>
      </w:r>
      <w:r w:rsidR="00494963">
        <w:t>could</w:t>
      </w:r>
      <w:r w:rsidR="00731002">
        <w:t xml:space="preserve"> su</w:t>
      </w:r>
      <w:r w:rsidR="00922DF5">
        <w:t>ggest a positive, awed stance</w:t>
      </w:r>
      <w:r w:rsidR="00731002">
        <w:t xml:space="preserve"> or a negative, frightened one. </w:t>
      </w:r>
      <w:r w:rsidR="00D90BDD">
        <w:t xml:space="preserve">The parallel with lifting the voice in worship (cf. </w:t>
      </w:r>
      <w:r>
        <w:t>Isa. 24:14) points to the former</w:t>
      </w:r>
      <w:r w:rsidR="00494963">
        <w:t xml:space="preserve">. </w:t>
      </w:r>
      <w:r w:rsidR="00D90BDD">
        <w:t>Quiver</w:t>
      </w:r>
      <w:r w:rsidR="00291ABF">
        <w:t xml:space="preserve">ing and lifting </w:t>
      </w:r>
      <w:r>
        <w:t>up are fine, but when they’</w:t>
      </w:r>
      <w:r w:rsidR="00291ABF">
        <w:t>re directed</w:t>
      </w:r>
      <w:r w:rsidR="00D90BDD">
        <w:t xml:space="preserve"> </w:t>
      </w:r>
      <w:r w:rsidR="009B42E1">
        <w:t xml:space="preserve">towards </w:t>
      </w:r>
      <w:r w:rsidR="00D90BDD">
        <w:t>t</w:t>
      </w:r>
      <w:r>
        <w:t>he Master, not Ephraim’s Lord, they’</w:t>
      </w:r>
      <w:r w:rsidR="005827B7">
        <w:t>re suicidal</w:t>
      </w:r>
      <w:r w:rsidR="00D90BDD">
        <w:t>. They carry the death penalty. They</w:t>
      </w:r>
      <w:r w:rsidR="00291ABF">
        <w:t xml:space="preserve"> did so at </w:t>
      </w:r>
      <w:r w:rsidR="00291ABF" w:rsidRPr="00291ABF">
        <w:t>Master of Pe’or</w:t>
      </w:r>
      <w:r w:rsidR="00291ABF">
        <w:t xml:space="preserve"> (9:10)</w:t>
      </w:r>
      <w:r w:rsidR="00C518F3">
        <w:t xml:space="preserve">, to which Hosea apparently refers in saying that Israel </w:t>
      </w:r>
      <w:r w:rsidR="00C518F3" w:rsidRPr="00C518F3">
        <w:t>incurred guilt through the Master</w:t>
      </w:r>
      <w:r w:rsidR="00291ABF">
        <w:t>.</w:t>
      </w:r>
      <w:r w:rsidR="00C518F3">
        <w:rPr>
          <w:rStyle w:val="FootnoteReference"/>
        </w:rPr>
        <w:footnoteReference w:id="598"/>
      </w:r>
      <w:r w:rsidR="00291ABF">
        <w:t xml:space="preserve"> The entire nat</w:t>
      </w:r>
      <w:r>
        <w:t xml:space="preserve">ion didn’t die, but 24,000 did, </w:t>
      </w:r>
      <w:r w:rsidR="002E7BFC">
        <w:t>and death will be “the major theme of the chapter</w:t>
      </w:r>
      <w:r>
        <w:t>.”</w:t>
      </w:r>
      <w:r w:rsidR="002E7BFC">
        <w:rPr>
          <w:rStyle w:val="FootnoteReference"/>
        </w:rPr>
        <w:footnoteReference w:id="599"/>
      </w:r>
      <w:r w:rsidR="002E7BFC">
        <w:t xml:space="preserve"> </w:t>
      </w:r>
      <w:r>
        <w:t>P</w:t>
      </w:r>
      <w:r w:rsidR="00D90BDD">
        <w:t>eople</w:t>
      </w:r>
      <w:r w:rsidR="00B56474">
        <w:t xml:space="preserve"> </w:t>
      </w:r>
      <w:r>
        <w:t>have</w:t>
      </w:r>
      <w:r w:rsidR="00D90BDD">
        <w:t>n’t learn the lesson. They’ve continued in</w:t>
      </w:r>
      <w:r w:rsidR="00B56474">
        <w:t xml:space="preserve"> the same kind of wrong</w:t>
      </w:r>
      <w:r>
        <w:t>doing</w:t>
      </w:r>
      <w:r w:rsidR="00B56474">
        <w:t>.</w:t>
      </w:r>
    </w:p>
    <w:p w:rsidR="00B56474" w:rsidRDefault="00B56474" w:rsidP="00120F56">
      <w:r>
        <w:t>The subsequent talk of making images (v. 2</w:t>
      </w:r>
      <w:r w:rsidR="006238C6">
        <w:t>aβγδb</w:t>
      </w:r>
      <w:r>
        <w:t>) will recall both the activity at Sinai and the innovations of Jer</w:t>
      </w:r>
      <w:r w:rsidR="006238C6">
        <w:t>oboam I, which are</w:t>
      </w:r>
      <w:r w:rsidR="00D90BDD">
        <w:t xml:space="preserve"> one </w:t>
      </w:r>
      <w:r>
        <w:t xml:space="preserve">in the </w:t>
      </w:r>
      <w:r w:rsidR="00725349">
        <w:t>First T</w:t>
      </w:r>
      <w:r>
        <w:t>estament’s mind. Both Exodus 32 and 1 Kings 14</w:t>
      </w:r>
      <w:r w:rsidR="00D90BDD">
        <w:t xml:space="preserve"> talk about cast images, </w:t>
      </w:r>
      <w:r>
        <w:t>made by melting and shaping metal (see also 2 Kings 17:16, in Hosea’s time).</w:t>
      </w:r>
      <w:r w:rsidR="003C0EBE">
        <w:t xml:space="preserve"> They</w:t>
      </w:r>
      <w:r>
        <w:t xml:space="preserve"> talk in terms of gold though not of silver, </w:t>
      </w:r>
      <w:r w:rsidR="008A3EDE">
        <w:t>but Hosea has referred to both in this connection</w:t>
      </w:r>
      <w:r w:rsidR="006238C6">
        <w:t xml:space="preserve"> </w:t>
      </w:r>
      <w:r w:rsidR="006238C6" w:rsidRPr="006238C6">
        <w:t>(2:8 [10]; 8:4)</w:t>
      </w:r>
      <w:r w:rsidR="00D90BDD">
        <w:t>. The way</w:t>
      </w:r>
      <w:r w:rsidR="003C0EBE">
        <w:t xml:space="preserve"> the objects were made carries </w:t>
      </w:r>
      <w:r w:rsidR="00F02081">
        <w:t xml:space="preserve">a double </w:t>
      </w:r>
      <w:r w:rsidR="003C0EBE">
        <w:t>irony</w:t>
      </w:r>
      <w:r w:rsidR="006238C6">
        <w:t xml:space="preserve">. </w:t>
      </w:r>
      <w:r w:rsidR="009D7A8E">
        <w:t>They are</w:t>
      </w:r>
      <w:r w:rsidR="00D90BDD">
        <w:t xml:space="preserve"> made in accordance with people’s</w:t>
      </w:r>
      <w:r w:rsidR="00F02081">
        <w:t xml:space="preserve"> (own) insight and</w:t>
      </w:r>
      <w:r w:rsidR="005827B7">
        <w:t>/or</w:t>
      </w:r>
      <w:r w:rsidR="009D7A8E">
        <w:t xml:space="preserve"> </w:t>
      </w:r>
      <w:r w:rsidR="00F02081">
        <w:t>with their (ow</w:t>
      </w:r>
      <w:r w:rsidR="00D90BDD">
        <w:t>n) pattern</w:t>
      </w:r>
      <w:r w:rsidR="005827B7">
        <w:t xml:space="preserve"> (see the note)</w:t>
      </w:r>
      <w:r w:rsidR="00D90BDD">
        <w:t>,</w:t>
      </w:r>
      <w:r w:rsidR="005827B7">
        <w:t xml:space="preserve"> which contrast</w:t>
      </w:r>
      <w:r w:rsidR="00D90BDD">
        <w:t xml:space="preserve"> with the</w:t>
      </w:r>
      <w:r w:rsidR="003C0EBE">
        <w:t xml:space="preserve"> </w:t>
      </w:r>
      <w:r w:rsidR="00D90BDD">
        <w:t xml:space="preserve">divine </w:t>
      </w:r>
      <w:r w:rsidR="003C0EBE">
        <w:t xml:space="preserve">insight </w:t>
      </w:r>
      <w:r w:rsidR="00D90BDD">
        <w:t xml:space="preserve">and divine pattern </w:t>
      </w:r>
      <w:r w:rsidR="009D7A8E">
        <w:t xml:space="preserve">involved in making </w:t>
      </w:r>
      <w:r w:rsidR="003C0EBE">
        <w:t>the wilderness dwelling</w:t>
      </w:r>
      <w:r w:rsidR="009D7A8E">
        <w:t>,</w:t>
      </w:r>
      <w:r w:rsidR="003C0EBE">
        <w:t xml:space="preserve"> but </w:t>
      </w:r>
      <w:r w:rsidR="00A65844">
        <w:t xml:space="preserve">not </w:t>
      </w:r>
      <w:r w:rsidR="003C0EBE">
        <w:t xml:space="preserve">of the </w:t>
      </w:r>
      <w:r w:rsidR="00757CA3">
        <w:t xml:space="preserve">Sinai </w:t>
      </w:r>
      <w:r w:rsidR="003C0EBE">
        <w:t xml:space="preserve">bullock (Exod. </w:t>
      </w:r>
      <w:r w:rsidR="00F02081">
        <w:lastRenderedPageBreak/>
        <w:t xml:space="preserve">25:9, 40; </w:t>
      </w:r>
      <w:r w:rsidR="003C0EBE">
        <w:t>31:</w:t>
      </w:r>
      <w:r w:rsidR="00BC23F9">
        <w:t>3; 35:31; 36:1).</w:t>
      </w:r>
      <w:r w:rsidR="00152391">
        <w:t xml:space="preserve"> The ironic link continues with the reference to </w:t>
      </w:r>
      <w:r w:rsidR="001A191A">
        <w:t>“</w:t>
      </w:r>
      <w:r w:rsidR="00152391">
        <w:t xml:space="preserve">the work of </w:t>
      </w:r>
      <w:r w:rsidR="001A191A">
        <w:t>craftsme</w:t>
      </w:r>
      <w:r w:rsidR="00152391">
        <w:t>n</w:t>
      </w:r>
      <w:r w:rsidR="001A191A">
        <w:t>,” which also applies to</w:t>
      </w:r>
      <w:r w:rsidR="00D90BDD">
        <w:t xml:space="preserve"> the dwelling </w:t>
      </w:r>
      <w:r w:rsidR="00152391">
        <w:t>(</w:t>
      </w:r>
      <w:r w:rsidR="00D90BDD">
        <w:t>e.g.,</w:t>
      </w:r>
      <w:r w:rsidR="00A65844">
        <w:t xml:space="preserve"> </w:t>
      </w:r>
      <w:r w:rsidR="00D90BDD">
        <w:t>Exod. 28:11</w:t>
      </w:r>
      <w:r w:rsidR="001A191A">
        <w:t>). Ephraimites call</w:t>
      </w:r>
      <w:r w:rsidR="00A65844">
        <w:t xml:space="preserve"> t</w:t>
      </w:r>
      <w:r w:rsidR="001A191A">
        <w:t>heir work the work of craftsmen,</w:t>
      </w:r>
      <w:r w:rsidR="00A65844">
        <w:t xml:space="preserve"> but really it isn’t.</w:t>
      </w:r>
      <w:r w:rsidR="002D2501">
        <w:t xml:space="preserve"> The further sarcastic critique notes that offering sacrifice (which is fine) is associated with kissing the ca</w:t>
      </w:r>
      <w:r w:rsidR="001A191A">
        <w:t>st images of bullocks (which isn’</w:t>
      </w:r>
      <w:r w:rsidR="002D2501">
        <w:t>t)</w:t>
      </w:r>
      <w:r w:rsidR="00AE3D9B">
        <w:t>; compare the kissing of the Master in 1 Kings 19:18</w:t>
      </w:r>
      <w:r w:rsidR="002D2501">
        <w:t>.</w:t>
      </w:r>
      <w:r w:rsidR="00883672">
        <w:t xml:space="preserve"> Normally people kiss other people and sacrifice bullocks; the Ephraimites do it the other way around.</w:t>
      </w:r>
      <w:r w:rsidR="00883672">
        <w:rPr>
          <w:rStyle w:val="FootnoteReference"/>
        </w:rPr>
        <w:footnoteReference w:id="600"/>
      </w:r>
    </w:p>
    <w:p w:rsidR="002D2501" w:rsidRDefault="00B97270" w:rsidP="00120F56">
      <w:r>
        <w:t xml:space="preserve">Irony continues in the account of these worshipers’ </w:t>
      </w:r>
      <w:r w:rsidR="009D7A8E">
        <w:t>fate (v. 3). It first recycles</w:t>
      </w:r>
      <w:r>
        <w:t xml:space="preserve"> words from 6:4</w:t>
      </w:r>
      <w:r w:rsidR="001A191A">
        <w:t>, where they describe</w:t>
      </w:r>
      <w:r w:rsidR="00FE48DD">
        <w:t xml:space="preserve"> wor</w:t>
      </w:r>
      <w:r w:rsidR="009D7A8E">
        <w:t>shipers whose commitment shouldn’</w:t>
      </w:r>
      <w:r w:rsidR="00FE48DD">
        <w:t>t have these characteristics; here, they describe the</w:t>
      </w:r>
      <w:r w:rsidR="001A191A">
        <w:t xml:space="preserve"> same worshipers who </w:t>
      </w:r>
      <w:r w:rsidR="00FE48DD">
        <w:t>will have them</w:t>
      </w:r>
      <w:r w:rsidR="001A191A">
        <w:t>, in another sense</w:t>
      </w:r>
      <w:r w:rsidR="00FE48DD">
        <w:t>. The parallel line reexpresses the point in two more images. The chaff from the threshing floor blows clean away (s</w:t>
      </w:r>
      <w:r w:rsidR="009D7A8E">
        <w:t xml:space="preserve">ee the </w:t>
      </w:r>
      <w:r w:rsidR="00F14F90">
        <w:t>comments</w:t>
      </w:r>
      <w:r w:rsidR="009D7A8E">
        <w:t xml:space="preserve"> on 9:1)—</w:t>
      </w:r>
      <w:r w:rsidR="00FE48DD">
        <w:t>good news in its</w:t>
      </w:r>
      <w:r w:rsidR="001A191A">
        <w:t xml:space="preserve"> proper</w:t>
      </w:r>
      <w:r w:rsidR="00FE48DD">
        <w:t xml:space="preserve"> context, but not here. The same applies to the escape </w:t>
      </w:r>
      <w:r w:rsidR="001A191A">
        <w:t>(</w:t>
      </w:r>
      <w:r w:rsidR="00A24A8C">
        <w:t>through an opening high in the wall</w:t>
      </w:r>
      <w:r w:rsidR="001A191A">
        <w:t>)</w:t>
      </w:r>
      <w:r w:rsidR="00A24A8C">
        <w:t xml:space="preserve"> </w:t>
      </w:r>
      <w:r w:rsidR="00FE48DD">
        <w:t xml:space="preserve">of the smoke made by the </w:t>
      </w:r>
      <w:r w:rsidR="00A24A8C">
        <w:t>fire in the center of a</w:t>
      </w:r>
      <w:r w:rsidR="00FE48DD">
        <w:t xml:space="preserve"> house.</w:t>
      </w:r>
    </w:p>
    <w:p w:rsidR="00A24A8C" w:rsidRDefault="00A24A8C" w:rsidP="00120F56"/>
    <w:p w:rsidR="005D13FA" w:rsidRDefault="00A24A8C" w:rsidP="00120F56">
      <w:r>
        <w:rPr>
          <w:b/>
        </w:rPr>
        <w:t>Hosea 13:4-</w:t>
      </w:r>
      <w:r w:rsidR="00635E38">
        <w:rPr>
          <w:b/>
        </w:rPr>
        <w:t>8</w:t>
      </w:r>
      <w:r>
        <w:rPr>
          <w:b/>
        </w:rPr>
        <w:t xml:space="preserve">. </w:t>
      </w:r>
      <w:r>
        <w:t xml:space="preserve">Yahweh restates the </w:t>
      </w:r>
      <w:r w:rsidR="00A46196">
        <w:t>point by reasserting</w:t>
      </w:r>
      <w:r>
        <w:t xml:space="preserve"> who he is, wh</w:t>
      </w:r>
      <w:r w:rsidR="007A6B6D">
        <w:t>ich is not how 12:14</w:t>
      </w:r>
      <w:r w:rsidR="00757CA3">
        <w:t xml:space="preserve"> [15]</w:t>
      </w:r>
      <w:r>
        <w:t>—13:3 has</w:t>
      </w:r>
      <w:r w:rsidR="001A191A">
        <w:t xml:space="preserve"> described their treating him. H</w:t>
      </w:r>
      <w:r>
        <w:t>e is also restating the point from 11:1</w:t>
      </w:r>
      <w:r w:rsidR="005C0990">
        <w:t xml:space="preserve"> and 12:9 [10]</w:t>
      </w:r>
      <w:r w:rsidR="001A191A">
        <w:t xml:space="preserve">. </w:t>
      </w:r>
    </w:p>
    <w:p w:rsidR="00A24A8C" w:rsidRDefault="001A191A" w:rsidP="00120F56">
      <w:r>
        <w:t>H</w:t>
      </w:r>
      <w:r w:rsidR="00A24A8C">
        <w:t>is being Yahw</w:t>
      </w:r>
      <w:r>
        <w:t xml:space="preserve">eh their God since Egypt </w:t>
      </w:r>
      <w:r w:rsidR="005D13FA">
        <w:t xml:space="preserve">(v. 4) </w:t>
      </w:r>
      <w:r>
        <w:t>means</w:t>
      </w:r>
      <w:r w:rsidR="00A24A8C">
        <w:t xml:space="preserve"> they should acknowledge only him</w:t>
      </w:r>
      <w:r w:rsidR="00FD040F">
        <w:t xml:space="preserve"> (cf. 2:8, 20 [10, 22]</w:t>
      </w:r>
      <w:r w:rsidR="00A24A8C">
        <w:t>. More concretely, he has always been their deliverer</w:t>
      </w:r>
      <w:r>
        <w:t xml:space="preserve"> (cf. 1:7). T</w:t>
      </w:r>
      <w:r w:rsidR="00A24A8C">
        <w:t xml:space="preserve">he First Testament often applies </w:t>
      </w:r>
      <w:r>
        <w:t xml:space="preserve">the term </w:t>
      </w:r>
      <w:r w:rsidR="00757CA3">
        <w:t xml:space="preserve">“deliverance” to Israel’s escape from Egypt; </w:t>
      </w:r>
      <w:r w:rsidR="00A46196">
        <w:t xml:space="preserve">the colon </w:t>
      </w:r>
      <w:r w:rsidR="00FD040F">
        <w:t>appears in almost the sa</w:t>
      </w:r>
      <w:r w:rsidR="00757CA3">
        <w:t>me words in Isaiah 43:11</w:t>
      </w:r>
      <w:r w:rsidR="00A24A8C">
        <w:t xml:space="preserve">. </w:t>
      </w:r>
      <w:r w:rsidR="00757CA3">
        <w:t>Part of the point here is</w:t>
      </w:r>
      <w:r w:rsidR="00642F33">
        <w:t xml:space="preserve"> Ephraim’s continuing inclination to acknowledge the Master and/or El alongside Yahweh.</w:t>
      </w:r>
      <w:r w:rsidR="00642F33">
        <w:rPr>
          <w:rStyle w:val="FootnoteReference"/>
        </w:rPr>
        <w:footnoteReference w:id="601"/>
      </w:r>
    </w:p>
    <w:p w:rsidR="00A46196" w:rsidRDefault="00A46196" w:rsidP="00120F56">
      <w:r>
        <w:t xml:space="preserve">Part of the rationale for </w:t>
      </w:r>
      <w:r w:rsidR="00FD040F">
        <w:t xml:space="preserve">acknowledging Yahweh is that </w:t>
      </w:r>
      <w:r w:rsidR="00891D11" w:rsidRPr="00891D11">
        <w:t>Yahweh acknowledged them</w:t>
      </w:r>
      <w:r>
        <w:t xml:space="preserve"> (v. 5). T</w:t>
      </w:r>
      <w:r w:rsidR="00EE2E51">
        <w:t>he verb</w:t>
      </w:r>
      <w:r w:rsidR="00EE2E51" w:rsidRPr="00EE2E51">
        <w:t xml:space="preserve"> </w:t>
      </w:r>
      <w:r>
        <w:t>can work</w:t>
      </w:r>
      <w:r w:rsidR="00EE2E51" w:rsidRPr="00EE2E51">
        <w:t xml:space="preserve"> b</w:t>
      </w:r>
      <w:r>
        <w:t xml:space="preserve">oth ways </w:t>
      </w:r>
      <w:r w:rsidR="00EE2E51" w:rsidRPr="00EE2E51">
        <w:t>in Hosea</w:t>
      </w:r>
      <w:r w:rsidR="00EE2E51">
        <w:t xml:space="preserve"> </w:t>
      </w:r>
      <w:r w:rsidR="00EE2E51" w:rsidRPr="00EE2E51">
        <w:t>(2:8, 20 [10, 22</w:t>
      </w:r>
      <w:r>
        <w:t>]; 5:3-4; 6:3; 8:2; 9:7; 11:3); i</w:t>
      </w:r>
      <w:r w:rsidR="00EE2E51">
        <w:t>t</w:t>
      </w:r>
      <w:r w:rsidR="00891D11">
        <w:t xml:space="preserve"> appears</w:t>
      </w:r>
      <w:r w:rsidR="00FD040F">
        <w:t xml:space="preserve"> elsewhere </w:t>
      </w:r>
      <w:r w:rsidR="00891D11">
        <w:t xml:space="preserve">in a sense </w:t>
      </w:r>
      <w:r>
        <w:t>overlapping</w:t>
      </w:r>
      <w:r w:rsidR="00FD040F">
        <w:t xml:space="preserve"> wi</w:t>
      </w:r>
      <w:r w:rsidR="00891D11">
        <w:t xml:space="preserve">th </w:t>
      </w:r>
      <w:r w:rsidR="00EE2E51">
        <w:t>“</w:t>
      </w:r>
      <w:r w:rsidR="00891D11">
        <w:t>care</w:t>
      </w:r>
      <w:r w:rsidR="00FD040F">
        <w:t xml:space="preserve"> for</w:t>
      </w:r>
      <w:r w:rsidR="00EE2E51">
        <w:t>”</w:t>
      </w:r>
      <w:r w:rsidR="00FD040F">
        <w:t xml:space="preserve"> and </w:t>
      </w:r>
      <w:r w:rsidR="00EE2E51">
        <w:t>“</w:t>
      </w:r>
      <w:r w:rsidR="00FD040F">
        <w:t>choose</w:t>
      </w:r>
      <w:r w:rsidR="00891D11">
        <w:t>,</w:t>
      </w:r>
      <w:r w:rsidR="00EE2E51">
        <w:t>”</w:t>
      </w:r>
      <w:r w:rsidR="00891D11">
        <w:t xml:space="preserve"> as here</w:t>
      </w:r>
      <w:r w:rsidR="00FD040F">
        <w:t xml:space="preserve"> (e.g., Amos 3:2)</w:t>
      </w:r>
      <w:r w:rsidR="001A191A">
        <w:t xml:space="preserve">. </w:t>
      </w:r>
      <w:r w:rsidR="00EE2E51">
        <w:t>Ephraim</w:t>
      </w:r>
      <w:r w:rsidR="00891D11">
        <w:t xml:space="preserve"> need</w:t>
      </w:r>
      <w:r>
        <w:t>ed Yahweh</w:t>
      </w:r>
      <w:r w:rsidR="00EE2E51">
        <w:t xml:space="preserve"> to acknowledge it in the sense of looking after it on the</w:t>
      </w:r>
      <w:r w:rsidR="00EE2E51" w:rsidRPr="00EE2E51">
        <w:t xml:space="preserve"> way through the wilderness</w:t>
      </w:r>
      <w:r w:rsidR="00EE2E51">
        <w:t>,</w:t>
      </w:r>
      <w:r w:rsidR="00EE2E51" w:rsidRPr="00EE2E51">
        <w:t xml:space="preserve"> </w:t>
      </w:r>
      <w:r w:rsidR="00891D11">
        <w:t>gi</w:t>
      </w:r>
      <w:r w:rsidR="00EE2E51">
        <w:t xml:space="preserve">ven the conditions there. </w:t>
      </w:r>
    </w:p>
    <w:p w:rsidR="00FD040F" w:rsidRDefault="00EE2E51" w:rsidP="00120F56">
      <w:r>
        <w:t>And Yahweh</w:t>
      </w:r>
      <w:r w:rsidR="00891D11">
        <w:t xml:space="preserve"> did so, quite </w:t>
      </w:r>
      <w:r w:rsidR="00C50BFB">
        <w:t>extravagantly</w:t>
      </w:r>
      <w:r w:rsidR="00635E38">
        <w:t xml:space="preserve"> (v. 6)</w:t>
      </w:r>
      <w:r w:rsidR="00C50BFB">
        <w:t xml:space="preserve">, so that they were full (Exod. 16:8, 12). But being full </w:t>
      </w:r>
      <w:r>
        <w:t>can lead</w:t>
      </w:r>
      <w:r w:rsidR="00C50BFB">
        <w:t xml:space="preserve"> to </w:t>
      </w:r>
      <w:r w:rsidR="00F618F6">
        <w:t xml:space="preserve">elation and thus to </w:t>
      </w:r>
      <w:r w:rsidR="007959B2">
        <w:t xml:space="preserve">disregarding God or </w:t>
      </w:r>
      <w:r w:rsidR="00F618F6">
        <w:t>putting God out of mind</w:t>
      </w:r>
      <w:r w:rsidR="00A46196">
        <w:t xml:space="preserve"> (Deut.</w:t>
      </w:r>
      <w:r w:rsidR="00A46196" w:rsidRPr="00A46196">
        <w:t xml:space="preserve"> </w:t>
      </w:r>
      <w:r w:rsidR="00A46196">
        <w:t>8:11</w:t>
      </w:r>
      <w:r w:rsidR="00A46196" w:rsidRPr="00A46196">
        <w:t>-14</w:t>
      </w:r>
      <w:r w:rsidR="00A46196">
        <w:t>). I</w:t>
      </w:r>
      <w:r w:rsidR="00757CA3">
        <w:t>t’</w:t>
      </w:r>
      <w:r w:rsidR="00F618F6">
        <w:t>s what happened</w:t>
      </w:r>
      <w:r w:rsidR="005C0990">
        <w:t xml:space="preserve"> (cf. </w:t>
      </w:r>
      <w:r w:rsidR="00A46196">
        <w:t xml:space="preserve">Hos. </w:t>
      </w:r>
      <w:r w:rsidR="007959B2">
        <w:t>2:13 [15])</w:t>
      </w:r>
      <w:r w:rsidR="00A46196">
        <w:t xml:space="preserve">. </w:t>
      </w:r>
      <w:r w:rsidR="004818FA">
        <w:t>“Luxurious living is… risky and difficult to manage, and is, as it were, a slippery path to apostasy from God.”</w:t>
      </w:r>
      <w:r w:rsidR="004818FA">
        <w:rPr>
          <w:rStyle w:val="FootnoteReference"/>
        </w:rPr>
        <w:footnoteReference w:id="602"/>
      </w:r>
      <w:r w:rsidR="004818FA">
        <w:t xml:space="preserve"> </w:t>
      </w:r>
      <w:r w:rsidR="00A46196">
        <w:t xml:space="preserve">Blessing Yahweh </w:t>
      </w:r>
      <w:r>
        <w:t>safeguard</w:t>
      </w:r>
      <w:r w:rsidR="00A46196">
        <w:t>s</w:t>
      </w:r>
      <w:r>
        <w:t xml:space="preserve"> against </w:t>
      </w:r>
      <w:r w:rsidR="00F618F6">
        <w:t>putting Yahweh out of mind</w:t>
      </w:r>
      <w:r w:rsidR="00A46196">
        <w:t xml:space="preserve"> (</w:t>
      </w:r>
      <w:r w:rsidR="00A46196" w:rsidRPr="00A46196">
        <w:t>Deut. 8:1</w:t>
      </w:r>
      <w:r w:rsidR="00A46196">
        <w:t>0)</w:t>
      </w:r>
      <w:r w:rsidR="00F618F6">
        <w:t xml:space="preserve">, but Ephraim has not done so. (I assume that Deuteronomy was written after and </w:t>
      </w:r>
      <w:r w:rsidR="00A46196">
        <w:t xml:space="preserve">was influenced by Hosea, so the link between these </w:t>
      </w:r>
      <w:r w:rsidR="00F618F6">
        <w:t>passages suggests that Deuteronomy is seeking to get people to heed Hosea’s message.)</w:t>
      </w:r>
      <w:r w:rsidR="00F618F6">
        <w:rPr>
          <w:rStyle w:val="FootnoteReference"/>
        </w:rPr>
        <w:footnoteReference w:id="603"/>
      </w:r>
    </w:p>
    <w:p w:rsidR="00635E38" w:rsidRDefault="00635E38" w:rsidP="00120F56">
      <w:r>
        <w:t xml:space="preserve">In </w:t>
      </w:r>
      <w:r w:rsidR="00757CA3">
        <w:t xml:space="preserve">a </w:t>
      </w:r>
      <w:r>
        <w:t xml:space="preserve">series of frightening similes </w:t>
      </w:r>
      <w:r w:rsidR="00757CA3">
        <w:t xml:space="preserve">(vv. 7-8) </w:t>
      </w:r>
      <w:r>
        <w:t>Yahweh describes the consequences that will follow. The sequence of tenses suggests that Yahwe</w:t>
      </w:r>
      <w:r w:rsidR="00EE2E51">
        <w:t>h first describes the change in his stance</w:t>
      </w:r>
      <w:r w:rsidR="00757CA3">
        <w:t xml:space="preserve"> </w:t>
      </w:r>
      <w:r>
        <w:t>then goes on to th</w:t>
      </w:r>
      <w:r w:rsidR="00DD0265">
        <w:t>e action that will follow. T</w:t>
      </w:r>
      <w:r>
        <w:t>hough reversals have happened t</w:t>
      </w:r>
      <w:r w:rsidR="00DD0265">
        <w:t>hrough Ephraim’s history, they’</w:t>
      </w:r>
      <w:r>
        <w:t xml:space="preserve">re nothing to what will happen. </w:t>
      </w:r>
      <w:r w:rsidR="00F7163E">
        <w:t>“Never before in Hosea has Yahweh pictured himself as such a drastic danger to Israel.”</w:t>
      </w:r>
      <w:r w:rsidR="00F7163E">
        <w:rPr>
          <w:rStyle w:val="FootnoteReference"/>
        </w:rPr>
        <w:footnoteReference w:id="604"/>
      </w:r>
      <w:r w:rsidR="00F7163E">
        <w:t xml:space="preserve"> </w:t>
      </w:r>
      <w:r>
        <w:t>They need to see themse</w:t>
      </w:r>
      <w:r w:rsidR="00C91365">
        <w:t>lves as proceeding along a path</w:t>
      </w:r>
      <w:r>
        <w:t xml:space="preserve"> that seems safe but where wild animals are in a position</w:t>
      </w:r>
      <w:r w:rsidR="00C91365">
        <w:t xml:space="preserve"> to pounce. T</w:t>
      </w:r>
      <w:r>
        <w:t xml:space="preserve">he images </w:t>
      </w:r>
      <w:r w:rsidR="00C91365">
        <w:t xml:space="preserve">are designed </w:t>
      </w:r>
      <w:r>
        <w:t>is to push Ephraim towards a change of attitude s</w:t>
      </w:r>
      <w:r w:rsidR="00B14698">
        <w:t>o that the coiled lion un</w:t>
      </w:r>
      <w:r w:rsidR="00C91365">
        <w:t>coils and stops lurking, Assyria-like</w:t>
      </w:r>
      <w:r w:rsidR="00B14698">
        <w:t xml:space="preserve"> (see the note).</w:t>
      </w:r>
      <w:r w:rsidR="00F7163E">
        <w:t xml:space="preserve"> </w:t>
      </w:r>
    </w:p>
    <w:p w:rsidR="00635E38" w:rsidRDefault="00635E38" w:rsidP="00120F56"/>
    <w:p w:rsidR="005D13FA" w:rsidRDefault="00635E38" w:rsidP="00120F56">
      <w:r>
        <w:rPr>
          <w:b/>
        </w:rPr>
        <w:t>Hosea 13:9-</w:t>
      </w:r>
      <w:r w:rsidR="008A3D18">
        <w:rPr>
          <w:b/>
        </w:rPr>
        <w:t>11</w:t>
      </w:r>
      <w:r w:rsidR="00C91365">
        <w:t>. A</w:t>
      </w:r>
      <w:r w:rsidR="005C28CA">
        <w:t xml:space="preserve"> pair of</w:t>
      </w:r>
      <w:r w:rsidR="008A3D18">
        <w:t xml:space="preserve"> exclamation</w:t>
      </w:r>
      <w:r w:rsidR="005C28CA">
        <w:t>s</w:t>
      </w:r>
      <w:r w:rsidR="00C91365">
        <w:t xml:space="preserve"> sum</w:t>
      </w:r>
      <w:r w:rsidR="008A3D18">
        <w:t xml:space="preserve"> </w:t>
      </w:r>
      <w:r w:rsidR="00DD0265">
        <w:t>up pungently where we’</w:t>
      </w:r>
      <w:r w:rsidR="005C28CA">
        <w:t>ve been and draw attention to an implication.</w:t>
      </w:r>
      <w:r w:rsidR="00DD0265">
        <w:t xml:space="preserve"> </w:t>
      </w:r>
    </w:p>
    <w:p w:rsidR="00635E38" w:rsidRDefault="00DD0265" w:rsidP="00120F56">
      <w:r>
        <w:lastRenderedPageBreak/>
        <w:t>“D</w:t>
      </w:r>
      <w:r w:rsidR="00C91365">
        <w:t xml:space="preserve">evastation” </w:t>
      </w:r>
      <w:r w:rsidR="005D13FA">
        <w:t xml:space="preserve">(v. 9) </w:t>
      </w:r>
      <w:r w:rsidR="00C91365">
        <w:t>contrasts with an earlier declaration of intent (</w:t>
      </w:r>
      <w:r w:rsidR="00A43E0E">
        <w:t>11:9</w:t>
      </w:r>
      <w:r w:rsidR="00C91365">
        <w:t>);</w:t>
      </w:r>
      <w:r w:rsidR="002E7BFC">
        <w:t xml:space="preserve"> it also carries the connotation of corruption (9:9)</w:t>
      </w:r>
      <w:r w:rsidR="00A43E0E">
        <w:t xml:space="preserve">. The second colon explains </w:t>
      </w:r>
      <w:r w:rsidR="00C91365">
        <w:t>what Ephraim ignores, another reason why devastation threatens</w:t>
      </w:r>
      <w:r w:rsidR="00462F90">
        <w:t>. Only here does Hosea refer to “help” (</w:t>
      </w:r>
      <w:r w:rsidR="00462F90">
        <w:rPr>
          <w:i/>
        </w:rPr>
        <w:t>‘ēzer</w:t>
      </w:r>
      <w:r w:rsidR="00462F90">
        <w:t>), a word which es</w:t>
      </w:r>
      <w:r w:rsidR="00C91365">
        <w:t>pecially applies to God</w:t>
      </w:r>
      <w:r w:rsidR="00757CA3">
        <w:t>’s action</w:t>
      </w:r>
      <w:r w:rsidR="00C91365">
        <w:t xml:space="preserve"> and commonly denotes the </w:t>
      </w:r>
      <w:r w:rsidR="00462F90">
        <w:t xml:space="preserve">assistance </w:t>
      </w:r>
      <w:r w:rsidR="00C91365">
        <w:t>that effects something</w:t>
      </w:r>
      <w:r w:rsidR="00462F90">
        <w:t xml:space="preserve"> you could not do at all on your own (e.g., Deut. 33:7, 26, 29; Gen. 2:18, 20!). </w:t>
      </w:r>
    </w:p>
    <w:p w:rsidR="00462F90" w:rsidRDefault="00462F90" w:rsidP="00120F56">
      <w:r>
        <w:t xml:space="preserve">Thus help is not so different from deliverance, for which Ephraim looks elsewhere (v. 10). </w:t>
      </w:r>
      <w:r w:rsidR="0046653F">
        <w:t xml:space="preserve">The comment about the towns points to the widespread nature of the </w:t>
      </w:r>
      <w:r w:rsidR="00C91365">
        <w:t>coming threat to Ephraim</w:t>
      </w:r>
      <w:r w:rsidR="0046653F">
        <w:t xml:space="preserve">. The authorities or governors (see the </w:t>
      </w:r>
      <w:r w:rsidR="00F14F90">
        <w:t>comments</w:t>
      </w:r>
      <w:r w:rsidR="0046653F">
        <w:t xml:space="preserve"> on 7:7) are </w:t>
      </w:r>
      <w:r w:rsidR="00C81F2C">
        <w:t xml:space="preserve">perhaps the mayors of the towns; “officials” is an alternative </w:t>
      </w:r>
      <w:r w:rsidR="00C91365">
        <w:t>description of them</w:t>
      </w:r>
      <w:r w:rsidR="00C81F2C">
        <w:t>.</w:t>
      </w:r>
      <w:r w:rsidR="00757CA3">
        <w:t xml:space="preserve"> Ephraim had prayed for</w:t>
      </w:r>
      <w:r w:rsidR="00C91365">
        <w:t xml:space="preserve"> these leaders</w:t>
      </w:r>
      <w:r w:rsidR="00757CA3">
        <w:t xml:space="preserve">, like Israel in 1 Samuel </w:t>
      </w:r>
      <w:r w:rsidR="00F55316">
        <w:t>8)</w:t>
      </w:r>
      <w:r w:rsidR="00C91365">
        <w:t>.</w:t>
      </w:r>
      <w:r w:rsidR="00067BCA">
        <w:t xml:space="preserve"> </w:t>
      </w:r>
    </w:p>
    <w:p w:rsidR="00C81F2C" w:rsidRDefault="00C81F2C" w:rsidP="00120F56">
      <w:r>
        <w:t>Yahweh</w:t>
      </w:r>
      <w:r w:rsidR="00C91365">
        <w:t>’s further</w:t>
      </w:r>
      <w:r w:rsidR="00067BCA">
        <w:t xml:space="preserve"> comment </w:t>
      </w:r>
      <w:r w:rsidR="00DD0265">
        <w:t xml:space="preserve">(v. 11) </w:t>
      </w:r>
      <w:r w:rsidR="00067BCA">
        <w:t>suggests he</w:t>
      </w:r>
      <w:r>
        <w:t xml:space="preserve"> is talking not about Israel’s original request for a king</w:t>
      </w:r>
      <w:r w:rsidR="00067BCA">
        <w:t xml:space="preserve"> but about</w:t>
      </w:r>
      <w:r>
        <w:t xml:space="preserve"> the series of dynastic changes that characterized Ephraim’</w:t>
      </w:r>
      <w:r w:rsidR="00067BCA">
        <w:t>s story</w:t>
      </w:r>
      <w:r w:rsidR="00C91365">
        <w:t xml:space="preserve">, </w:t>
      </w:r>
      <w:r w:rsidR="00067BCA">
        <w:t xml:space="preserve">particularly </w:t>
      </w:r>
      <w:r w:rsidR="00C91365">
        <w:t xml:space="preserve">in </w:t>
      </w:r>
      <w:r w:rsidR="00DD0265">
        <w:t>Hosea’s</w:t>
      </w:r>
      <w:r w:rsidR="00F55316">
        <w:t xml:space="preserve"> </w:t>
      </w:r>
      <w:r w:rsidR="00067BCA">
        <w:t>time</w:t>
      </w:r>
      <w:r>
        <w:t>.</w:t>
      </w:r>
      <w:r w:rsidR="00067BCA">
        <w:t xml:space="preserve"> T</w:t>
      </w:r>
      <w:r>
        <w:t xml:space="preserve">he fomenters </w:t>
      </w:r>
      <w:r w:rsidR="00067BCA">
        <w:t>of each</w:t>
      </w:r>
      <w:r>
        <w:t xml:space="preserve"> coup were seriously concerned about what was right for Ephraim, </w:t>
      </w:r>
      <w:r w:rsidR="00C91365">
        <w:t xml:space="preserve">they </w:t>
      </w:r>
      <w:r>
        <w:t xml:space="preserve">met to pray about it, and </w:t>
      </w:r>
      <w:r w:rsidR="00C91365">
        <w:t xml:space="preserve">they </w:t>
      </w:r>
      <w:r>
        <w:t>asked Yahweh to prosper their action. And Yahweh did so</w:t>
      </w:r>
      <w:r w:rsidR="00FC0486">
        <w:t>. He gave; he took away (cf. Job 1:21)</w:t>
      </w:r>
      <w:r w:rsidR="00F55316">
        <w:t>. H</w:t>
      </w:r>
      <w:r w:rsidR="00067BCA">
        <w:t>e was involved in</w:t>
      </w:r>
      <w:r w:rsidR="00FC0486">
        <w:t xml:space="preserve"> both the accession and the toppling of each king</w:t>
      </w:r>
      <w:r w:rsidR="00C91365">
        <w:t>. But his involvement was</w:t>
      </w:r>
      <w:r>
        <w:t xml:space="preserve"> an expression of his wrath, because the broader framework of their assumptions was that they needed to take r</w:t>
      </w:r>
      <w:r w:rsidR="00C91365">
        <w:t>esponsibi</w:t>
      </w:r>
      <w:r w:rsidR="00DD0265">
        <w:t xml:space="preserve">lity for their destiny and </w:t>
      </w:r>
      <w:r w:rsidR="00C91365">
        <w:t>needed Yahweh to work within their framework of thinking</w:t>
      </w:r>
    </w:p>
    <w:p w:rsidR="00067BCA" w:rsidRDefault="00067BCA" w:rsidP="00120F56"/>
    <w:p w:rsidR="00F55316" w:rsidRDefault="00067BCA" w:rsidP="00120F56">
      <w:r>
        <w:rPr>
          <w:b/>
        </w:rPr>
        <w:t>Hosea 13:12</w:t>
      </w:r>
      <w:r w:rsidR="008F65E2">
        <w:rPr>
          <w:b/>
        </w:rPr>
        <w:t>-15a.</w:t>
      </w:r>
      <w:r w:rsidR="001C0DEA">
        <w:rPr>
          <w:b/>
        </w:rPr>
        <w:t xml:space="preserve"> </w:t>
      </w:r>
      <w:r w:rsidR="00EB52C0">
        <w:t>T</w:t>
      </w:r>
      <w:r>
        <w:t>hat expression of Yahweh’s wrath is not the end of the matter. E</w:t>
      </w:r>
      <w:r w:rsidRPr="00067BCA">
        <w:t>ventually (in</w:t>
      </w:r>
      <w:r>
        <w:t xml:space="preserve">deed soon) they will pay for </w:t>
      </w:r>
      <w:r w:rsidR="00DD0265">
        <w:t>their action</w:t>
      </w:r>
      <w:r>
        <w:t xml:space="preserve"> in a more devastating way. </w:t>
      </w:r>
    </w:p>
    <w:p w:rsidR="0072189F" w:rsidRDefault="00067BCA" w:rsidP="00120F56">
      <w:r>
        <w:t xml:space="preserve">At the moment </w:t>
      </w:r>
      <w:r w:rsidR="00EB52C0">
        <w:t>the waywardness and wrongdoing</w:t>
      </w:r>
      <w:r w:rsidR="005305AF">
        <w:t xml:space="preserve"> are bound</w:t>
      </w:r>
      <w:r w:rsidR="00F55316">
        <w:t xml:space="preserve"> (v. 12)</w:t>
      </w:r>
      <w:r w:rsidR="005305AF">
        <w:t>, like a sealed scroll whose contents will eventually be revealed (Isa. 8:16) or like water in a dam that will eventually burst (Job 26:8) or like a woman inescapably pressed and distressed as she prepares to give birt</w:t>
      </w:r>
      <w:r w:rsidR="00EB52C0">
        <w:t>h (Jer. 49:22, 24), or like a town besieged by an enemy (1 Kings 8:37)</w:t>
      </w:r>
      <w:r w:rsidR="0072189F">
        <w:t xml:space="preserve">. They are hidden away like </w:t>
      </w:r>
      <w:r w:rsidR="0072189F" w:rsidRPr="0072189F">
        <w:t xml:space="preserve">someone kept safe from trouble (Ps. 27:5) </w:t>
      </w:r>
      <w:r w:rsidR="0072189F">
        <w:t>and like the punishment of the wicked (Job 21:19).</w:t>
      </w:r>
    </w:p>
    <w:p w:rsidR="00363B55" w:rsidRDefault="00F55316" w:rsidP="00120F56">
      <w:r>
        <w:t xml:space="preserve">The image of </w:t>
      </w:r>
      <w:r w:rsidR="00EB52C0">
        <w:t>the pressures of childbirth</w:t>
      </w:r>
      <w:r w:rsidR="0072189F">
        <w:t xml:space="preserve"> would lead well into what follows (v. 13). The one affected by the pain of childbirth is now the child himself</w:t>
      </w:r>
      <w:r w:rsidR="00EB52C0">
        <w:t>, for whom being born has its trauma. So suppose</w:t>
      </w:r>
      <w:r w:rsidR="00AE75AF">
        <w:t xml:space="preserve"> the baby </w:t>
      </w:r>
      <w:r w:rsidR="00EB52C0">
        <w:t xml:space="preserve">stupidly </w:t>
      </w:r>
      <w:r w:rsidR="00AE75AF">
        <w:t xml:space="preserve">declines to </w:t>
      </w:r>
      <w:r w:rsidR="00EB52C0">
        <w:t>be born</w:t>
      </w:r>
      <w:r w:rsidR="00363B55">
        <w:t>; t</w:t>
      </w:r>
      <w:r w:rsidR="00363B55" w:rsidRPr="00363B55">
        <w:t>he puzzled</w:t>
      </w:r>
      <w:r w:rsidR="00DD0265">
        <w:t xml:space="preserve"> critique of Ephraim’s non-smartness</w:t>
      </w:r>
      <w:r w:rsidR="00363B55" w:rsidRPr="00363B55">
        <w:t xml:space="preserve"> takes up that in 7:9-11.</w:t>
      </w:r>
      <w:r w:rsidR="00363B55">
        <w:t xml:space="preserve"> </w:t>
      </w:r>
      <w:r w:rsidR="00DD0265">
        <w:t>There’</w:t>
      </w:r>
      <w:r w:rsidR="00AE75AF">
        <w:t>s a moment</w:t>
      </w:r>
      <w:r w:rsidR="001C0DEA">
        <w:t xml:space="preserve"> when </w:t>
      </w:r>
      <w:r w:rsidR="00DD0265">
        <w:t>a child has</w:t>
      </w:r>
      <w:r w:rsidR="001C0DEA">
        <w:t xml:space="preserve"> to break out</w:t>
      </w:r>
      <w:r w:rsidR="00AE75AF">
        <w:t xml:space="preserve"> </w:t>
      </w:r>
      <w:r w:rsidR="001C0DEA">
        <w:t>from the</w:t>
      </w:r>
      <w:r w:rsidR="00363B55">
        <w:t xml:space="preserve"> womb, and he </w:t>
      </w:r>
      <w:r w:rsidR="00DD0265">
        <w:t>is going to miss</w:t>
      </w:r>
      <w:r w:rsidR="00363B55">
        <w:t xml:space="preserve"> it. </w:t>
      </w:r>
      <w:r w:rsidR="001C0DEA">
        <w:t>If that happens to a baby, it dies.</w:t>
      </w:r>
      <w:r w:rsidR="009B6019">
        <w:t xml:space="preserve"> </w:t>
      </w:r>
    </w:p>
    <w:p w:rsidR="00F55316" w:rsidRDefault="007F14DE" w:rsidP="00120F56">
      <w:r>
        <w:t xml:space="preserve">It’s not the first time Ephraim has been this way (v. 14a). The sequence of </w:t>
      </w:r>
      <w:r w:rsidR="002D0D1E">
        <w:t xml:space="preserve">divine </w:t>
      </w:r>
      <w:r>
        <w:t>involvements w</w:t>
      </w:r>
      <w:r w:rsidR="00363B55">
        <w:t>ith negative implications (v. 11</w:t>
      </w:r>
      <w:r>
        <w:t>) has been paralleled by a series of involvements with positive implications. Ephraim could easily have died, but it hasn’t</w:t>
      </w:r>
      <w:r w:rsidR="00F55316">
        <w:t xml:space="preserve"> (notwithstanding v. </w:t>
      </w:r>
      <w:r w:rsidR="002D0D1E">
        <w:t>1)</w:t>
      </w:r>
      <w:r>
        <w:t>. She’ol is the home where dead people “live,” a kind of non-physical equivalent to a family tomb. You don’t have much co</w:t>
      </w:r>
      <w:r w:rsidR="00363B55">
        <w:t>ntrol over when you go there; She’ol</w:t>
      </w:r>
      <w:r>
        <w:t xml:space="preserve"> is </w:t>
      </w:r>
      <w:r w:rsidR="00363B55">
        <w:t xml:space="preserve">like </w:t>
      </w:r>
      <w:r>
        <w:t>a person with a hand that can reach out to you</w:t>
      </w:r>
      <w:r w:rsidR="00363B55">
        <w:t xml:space="preserve"> when it chooses. But from that</w:t>
      </w:r>
      <w:r>
        <w:t xml:space="preserve"> grasp of She</w:t>
      </w:r>
      <w:r w:rsidR="00363B55">
        <w:t>’</w:t>
      </w:r>
      <w:r>
        <w:t>ol or of death Yahweh has been rede</w:t>
      </w:r>
      <w:r w:rsidR="002D0D1E">
        <w:t xml:space="preserve">eming Ephraim: like English </w:t>
      </w:r>
      <w:r>
        <w:t xml:space="preserve">“redeem,” etymologically </w:t>
      </w:r>
      <w:r>
        <w:rPr>
          <w:i/>
        </w:rPr>
        <w:t>pādāh</w:t>
      </w:r>
      <w:r>
        <w:t xml:space="preserve"> suggests </w:t>
      </w:r>
      <w:r w:rsidR="009B13FD">
        <w:t>paying a price for someone’</w:t>
      </w:r>
      <w:r w:rsidR="00363B55">
        <w:t xml:space="preserve">s freedom, but </w:t>
      </w:r>
      <w:r w:rsidR="00F55316">
        <w:t xml:space="preserve">it </w:t>
      </w:r>
      <w:r w:rsidR="00363B55">
        <w:t>commonly</w:t>
      </w:r>
      <w:r w:rsidR="009B13FD">
        <w:t xml:space="preserve"> focuses on the freeing rather than the paying. Likewise, “restoring” (</w:t>
      </w:r>
      <w:r w:rsidR="009B13FD">
        <w:rPr>
          <w:i/>
        </w:rPr>
        <w:t>gā’al</w:t>
      </w:r>
      <w:r w:rsidR="009B13FD">
        <w:t>) has associations with the responsibility of someone to take action to put things right for a member of their family who is in a difficult or hopeless position, but often the word focuses on the restoring of things to their right situation rather than on the link with that family obligation.</w:t>
      </w:r>
      <w:r w:rsidR="00F55316">
        <w:t xml:space="preserve"> So Yahweh</w:t>
      </w:r>
      <w:r w:rsidR="00363B55">
        <w:t xml:space="preserve"> has been </w:t>
      </w:r>
      <w:r w:rsidR="00F55316">
        <w:t xml:space="preserve">the redeemer and restorer </w:t>
      </w:r>
      <w:r w:rsidR="00363B55">
        <w:t xml:space="preserve">in the past. </w:t>
      </w:r>
    </w:p>
    <w:p w:rsidR="009B13FD" w:rsidRDefault="00363B55" w:rsidP="00120F56">
      <w:r>
        <w:t>B</w:t>
      </w:r>
      <w:r w:rsidR="00F55316">
        <w:t>ut now he</w:t>
      </w:r>
      <w:r w:rsidR="009B13FD">
        <w:t xml:space="preserve"> intends to </w:t>
      </w:r>
      <w:r w:rsidR="00F07BF3">
        <w:t>work with deat</w:t>
      </w:r>
      <w:r w:rsidR="00205CEE">
        <w:t>h and She’ol</w:t>
      </w:r>
      <w:r w:rsidR="00F07BF3">
        <w:t xml:space="preserve"> </w:t>
      </w:r>
      <w:r w:rsidR="00AA14EE">
        <w:t>(v. 14bαβ)</w:t>
      </w:r>
      <w:r w:rsidR="00F55316">
        <w:t xml:space="preserve">, </w:t>
      </w:r>
      <w:r w:rsidR="00F55316" w:rsidRPr="00F55316">
        <w:t>rather than against them</w:t>
      </w:r>
      <w:r w:rsidR="00205CEE">
        <w:t>. Although dying and going to</w:t>
      </w:r>
      <w:r w:rsidR="00F07BF3">
        <w:t xml:space="preserve"> She’ol  do not terminate human existence, one look at the state of a family member’s body the</w:t>
      </w:r>
      <w:r w:rsidR="00F55316">
        <w:t xml:space="preserve"> next time one</w:t>
      </w:r>
      <w:r>
        <w:t xml:space="preserve"> open</w:t>
      </w:r>
      <w:r w:rsidR="00F55316">
        <w:t>s</w:t>
      </w:r>
      <w:r>
        <w:t xml:space="preserve"> the tomb to admit</w:t>
      </w:r>
      <w:r w:rsidR="00F07BF3">
        <w:t xml:space="preserve"> someone else shows that they do not enhance it. It’s</w:t>
      </w:r>
      <w:r w:rsidR="00205CEE">
        <w:t xml:space="preserve"> as if the body has been ravaged</w:t>
      </w:r>
      <w:r w:rsidR="00F07BF3">
        <w:t xml:space="preserve"> by a terrible plague. </w:t>
      </w:r>
      <w:r w:rsidR="00AA14EE">
        <w:t>In due course there are only bones left. In effect it has been destroyed.</w:t>
      </w:r>
    </w:p>
    <w:p w:rsidR="00AA14EE" w:rsidRPr="00271421" w:rsidRDefault="00AA14EE" w:rsidP="00120F56">
      <w:r>
        <w:lastRenderedPageBreak/>
        <w:t>Ya</w:t>
      </w:r>
      <w:r w:rsidR="002D0D1E">
        <w:t xml:space="preserve">hweh again indicates that his </w:t>
      </w:r>
      <w:r>
        <w:t xml:space="preserve">resolve </w:t>
      </w:r>
      <w:r w:rsidR="002D0D1E">
        <w:t>in 11:9</w:t>
      </w:r>
      <w:r w:rsidR="00205CEE">
        <w:t xml:space="preserve"> </w:t>
      </w:r>
      <w:r>
        <w:t>was not his last word (vv. 14bγ-15a). He has turned his</w:t>
      </w:r>
      <w:r w:rsidR="00205CEE">
        <w:t xml:space="preserve"> eyes aw</w:t>
      </w:r>
      <w:r w:rsidR="002D0D1E">
        <w:t>ay from relenting. It doesn’</w:t>
      </w:r>
      <w:r>
        <w:t>t come naturally. He has to hide from the ide</w:t>
      </w:r>
      <w:r w:rsidR="002D0D1E">
        <w:t>a,</w:t>
      </w:r>
      <w:r>
        <w:t xml:space="preserve"> to resist the temptation</w:t>
      </w:r>
      <w:r w:rsidR="002D0D1E">
        <w:t xml:space="preserve"> to relent</w:t>
      </w:r>
      <w:r>
        <w:t xml:space="preserve">. </w:t>
      </w:r>
      <w:r w:rsidR="008F65E2">
        <w:t>He</w:t>
      </w:r>
      <w:r w:rsidR="00F55316">
        <w:t xml:space="preserve"> must act against Ephraim for the</w:t>
      </w:r>
      <w:r w:rsidR="008F65E2">
        <w:t xml:space="preserve"> uncontrollable wandering</w:t>
      </w:r>
      <w:r w:rsidR="00FC2B2A">
        <w:t xml:space="preserve"> (</w:t>
      </w:r>
      <w:r w:rsidR="00FC2B2A">
        <w:rPr>
          <w:i/>
        </w:rPr>
        <w:t>pere’</w:t>
      </w:r>
      <w:r w:rsidR="00F55316">
        <w:t>)</w:t>
      </w:r>
      <w:r w:rsidR="00205CEE">
        <w:t xml:space="preserve"> which means it</w:t>
      </w:r>
      <w:r w:rsidR="00FC2B2A">
        <w:t xml:space="preserve"> failed to live </w:t>
      </w:r>
      <w:r w:rsidR="00205CEE">
        <w:t>up to the good implication of it</w:t>
      </w:r>
      <w:r w:rsidR="00FC2B2A">
        <w:t>s name (9:16)</w:t>
      </w:r>
      <w:r w:rsidR="00F55316">
        <w:t>,</w:t>
      </w:r>
      <w:r w:rsidR="00FC2B2A">
        <w:t xml:space="preserve"> and instead lives up </w:t>
      </w:r>
      <w:r w:rsidR="00205CEE">
        <w:t>to the bad implication</w:t>
      </w:r>
      <w:r w:rsidR="006D3347">
        <w:t xml:space="preserve"> (see the note)</w:t>
      </w:r>
      <w:r w:rsidR="00205CEE">
        <w:t>. Ephraim</w:t>
      </w:r>
      <w:r w:rsidR="00FC2B2A">
        <w:t xml:space="preserve"> is</w:t>
      </w:r>
      <w:r w:rsidR="008F65E2">
        <w:t xml:space="preserve"> more troublesome than his brothers</w:t>
      </w:r>
      <w:r w:rsidR="00271421">
        <w:t>, the other clans</w:t>
      </w:r>
      <w:r w:rsidR="00205CEE">
        <w:t xml:space="preserve"> (</w:t>
      </w:r>
      <w:r w:rsidR="00205CEE" w:rsidRPr="00205CEE">
        <w:t xml:space="preserve">Ephraim’s only actual </w:t>
      </w:r>
      <w:r w:rsidR="00205CEE">
        <w:t>brother was Manasseh, but</w:t>
      </w:r>
      <w:r w:rsidR="00205CEE" w:rsidRPr="00205CEE">
        <w:t xml:space="preserve"> </w:t>
      </w:r>
      <w:r w:rsidR="00775961">
        <w:t>their father’s brothers could be thought of as their brothers</w:t>
      </w:r>
      <w:r w:rsidR="00205CEE">
        <w:t xml:space="preserve">); the comment depends on thinking of </w:t>
      </w:r>
      <w:r w:rsidR="00271421">
        <w:t>Ephraim the clan rather than Ephraim the nation</w:t>
      </w:r>
      <w:r w:rsidR="008F65E2">
        <w:t>.</w:t>
      </w:r>
      <w:r w:rsidR="00205CEE">
        <w:t xml:space="preserve"> </w:t>
      </w:r>
    </w:p>
    <w:p w:rsidR="008F65E2" w:rsidRDefault="008F65E2" w:rsidP="00120F56"/>
    <w:p w:rsidR="00AA14EE" w:rsidRDefault="007A6B6D" w:rsidP="00120F56">
      <w:r>
        <w:rPr>
          <w:b/>
        </w:rPr>
        <w:t>Hosea 13:15b-16</w:t>
      </w:r>
      <w:r w:rsidR="006D3347">
        <w:rPr>
          <w:b/>
        </w:rPr>
        <w:t xml:space="preserve"> [13:15b—14:1]</w:t>
      </w:r>
      <w:r w:rsidR="008F65E2" w:rsidRPr="008F65E2">
        <w:rPr>
          <w:b/>
        </w:rPr>
        <w:t>.</w:t>
      </w:r>
      <w:r w:rsidR="008F65E2">
        <w:rPr>
          <w:b/>
        </w:rPr>
        <w:t xml:space="preserve"> </w:t>
      </w:r>
      <w:r w:rsidR="008F65E2">
        <w:t>So for one last time Yahweh decl</w:t>
      </w:r>
      <w:r w:rsidR="005D13FA">
        <w:t xml:space="preserve">ares the intention to chastise. </w:t>
      </w:r>
      <w:r w:rsidR="00762AD6">
        <w:t>We know about the torrid east wind (</w:t>
      </w:r>
      <w:r w:rsidR="006D3347">
        <w:t xml:space="preserve">v. 15b; see </w:t>
      </w:r>
      <w:r w:rsidR="00762AD6">
        <w:t xml:space="preserve">12:1 [2]) coming from the </w:t>
      </w:r>
      <w:r w:rsidR="002D0D1E">
        <w:t>wilderness</w:t>
      </w:r>
      <w:r w:rsidR="00762AD6">
        <w:t xml:space="preserve"> to the east: only a fool chases it. It can destroy everything in its path. It will be supernatural in two senses. It will be extraordinary, as</w:t>
      </w:r>
      <w:r w:rsidR="006D3347">
        <w:t xml:space="preserve"> if it conveys Yahweh’s force. A</w:t>
      </w:r>
      <w:r w:rsidR="00762AD6">
        <w:t xml:space="preserve">nd it actually will convey Yahweh’s force, because it comes as his agent. </w:t>
      </w:r>
      <w:r w:rsidR="00E86CDB">
        <w:t xml:space="preserve">It will block up the water sources. But “fountain” is much more commonly a figurative expression for a wellspring of life (e.g., Ps. 36:9 [10]), and “spring” can also have this connotation (e.g., Isa. 12:3). </w:t>
      </w:r>
      <w:r w:rsidR="002D1065">
        <w:t>And wind from the eastern desert is an image for the invader whom Yahweh</w:t>
      </w:r>
      <w:r w:rsidR="002D0D1E">
        <w:t xml:space="preserve"> brings, who comes from that direction</w:t>
      </w:r>
      <w:r w:rsidR="002D1065">
        <w:t xml:space="preserve"> </w:t>
      </w:r>
      <w:r w:rsidR="002D0D1E">
        <w:t xml:space="preserve">(e.g., Isa. 21:1) </w:t>
      </w:r>
      <w:r w:rsidR="002D1065">
        <w:t>even if approaching Israel from the north</w:t>
      </w:r>
      <w:r w:rsidR="002D0D1E">
        <w:t>.</w:t>
      </w:r>
      <w:r w:rsidR="002D1065">
        <w:t xml:space="preserve"> </w:t>
      </w:r>
      <w:r w:rsidR="006D3347">
        <w:t>T</w:t>
      </w:r>
      <w:r w:rsidR="002D1065">
        <w:t xml:space="preserve">he metaphor </w:t>
      </w:r>
      <w:r w:rsidR="006D3347">
        <w:t xml:space="preserve">then </w:t>
      </w:r>
      <w:r w:rsidR="002D1065">
        <w:t>becomes lit</w:t>
      </w:r>
      <w:r w:rsidR="006D3347">
        <w:t>eral reality:</w:t>
      </w:r>
      <w:r w:rsidR="002D0D1E">
        <w:t xml:space="preserve"> Hosea is</w:t>
      </w:r>
      <w:r w:rsidR="00775961">
        <w:t xml:space="preserve"> talking about </w:t>
      </w:r>
      <w:r w:rsidR="002D1065">
        <w:t>someone who will come from the east to dry up the nation</w:t>
      </w:r>
      <w:r w:rsidR="002D0D1E">
        <w:t>’</w:t>
      </w:r>
      <w:r w:rsidR="002D1065">
        <w:t xml:space="preserve">s resources. </w:t>
      </w:r>
    </w:p>
    <w:p w:rsidR="00C81F2C" w:rsidRDefault="00C75EB4" w:rsidP="00120F56">
      <w:r>
        <w:t>Samaria will thus make restitution (cf. 5:15; 10:2</w:t>
      </w:r>
      <w:r w:rsidR="006D3347">
        <w:t>) for its defiance (13:</w:t>
      </w:r>
      <w:r w:rsidR="007A6B6D">
        <w:t>16</w:t>
      </w:r>
      <w:r w:rsidR="006D3347">
        <w:t xml:space="preserve"> [14:1]</w:t>
      </w:r>
      <w:r>
        <w:t>)</w:t>
      </w:r>
      <w:r w:rsidR="006D3347">
        <w:t>. T</w:t>
      </w:r>
      <w:r w:rsidR="00EE7E5E">
        <w:t xml:space="preserve">he capital stands for the nation as a whole, but as the seat of the administration </w:t>
      </w:r>
      <w:r w:rsidR="002D0D1E">
        <w:t xml:space="preserve">it will </w:t>
      </w:r>
      <w:r w:rsidR="00775961" w:rsidRPr="00775961">
        <w:t>p</w:t>
      </w:r>
      <w:r w:rsidR="00775961">
        <w:t xml:space="preserve">ay a distinctively awful price </w:t>
      </w:r>
      <w:r w:rsidR="00EE7E5E">
        <w:t>(see 2 Kings 17:3-6)</w:t>
      </w:r>
      <w:r>
        <w:t xml:space="preserve">. The description of the retribution is conventional </w:t>
      </w:r>
      <w:r w:rsidR="003A5FE6">
        <w:t xml:space="preserve">and familiar </w:t>
      </w:r>
      <w:r>
        <w:t xml:space="preserve">(11:6; </w:t>
      </w:r>
      <w:r w:rsidR="003A5FE6">
        <w:t>10:14; 13:8)</w:t>
      </w:r>
      <w:r>
        <w:t>, but terrible</w:t>
      </w:r>
      <w:r w:rsidR="003A5FE6">
        <w:t>.</w:t>
      </w:r>
      <w:r w:rsidR="0072189F">
        <w:t xml:space="preserve"> </w:t>
      </w:r>
      <w:r w:rsidR="00EE2BC3">
        <w:t>In effect “Yahweh summons death and Sheol to overtake the covenant people.”</w:t>
      </w:r>
      <w:r w:rsidR="00EE2BC3">
        <w:rPr>
          <w:rStyle w:val="FootnoteReference"/>
        </w:rPr>
        <w:footnoteReference w:id="605"/>
      </w:r>
    </w:p>
    <w:p w:rsidR="00C81F2C" w:rsidRDefault="00C81F2C" w:rsidP="001D3546">
      <w:pPr>
        <w:pStyle w:val="Heading2"/>
      </w:pPr>
      <w:r>
        <w:t>Theological Implications</w:t>
      </w:r>
    </w:p>
    <w:p w:rsidR="003C5ECF" w:rsidRDefault="003C5ECF" w:rsidP="009652A7">
      <w:pPr>
        <w:pStyle w:val="ListParagraph"/>
        <w:numPr>
          <w:ilvl w:val="0"/>
          <w:numId w:val="17"/>
        </w:numPr>
        <w:ind w:left="360"/>
      </w:pPr>
      <w:r>
        <w:t>The people of God is the heir to the achievements of great heroes who were nevertheless lowly</w:t>
      </w:r>
      <w:r w:rsidR="006D3347">
        <w:t>,</w:t>
      </w:r>
      <w:r>
        <w:t xml:space="preserve"> and who serv</w:t>
      </w:r>
      <w:r w:rsidR="002D0D1E">
        <w:t xml:space="preserve">ed and acted as keepers and </w:t>
      </w:r>
      <w:r>
        <w:t>were means of God’s deliver</w:t>
      </w:r>
      <w:r w:rsidR="002D0D1E">
        <w:t xml:space="preserve">ing them and keeping them. Its challenge is </w:t>
      </w:r>
      <w:r>
        <w:t>to live a life worthy of its heroes not to fail them.</w:t>
      </w:r>
    </w:p>
    <w:p w:rsidR="003C5ECF" w:rsidRDefault="003C5ECF" w:rsidP="009652A7">
      <w:pPr>
        <w:pStyle w:val="ListParagraph"/>
        <w:numPr>
          <w:ilvl w:val="0"/>
          <w:numId w:val="17"/>
        </w:numPr>
        <w:ind w:left="360"/>
      </w:pPr>
      <w:r>
        <w:t>It’s possible for us to let our wrongdoings rest on us like the blood that cries out from the ground, which by a natural process will be our</w:t>
      </w:r>
      <w:r w:rsidR="0068667A">
        <w:t xml:space="preserve"> downfall. At another level our </w:t>
      </w:r>
      <w:r>
        <w:t>waywardnes</w:t>
      </w:r>
      <w:r w:rsidR="00705826">
        <w:t>s provokes God to anger and he’</w:t>
      </w:r>
      <w:r>
        <w:t xml:space="preserve">s actively involved </w:t>
      </w:r>
      <w:r w:rsidR="0068667A">
        <w:t>in making our reviling of him rebound on us.</w:t>
      </w:r>
      <w:r w:rsidR="00F5628A">
        <w:t xml:space="preserve"> But our waywardness and wrongdoing may be bound or hidden way for quite a while, against the possibility that we may repent. Yet eventually they will take their toll, if we do not recognize the day of our visitation (Luke 19:44).</w:t>
      </w:r>
    </w:p>
    <w:p w:rsidR="0068667A" w:rsidRDefault="0068667A" w:rsidP="006D3347">
      <w:pPr>
        <w:pStyle w:val="ListParagraph"/>
        <w:numPr>
          <w:ilvl w:val="0"/>
          <w:numId w:val="17"/>
        </w:numPr>
        <w:ind w:left="360"/>
      </w:pPr>
      <w:r>
        <w:t>Prayer and worship can be heartfelt and vocal yet can imperil our relationship with God.</w:t>
      </w:r>
      <w:r w:rsidR="006D3347">
        <w:t xml:space="preserve"> And m</w:t>
      </w:r>
      <w:r>
        <w:t>eans of worship that utilize our gifts and insight can be devastatingly misleading.</w:t>
      </w:r>
    </w:p>
    <w:p w:rsidR="0068667A" w:rsidRDefault="0068667A" w:rsidP="009652A7">
      <w:pPr>
        <w:pStyle w:val="ListParagraph"/>
        <w:numPr>
          <w:ilvl w:val="0"/>
          <w:numId w:val="17"/>
        </w:numPr>
        <w:ind w:left="360"/>
      </w:pPr>
      <w:r>
        <w:t>There is a mutuality in God’s relationship with us. He acknowledges us in the sense of recognizing who we are and taking action to see that our needs are met.</w:t>
      </w:r>
      <w:r w:rsidR="00851BC1">
        <w:t xml:space="preserve"> We acknowledge him in the sense of recognizing who he is and relying on him rather than on other resources.</w:t>
      </w:r>
    </w:p>
    <w:p w:rsidR="00851BC1" w:rsidRDefault="00851BC1" w:rsidP="009652A7">
      <w:pPr>
        <w:pStyle w:val="ListParagraph"/>
        <w:numPr>
          <w:ilvl w:val="0"/>
          <w:numId w:val="17"/>
        </w:numPr>
        <w:ind w:left="360"/>
      </w:pPr>
      <w:r>
        <w:t>Experiencing God’s provision easily leads to a happiness that issues in putting God out of mind.</w:t>
      </w:r>
    </w:p>
    <w:p w:rsidR="00851BC1" w:rsidRDefault="00851BC1" w:rsidP="009652A7">
      <w:pPr>
        <w:pStyle w:val="ListParagraph"/>
        <w:numPr>
          <w:ilvl w:val="0"/>
          <w:numId w:val="17"/>
        </w:numPr>
        <w:ind w:left="360"/>
      </w:pPr>
      <w:r>
        <w:t xml:space="preserve">God’s acting in response to our disregard of him can involve a frightening fierceness. </w:t>
      </w:r>
      <w:r w:rsidR="00E22A4A">
        <w:t>“Hosea 13 reminds us of God’s impenetrability. We cannot fashion God into our own image and put God into a box.”</w:t>
      </w:r>
      <w:r w:rsidR="00E22A4A" w:rsidRPr="00E22A4A">
        <w:rPr>
          <w:vertAlign w:val="superscript"/>
        </w:rPr>
        <w:footnoteReference w:id="606"/>
      </w:r>
    </w:p>
    <w:p w:rsidR="00FC0486" w:rsidRDefault="00C81F2C" w:rsidP="009652A7">
      <w:pPr>
        <w:pStyle w:val="ListParagraph"/>
        <w:numPr>
          <w:ilvl w:val="0"/>
          <w:numId w:val="17"/>
        </w:numPr>
        <w:ind w:left="360"/>
      </w:pPr>
      <w:r>
        <w:t>It’s possible for the framework of prayer to be</w:t>
      </w:r>
      <w:r w:rsidR="00851BC1">
        <w:t xml:space="preserve"> misguided and for God’s granting of </w:t>
      </w:r>
      <w:r w:rsidR="006D3347">
        <w:t xml:space="preserve">a </w:t>
      </w:r>
      <w:r w:rsidR="00851BC1">
        <w:t>prayer an</w:t>
      </w:r>
      <w:r w:rsidR="00705826">
        <w:t xml:space="preserve">d for God’s gifts thus to be </w:t>
      </w:r>
      <w:r w:rsidR="00851BC1">
        <w:t>expression</w:t>
      </w:r>
      <w:r w:rsidR="00705826">
        <w:t>s</w:t>
      </w:r>
      <w:r w:rsidR="00851BC1">
        <w:t xml:space="preserve"> of anger. This pattern can become an ongoing process. We ask, God</w:t>
      </w:r>
      <w:r w:rsidR="000664DB">
        <w:t xml:space="preserve"> gives. </w:t>
      </w:r>
      <w:r w:rsidR="00851BC1">
        <w:t xml:space="preserve">We regret, God takes away. We ask again, God gives again. We regret, God takes away </w:t>
      </w:r>
      <w:r w:rsidR="00851BC1">
        <w:lastRenderedPageBreak/>
        <w:t>again. God</w:t>
      </w:r>
      <w:r w:rsidR="00FC0486">
        <w:t xml:space="preserve"> is involved in both the accession</w:t>
      </w:r>
      <w:r w:rsidR="00851BC1">
        <w:t xml:space="preserve"> of leaders </w:t>
      </w:r>
      <w:r w:rsidR="00FC0486">
        <w:t xml:space="preserve">and </w:t>
      </w:r>
      <w:r w:rsidR="00851BC1">
        <w:t xml:space="preserve">in </w:t>
      </w:r>
      <w:r w:rsidR="00FC0486">
        <w:t>the toppling.</w:t>
      </w:r>
      <w:r w:rsidR="00851BC1">
        <w:t xml:space="preserve"> We never give up thinking that the next new leader may be the Messiah.</w:t>
      </w:r>
      <w:r w:rsidR="000664DB">
        <w:t xml:space="preserve"> </w:t>
      </w:r>
    </w:p>
    <w:p w:rsidR="003E605C" w:rsidRDefault="009B6019" w:rsidP="009652A7">
      <w:pPr>
        <w:pStyle w:val="ListParagraph"/>
        <w:numPr>
          <w:ilvl w:val="0"/>
          <w:numId w:val="17"/>
        </w:numPr>
        <w:ind w:left="360"/>
      </w:pPr>
      <w:r>
        <w:t xml:space="preserve">Paul </w:t>
      </w:r>
      <w:r w:rsidR="005C41B3">
        <w:t>quotes v. 14bαβ</w:t>
      </w:r>
      <w:r w:rsidR="003E605C">
        <w:t xml:space="preserve"> </w:t>
      </w:r>
      <w:r w:rsidR="00F5628A">
        <w:t xml:space="preserve">in connection with </w:t>
      </w:r>
      <w:r w:rsidR="005C41B3">
        <w:t xml:space="preserve">the prospect of </w:t>
      </w:r>
      <w:r w:rsidR="00F5628A">
        <w:t>our final resurrection</w:t>
      </w:r>
      <w:r w:rsidR="003E605C">
        <w:t>: “Where, death, is your victory? Where, death, is your sting?” (1 Cor</w:t>
      </w:r>
      <w:r w:rsidR="00705826">
        <w:t>.</w:t>
      </w:r>
      <w:r w:rsidR="003E605C">
        <w:t xml:space="preserve"> 15:55). </w:t>
      </w:r>
    </w:p>
    <w:p w:rsidR="00F5628A" w:rsidRDefault="00F5628A" w:rsidP="00F5628A">
      <w:pPr>
        <w:pStyle w:val="ListParagraph"/>
        <w:ind w:left="360" w:firstLine="0"/>
      </w:pPr>
    </w:p>
    <w:p w:rsidR="007E7072" w:rsidRDefault="007E7072" w:rsidP="00DD3A10">
      <w:pPr>
        <w:pStyle w:val="Quote"/>
      </w:pPr>
      <w:r>
        <w:t xml:space="preserve">The Apostles do not avowedly at all times adduce passages, which in their whole context apply to the subject they handle; but sometimes they allude to a word only, sometimes they apply a passage to a subject in the way of resemblance, and sometimes they bring forward passages as testimonies. When the Apostles use the testimonies of Scripture, then the genuine and real truth must be sought out; but when they glance only at one word, there is no occasion to make any anxious inquiry; and when they quote any passage of Scripture in the way of resemblance, it is a too scrupulous anxiety to seek out how all the parts agree. But it is quite evident that Paul, in </w:t>
      </w:r>
      <w:r w:rsidRPr="007E7072">
        <w:t xml:space="preserve">1 </w:t>
      </w:r>
      <w:r>
        <w:t>Cor. xv., has not quoted the testimony of the Prophet for the purpose of confirming t</w:t>
      </w:r>
      <w:r w:rsidR="003E605C">
        <w:t>he doctrine of which he speaks…. T</w:t>
      </w:r>
      <w:r>
        <w:t>he simple object of Paul is, to extol by these striking words that incredible power of God, which is beyond the reach of human understanding.</w:t>
      </w:r>
      <w:r>
        <w:rPr>
          <w:rStyle w:val="FootnoteReference"/>
        </w:rPr>
        <w:footnoteReference w:id="607"/>
      </w:r>
    </w:p>
    <w:p w:rsidR="00F5628A" w:rsidRDefault="00F5628A" w:rsidP="007E7072"/>
    <w:p w:rsidR="00F5628A" w:rsidRDefault="003E605C" w:rsidP="006D3347">
      <w:pPr>
        <w:pStyle w:val="ListParagraph"/>
        <w:ind w:left="360" w:firstLine="0"/>
      </w:pPr>
      <w:r>
        <w:t xml:space="preserve">Hosea declares that God will not overwhelm the power of </w:t>
      </w:r>
      <w:r w:rsidR="005C41B3">
        <w:t>death; Paul declares that he will do so. Yet it is not the case that the New Testament sees Jesus as thereby answerin</w:t>
      </w:r>
      <w:r w:rsidR="00705826">
        <w:t>g or going beyond Hosea. I</w:t>
      </w:r>
      <w:r w:rsidR="005C41B3">
        <w:t xml:space="preserve">n other contexts Hosea makes equivalents to the same affirmation </w:t>
      </w:r>
      <w:r w:rsidR="00705826">
        <w:t>as Paul.  And</w:t>
      </w:r>
      <w:r w:rsidR="005C41B3">
        <w:t xml:space="preserve"> in other contexts the New Testament makes clear that death will have its way with people who turn away from God, as Hosea says. Hosea and Paul say the same thing about God, death, and life. The difference is that Paul knows that it is through Jesus that the promise of life is fulfilled, and that its fulfillment has an effect beyond the She</w:t>
      </w:r>
      <w:r w:rsidR="00705826">
        <w:t>’</w:t>
      </w:r>
      <w:r w:rsidR="005C41B3">
        <w:t>ol to which all must go unless they happen to be still alive when Jesus comes.</w:t>
      </w:r>
    </w:p>
    <w:p w:rsidR="00D367CD" w:rsidRDefault="006B5F16" w:rsidP="00EF7B98">
      <w:pPr>
        <w:pStyle w:val="Heading1"/>
      </w:pPr>
      <w:r>
        <w:t>Hosea 14:1-8</w:t>
      </w:r>
      <w:r w:rsidR="00E94DFB">
        <w:t xml:space="preserve"> [2-9]</w:t>
      </w:r>
      <w:r w:rsidR="00D367CD">
        <w:t>: The Final Bidding</w:t>
      </w:r>
    </w:p>
    <w:p w:rsidR="00D367CD" w:rsidRDefault="00D367CD" w:rsidP="001D3546">
      <w:pPr>
        <w:pStyle w:val="Heading2"/>
      </w:pPr>
      <w:r w:rsidRPr="00EC06DF">
        <w:t>Translation</w:t>
      </w:r>
    </w:p>
    <w:p w:rsidR="00D367CD" w:rsidRDefault="00D367CD" w:rsidP="00D367CD">
      <w:r>
        <w:rPr>
          <w:vertAlign w:val="superscript"/>
        </w:rPr>
        <w:t>1</w:t>
      </w:r>
      <w:r w:rsidR="00916D57">
        <w:t>Do turn back,</w:t>
      </w:r>
      <w:r w:rsidR="00487BD6">
        <w:rPr>
          <w:rStyle w:val="FootnoteReference"/>
        </w:rPr>
        <w:footnoteReference w:id="608"/>
      </w:r>
      <w:r w:rsidR="00916D57">
        <w:t xml:space="preserve"> </w:t>
      </w:r>
      <w:r w:rsidR="00916D57" w:rsidRPr="00916D57">
        <w:t>Yiśrā’ēl</w:t>
      </w:r>
      <w:r w:rsidR="00916D57">
        <w:t>,</w:t>
      </w:r>
      <w:r>
        <w:t xml:space="preserve"> to</w:t>
      </w:r>
      <w:r w:rsidR="0021592F">
        <w:rPr>
          <w:rStyle w:val="FootnoteReference"/>
        </w:rPr>
        <w:footnoteReference w:id="609"/>
      </w:r>
      <w:r>
        <w:t xml:space="preserve"> Yahweh your God, </w:t>
      </w:r>
    </w:p>
    <w:p w:rsidR="00D367CD" w:rsidRDefault="00AB41C2" w:rsidP="00D367CD">
      <w:r>
        <w:tab/>
        <w:t>because you’</w:t>
      </w:r>
      <w:r w:rsidR="00D367CD">
        <w:t>ve collapsed through your waywardness.</w:t>
      </w:r>
    </w:p>
    <w:p w:rsidR="00D367CD" w:rsidRDefault="00D367CD" w:rsidP="00D367CD">
      <w:r>
        <w:rPr>
          <w:vertAlign w:val="superscript"/>
        </w:rPr>
        <w:t>2</w:t>
      </w:r>
      <w:r>
        <w:t xml:space="preserve">Take words with you, </w:t>
      </w:r>
    </w:p>
    <w:p w:rsidR="00C7141A" w:rsidRDefault="00C7141A" w:rsidP="00D367CD">
      <w:r>
        <w:tab/>
        <w:t xml:space="preserve">and </w:t>
      </w:r>
      <w:r w:rsidR="00717B8F">
        <w:t xml:space="preserve">as you </w:t>
      </w:r>
      <w:r>
        <w:t>turn back to Yahweh, s</w:t>
      </w:r>
      <w:r w:rsidR="00DC5CF6">
        <w:t xml:space="preserve">ay to him, </w:t>
      </w:r>
    </w:p>
    <w:p w:rsidR="00D367CD" w:rsidRDefault="00DC5CF6" w:rsidP="00D367CD">
      <w:r>
        <w:t>“</w:t>
      </w:r>
      <w:r w:rsidR="00DE032F">
        <w:t>For each person</w:t>
      </w:r>
      <w:r w:rsidR="00772B1C">
        <w:t>,</w:t>
      </w:r>
      <w:r w:rsidR="00772B1C">
        <w:rPr>
          <w:rStyle w:val="FootnoteReference"/>
        </w:rPr>
        <w:footnoteReference w:id="610"/>
      </w:r>
      <w:r w:rsidR="00487BD6">
        <w:t xml:space="preserve"> </w:t>
      </w:r>
      <w:r w:rsidR="00772B1C">
        <w:t>carry</w:t>
      </w:r>
      <w:r w:rsidR="005953E0">
        <w:t xml:space="preserve"> waywardness</w:t>
      </w:r>
      <w:r w:rsidR="00C7141A">
        <w:t>,</w:t>
      </w:r>
    </w:p>
    <w:p w:rsidR="005953E0" w:rsidRDefault="005953E0" w:rsidP="00D367CD">
      <w:r>
        <w:tab/>
        <w:t>t</w:t>
      </w:r>
      <w:r w:rsidR="00DC5CF6">
        <w:t>ake</w:t>
      </w:r>
      <w:r w:rsidR="00EE4369">
        <w:rPr>
          <w:rStyle w:val="FootnoteReference"/>
        </w:rPr>
        <w:footnoteReference w:id="611"/>
      </w:r>
      <w:r w:rsidR="00DC5CF6">
        <w:t xml:space="preserve"> </w:t>
      </w:r>
      <w:r w:rsidR="00574473">
        <w:t>something</w:t>
      </w:r>
      <w:r w:rsidR="00DC5CF6">
        <w:t xml:space="preserve"> good</w:t>
      </w:r>
      <w:r w:rsidR="00C7141A">
        <w:t>, so w</w:t>
      </w:r>
      <w:r>
        <w:t xml:space="preserve">e </w:t>
      </w:r>
      <w:r w:rsidR="00F363CA">
        <w:t xml:space="preserve">may </w:t>
      </w:r>
      <w:r w:rsidR="001A01F3">
        <w:t>re</w:t>
      </w:r>
      <w:r w:rsidR="00F363CA">
        <w:t>nder</w:t>
      </w:r>
      <w:r w:rsidR="00A2687D">
        <w:rPr>
          <w:rStyle w:val="FootnoteReference"/>
        </w:rPr>
        <w:footnoteReference w:id="612"/>
      </w:r>
      <w:r w:rsidR="00A2687D">
        <w:t xml:space="preserve"> </w:t>
      </w:r>
      <w:r>
        <w:t>our lips</w:t>
      </w:r>
      <w:r w:rsidR="00923722">
        <w:t xml:space="preserve"> </w:t>
      </w:r>
      <w:r w:rsidR="00923722" w:rsidRPr="00923722">
        <w:t>as bulls</w:t>
      </w:r>
      <w:r>
        <w:t>.</w:t>
      </w:r>
      <w:r w:rsidR="00170A4E">
        <w:rPr>
          <w:rStyle w:val="FootnoteReference"/>
        </w:rPr>
        <w:footnoteReference w:id="613"/>
      </w:r>
    </w:p>
    <w:p w:rsidR="00574473" w:rsidRDefault="00916D57" w:rsidP="00D367CD">
      <w:r>
        <w:rPr>
          <w:vertAlign w:val="superscript"/>
        </w:rPr>
        <w:lastRenderedPageBreak/>
        <w:t>3</w:t>
      </w:r>
      <w:r w:rsidR="00574473" w:rsidRPr="00574473">
        <w:t>’Aššür</w:t>
      </w:r>
      <w:r w:rsidR="00574473">
        <w:t xml:space="preserve">—it will not deliver us; </w:t>
      </w:r>
    </w:p>
    <w:p w:rsidR="00574473" w:rsidRDefault="00574473" w:rsidP="00D367CD">
      <w:r>
        <w:tab/>
        <w:t>on horse we will not ride.</w:t>
      </w:r>
    </w:p>
    <w:p w:rsidR="00574473" w:rsidRDefault="00574473" w:rsidP="00D367CD">
      <w:r>
        <w:t>We will no more say ‘Our god’</w:t>
      </w:r>
      <w:r w:rsidR="00883820">
        <w:rPr>
          <w:rStyle w:val="FootnoteReference"/>
        </w:rPr>
        <w:footnoteReference w:id="614"/>
      </w:r>
      <w:r>
        <w:t xml:space="preserve"> </w:t>
      </w:r>
    </w:p>
    <w:p w:rsidR="00916D57" w:rsidRDefault="00574473" w:rsidP="00D367CD">
      <w:r>
        <w:tab/>
      </w:r>
      <w:r w:rsidR="00B44E45">
        <w:t>to the work</w:t>
      </w:r>
      <w:r w:rsidR="00916D57">
        <w:t xml:space="preserve"> of our hands, </w:t>
      </w:r>
    </w:p>
    <w:p w:rsidR="00574473" w:rsidRDefault="00916D57" w:rsidP="00D367CD">
      <w:r>
        <w:tab/>
      </w:r>
      <w:r w:rsidR="00347F05">
        <w:t>because</w:t>
      </w:r>
      <w:r>
        <w:t xml:space="preserve"> </w:t>
      </w:r>
      <w:r w:rsidR="00347F05">
        <w:t>through you an orphan is shown compassion</w:t>
      </w:r>
      <w:r>
        <w:t>.</w:t>
      </w:r>
      <w:r w:rsidR="00487BD6">
        <w:t>”</w:t>
      </w:r>
    </w:p>
    <w:p w:rsidR="004E4AB8" w:rsidRDefault="004E4AB8" w:rsidP="00D367CD"/>
    <w:p w:rsidR="00916D57" w:rsidRDefault="00916D57" w:rsidP="00D367CD">
      <w:r>
        <w:rPr>
          <w:vertAlign w:val="superscript"/>
        </w:rPr>
        <w:t>4</w:t>
      </w:r>
      <w:r>
        <w:t>I will heal their turning</w:t>
      </w:r>
      <w:r w:rsidR="00FE28D5">
        <w:t xml:space="preserve"> back</w:t>
      </w:r>
      <w:r>
        <w:t xml:space="preserve">, I will love them </w:t>
      </w:r>
      <w:r w:rsidR="00677740">
        <w:t>with generosit</w:t>
      </w:r>
      <w:r>
        <w:t xml:space="preserve">y, </w:t>
      </w:r>
    </w:p>
    <w:p w:rsidR="00916D57" w:rsidRDefault="00916D57" w:rsidP="00D367CD">
      <w:r>
        <w:tab/>
        <w:t xml:space="preserve">because my anger has turned </w:t>
      </w:r>
      <w:r w:rsidR="009E34A2">
        <w:t xml:space="preserve">back </w:t>
      </w:r>
      <w:r>
        <w:t>from it.</w:t>
      </w:r>
      <w:r w:rsidR="00EE4369">
        <w:rPr>
          <w:rStyle w:val="FootnoteReference"/>
        </w:rPr>
        <w:footnoteReference w:id="615"/>
      </w:r>
    </w:p>
    <w:p w:rsidR="00916D57" w:rsidRDefault="00916D57" w:rsidP="00916D57">
      <w:r>
        <w:rPr>
          <w:vertAlign w:val="superscript"/>
        </w:rPr>
        <w:t>5</w:t>
      </w:r>
      <w:r w:rsidR="00D71B41">
        <w:t xml:space="preserve">I will be like </w:t>
      </w:r>
      <w:r>
        <w:t xml:space="preserve">dew to </w:t>
      </w:r>
      <w:r w:rsidRPr="00916D57">
        <w:t>Yiśrā’ēl</w:t>
      </w:r>
      <w:r>
        <w:t xml:space="preserve">, </w:t>
      </w:r>
    </w:p>
    <w:p w:rsidR="00D367CD" w:rsidRDefault="00916D57" w:rsidP="00916D57">
      <w:r>
        <w:tab/>
      </w:r>
      <w:r w:rsidR="00DD7120">
        <w:t>so it</w:t>
      </w:r>
      <w:r w:rsidR="00D71B41">
        <w:t xml:space="preserve"> will blossom like a wild flower.</w:t>
      </w:r>
      <w:r w:rsidR="00D71B41">
        <w:rPr>
          <w:rStyle w:val="FootnoteReference"/>
        </w:rPr>
        <w:footnoteReference w:id="616"/>
      </w:r>
    </w:p>
    <w:p w:rsidR="00916D57" w:rsidRDefault="00D71B41" w:rsidP="00916D57">
      <w:r>
        <w:t>And</w:t>
      </w:r>
      <w:r>
        <w:rPr>
          <w:rStyle w:val="FootnoteReference"/>
        </w:rPr>
        <w:footnoteReference w:id="617"/>
      </w:r>
      <w:r>
        <w:t xml:space="preserve"> it</w:t>
      </w:r>
      <w:r w:rsidR="00DD7120">
        <w:t xml:space="preserve"> will stri</w:t>
      </w:r>
      <w:r w:rsidR="00916D57">
        <w:t>k</w:t>
      </w:r>
      <w:r w:rsidR="00DD7120">
        <w:t>e</w:t>
      </w:r>
      <w:r w:rsidR="00916D57">
        <w:t xml:space="preserve"> its roots like </w:t>
      </w:r>
      <w:r w:rsidR="00720E94">
        <w:t xml:space="preserve">the </w:t>
      </w:r>
      <w:r w:rsidR="00916D57">
        <w:t>Ləbānô</w:t>
      </w:r>
      <w:r w:rsidR="00DD7120">
        <w:t>n,</w:t>
      </w:r>
      <w:r w:rsidR="006B5F16" w:rsidRPr="006B5F16">
        <w:rPr>
          <w:vertAlign w:val="superscript"/>
        </w:rPr>
        <w:footnoteReference w:id="618"/>
      </w:r>
      <w:r w:rsidR="00916D57">
        <w:t xml:space="preserve"> </w:t>
      </w:r>
    </w:p>
    <w:p w:rsidR="00916D57" w:rsidRDefault="00916D57" w:rsidP="00916D57">
      <w:r>
        <w:tab/>
      </w:r>
      <w:r>
        <w:rPr>
          <w:vertAlign w:val="superscript"/>
        </w:rPr>
        <w:t>6</w:t>
      </w:r>
      <w:r w:rsidR="000F6FB2">
        <w:t>so its tendrils</w:t>
      </w:r>
      <w:r w:rsidR="00303F7C">
        <w:t xml:space="preserve"> will travel</w:t>
      </w:r>
      <w:r w:rsidR="00720E94">
        <w:t>.</w:t>
      </w:r>
    </w:p>
    <w:p w:rsidR="004A2E31" w:rsidRDefault="00720E94" w:rsidP="00916D57">
      <w:r>
        <w:t>And i</w:t>
      </w:r>
      <w:r w:rsidR="00916D57">
        <w:t xml:space="preserve">ts </w:t>
      </w:r>
      <w:r w:rsidR="000E0891">
        <w:t>majesty</w:t>
      </w:r>
      <w:r w:rsidR="00DD7120">
        <w:t xml:space="preserve"> </w:t>
      </w:r>
      <w:r>
        <w:t xml:space="preserve">will </w:t>
      </w:r>
      <w:r w:rsidR="00DD7120">
        <w:t>beco</w:t>
      </w:r>
      <w:r w:rsidR="004A2E31">
        <w:t>me like the olive</w:t>
      </w:r>
      <w:r w:rsidR="000E0891">
        <w:t xml:space="preserve"> tree</w:t>
      </w:r>
      <w:r w:rsidR="004A2E31">
        <w:t xml:space="preserve">, </w:t>
      </w:r>
    </w:p>
    <w:p w:rsidR="00916D57" w:rsidRDefault="004A2E31" w:rsidP="00916D57">
      <w:r>
        <w:tab/>
        <w:t xml:space="preserve">the smell of it like </w:t>
      </w:r>
      <w:r w:rsidR="00A44BF1">
        <w:t xml:space="preserve">the </w:t>
      </w:r>
      <w:r w:rsidRPr="004A2E31">
        <w:t>Ləbānôn</w:t>
      </w:r>
      <w:r>
        <w:t>.</w:t>
      </w:r>
    </w:p>
    <w:p w:rsidR="004A2E31" w:rsidRDefault="004A2E31" w:rsidP="00916D57">
      <w:r>
        <w:rPr>
          <w:vertAlign w:val="superscript"/>
        </w:rPr>
        <w:t>7</w:t>
      </w:r>
      <w:r>
        <w:t>People who</w:t>
      </w:r>
      <w:r w:rsidR="00767A77">
        <w:t xml:space="preserve"> sit</w:t>
      </w:r>
      <w:r w:rsidR="00EE4369">
        <w:rPr>
          <w:rStyle w:val="FootnoteReference"/>
        </w:rPr>
        <w:footnoteReference w:id="619"/>
      </w:r>
      <w:r w:rsidR="00767A77">
        <w:t xml:space="preserve"> in its</w:t>
      </w:r>
      <w:r w:rsidR="00EE4369">
        <w:rPr>
          <w:rStyle w:val="FootnoteReference"/>
        </w:rPr>
        <w:footnoteReference w:id="620"/>
      </w:r>
      <w:r w:rsidR="00767A77">
        <w:t xml:space="preserve"> shade will come back</w:t>
      </w:r>
      <w:r w:rsidR="00767A77">
        <w:rPr>
          <w:rStyle w:val="FootnoteReference"/>
        </w:rPr>
        <w:footnoteReference w:id="621"/>
      </w:r>
      <w:r>
        <w:t xml:space="preserve"> </w:t>
      </w:r>
    </w:p>
    <w:p w:rsidR="004A2E31" w:rsidRDefault="00767A77" w:rsidP="00916D57">
      <w:r>
        <w:tab/>
        <w:t>to</w:t>
      </w:r>
      <w:r w:rsidR="00996B09">
        <w:t xml:space="preserve"> bring</w:t>
      </w:r>
      <w:r>
        <w:t>ing</w:t>
      </w:r>
      <w:r w:rsidR="009441E6">
        <w:t xml:space="preserve"> wheat</w:t>
      </w:r>
      <w:r w:rsidR="004966CA">
        <w:rPr>
          <w:rStyle w:val="FootnoteReference"/>
        </w:rPr>
        <w:footnoteReference w:id="622"/>
      </w:r>
      <w:r w:rsidR="00996B09">
        <w:t xml:space="preserve"> to life</w:t>
      </w:r>
      <w:r w:rsidR="004A2E31">
        <w:t>.</w:t>
      </w:r>
      <w:r w:rsidR="00883820">
        <w:rPr>
          <w:rStyle w:val="FootnoteReference"/>
        </w:rPr>
        <w:footnoteReference w:id="623"/>
      </w:r>
    </w:p>
    <w:p w:rsidR="004A2E31" w:rsidRDefault="004A2E31" w:rsidP="00916D57">
      <w:r>
        <w:t xml:space="preserve">They will blossom like the vine, </w:t>
      </w:r>
    </w:p>
    <w:p w:rsidR="004A2E31" w:rsidRDefault="00494057" w:rsidP="00916D57">
      <w:r>
        <w:tab/>
        <w:t>its fame</w:t>
      </w:r>
      <w:r>
        <w:rPr>
          <w:rStyle w:val="FootnoteReference"/>
        </w:rPr>
        <w:footnoteReference w:id="624"/>
      </w:r>
      <w:r w:rsidR="004A2E31">
        <w:t xml:space="preserve"> like the wine of </w:t>
      </w:r>
      <w:r w:rsidR="004A2E31" w:rsidRPr="004A2E31">
        <w:t>Ləbānôn</w:t>
      </w:r>
      <w:r w:rsidR="004A2E31">
        <w:t>.</w:t>
      </w:r>
    </w:p>
    <w:p w:rsidR="00AA47FD" w:rsidRDefault="00AA47FD" w:rsidP="00916D57"/>
    <w:p w:rsidR="004A2E31" w:rsidRDefault="004A2E31" w:rsidP="00916D57">
      <w:r>
        <w:rPr>
          <w:vertAlign w:val="superscript"/>
        </w:rPr>
        <w:t>8</w:t>
      </w:r>
      <w:r>
        <w:t>Ephrayim:</w:t>
      </w:r>
      <w:r w:rsidR="005E2A24">
        <w:rPr>
          <w:rStyle w:val="FootnoteReference"/>
        </w:rPr>
        <w:footnoteReference w:id="625"/>
      </w:r>
      <w:r>
        <w:t xml:space="preserve"> </w:t>
      </w:r>
      <w:r w:rsidR="007821A0">
        <w:t>“W</w:t>
      </w:r>
      <w:r>
        <w:t>hat more is there for me</w:t>
      </w:r>
      <w:r w:rsidR="00BF7AAF">
        <w:rPr>
          <w:rStyle w:val="FootnoteReference"/>
        </w:rPr>
        <w:footnoteReference w:id="626"/>
      </w:r>
      <w:r>
        <w:t xml:space="preserve"> regarding idols?</w:t>
      </w:r>
      <w:r w:rsidR="007821A0">
        <w:t>”</w:t>
      </w:r>
      <w:r>
        <w:t>—</w:t>
      </w:r>
    </w:p>
    <w:p w:rsidR="004A2E31" w:rsidRDefault="004A2E31" w:rsidP="00916D57">
      <w:r>
        <w:tab/>
        <w:t xml:space="preserve">I am the one who </w:t>
      </w:r>
      <w:r w:rsidR="00DB4217">
        <w:t>has aver</w:t>
      </w:r>
      <w:r>
        <w:t>red</w:t>
      </w:r>
      <w:r w:rsidR="00DB4217">
        <w:rPr>
          <w:rStyle w:val="FootnoteReference"/>
        </w:rPr>
        <w:footnoteReference w:id="627"/>
      </w:r>
      <w:r w:rsidR="00EE44B6">
        <w:t xml:space="preserve"> and kept watch for </w:t>
      </w:r>
      <w:r>
        <w:t>it.</w:t>
      </w:r>
      <w:r w:rsidR="00DF3AE6">
        <w:rPr>
          <w:rStyle w:val="FootnoteReference"/>
        </w:rPr>
        <w:footnoteReference w:id="628"/>
      </w:r>
    </w:p>
    <w:p w:rsidR="004A2E31" w:rsidRDefault="007821A0" w:rsidP="00916D57">
      <w:r>
        <w:t>“</w:t>
      </w:r>
      <w:r w:rsidR="00EE44B6">
        <w:t>I am like a flourishing juniper</w:t>
      </w:r>
      <w:r>
        <w:t>”—</w:t>
      </w:r>
    </w:p>
    <w:p w:rsidR="004A2E31" w:rsidRDefault="00536495" w:rsidP="00916D57">
      <w:r>
        <w:tab/>
        <w:t xml:space="preserve">through </w:t>
      </w:r>
      <w:r w:rsidR="005E2A24">
        <w:t>me your fruit has been</w:t>
      </w:r>
      <w:r w:rsidR="004A2E31">
        <w:t xml:space="preserve"> found.</w:t>
      </w:r>
    </w:p>
    <w:p w:rsidR="004A2E31" w:rsidRDefault="004A2E31" w:rsidP="00916D57"/>
    <w:p w:rsidR="004E4AB8" w:rsidRDefault="004E4AB8" w:rsidP="001D3546">
      <w:pPr>
        <w:pStyle w:val="Heading2"/>
      </w:pPr>
      <w:r>
        <w:lastRenderedPageBreak/>
        <w:t>Interpretation</w:t>
      </w:r>
    </w:p>
    <w:p w:rsidR="00257FAE" w:rsidRPr="00257FAE" w:rsidRDefault="000C193C" w:rsidP="00257FAE">
      <w:r>
        <w:t xml:space="preserve">The last </w:t>
      </w:r>
      <w:r w:rsidR="006454D0">
        <w:t>petuh</w:t>
      </w:r>
      <w:r>
        <w:t xml:space="preserve">ah in MT came after 13:16 </w:t>
      </w:r>
      <w:r w:rsidR="00067816">
        <w:t xml:space="preserve">[14:1: that is, </w:t>
      </w:r>
      <w:r>
        <w:t>the printed Hebrew Bible st</w:t>
      </w:r>
      <w:r w:rsidR="00067816">
        <w:t>arts the final chapter there]</w:t>
      </w:r>
      <w:r w:rsidR="0056038D">
        <w:t>. T</w:t>
      </w:r>
      <w:r w:rsidR="004E4AB8">
        <w:t xml:space="preserve">he imperative </w:t>
      </w:r>
      <w:r w:rsidR="00725DD7">
        <w:t xml:space="preserve">in 14:1 [2] </w:t>
      </w:r>
      <w:r w:rsidR="004E4AB8">
        <w:t>signals t</w:t>
      </w:r>
      <w:r w:rsidR="0056038D">
        <w:t>he beginning of a section, which</w:t>
      </w:r>
      <w:r w:rsidR="004E4AB8">
        <w:t xml:space="preserve"> constitutes Hosea’s closi</w:t>
      </w:r>
      <w:r w:rsidR="005D13FA">
        <w:t>ng exhortation to Ephraim, but this closing section</w:t>
      </w:r>
      <w:r>
        <w:t xml:space="preserve"> </w:t>
      </w:r>
      <w:r w:rsidR="005D13FA">
        <w:t xml:space="preserve">is </w:t>
      </w:r>
      <w:r w:rsidR="004E4AB8">
        <w:t>dominated b</w:t>
      </w:r>
      <w:r w:rsidR="007C7AE7">
        <w:t>y promises about how fruitful Ephraim’</w:t>
      </w:r>
      <w:r w:rsidR="004E4AB8">
        <w:t>s life will be as it responds.</w:t>
      </w:r>
      <w:r w:rsidR="004D34CB">
        <w:t xml:space="preserve"> The section </w:t>
      </w:r>
      <w:r w:rsidR="007C7AE7">
        <w:t>round</w:t>
      </w:r>
      <w:r w:rsidR="004D34CB">
        <w:t>s</w:t>
      </w:r>
      <w:r w:rsidR="007C7AE7">
        <w:t xml:space="preserve"> off Hosea’s message by taking up many word</w:t>
      </w:r>
      <w:r w:rsidR="004D34CB">
        <w:t xml:space="preserve">s and ideas from the entire </w:t>
      </w:r>
      <w:r w:rsidR="007C7AE7">
        <w:t>scroll so far</w:t>
      </w:r>
      <w:r w:rsidR="000C6A45">
        <w:t xml:space="preserve">. It takes up </w:t>
      </w:r>
      <w:r w:rsidR="00AA0124">
        <w:t xml:space="preserve">not least </w:t>
      </w:r>
      <w:r w:rsidR="00CA27E9">
        <w:t>the promises in 2:14-23 [16-25] and chapters 1—3 more generally, which it “reinterprets, reverses and resolves</w:t>
      </w:r>
      <w:r w:rsidR="00AA0124">
        <w:t>.</w:t>
      </w:r>
      <w:r w:rsidR="00CA27E9">
        <w:t>”</w:t>
      </w:r>
      <w:r w:rsidR="00CA27E9">
        <w:rPr>
          <w:rStyle w:val="FootnoteReference"/>
        </w:rPr>
        <w:footnoteReference w:id="629"/>
      </w:r>
      <w:r w:rsidR="00AA0124">
        <w:t xml:space="preserve"> </w:t>
      </w:r>
      <w:r w:rsidR="000C6A45">
        <w:t>It speaks of the collapse of Ephraim as now past rather than threatened</w:t>
      </w:r>
      <w:r w:rsidR="00725DD7">
        <w:t xml:space="preserve"> (it</w:t>
      </w:r>
      <w:r w:rsidR="00725DD7" w:rsidRPr="00725DD7">
        <w:t xml:space="preserve"> appears in synagogue lectionaries for the Ninth of Av, in connection with lamenting the destructions of the temple</w:t>
      </w:r>
      <w:r w:rsidR="00725DD7">
        <w:t>)</w:t>
      </w:r>
      <w:r w:rsidR="00725DD7" w:rsidRPr="00725DD7">
        <w:t>.</w:t>
      </w:r>
      <w:r w:rsidR="00725DD7" w:rsidRPr="00725DD7">
        <w:rPr>
          <w:vertAlign w:val="superscript"/>
        </w:rPr>
        <w:footnoteReference w:id="630"/>
      </w:r>
      <w:r w:rsidR="00725DD7">
        <w:t xml:space="preserve"> It s</w:t>
      </w:r>
      <w:r w:rsidR="000C6A45">
        <w:t>ays to Ephraimites who have survived the disaster (perhaps people who have moved to Juda</w:t>
      </w:r>
      <w:r w:rsidR="00725DD7">
        <w:t>h</w:t>
      </w:r>
      <w:r w:rsidR="000C6A45">
        <w:t xml:space="preserve">) and to Judahites, “Now will you learn the lesson?” </w:t>
      </w:r>
      <w:r w:rsidR="00AA0124">
        <w:t>Whereas the rest of the scroll has worked consistently with a tension between threat and promise, here tension disappears. In its visionary world, Ephraim at last turns back and Yahweh heals. But rhetoricall</w:t>
      </w:r>
      <w:r w:rsidR="004D34CB">
        <w:t>y, the dynamic stays the same: t</w:t>
      </w:r>
      <w:r w:rsidR="00AA0124">
        <w:t xml:space="preserve">he design </w:t>
      </w:r>
      <w:r w:rsidR="004D34CB">
        <w:t>of the previous exhortations, threats,</w:t>
      </w:r>
      <w:r w:rsidR="00AA0124">
        <w:t xml:space="preserve"> recollections and promises has always been to g</w:t>
      </w:r>
      <w:r w:rsidR="004D34CB">
        <w:t>et Ephraim to turn back so</w:t>
      </w:r>
      <w:r w:rsidR="00AA0124">
        <w:t xml:space="preserve"> the threats can be cancelled. The design of these promises</w:t>
      </w:r>
      <w:r w:rsidR="004D34CB">
        <w:t>, too,</w:t>
      </w:r>
      <w:r w:rsidR="00AA0124">
        <w:t xml:space="preserve"> is to ge</w:t>
      </w:r>
      <w:r w:rsidR="004D34CB">
        <w:t xml:space="preserve">t Ephraim to turn back, so </w:t>
      </w:r>
      <w:r w:rsidR="00AA0124">
        <w:t xml:space="preserve">they can be fulfilled. </w:t>
      </w:r>
    </w:p>
    <w:p w:rsidR="004E4AB8" w:rsidRDefault="004E4AB8" w:rsidP="004E4AB8"/>
    <w:p w:rsidR="00B94A37" w:rsidRPr="00B94A37" w:rsidRDefault="006B5F16" w:rsidP="004E4AB8">
      <w:r>
        <w:rPr>
          <w:b/>
        </w:rPr>
        <w:t>Hosea 14:1-3</w:t>
      </w:r>
      <w:r w:rsidR="005A613D">
        <w:rPr>
          <w:b/>
        </w:rPr>
        <w:t xml:space="preserve"> [2-4]</w:t>
      </w:r>
      <w:r w:rsidR="004E4AB8">
        <w:rPr>
          <w:b/>
        </w:rPr>
        <w:t xml:space="preserve">. </w:t>
      </w:r>
      <w:r w:rsidR="00B94A37">
        <w:t>There is admittedly some ambiguity ab</w:t>
      </w:r>
      <w:r w:rsidR="00725DD7">
        <w:t>out the situation</w:t>
      </w:r>
      <w:r w:rsidR="00B94A37">
        <w:t xml:space="preserve"> this exhortation addresses</w:t>
      </w:r>
      <w:r w:rsidR="00CD6CEA">
        <w:t xml:space="preserve">. </w:t>
      </w:r>
      <w:r w:rsidR="00725DD7">
        <w:t>While i</w:t>
      </w:r>
      <w:r w:rsidR="00CD6CEA">
        <w:t>t begins by speaking of collapse a</w:t>
      </w:r>
      <w:r w:rsidR="00B94A37">
        <w:t>s now past</w:t>
      </w:r>
      <w:r w:rsidR="00725DD7">
        <w:t>, i</w:t>
      </w:r>
      <w:r w:rsidR="00CD6CEA">
        <w:t>t goes on to urge the listeners to renounce any reliance on Assyria</w:t>
      </w:r>
      <w:r w:rsidR="00725DD7">
        <w:t>,</w:t>
      </w:r>
      <w:r w:rsidR="00CD6CEA">
        <w:t xml:space="preserve"> as i</w:t>
      </w:r>
      <w:r w:rsidR="00EC1735">
        <w:t>f the nation still stands. T</w:t>
      </w:r>
      <w:r w:rsidR="00CD6CEA">
        <w:t xml:space="preserve">he relationship of this last section to chapters 1—3 suggests that the fall of Samaria has indeed happened and </w:t>
      </w:r>
      <w:r w:rsidR="00725DD7">
        <w:t xml:space="preserve">that </w:t>
      </w:r>
      <w:r w:rsidR="00CD6CEA">
        <w:t>the exhortation relates to the nation’s survivors.</w:t>
      </w:r>
      <w:r w:rsidR="00EC1735">
        <w:t xml:space="preserve"> But for both chapters 1—3 and chapter 14, the message and promise would apply both before the collapse and afterwards.</w:t>
      </w:r>
    </w:p>
    <w:p w:rsidR="00364873" w:rsidRDefault="00CD6CEA" w:rsidP="004E4AB8">
      <w:r>
        <w:t>T</w:t>
      </w:r>
      <w:r w:rsidR="00725DD7">
        <w:t>he</w:t>
      </w:r>
      <w:r w:rsidRPr="00CD6CEA">
        <w:t xml:space="preserve"> </w:t>
      </w:r>
      <w:r w:rsidR="00725DD7">
        <w:t>bidding</w:t>
      </w:r>
      <w:r w:rsidRPr="00CD6CEA">
        <w:t xml:space="preserve"> to turn back </w:t>
      </w:r>
      <w:r>
        <w:t>(v. 1 [2]</w:t>
      </w:r>
      <w:r w:rsidR="00CF42D0">
        <w:t>: see the note)</w:t>
      </w:r>
      <w:r>
        <w:t xml:space="preserve"> </w:t>
      </w:r>
      <w:r w:rsidRPr="00CD6CEA">
        <w:t>might be heard as something</w:t>
      </w:r>
      <w:r w:rsidR="00CF42D0">
        <w:t xml:space="preserve"> like an appeal</w:t>
      </w:r>
      <w:r w:rsidR="00725DD7">
        <w:t xml:space="preserve"> rather than simply a command</w:t>
      </w:r>
      <w:r>
        <w:t xml:space="preserve">, as </w:t>
      </w:r>
      <w:r w:rsidR="00FF05A3">
        <w:t>Yahweh</w:t>
      </w:r>
      <w:r w:rsidR="005A613D">
        <w:t>’s last reference to Ephraim’s</w:t>
      </w:r>
      <w:r w:rsidR="004D34CB">
        <w:t xml:space="preserve"> turn</w:t>
      </w:r>
      <w:r w:rsidR="005A613D">
        <w:t>ing</w:t>
      </w:r>
      <w:r w:rsidR="004D34CB">
        <w:t xml:space="preserve"> back to Yahweh</w:t>
      </w:r>
      <w:r>
        <w:t xml:space="preserve"> </w:t>
      </w:r>
      <w:r w:rsidR="005A613D">
        <w:t>could be read as a soft exhortation or as a promise</w:t>
      </w:r>
      <w:r w:rsidR="00FF05A3">
        <w:t xml:space="preserve"> </w:t>
      </w:r>
      <w:r w:rsidR="005A613D">
        <w:t>(</w:t>
      </w:r>
      <w:r>
        <w:t xml:space="preserve">12:6 [7]; </w:t>
      </w:r>
      <w:r w:rsidR="00FF05A3">
        <w:t xml:space="preserve">see the </w:t>
      </w:r>
      <w:r w:rsidR="00F14F90">
        <w:t>comments</w:t>
      </w:r>
      <w:r w:rsidR="00EE4FF6">
        <w:t xml:space="preserve">). </w:t>
      </w:r>
      <w:r w:rsidR="00725DD7">
        <w:t>It addresses</w:t>
      </w:r>
      <w:r w:rsidR="00CE1E65">
        <w:t xml:space="preserve"> the people as “Israel” and urges them to turn to the one who </w:t>
      </w:r>
      <w:r w:rsidR="00546B1E">
        <w:t>is, after all</w:t>
      </w:r>
      <w:r w:rsidR="004D34CB">
        <w:t>,</w:t>
      </w:r>
      <w:r w:rsidR="00546B1E">
        <w:t xml:space="preserve"> </w:t>
      </w:r>
      <w:r w:rsidR="00B448BE">
        <w:t>“Yahweh you</w:t>
      </w:r>
      <w:r w:rsidR="00EE4FF6">
        <w:t>r</w:t>
      </w:r>
      <w:r w:rsidR="00B448BE">
        <w:t xml:space="preserve"> God”</w:t>
      </w:r>
      <w:r w:rsidR="00725DD7">
        <w:t>:</w:t>
      </w:r>
      <w:r w:rsidR="00B448BE">
        <w:t xml:space="preserve"> </w:t>
      </w:r>
      <w:r w:rsidR="00725DD7">
        <w:t>t</w:t>
      </w:r>
      <w:r w:rsidR="004D34CB" w:rsidRPr="004D34CB">
        <w:t xml:space="preserve">he expansive title </w:t>
      </w:r>
      <w:r w:rsidR="00B448BE">
        <w:t>expresses both the demands and the potential of the rela</w:t>
      </w:r>
      <w:r w:rsidR="004D34CB">
        <w:t xml:space="preserve">tionship (cf. 12:10 [9]; 13:4). Whereas </w:t>
      </w:r>
      <w:r w:rsidR="0031020C">
        <w:t xml:space="preserve">Hosea has </w:t>
      </w:r>
      <w:r w:rsidR="00257FAE">
        <w:t xml:space="preserve">previously </w:t>
      </w:r>
      <w:r w:rsidR="0031020C">
        <w:t>spoken about</w:t>
      </w:r>
      <w:r w:rsidR="00257FAE">
        <w:t xml:space="preserve"> collapse as something threatened</w:t>
      </w:r>
      <w:r w:rsidR="004D34CB">
        <w:t xml:space="preserve"> (4:5; 5:5), he</w:t>
      </w:r>
      <w:r w:rsidR="0031020C">
        <w:t xml:space="preserve"> </w:t>
      </w:r>
      <w:r w:rsidR="00EC1735">
        <w:t>does now speak</w:t>
      </w:r>
      <w:r w:rsidR="0031020C">
        <w:t xml:space="preserve"> of i</w:t>
      </w:r>
      <w:r w:rsidR="00324BCF">
        <w:t>t as something actual</w:t>
      </w:r>
      <w:r w:rsidR="00CF42D0">
        <w:t xml:space="preserve">, though he might </w:t>
      </w:r>
      <w:r w:rsidR="00364873">
        <w:t>simply mean that it has as good as happened (in 5:5 he spoke of Judah’s collapse as if it had already happened). Either way, a</w:t>
      </w:r>
      <w:r w:rsidR="00546B1E">
        <w:t xml:space="preserve">ddressing “Israel” </w:t>
      </w:r>
      <w:r w:rsidR="004D34CB">
        <w:t xml:space="preserve">just </w:t>
      </w:r>
      <w:r w:rsidR="00324BCF">
        <w:t xml:space="preserve">after commenting on </w:t>
      </w:r>
      <w:r w:rsidR="00546B1E">
        <w:t>“Samaria</w:t>
      </w:r>
      <w:r w:rsidR="00364873">
        <w:t xml:space="preserve">” in 13:16 [14:1] could </w:t>
      </w:r>
      <w:r w:rsidR="004D34CB">
        <w:t>invite</w:t>
      </w:r>
      <w:r w:rsidR="00546B1E">
        <w:t xml:space="preserve"> to Judah to learn from Ephraim’s fate,</w:t>
      </w:r>
      <w:r w:rsidR="00546B1E">
        <w:rPr>
          <w:rStyle w:val="FootnoteReference"/>
        </w:rPr>
        <w:footnoteReference w:id="631"/>
      </w:r>
      <w:r w:rsidR="00546B1E">
        <w:t xml:space="preserve"> </w:t>
      </w:r>
      <w:r w:rsidR="004D34CB">
        <w:t xml:space="preserve">an understanding </w:t>
      </w:r>
      <w:r w:rsidR="00546B1E">
        <w:t>encouraged by the printed Hebrew Bible</w:t>
      </w:r>
      <w:r w:rsidR="00704074">
        <w:t xml:space="preserve">’s </w:t>
      </w:r>
      <w:r w:rsidR="00704074" w:rsidRPr="00704074">
        <w:t>chapter divis</w:t>
      </w:r>
      <w:r w:rsidR="00704074">
        <w:t>ion</w:t>
      </w:r>
      <w:r w:rsidR="00546B1E">
        <w:t>.</w:t>
      </w:r>
      <w:r w:rsidR="00324BCF">
        <w:t xml:space="preserve"> </w:t>
      </w:r>
    </w:p>
    <w:p w:rsidR="00364873" w:rsidRDefault="00257FAE" w:rsidP="004E4AB8">
      <w:r>
        <w:t>In connection with turning, t</w:t>
      </w:r>
      <w:r w:rsidR="00571A3B">
        <w:t xml:space="preserve">here are </w:t>
      </w:r>
      <w:r w:rsidR="00324BCF">
        <w:t>words that need saying</w:t>
      </w:r>
      <w:r>
        <w:t xml:space="preserve"> (v. 2 [3])</w:t>
      </w:r>
      <w:r w:rsidR="00324BCF">
        <w:t>; Hosea again</w:t>
      </w:r>
      <w:r w:rsidR="00C13702">
        <w:t xml:space="preserve"> </w:t>
      </w:r>
      <w:r w:rsidR="00704074">
        <w:t>indicate</w:t>
      </w:r>
      <w:r w:rsidR="00324BCF">
        <w:t>s</w:t>
      </w:r>
      <w:r w:rsidR="00704074">
        <w:t xml:space="preserve"> their nature</w:t>
      </w:r>
      <w:r w:rsidR="00571A3B">
        <w:t xml:space="preserve">. </w:t>
      </w:r>
      <w:r w:rsidR="00704074">
        <w:t xml:space="preserve">Presumably </w:t>
      </w:r>
      <w:r w:rsidR="004A7CF3">
        <w:t xml:space="preserve">Ephraim will utter </w:t>
      </w:r>
      <w:r w:rsidR="00704074">
        <w:t xml:space="preserve">them </w:t>
      </w:r>
      <w:r w:rsidR="004A7CF3">
        <w:t xml:space="preserve">in a proper act of worship that contrasts </w:t>
      </w:r>
      <w:r w:rsidR="00704074">
        <w:t>with the false worship Hosea has lambasted, but Hosea does not comment on this question</w:t>
      </w:r>
      <w:r w:rsidR="004A7CF3">
        <w:t>;</w:t>
      </w:r>
      <w:r w:rsidR="00704074">
        <w:t xml:space="preserve"> his focus lies on the new attitude Ephraim needs to articulate</w:t>
      </w:r>
      <w:r w:rsidR="004A7CF3">
        <w:t xml:space="preserve">. </w:t>
      </w:r>
      <w:r>
        <w:t xml:space="preserve">If the collapse has happened, the kind of occasion and the kind of words that are needed will be the kind observed and used after Jerusalem fell (cf. Lamentations). </w:t>
      </w:r>
      <w:r w:rsidR="00571A3B">
        <w:t xml:space="preserve">The parallelism </w:t>
      </w:r>
      <w:r w:rsidR="00324BCF">
        <w:t>in v. 2bβγ</w:t>
      </w:r>
      <w:r w:rsidR="00704074">
        <w:t xml:space="preserve"> </w:t>
      </w:r>
      <w:r w:rsidR="00571A3B">
        <w:t>indicates that the words ar</w:t>
      </w:r>
      <w:r w:rsidR="00AB7331">
        <w:t>e expressive of the return Hosea urges</w:t>
      </w:r>
      <w:r w:rsidR="00571A3B">
        <w:t xml:space="preserve">. </w:t>
      </w:r>
      <w:r w:rsidR="00AB7331">
        <w:t>They will own</w:t>
      </w:r>
      <w:r w:rsidR="00923722">
        <w:t xml:space="preserve"> waywardness, the thing that </w:t>
      </w:r>
      <w:r>
        <w:t xml:space="preserve">made collapse inevitable (or </w:t>
      </w:r>
      <w:r w:rsidR="00923722">
        <w:t>otherwise ma</w:t>
      </w:r>
      <w:r>
        <w:t>kes it</w:t>
      </w:r>
      <w:r w:rsidR="00923722">
        <w:t xml:space="preserve"> inevitable</w:t>
      </w:r>
      <w:r>
        <w:t>)</w:t>
      </w:r>
      <w:r w:rsidR="00923722">
        <w:t xml:space="preserve">. Refusing to own it is the one failure that </w:t>
      </w:r>
      <w:r w:rsidR="00AB7331">
        <w:t>would mean</w:t>
      </w:r>
      <w:r w:rsidR="00923722">
        <w:t xml:space="preserve"> Yah</w:t>
      </w:r>
      <w:r w:rsidR="00725DD7">
        <w:t>weh will not or cannot “carry</w:t>
      </w:r>
      <w:r w:rsidR="00923722">
        <w:t xml:space="preserve">” it (see 1:6 and the </w:t>
      </w:r>
      <w:r w:rsidR="00F14F90">
        <w:t>comments</w:t>
      </w:r>
      <w:r w:rsidR="00923722">
        <w:t xml:space="preserve">). </w:t>
      </w:r>
      <w:r w:rsidR="00C7141A">
        <w:t>T</w:t>
      </w:r>
      <w:r w:rsidR="00923722">
        <w:t xml:space="preserve">o take </w:t>
      </w:r>
      <w:r w:rsidR="00AB7331">
        <w:t>“</w:t>
      </w:r>
      <w:r w:rsidR="00923722">
        <w:t>words</w:t>
      </w:r>
      <w:r w:rsidR="00AB7331">
        <w:t>”</w:t>
      </w:r>
      <w:r w:rsidR="00C7141A">
        <w:t xml:space="preserve"> </w:t>
      </w:r>
      <w:r w:rsidR="00AB7331">
        <w:t>seems</w:t>
      </w:r>
      <w:r w:rsidR="00725DD7">
        <w:t xml:space="preserve"> trivial</w:t>
      </w:r>
      <w:r w:rsidR="00C7141A" w:rsidRPr="00C7141A">
        <w:t>,</w:t>
      </w:r>
      <w:r w:rsidR="00C7141A">
        <w:t xml:space="preserve"> but </w:t>
      </w:r>
      <w:r w:rsidR="00AB7331">
        <w:t>people are to</w:t>
      </w:r>
      <w:r w:rsidR="00F363CA">
        <w:t xml:space="preserve"> believe that </w:t>
      </w:r>
      <w:r w:rsidR="00725DD7">
        <w:t>words</w:t>
      </w:r>
      <w:r w:rsidR="00C7141A">
        <w:t xml:space="preserve"> ar</w:t>
      </w:r>
      <w:r w:rsidR="00923722">
        <w:t xml:space="preserve">e the </w:t>
      </w:r>
      <w:r w:rsidR="00AB7331">
        <w:t>“</w:t>
      </w:r>
      <w:r w:rsidR="00923722">
        <w:t>good</w:t>
      </w:r>
      <w:r w:rsidR="00AB7331">
        <w:t>”</w:t>
      </w:r>
      <w:r w:rsidR="00923722">
        <w:t xml:space="preserve"> thing that Yahweh wants to receive</w:t>
      </w:r>
      <w:r w:rsidR="00324BCF">
        <w:t>, on the assumption that they express</w:t>
      </w:r>
      <w:r w:rsidR="00AB7331">
        <w:t xml:space="preserve"> </w:t>
      </w:r>
      <w:r w:rsidR="00C7141A">
        <w:t>a genuine turning.</w:t>
      </w:r>
      <w:r w:rsidR="00AB7331">
        <w:t xml:space="preserve"> People</w:t>
      </w:r>
      <w:r w:rsidR="00F363CA">
        <w:t xml:space="preserve"> can thus offer (the words o</w:t>
      </w:r>
      <w:r w:rsidR="00AB7331">
        <w:t>f) their lips as</w:t>
      </w:r>
      <w:r w:rsidR="00F363CA">
        <w:t xml:space="preserve"> they offer</w:t>
      </w:r>
      <w:r w:rsidR="00AB7331">
        <w:t xml:space="preserve"> bulls in sacrifice. “R</w:t>
      </w:r>
      <w:r w:rsidR="00F363CA">
        <w:t>endering” (</w:t>
      </w:r>
      <w:r w:rsidR="00F363CA">
        <w:rPr>
          <w:i/>
        </w:rPr>
        <w:t>šillēm</w:t>
      </w:r>
      <w:r w:rsidR="00F363CA">
        <w:t>) impli</w:t>
      </w:r>
      <w:r w:rsidR="00170A4E">
        <w:t xml:space="preserve">es that this </w:t>
      </w:r>
      <w:r w:rsidR="00170A4E">
        <w:lastRenderedPageBreak/>
        <w:t>offering make</w:t>
      </w:r>
      <w:r w:rsidR="00AB7331">
        <w:t xml:space="preserve">s whole or restores: it compensates for </w:t>
      </w:r>
      <w:r w:rsidR="00170A4E">
        <w:t>the words add</w:t>
      </w:r>
      <w:r w:rsidR="00AB7331">
        <w:t xml:space="preserve">ressed to the Master and </w:t>
      </w:r>
      <w:r w:rsidR="00170A4E">
        <w:t>the lying words uttered to Yahweh.</w:t>
      </w:r>
    </w:p>
    <w:p w:rsidR="00C13702" w:rsidRDefault="00C13702" w:rsidP="004E4AB8">
      <w:r>
        <w:t xml:space="preserve">The words </w:t>
      </w:r>
      <w:r w:rsidR="00AB7331">
        <w:t>will need to express</w:t>
      </w:r>
      <w:r>
        <w:t xml:space="preserve"> a change of attitude to </w:t>
      </w:r>
      <w:r w:rsidR="00093DE9">
        <w:t>politics and to faith</w:t>
      </w:r>
      <w:r w:rsidR="006B5F16">
        <w:t xml:space="preserve"> (v. 3</w:t>
      </w:r>
      <w:r w:rsidR="00093DE9">
        <w:t xml:space="preserve"> [4]</w:t>
      </w:r>
      <w:r>
        <w:t>). The confession about Assyria will be</w:t>
      </w:r>
      <w:r w:rsidR="00AB7331">
        <w:t xml:space="preserve"> a corollary of that required</w:t>
      </w:r>
      <w:r>
        <w:t xml:space="preserve"> in </w:t>
      </w:r>
      <w:r w:rsidR="00AB7331">
        <w:t>13:4</w:t>
      </w:r>
      <w:r w:rsidR="00093DE9">
        <w:t xml:space="preserve">, a confession that </w:t>
      </w:r>
      <w:r w:rsidR="00093DE9" w:rsidRPr="00093DE9">
        <w:t>Assyria and Egypt are “failed saviors.”</w:t>
      </w:r>
      <w:r w:rsidR="00093DE9" w:rsidRPr="00093DE9">
        <w:rPr>
          <w:vertAlign w:val="superscript"/>
        </w:rPr>
        <w:footnoteReference w:id="632"/>
      </w:r>
      <w:r w:rsidR="00AB7331">
        <w:t xml:space="preserve"> </w:t>
      </w:r>
      <w:r w:rsidR="00093DE9" w:rsidRPr="00093DE9">
        <w:t>Egypt was where horses came from (cf. Deut. 17:16; 1 Kings 10:28-29; Isa. 31:1; also 30:16</w:t>
      </w:r>
      <w:r w:rsidR="00093DE9">
        <w:t xml:space="preserve">); </w:t>
      </w:r>
      <w:r w:rsidR="00AB7331">
        <w:t>Hosea’s</w:t>
      </w:r>
      <w:r w:rsidR="00B44E45">
        <w:t xml:space="preserve"> one previous reference</w:t>
      </w:r>
      <w:r w:rsidR="00AB7331">
        <w:t xml:space="preserve"> to horses accompanied hi</w:t>
      </w:r>
      <w:r>
        <w:t xml:space="preserve">s first reference to deliverance </w:t>
      </w:r>
      <w:r w:rsidR="00093DE9">
        <w:t>(1:7).</w:t>
      </w:r>
      <w:r>
        <w:t xml:space="preserve"> </w:t>
      </w:r>
      <w:r w:rsidR="00B44E45">
        <w:t>Accompanying the revolutionary change in the relationship between p</w:t>
      </w:r>
      <w:r w:rsidR="00AB7331">
        <w:t xml:space="preserve">olitics and faith is </w:t>
      </w:r>
      <w:r w:rsidR="00B44E45">
        <w:t>one regarding th</w:t>
      </w:r>
      <w:r w:rsidR="00093DE9">
        <w:t>eology</w:t>
      </w:r>
      <w:r w:rsidR="00B44E45">
        <w:t>; its c</w:t>
      </w:r>
      <w:r w:rsidR="00093DE9">
        <w:t>ontrast lies with 11:2. Ephraim is an orphan because</w:t>
      </w:r>
      <w:r w:rsidR="00AA47FD">
        <w:t xml:space="preserve"> it</w:t>
      </w:r>
      <w:r w:rsidR="00C42909">
        <w:t>s father has abandoned it</w:t>
      </w:r>
      <w:r w:rsidR="00093DE9">
        <w:t>: t</w:t>
      </w:r>
      <w:r w:rsidR="00725DD7">
        <w:t xml:space="preserve">he colon implies a </w:t>
      </w:r>
      <w:r w:rsidR="00C42909">
        <w:t>link with the opening of Hosea</w:t>
      </w:r>
      <w:r w:rsidR="00725DD7">
        <w:t>,</w:t>
      </w:r>
      <w:r w:rsidR="00C42909">
        <w:t xml:space="preserve"> </w:t>
      </w:r>
      <w:r w:rsidR="00725DD7">
        <w:t xml:space="preserve">which </w:t>
      </w:r>
      <w:r w:rsidR="00AA47FD">
        <w:t>threat</w:t>
      </w:r>
      <w:r w:rsidR="00725DD7">
        <w:t>ened that Yahweh would</w:t>
      </w:r>
      <w:r w:rsidR="00AA47FD">
        <w:t xml:space="preserve"> not show compassion to Ephraim</w:t>
      </w:r>
      <w:r w:rsidR="00C42909">
        <w:t>,</w:t>
      </w:r>
      <w:r w:rsidR="00AA47FD">
        <w:t xml:space="preserve"> and then </w:t>
      </w:r>
      <w:r w:rsidR="00725DD7">
        <w:t xml:space="preserve">with </w:t>
      </w:r>
      <w:r w:rsidR="00AA47FD">
        <w:t xml:space="preserve">its </w:t>
      </w:r>
      <w:r w:rsidR="00B44E45">
        <w:t xml:space="preserve">promise that Yahweh </w:t>
      </w:r>
      <w:r w:rsidR="00725DD7">
        <w:t>would</w:t>
      </w:r>
      <w:r w:rsidR="00C42909">
        <w:t xml:space="preserve"> show compassion</w:t>
      </w:r>
      <w:r w:rsidR="006B5F16">
        <w:t xml:space="preserve"> (1:6; 2:</w:t>
      </w:r>
      <w:r w:rsidR="00E21B46">
        <w:t>2</w:t>
      </w:r>
      <w:r w:rsidR="006B5F16">
        <w:t>1</w:t>
      </w:r>
      <w:r w:rsidR="00324BCF">
        <w:t xml:space="preserve"> [</w:t>
      </w:r>
      <w:r w:rsidR="00E21B46">
        <w:t>2</w:t>
      </w:r>
      <w:r w:rsidR="00324BCF">
        <w:t>3]</w:t>
      </w:r>
      <w:r w:rsidR="00AA47FD">
        <w:t xml:space="preserve">). </w:t>
      </w:r>
    </w:p>
    <w:p w:rsidR="00AA47FD" w:rsidRDefault="00AA47FD" w:rsidP="004E4AB8"/>
    <w:p w:rsidR="00B170BA" w:rsidRDefault="00AA47FD" w:rsidP="004E4AB8">
      <w:r>
        <w:rPr>
          <w:b/>
        </w:rPr>
        <w:t>Hosea 14:4-7</w:t>
      </w:r>
      <w:r w:rsidR="00093DE9">
        <w:rPr>
          <w:b/>
        </w:rPr>
        <w:t xml:space="preserve"> [5-8]</w:t>
      </w:r>
      <w:r>
        <w:t>. Hosea knows how Yahweh will re</w:t>
      </w:r>
      <w:r w:rsidR="00C42909">
        <w:t xml:space="preserve">spond to Ephraim if it prays </w:t>
      </w:r>
      <w:r>
        <w:t>that way; sharing the potential response furth</w:t>
      </w:r>
      <w:r w:rsidR="00C42909">
        <w:t>er encourages Ephraim to pray that way</w:t>
      </w:r>
      <w:r w:rsidR="00762E6B">
        <w:t>.</w:t>
      </w:r>
      <w:r w:rsidR="004A7CF3">
        <w:t xml:space="preserve"> </w:t>
      </w:r>
      <w:r>
        <w:t>Hosea and Y</w:t>
      </w:r>
      <w:r w:rsidR="00C42909">
        <w:t>ahweh risk generating</w:t>
      </w:r>
      <w:r w:rsidR="00FE28D5">
        <w:t xml:space="preserve"> the kind of turning back they are </w:t>
      </w:r>
      <w:r w:rsidR="00C42909">
        <w:t xml:space="preserve">not </w:t>
      </w:r>
      <w:r w:rsidR="00FE28D5">
        <w:t>seeking</w:t>
      </w:r>
      <w:r w:rsidR="00C42909">
        <w:t xml:space="preserve"> (see 2:7 [9])</w:t>
      </w:r>
      <w:r w:rsidR="00FE28D5">
        <w:t>, but they are prepared to take the risk.</w:t>
      </w:r>
      <w:r w:rsidR="009E34A2">
        <w:t xml:space="preserve"> </w:t>
      </w:r>
    </w:p>
    <w:p w:rsidR="00AA47FD" w:rsidRDefault="009E34A2" w:rsidP="004E4AB8">
      <w:r>
        <w:t xml:space="preserve">Yahweh has been in the healing business </w:t>
      </w:r>
      <w:r w:rsidR="00B170BA">
        <w:t xml:space="preserve">(v. 4 [5]) before </w:t>
      </w:r>
      <w:r w:rsidR="00C42909">
        <w:t>and will be so again, as Ephraim has</w:t>
      </w:r>
      <w:r>
        <w:t xml:space="preserve"> already been invited to pray (</w:t>
      </w:r>
      <w:r w:rsidR="00B170BA">
        <w:t xml:space="preserve">11:3; </w:t>
      </w:r>
      <w:r>
        <w:t>6:1). Here, refe</w:t>
      </w:r>
      <w:r w:rsidR="00C42909">
        <w:t xml:space="preserve">rence to healing leads into </w:t>
      </w:r>
      <w:r w:rsidR="00B170BA">
        <w:t>more recourse</w:t>
      </w:r>
      <w:r>
        <w:t xml:space="preserve"> to th</w:t>
      </w:r>
      <w:r w:rsidR="00C42909">
        <w:t>e multivalence of “turning back.” It</w:t>
      </w:r>
      <w:r>
        <w:t xml:space="preserve"> can allude not only to turning b</w:t>
      </w:r>
      <w:r w:rsidR="006B5F16">
        <w:t xml:space="preserve">ack </w:t>
      </w:r>
      <w:r w:rsidR="009B42E1">
        <w:t xml:space="preserve">towards </w:t>
      </w:r>
      <w:r w:rsidR="00B170BA">
        <w:t>Yahweh</w:t>
      </w:r>
      <w:r>
        <w:t xml:space="preserve"> but also to the tur</w:t>
      </w:r>
      <w:r w:rsidR="00C42909">
        <w:t>ning b</w:t>
      </w:r>
      <w:r w:rsidR="00B170BA">
        <w:t>ack from Yahweh which makes the</w:t>
      </w:r>
      <w:r>
        <w:t xml:space="preserve"> re-turning necessary, and to the “turning back” of Yahweh’s anger which ha</w:t>
      </w:r>
      <w:r w:rsidR="00C42909">
        <w:t>d been Yahweh’s response to the</w:t>
      </w:r>
      <w:r>
        <w:t xml:space="preserve"> negative “turning back.”</w:t>
      </w:r>
      <w:r w:rsidR="008C6BAD">
        <w:t xml:space="preserve"> In the verb for “love,” to</w:t>
      </w:r>
      <w:r w:rsidR="00C42909">
        <w:t xml:space="preserve">o, one may discern </w:t>
      </w:r>
      <w:r w:rsidR="008C6BAD">
        <w:t>the breadth of its potential significance, which includes emotion, commitmen</w:t>
      </w:r>
      <w:r w:rsidR="00B170BA">
        <w:t xml:space="preserve">t, and loyalty (cf. 11:1). Qualifying </w:t>
      </w:r>
      <w:r w:rsidR="008C6BAD">
        <w:t>that love as generous emphasizes its practi</w:t>
      </w:r>
      <w:r w:rsidR="00B170BA">
        <w:t>cal aspect, which</w:t>
      </w:r>
      <w:r w:rsidR="008C6BAD">
        <w:t xml:space="preserve"> goes with commitment and loyalty. </w:t>
      </w:r>
      <w:r w:rsidR="00B170BA">
        <w:t>Generosity</w:t>
      </w:r>
      <w:r w:rsidR="00677740">
        <w:t xml:space="preserve"> and related words normally apply to Israelites volunteering themselves and their </w:t>
      </w:r>
      <w:r w:rsidR="00B170BA">
        <w:t>generous (</w:t>
      </w:r>
      <w:r w:rsidR="00C42909">
        <w:t>“freewill”</w:t>
      </w:r>
      <w:r w:rsidR="00B170BA">
        <w:t>)</w:t>
      </w:r>
      <w:r w:rsidR="00C42909">
        <w:t xml:space="preserve"> </w:t>
      </w:r>
      <w:r w:rsidR="00677740">
        <w:t>offerings; only here and in Psalms 51:12 [14]; 68:9 [10] do they a</w:t>
      </w:r>
      <w:r w:rsidR="00E21B46">
        <w:t xml:space="preserve">pply to God. </w:t>
      </w:r>
      <w:r w:rsidR="00C42909">
        <w:t>Ephraim may</w:t>
      </w:r>
      <w:r w:rsidR="00677740">
        <w:t xml:space="preserve"> think of the most remarkable human liberality and see this open-handedness as what God offers.</w:t>
      </w:r>
      <w:r w:rsidR="00C42909">
        <w:t xml:space="preserve"> </w:t>
      </w:r>
      <w:r w:rsidR="00F23652">
        <w:t>Yahweh responds to Ephraim’s offering with an offering of his own.</w:t>
      </w:r>
      <w:r w:rsidR="00F23652">
        <w:rPr>
          <w:rStyle w:val="FootnoteReference"/>
        </w:rPr>
        <w:footnoteReference w:id="633"/>
      </w:r>
    </w:p>
    <w:p w:rsidR="00677740" w:rsidRDefault="00E21B46" w:rsidP="004E4AB8">
      <w:r>
        <w:t>Yahweh</w:t>
      </w:r>
      <w:r w:rsidR="00677740">
        <w:t xml:space="preserve"> goes on to spell out the generosit</w:t>
      </w:r>
      <w:r w:rsidR="005D3189">
        <w:t>y</w:t>
      </w:r>
      <w:r w:rsidR="00BC1616">
        <w:t xml:space="preserve"> (v. 5a</w:t>
      </w:r>
      <w:r w:rsidR="005D13FA">
        <w:t xml:space="preserve"> [6a]</w:t>
      </w:r>
      <w:r w:rsidR="00BC1616">
        <w:t>)</w:t>
      </w:r>
      <w:r w:rsidR="005D3189">
        <w:t>, first in terms of making</w:t>
      </w:r>
      <w:r w:rsidR="00677740">
        <w:t xml:space="preserve"> growth </w:t>
      </w:r>
      <w:r w:rsidR="00BC1616">
        <w:t>possible</w:t>
      </w:r>
      <w:r w:rsidR="00677740">
        <w:t>.</w:t>
      </w:r>
      <w:r w:rsidR="00C42909">
        <w:t xml:space="preserve"> </w:t>
      </w:r>
      <w:r w:rsidR="00BC1616">
        <w:t>Yahweh restores “dew”</w:t>
      </w:r>
      <w:r>
        <w:t xml:space="preserve"> from </w:t>
      </w:r>
      <w:r w:rsidR="00BC1616">
        <w:t xml:space="preserve">being </w:t>
      </w:r>
      <w:r>
        <w:t>a negative imag</w:t>
      </w:r>
      <w:r w:rsidR="00C42909">
        <w:t>e</w:t>
      </w:r>
      <w:r w:rsidR="005D3189">
        <w:t xml:space="preserve"> (</w:t>
      </w:r>
      <w:r w:rsidR="00BC1616" w:rsidRPr="00BC1616">
        <w:t>6:4; 13:3</w:t>
      </w:r>
      <w:r w:rsidR="00BC1616">
        <w:t xml:space="preserve">), as something that disappears quickly, </w:t>
      </w:r>
      <w:r w:rsidR="005D3189">
        <w:t xml:space="preserve">to </w:t>
      </w:r>
      <w:r w:rsidR="00BC1616">
        <w:t xml:space="preserve">its more usual positive significance (e.g., </w:t>
      </w:r>
      <w:r w:rsidR="00BC1616" w:rsidRPr="00BC1616">
        <w:t>Mic. 5:7 [6]</w:t>
      </w:r>
      <w:r w:rsidR="00BC1616">
        <w:t xml:space="preserve">): </w:t>
      </w:r>
      <w:r w:rsidR="005D3189">
        <w:t>dew plays a key role in encouraging growth towards maturity during the summer drought. Likewise “blossom” had been a</w:t>
      </w:r>
      <w:r w:rsidR="00BC1616">
        <w:t xml:space="preserve"> negative image (10:4) but Yahweh</w:t>
      </w:r>
      <w:r>
        <w:t xml:space="preserve"> turns it</w:t>
      </w:r>
      <w:r w:rsidR="005D3189">
        <w:t xml:space="preserve"> back to being</w:t>
      </w:r>
      <w:r w:rsidR="00BC1616">
        <w:t xml:space="preserve"> a positive one</w:t>
      </w:r>
      <w:r>
        <w:t>. “W</w:t>
      </w:r>
      <w:r w:rsidR="00D71B41">
        <w:t>ild flower” suggests f</w:t>
      </w:r>
      <w:r w:rsidR="00147CA6">
        <w:t xml:space="preserve">lowers such as lilies, but the </w:t>
      </w:r>
      <w:r w:rsidR="00C30D5F">
        <w:t xml:space="preserve">point </w:t>
      </w:r>
      <w:r w:rsidR="00147CA6">
        <w:t xml:space="preserve">is that they are ordinary flowers that grow wild and </w:t>
      </w:r>
      <w:r w:rsidR="00BC1616">
        <w:t xml:space="preserve">in profusion (cf. Song </w:t>
      </w:r>
      <w:r w:rsidR="00147CA6">
        <w:t xml:space="preserve">2:1-2). </w:t>
      </w:r>
    </w:p>
    <w:p w:rsidR="00147CA6" w:rsidRDefault="00147CA6" w:rsidP="004E4AB8">
      <w:r>
        <w:t xml:space="preserve">Thus Yahweh will enable Israel to </w:t>
      </w:r>
      <w:r w:rsidR="00720E94">
        <w:t xml:space="preserve">grow roots and shoots, and be fruitful </w:t>
      </w:r>
      <w:r>
        <w:t>(vv</w:t>
      </w:r>
      <w:r w:rsidR="00720E94">
        <w:t>. 5b-6</w:t>
      </w:r>
      <w:r w:rsidR="005D13FA">
        <w:t xml:space="preserve"> [6b-7]</w:t>
      </w:r>
      <w:r>
        <w:t xml:space="preserve">). </w:t>
      </w:r>
      <w:r w:rsidR="000D26AC">
        <w:t>“Strike”</w:t>
      </w:r>
      <w:r w:rsidR="00C30D5F">
        <w:t xml:space="preserve"> </w:t>
      </w:r>
      <w:r>
        <w:t>takes up a</w:t>
      </w:r>
      <w:r w:rsidR="000D26AC">
        <w:t>nother</w:t>
      </w:r>
      <w:r>
        <w:t xml:space="preserve"> verb with negative connotations </w:t>
      </w:r>
      <w:r w:rsidR="00C30D5F">
        <w:t xml:space="preserve">(6:1; cf. 9:6) and gives </w:t>
      </w:r>
      <w:r w:rsidR="00E21B46">
        <w:t xml:space="preserve">it </w:t>
      </w:r>
      <w:r>
        <w:t>unaccustomed positive ones</w:t>
      </w:r>
      <w:r w:rsidR="00720E94">
        <w:t>. Striking</w:t>
      </w:r>
      <w:r w:rsidR="006B5F16">
        <w:t xml:space="preserve"> down deep roots like the giant trees in </w:t>
      </w:r>
      <w:r w:rsidR="00D2628C">
        <w:t xml:space="preserve">the </w:t>
      </w:r>
      <w:r w:rsidR="006B5F16">
        <w:t>Lebanon (which includes the forests of northern Galilee</w:t>
      </w:r>
      <w:r w:rsidR="00720E94">
        <w:t>, within Ephraim itself) will mean its shoots can spread far and wide.</w:t>
      </w:r>
      <w:r w:rsidR="00C30D5F">
        <w:t xml:space="preserve"> While t</w:t>
      </w:r>
      <w:r w:rsidR="000E0891">
        <w:t xml:space="preserve">he olive tree </w:t>
      </w:r>
      <w:r w:rsidR="00D2628C">
        <w:t xml:space="preserve">and thus the olive is of key importance </w:t>
      </w:r>
      <w:r w:rsidR="000E0891">
        <w:t>to Israel’</w:t>
      </w:r>
      <w:r w:rsidR="00D2628C">
        <w:t xml:space="preserve">s life and </w:t>
      </w:r>
      <w:r w:rsidR="00C30D5F">
        <w:t>economy (see 2:5</w:t>
      </w:r>
      <w:r w:rsidR="00E21B46">
        <w:t xml:space="preserve"> [7]</w:t>
      </w:r>
      <w:r w:rsidR="00C30D5F">
        <w:t>; 12:1),</w:t>
      </w:r>
      <w:r w:rsidR="000E0891">
        <w:t xml:space="preserve"> majesty is a royal attribute (e.g., 1 Chron. 29:</w:t>
      </w:r>
      <w:r w:rsidR="00E21B46">
        <w:t>25; Psa. 45:3 [4]; Jer. 22:18), and t</w:t>
      </w:r>
      <w:r w:rsidR="00D2628C">
        <w:t xml:space="preserve">he line suggests </w:t>
      </w:r>
      <w:r w:rsidR="000E0891">
        <w:t>another metonymy: from the olive tree comes the oil for anointing a king.</w:t>
      </w:r>
      <w:r w:rsidR="000D26AC">
        <w:t xml:space="preserve"> But t</w:t>
      </w:r>
      <w:r w:rsidR="00C30D5F">
        <w:t>he oil</w:t>
      </w:r>
      <w:r w:rsidR="00D2628C">
        <w:t xml:space="preserve"> carries the fragrance of the cosmetics that anyone might use, in which the Song of Songs delights and which it compares with the fragrance of the forests in the Lebanon (</w:t>
      </w:r>
      <w:r w:rsidR="004A773C">
        <w:t xml:space="preserve">e.g., </w:t>
      </w:r>
      <w:r w:rsidR="000D26AC">
        <w:t xml:space="preserve">Song </w:t>
      </w:r>
      <w:r w:rsidR="004A773C">
        <w:t>1:3; 4:10-11).</w:t>
      </w:r>
    </w:p>
    <w:p w:rsidR="00D015D4" w:rsidRDefault="00E21B46" w:rsidP="004E4AB8">
      <w:r>
        <w:t xml:space="preserve">The picture of people </w:t>
      </w:r>
      <w:r w:rsidR="00D015D4">
        <w:t>sitting in the tree’s shade (v. 7</w:t>
      </w:r>
      <w:r w:rsidR="00494057">
        <w:t>aαβ</w:t>
      </w:r>
      <w:r w:rsidR="005D13FA">
        <w:t xml:space="preserve"> [8</w:t>
      </w:r>
      <w:r w:rsidR="005D13FA" w:rsidRPr="005D13FA">
        <w:t>aαβ</w:t>
      </w:r>
      <w:r w:rsidR="005D13FA">
        <w:t>]</w:t>
      </w:r>
      <w:r w:rsidR="00D015D4">
        <w:t>) slightly oddly distinguishes the Ephraimites from Ephraim, though t</w:t>
      </w:r>
      <w:r w:rsidR="000D26AC">
        <w:t xml:space="preserve">he figure parallels the </w:t>
      </w:r>
      <w:r w:rsidR="00D015D4">
        <w:t>distinguishing of mother from childre</w:t>
      </w:r>
      <w:r w:rsidR="00C30D5F">
        <w:t>n (2:2 [4]).  At the moment the people</w:t>
      </w:r>
      <w:r w:rsidR="000D26AC">
        <w:t xml:space="preserve"> have no place to sit</w:t>
      </w:r>
      <w:r w:rsidR="00D015D4">
        <w:t xml:space="preserve">, because the tree </w:t>
      </w:r>
      <w:r w:rsidR="000D26AC">
        <w:t xml:space="preserve">has been felled (or </w:t>
      </w:r>
      <w:r w:rsidR="00D015D4">
        <w:t>is due to be felled</w:t>
      </w:r>
      <w:r w:rsidR="000D26AC">
        <w:t>)</w:t>
      </w:r>
      <w:r w:rsidR="007F552B">
        <w:t xml:space="preserve">. The Assyrian invasion would have a devastating effect on the agricultural dynamics of the </w:t>
      </w:r>
      <w:r w:rsidR="007F552B">
        <w:lastRenderedPageBreak/>
        <w:t xml:space="preserve">country (cf. Isaiah’s words about parallel events in Judah in Isa. 37:30). It would be a fulfillment of Yahweh’s threats </w:t>
      </w:r>
      <w:r w:rsidR="005C2E53">
        <w:t>about crops such as</w:t>
      </w:r>
      <w:r w:rsidR="009441E6">
        <w:t xml:space="preserve"> wheat</w:t>
      </w:r>
      <w:r w:rsidR="00996B09">
        <w:t xml:space="preserve"> (2:9 [11])</w:t>
      </w:r>
      <w:r w:rsidR="00D015D4">
        <w:t>. But coming back to Yah</w:t>
      </w:r>
      <w:r w:rsidR="005C2E53">
        <w:t xml:space="preserve">weh </w:t>
      </w:r>
      <w:r w:rsidR="00D015D4">
        <w:t>will also mean coming back to a li</w:t>
      </w:r>
      <w:r w:rsidR="00C30D5F">
        <w:t>fe of successful so</w:t>
      </w:r>
      <w:r w:rsidR="00996B09">
        <w:t>wing and reaping (cf. 2:22 [24])</w:t>
      </w:r>
      <w:r w:rsidR="00D015D4">
        <w:t xml:space="preserve">. Hosea trades further on the range of meaning of the verb </w:t>
      </w:r>
      <w:r w:rsidR="00D015D4">
        <w:rPr>
          <w:i/>
        </w:rPr>
        <w:t>šûb</w:t>
      </w:r>
      <w:r>
        <w:t>; he</w:t>
      </w:r>
      <w:r w:rsidR="00C30D5F">
        <w:t xml:space="preserve"> does not use this</w:t>
      </w:r>
      <w:r w:rsidR="00996B09">
        <w:t xml:space="preserve"> verb to denote returning from exile, but when a later audience listens to the scroll, it would be natural to hear a promise of such a return</w:t>
      </w:r>
      <w:r w:rsidR="002467D6">
        <w:t xml:space="preserve"> </w:t>
      </w:r>
      <w:r w:rsidR="00C30D5F">
        <w:t>(</w:t>
      </w:r>
      <w:r w:rsidR="002467D6">
        <w:t>cf. Tg</w:t>
      </w:r>
      <w:r w:rsidR="00C30D5F">
        <w:t>).</w:t>
      </w:r>
      <w:r w:rsidR="00996B09">
        <w:t xml:space="preserve"> </w:t>
      </w:r>
    </w:p>
    <w:p w:rsidR="00C30D5F" w:rsidRDefault="00494057" w:rsidP="004E4AB8">
      <w:r>
        <w:t>People and tree/Ephraim reappear when Hosea promises that “they” will blossom and “it” will enjoy fam</w:t>
      </w:r>
      <w:r w:rsidR="00E21B46">
        <w:t>e (v. 7aγb</w:t>
      </w:r>
      <w:r w:rsidR="00D85BE6">
        <w:t xml:space="preserve"> [8</w:t>
      </w:r>
      <w:r w:rsidR="00D85BE6" w:rsidRPr="00D85BE6">
        <w:t>aγb</w:t>
      </w:r>
      <w:r w:rsidR="00D85BE6">
        <w:t>]</w:t>
      </w:r>
      <w:r w:rsidR="00E21B46">
        <w:t xml:space="preserve">). The vine </w:t>
      </w:r>
      <w:r>
        <w:t xml:space="preserve">blossoms spectacularly, but the parallel colon suggests </w:t>
      </w:r>
      <w:r w:rsidR="00C30D5F">
        <w:t xml:space="preserve">that Hosea’s focus is </w:t>
      </w:r>
      <w:r>
        <w:t xml:space="preserve">on the </w:t>
      </w:r>
      <w:r w:rsidR="00E21B46">
        <w:t>vine’s fruit</w:t>
      </w:r>
      <w:r w:rsidR="00C30D5F">
        <w:t>,</w:t>
      </w:r>
      <w:r w:rsidR="00A44BF1">
        <w:t xml:space="preserve"> and on what issues from</w:t>
      </w:r>
      <w:r w:rsidR="004673B8">
        <w:t xml:space="preserve"> it. The reference completes a sequence of allusions to Israel’s basic crops </w:t>
      </w:r>
      <w:r w:rsidR="005C2E53">
        <w:t xml:space="preserve">(olives, wheat, grapes) </w:t>
      </w:r>
      <w:r w:rsidR="004673B8">
        <w:t>parallel to that in (e.g.) 2:8</w:t>
      </w:r>
      <w:r w:rsidR="00C30D5F">
        <w:t xml:space="preserve"> [10]</w:t>
      </w:r>
      <w:r w:rsidR="004673B8">
        <w:t xml:space="preserve">. </w:t>
      </w:r>
      <w:r w:rsidR="00AB41C2">
        <w:t>Lebanon had no great</w:t>
      </w:r>
      <w:r w:rsidR="007821A0">
        <w:t xml:space="preserve"> reputation for wine</w:t>
      </w:r>
      <w:r w:rsidR="00BA5904">
        <w:t xml:space="preserve">, </w:t>
      </w:r>
      <w:r w:rsidR="00AB41C2">
        <w:t>though</w:t>
      </w:r>
      <w:r w:rsidR="00BA5904">
        <w:t xml:space="preserve"> Helbon (Ezek. 27:18</w:t>
      </w:r>
      <w:r w:rsidR="00BA5904" w:rsidRPr="00BA5904">
        <w:t>) is there</w:t>
      </w:r>
      <w:r w:rsidR="00E21B46">
        <w:t>;</w:t>
      </w:r>
      <w:r w:rsidR="00AB41C2">
        <w:t xml:space="preserve"> </w:t>
      </w:r>
      <w:r w:rsidR="005C2E53">
        <w:t>Lebanon</w:t>
      </w:r>
      <w:r w:rsidR="00B47960">
        <w:t xml:space="preserve"> </w:t>
      </w:r>
      <w:r w:rsidR="00AB41C2">
        <w:t xml:space="preserve">appears here </w:t>
      </w:r>
      <w:r w:rsidR="00C30D5F">
        <w:t>as</w:t>
      </w:r>
      <w:r w:rsidR="007821A0">
        <w:t xml:space="preserve"> a figure of richness in its own right.</w:t>
      </w:r>
      <w:r w:rsidR="00EB2A70">
        <w:t xml:space="preserve"> </w:t>
      </w:r>
    </w:p>
    <w:p w:rsidR="00494057" w:rsidRDefault="005F699E" w:rsidP="004E4AB8">
      <w:r>
        <w:t>MT (L)</w:t>
      </w:r>
      <w:r w:rsidR="00EB2A70">
        <w:t xml:space="preserve"> provides a </w:t>
      </w:r>
      <w:r w:rsidR="000C193C">
        <w:t xml:space="preserve">helpful </w:t>
      </w:r>
      <w:r w:rsidR="00EB2A70">
        <w:t>setumah after v. 7</w:t>
      </w:r>
      <w:r w:rsidR="005C2E53">
        <w:t xml:space="preserve"> [8]</w:t>
      </w:r>
      <w:r w:rsidR="00EB2A70">
        <w:t>.</w:t>
      </w:r>
    </w:p>
    <w:p w:rsidR="007821A0" w:rsidRDefault="007821A0" w:rsidP="004E4AB8"/>
    <w:p w:rsidR="00536495" w:rsidRDefault="00DB4217" w:rsidP="004E4AB8">
      <w:r>
        <w:rPr>
          <w:b/>
        </w:rPr>
        <w:t>Hosea 14</w:t>
      </w:r>
      <w:r w:rsidR="007821A0">
        <w:rPr>
          <w:b/>
        </w:rPr>
        <w:t>:8</w:t>
      </w:r>
      <w:r w:rsidR="005C2E53">
        <w:rPr>
          <w:b/>
        </w:rPr>
        <w:t xml:space="preserve"> [9]</w:t>
      </w:r>
      <w:r w:rsidR="007821A0">
        <w:rPr>
          <w:b/>
        </w:rPr>
        <w:t xml:space="preserve">. </w:t>
      </w:r>
      <w:r w:rsidR="005E2A24">
        <w:t>Hosea</w:t>
      </w:r>
      <w:r w:rsidR="007821A0">
        <w:t xml:space="preserve"> </w:t>
      </w:r>
      <w:r w:rsidR="005E2A24">
        <w:t xml:space="preserve">brings </w:t>
      </w:r>
      <w:r w:rsidR="00EB2A70">
        <w:t xml:space="preserve">to a close </w:t>
      </w:r>
      <w:r w:rsidR="005E2A24">
        <w:t>the proposed dialogue between Ephraim (vv. 2-4</w:t>
      </w:r>
      <w:r w:rsidR="005C2E53">
        <w:t xml:space="preserve"> [3-5]</w:t>
      </w:r>
      <w:r w:rsidR="005E2A24">
        <w:t>) and Yahweh (vv. 5-7</w:t>
      </w:r>
      <w:r w:rsidR="005C2E53">
        <w:t xml:space="preserve"> [6-8]</w:t>
      </w:r>
      <w:r w:rsidR="005E2A24">
        <w:t>) in a</w:t>
      </w:r>
      <w:r w:rsidR="00C30D5F">
        <w:t xml:space="preserve"> brisk further pair of </w:t>
      </w:r>
      <w:r w:rsidR="005E2A24">
        <w:t>exchanges</w:t>
      </w:r>
      <w:r w:rsidR="00E741BB">
        <w:t>, recalling ones in the Song of Songs</w:t>
      </w:r>
      <w:r w:rsidR="005E2A24">
        <w:t>.</w:t>
      </w:r>
      <w:r w:rsidR="00E741BB">
        <w:rPr>
          <w:rStyle w:val="FootnoteReference"/>
        </w:rPr>
        <w:footnoteReference w:id="634"/>
      </w:r>
      <w:r w:rsidR="005E2A24">
        <w:t xml:space="preserve"> </w:t>
      </w:r>
      <w:r w:rsidR="00DF3AE6">
        <w:t xml:space="preserve">The first colon puts on Ephraim’s lips a commitment about idols that contrasts with 4:17; 8:4; 13:2. The second colon expresses Yahweh’s claim about his action that </w:t>
      </w:r>
      <w:r>
        <w:t>would justify</w:t>
      </w:r>
      <w:r w:rsidR="00DF3AE6">
        <w:t xml:space="preserve"> that response. </w:t>
      </w:r>
      <w:r>
        <w:t>He ha</w:t>
      </w:r>
      <w:r w:rsidR="005C2E53">
        <w:t>d asserted that he would restore</w:t>
      </w:r>
      <w:r>
        <w:t xml:space="preserve"> his people, and he will have done so.</w:t>
      </w:r>
      <w:r w:rsidR="00C30D5F">
        <w:t xml:space="preserve"> “K</w:t>
      </w:r>
      <w:r w:rsidR="00EE44B6">
        <w:t>eep watch” (</w:t>
      </w:r>
      <w:r w:rsidR="00EE44B6">
        <w:rPr>
          <w:i/>
        </w:rPr>
        <w:t>šûr</w:t>
      </w:r>
      <w:r w:rsidR="00EE44B6">
        <w:t xml:space="preserve">) yet again takes up a negative expression (13:7) and turns it around. </w:t>
      </w:r>
    </w:p>
    <w:p w:rsidR="007821A0" w:rsidRPr="00EE44B6" w:rsidRDefault="00EE44B6" w:rsidP="004E4AB8">
      <w:r>
        <w:t>In the third colon, presumably Ephraim is the tree, as it has been in vv. 5-7</w:t>
      </w:r>
      <w:r w:rsidR="005C2E53">
        <w:t xml:space="preserve"> [6-8]</w:t>
      </w:r>
      <w:r w:rsidR="00536495">
        <w:t>; Isra</w:t>
      </w:r>
      <w:r w:rsidR="005C2E53">
        <w:t xml:space="preserve">el, its kings, and individuals </w:t>
      </w:r>
      <w:r w:rsidR="00536495">
        <w:t>are elsewhere likened</w:t>
      </w:r>
      <w:r w:rsidR="000C193C">
        <w:t xml:space="preserve"> to flourishing trees (e.g., Ps</w:t>
      </w:r>
      <w:r w:rsidR="00536495">
        <w:t>. 52:8 [10]</w:t>
      </w:r>
      <w:r w:rsidR="005C2E53">
        <w:t>)</w:t>
      </w:r>
      <w:r w:rsidR="00536495">
        <w:t>, but Yahwe</w:t>
      </w:r>
      <w:r w:rsidR="00C30D5F">
        <w:t xml:space="preserve">h is not. The fourth colon </w:t>
      </w:r>
      <w:r w:rsidR="00536495">
        <w:t>responds to and explains the flourishing. While the juniper’s berries are of culinary significance, Yahweh’s allusion to Ephraim’s fruitfulness has broader reference.</w:t>
      </w:r>
      <w:r w:rsidR="000A4760">
        <w:t xml:space="preserve"> He is again drawing attention to the reversal of a threat (9:16).</w:t>
      </w:r>
      <w:r w:rsidR="00774DC4">
        <w:t xml:space="preserve"> </w:t>
      </w:r>
      <w:r w:rsidR="00774DC4" w:rsidRPr="00774DC4">
        <w:t xml:space="preserve">“Fruit” being </w:t>
      </w:r>
      <w:r w:rsidR="00774DC4" w:rsidRPr="00774DC4">
        <w:rPr>
          <w:i/>
        </w:rPr>
        <w:t>pərî</w:t>
      </w:r>
      <w:r w:rsidR="00774DC4" w:rsidRPr="00774DC4">
        <w:t>, this is the last of the many paron</w:t>
      </w:r>
      <w:r w:rsidR="000C193C">
        <w:t>omasias involving Ephraim</w:t>
      </w:r>
      <w:r w:rsidR="00774DC4" w:rsidRPr="00774DC4">
        <w:t>. “The naming of names is the very matter of Hosea’s prophecy” and “all these names contain their own antitheses,” but “the densest wordplay in</w:t>
      </w:r>
      <w:r w:rsidR="00774DC4">
        <w:t xml:space="preserve"> this prophet involves </w:t>
      </w:r>
      <w:r w:rsidR="00774DC4" w:rsidRPr="00774DC4">
        <w:t>the name Ephraim” and “salvation seems to come to Ephraim as a result of the ambiguities lodged in that am</w:t>
      </w:r>
      <w:r w:rsidR="00774DC4">
        <w:t>a</w:t>
      </w:r>
      <w:r w:rsidR="00774DC4" w:rsidRPr="00774DC4">
        <w:t>zing name</w:t>
      </w:r>
      <w:r w:rsidR="00774DC4">
        <w:t>.</w:t>
      </w:r>
      <w:r w:rsidR="00774DC4" w:rsidRPr="00774DC4">
        <w:t>”</w:t>
      </w:r>
      <w:r w:rsidR="00774DC4" w:rsidRPr="00774DC4">
        <w:rPr>
          <w:vertAlign w:val="superscript"/>
        </w:rPr>
        <w:footnoteReference w:id="635"/>
      </w:r>
    </w:p>
    <w:p w:rsidR="008C6BAD" w:rsidRDefault="008C6BAD" w:rsidP="001D3546">
      <w:pPr>
        <w:pStyle w:val="Heading2"/>
      </w:pPr>
      <w:r>
        <w:t>Theological Implications</w:t>
      </w:r>
    </w:p>
    <w:p w:rsidR="006B758D" w:rsidRDefault="007A6B6D" w:rsidP="009652A7">
      <w:pPr>
        <w:pStyle w:val="ListParagraph"/>
        <w:numPr>
          <w:ilvl w:val="0"/>
          <w:numId w:val="19"/>
        </w:numPr>
        <w:ind w:left="360"/>
      </w:pPr>
      <w:r>
        <w:t>T</w:t>
      </w:r>
      <w:r w:rsidR="004D6963">
        <w:t>he chall</w:t>
      </w:r>
      <w:r w:rsidR="000C193C">
        <w:t xml:space="preserve">enge to the people of God is </w:t>
      </w:r>
      <w:r>
        <w:t xml:space="preserve">often </w:t>
      </w:r>
      <w:r w:rsidR="000C193C">
        <w:t xml:space="preserve">to </w:t>
      </w:r>
      <w:r w:rsidR="004D6963">
        <w:t>turn back to God in repentance, not least in light of his intention to take important action its life. It is the challenge of John the baptizer and of Jesus. It is</w:t>
      </w:r>
      <w:r w:rsidR="006B758D">
        <w:t xml:space="preserve"> </w:t>
      </w:r>
      <w:r w:rsidR="004D6963">
        <w:t xml:space="preserve">the challenge of John in Revelation, not least to a church that has “fallen” (Rev. 2:5), with threats of harsh action if it fails to do so (Rev. 2:16, 21-22). </w:t>
      </w:r>
      <w:r w:rsidR="007366A5" w:rsidRPr="007366A5">
        <w:t xml:space="preserve">The Revised Common Lectionary includes four passages from Hosea over </w:t>
      </w:r>
      <w:r w:rsidR="005C2E53">
        <w:t xml:space="preserve">its </w:t>
      </w:r>
      <w:r w:rsidR="007366A5" w:rsidRPr="007366A5">
        <w:t>three years (1:2-10</w:t>
      </w:r>
      <w:r w:rsidR="000C193C">
        <w:t>; 2:14-20; 5:15—6:6; 11:1-11) and t</w:t>
      </w:r>
      <w:r w:rsidR="007366A5" w:rsidRPr="007366A5">
        <w:t>he synagogu</w:t>
      </w:r>
      <w:r w:rsidR="000C193C">
        <w:t>e readings from the P</w:t>
      </w:r>
      <w:r w:rsidR="007366A5" w:rsidRPr="007366A5">
        <w:t>rophets include a similar proportion over a year (</w:t>
      </w:r>
      <w:r w:rsidR="000C193C">
        <w:t>1:10—2:20 [</w:t>
      </w:r>
      <w:r w:rsidR="007366A5" w:rsidRPr="007366A5">
        <w:t>2:1-22</w:t>
      </w:r>
      <w:r w:rsidR="000C193C">
        <w:t>]</w:t>
      </w:r>
      <w:r w:rsidR="007366A5" w:rsidRPr="007366A5">
        <w:t>; 11:7—14:</w:t>
      </w:r>
      <w:r w:rsidR="000C193C">
        <w:t>9 [</w:t>
      </w:r>
      <w:r w:rsidR="007366A5" w:rsidRPr="007366A5">
        <w:t>10</w:t>
      </w:r>
      <w:r w:rsidR="000C193C">
        <w:t>]</w:t>
      </w:r>
      <w:r w:rsidR="005C2E53">
        <w:t>). In both,</w:t>
      </w:r>
      <w:r w:rsidR="007366A5" w:rsidRPr="007366A5">
        <w:t xml:space="preserve"> promises predominate over warnings to a greater extent than they do in the scroll.</w:t>
      </w:r>
    </w:p>
    <w:p w:rsidR="004D6963" w:rsidRDefault="007366A5" w:rsidP="009652A7">
      <w:pPr>
        <w:pStyle w:val="ListParagraph"/>
        <w:numPr>
          <w:ilvl w:val="0"/>
          <w:numId w:val="19"/>
        </w:numPr>
        <w:ind w:left="360"/>
      </w:pPr>
      <w:r>
        <w:t xml:space="preserve">Key to </w:t>
      </w:r>
      <w:r w:rsidR="004D6963">
        <w:t xml:space="preserve">turning </w:t>
      </w:r>
      <w:r>
        <w:t xml:space="preserve">back to God </w:t>
      </w:r>
      <w:r w:rsidR="004D6963">
        <w:t xml:space="preserve">is “words.” </w:t>
      </w:r>
      <w:r w:rsidR="00CD0238">
        <w:t>While sacrifice is proper when the relationship between God and his people is in good order, it has no place when that relationship is out of order (cf. Ps. 51:16-19 [18-21]). Then we must render what LXX calls “the fruit of our lips,” a phrase th</w:t>
      </w:r>
      <w:r w:rsidR="006B758D">
        <w:t>at apparently caught the imagination</w:t>
      </w:r>
      <w:r w:rsidR="00CD0238">
        <w:t xml:space="preserve"> of </w:t>
      </w:r>
      <w:r w:rsidR="006B758D">
        <w:t>later readers and appears in connection with worship in Hebrews 13:15 (see</w:t>
      </w:r>
      <w:r w:rsidR="000C193C">
        <w:t xml:space="preserve"> the note</w:t>
      </w:r>
      <w:r w:rsidR="006B758D">
        <w:t>). Instead of offering sacrifices, the</w:t>
      </w:r>
      <w:r w:rsidR="000C193C">
        <w:t xml:space="preserve">n, all the people of God can </w:t>
      </w:r>
      <w:r w:rsidR="006B758D">
        <w:t xml:space="preserve">or needs to do is appeal to God to “carry waywardness.” </w:t>
      </w:r>
      <w:r w:rsidR="00452575">
        <w:t xml:space="preserve">We come to God as orphans, but we thus come to one who has compassion for orphans. </w:t>
      </w:r>
      <w:r w:rsidR="006B758D">
        <w:t xml:space="preserve">The basis of our hope for the cancelling of God’s threat to bring disaster on us </w:t>
      </w:r>
      <w:r w:rsidR="005C2E53">
        <w:t xml:space="preserve">or leave us in our devastated condition </w:t>
      </w:r>
      <w:r w:rsidR="006B758D">
        <w:t xml:space="preserve">is God’s willingness to take responsibility for our wrongdoing (even though it was our responsibility) </w:t>
      </w:r>
      <w:r w:rsidR="000C193C">
        <w:t>instead of requiring us to carry it</w:t>
      </w:r>
      <w:r w:rsidR="005C2E53">
        <w:t xml:space="preserve"> forever</w:t>
      </w:r>
      <w:r w:rsidR="006B758D">
        <w:t xml:space="preserve">. His </w:t>
      </w:r>
      <w:r w:rsidR="006B758D">
        <w:lastRenderedPageBreak/>
        <w:t xml:space="preserve">letting Jesus die for us embodies that taking of responsibility. Instead of our dying, he is prepared to die. </w:t>
      </w:r>
    </w:p>
    <w:p w:rsidR="006B758D" w:rsidRDefault="006B758D" w:rsidP="009652A7">
      <w:pPr>
        <w:pStyle w:val="ListParagraph"/>
        <w:numPr>
          <w:ilvl w:val="0"/>
          <w:numId w:val="19"/>
        </w:numPr>
        <w:ind w:left="360"/>
      </w:pPr>
      <w:r>
        <w:t>The content of the words is twofold. They indicate a turning away from reliance on taking responsibility for our own destiny and from reliance on resources apart from God, resources in the world. Such a turning recognizes that we belong to a kingdom that is not based in this world and cannot ally with its empires or turn to it for protection and support.</w:t>
      </w:r>
      <w:r w:rsidR="00452575">
        <w:t xml:space="preserve"> They also indicate a recognition that the religion we make for ourselves, which we may claim to be an expression of the gospel, is simply a religion we make for ourselves.</w:t>
      </w:r>
    </w:p>
    <w:p w:rsidR="00F23652" w:rsidRDefault="00452575" w:rsidP="009652A7">
      <w:pPr>
        <w:pStyle w:val="ListParagraph"/>
        <w:numPr>
          <w:ilvl w:val="0"/>
          <w:numId w:val="19"/>
        </w:numPr>
        <w:ind w:left="360"/>
      </w:pPr>
      <w:r>
        <w:t>Alongside the words we bring are the words that God brings, which declare the intention to restore us. They speak first of healing</w:t>
      </w:r>
      <w:r w:rsidR="000C193C">
        <w:t>, and they thus illustrate how</w:t>
      </w:r>
      <w:r w:rsidR="00D23F7C">
        <w:t xml:space="preserve"> healing can be a broader notion than it sounds</w:t>
      </w:r>
      <w:r>
        <w:t xml:space="preserve">. The people of God are both sinners in need of forgiveness and hurt people in need of healing, and these two realities can interact. Because we sin, we do things that hurt us. Because we hurt, we do things that are wrong. </w:t>
      </w:r>
      <w:r w:rsidR="00D23F7C">
        <w:t>God draws attention to the interwovenness of the two realities by speaking of healing our turning away. Jesus’</w:t>
      </w:r>
      <w:r w:rsidR="000C193C">
        <w:t>s</w:t>
      </w:r>
      <w:r w:rsidR="005C2E53">
        <w:t xml:space="preserve"> involvement in bringing </w:t>
      </w:r>
      <w:r w:rsidR="00D23F7C">
        <w:t>both healing and forgiveness (see especially Mark 2:1-12) recognizes the interwovenness. The healing of our turning back means that God does more than forgive it and leave us likely to go wrong again. The very act of forgiveness changes us. “The way of healing is by gratuitous pardon.”</w:t>
      </w:r>
      <w:r w:rsidR="00D23F7C">
        <w:rPr>
          <w:rStyle w:val="FootnoteReference"/>
        </w:rPr>
        <w:footnoteReference w:id="636"/>
      </w:r>
      <w:r w:rsidR="00D23F7C">
        <w:t xml:space="preserve"> </w:t>
      </w:r>
    </w:p>
    <w:p w:rsidR="00704507" w:rsidRDefault="00704507" w:rsidP="009652A7">
      <w:pPr>
        <w:pStyle w:val="ListParagraph"/>
        <w:numPr>
          <w:ilvl w:val="0"/>
          <w:numId w:val="19"/>
        </w:numPr>
        <w:ind w:left="360"/>
      </w:pPr>
      <w:r>
        <w:t>Part of the basis for God’s healing is his turning away from anger. That turning away issues from his renewed decision to give expression to the dominant side of his person (</w:t>
      </w:r>
      <w:r w:rsidR="00565FEB">
        <w:t xml:space="preserve">showing </w:t>
      </w:r>
      <w:r>
        <w:t xml:space="preserve">compassion, grace, commitment, </w:t>
      </w:r>
      <w:r w:rsidR="00565FEB">
        <w:t xml:space="preserve">and </w:t>
      </w:r>
      <w:r>
        <w:t xml:space="preserve">faithfulness) rather than the shadow side (treating the guilty as guilty and attending to their </w:t>
      </w:r>
      <w:r w:rsidR="00565FEB">
        <w:t xml:space="preserve">waywardness) (Exod. 34:6-7). </w:t>
      </w:r>
    </w:p>
    <w:p w:rsidR="00565FEB" w:rsidRDefault="00565FEB" w:rsidP="009652A7">
      <w:pPr>
        <w:pStyle w:val="ListParagraph"/>
        <w:numPr>
          <w:ilvl w:val="0"/>
          <w:numId w:val="19"/>
        </w:numPr>
        <w:ind w:left="360"/>
      </w:pPr>
      <w:r>
        <w:t xml:space="preserve">A </w:t>
      </w:r>
      <w:r w:rsidRPr="00565FEB">
        <w:t xml:space="preserve">generous love </w:t>
      </w:r>
      <w:r>
        <w:t>is the basis, but even more the expression, of both the healing and the turning away from anger. Th</w:t>
      </w:r>
      <w:r w:rsidR="00C43FC2">
        <w:t>is love expresses itself by transform</w:t>
      </w:r>
      <w:r>
        <w:t xml:space="preserve">ing us into a wildly colorful flower garden, a massive forest, a sweet-smelling perfume, a fertile wheat field, a spreading vine. </w:t>
      </w:r>
      <w:r w:rsidR="00C43FC2">
        <w:t xml:space="preserve">God will make the life of his people </w:t>
      </w:r>
      <w:r w:rsidR="000C54A7">
        <w:t xml:space="preserve">beautiful, strong, attractive, growing, and proliferating. </w:t>
      </w:r>
      <w:r w:rsidR="00E879A5">
        <w:t xml:space="preserve">This portrait of God’s grace makes 14:1-8 </w:t>
      </w:r>
      <w:r w:rsidR="00C43FC2">
        <w:t xml:space="preserve">[2-9] </w:t>
      </w:r>
      <w:r w:rsidR="00E879A5">
        <w:t>a highpoint of the Hosea scroll.</w:t>
      </w:r>
      <w:r w:rsidR="00E879A5">
        <w:rPr>
          <w:rStyle w:val="FootnoteReference"/>
        </w:rPr>
        <w:footnoteReference w:id="637"/>
      </w:r>
    </w:p>
    <w:p w:rsidR="004114F1" w:rsidRDefault="004114F1" w:rsidP="009652A7">
      <w:pPr>
        <w:pStyle w:val="ListParagraph"/>
        <w:numPr>
          <w:ilvl w:val="0"/>
          <w:numId w:val="19"/>
        </w:numPr>
        <w:ind w:left="360"/>
      </w:pPr>
      <w:r>
        <w:t xml:space="preserve">Yahweh is thus the God of nature, the God of fertility. It is not that Ephraim needs to turn from a god of nature to a God of history. It is that the God of history (whose involvement in Israel’s story has been expounded through 9:10—13:16 [14:1]) is also the God of nature, and </w:t>
      </w:r>
      <w:r w:rsidR="00C43FC2">
        <w:t>the God of politics, and his people need</w:t>
      </w:r>
      <w:r>
        <w:t xml:space="preserve"> to treat him as all three.</w:t>
      </w:r>
      <w:r w:rsidR="00397DFF">
        <w:rPr>
          <w:rStyle w:val="FootnoteReference"/>
        </w:rPr>
        <w:footnoteReference w:id="638"/>
      </w:r>
      <w:r w:rsidR="00397DFF">
        <w:t xml:space="preserve"> </w:t>
      </w:r>
    </w:p>
    <w:p w:rsidR="004D6963" w:rsidRPr="008C6BAD" w:rsidRDefault="000C54A7" w:rsidP="009652A7">
      <w:pPr>
        <w:pStyle w:val="ListParagraph"/>
        <w:numPr>
          <w:ilvl w:val="0"/>
          <w:numId w:val="19"/>
        </w:numPr>
        <w:ind w:left="360"/>
      </w:pPr>
      <w:r>
        <w:t xml:space="preserve">The </w:t>
      </w:r>
      <w:r w:rsidR="000070BD">
        <w:t>turning and the promises are simply set alongside each ot</w:t>
      </w:r>
      <w:r w:rsidR="00C07608">
        <w:t xml:space="preserve">her. Turning is not a </w:t>
      </w:r>
      <w:r w:rsidR="000070BD">
        <w:t>condition of the fulfilling of the p</w:t>
      </w:r>
      <w:r w:rsidR="00C07608">
        <w:t xml:space="preserve">romises. Nor will the promises </w:t>
      </w:r>
      <w:r w:rsidR="000070BD">
        <w:t>be fulfilled independently of any turning. The relationship between God and his p</w:t>
      </w:r>
      <w:r w:rsidR="00C07608">
        <w:t>eople is a personal one</w:t>
      </w:r>
      <w:r w:rsidR="000070BD">
        <w:t>, and the working and development of a personal relationship is not amenable to tight analyses of that kind. If the people of God turn, they will find the promises fulfilled. It may be the promises that inspire them to turn. God may fulfill the promises and that fulfillment will require them to turn. It may make them turn. The implications about the interrelationship of the turning and the promises are the ones that Paul also assumes in his analysis of the way God relates to us through Jesus in Romans 6.</w:t>
      </w:r>
    </w:p>
    <w:p w:rsidR="004A2E31" w:rsidRDefault="0021592F" w:rsidP="00EF7B98">
      <w:pPr>
        <w:pStyle w:val="Heading1"/>
      </w:pPr>
      <w:r>
        <w:lastRenderedPageBreak/>
        <w:t>Hosea 14:</w:t>
      </w:r>
      <w:r w:rsidR="004A2E31">
        <w:t>9</w:t>
      </w:r>
      <w:r w:rsidR="00E94DFB">
        <w:t xml:space="preserve"> [10]</w:t>
      </w:r>
      <w:r>
        <w:t>: Coda</w:t>
      </w:r>
    </w:p>
    <w:p w:rsidR="0021592F" w:rsidRDefault="0021592F" w:rsidP="001D3546">
      <w:pPr>
        <w:pStyle w:val="Heading2"/>
      </w:pPr>
      <w:r w:rsidRPr="00EC06DF">
        <w:t>Translation</w:t>
      </w:r>
    </w:p>
    <w:p w:rsidR="0021592F" w:rsidRDefault="00772B1C" w:rsidP="00916D57">
      <w:r>
        <w:t>Who is smart, so he</w:t>
      </w:r>
      <w:r w:rsidR="0021592F">
        <w:t xml:space="preserve"> </w:t>
      </w:r>
      <w:r>
        <w:t xml:space="preserve">will </w:t>
      </w:r>
      <w:r w:rsidR="002467D6">
        <w:t>consider</w:t>
      </w:r>
      <w:r>
        <w:rPr>
          <w:rStyle w:val="FootnoteReference"/>
        </w:rPr>
        <w:footnoteReference w:id="639"/>
      </w:r>
      <w:r>
        <w:t xml:space="preserve"> these things,</w:t>
      </w:r>
    </w:p>
    <w:p w:rsidR="004A2E31" w:rsidRDefault="0021592F" w:rsidP="00916D57">
      <w:r>
        <w:tab/>
      </w:r>
      <w:r w:rsidR="009125E4">
        <w:t xml:space="preserve">is </w:t>
      </w:r>
      <w:r w:rsidR="00772B1C">
        <w:t>understanding, so he</w:t>
      </w:r>
      <w:r>
        <w:t xml:space="preserve"> </w:t>
      </w:r>
      <w:r w:rsidR="00772B1C">
        <w:t xml:space="preserve">will </w:t>
      </w:r>
      <w:r>
        <w:t>acknowledge</w:t>
      </w:r>
      <w:r w:rsidR="00772B1C">
        <w:t xml:space="preserve"> them?</w:t>
      </w:r>
    </w:p>
    <w:p w:rsidR="0021592F" w:rsidRDefault="0021592F" w:rsidP="00916D57">
      <w:r>
        <w:t xml:space="preserve">Because Yahweh’s ways are upright, </w:t>
      </w:r>
    </w:p>
    <w:p w:rsidR="0021592F" w:rsidRDefault="0021592F" w:rsidP="00916D57">
      <w:r>
        <w:tab/>
        <w:t xml:space="preserve">and faithful people walk in them, </w:t>
      </w:r>
    </w:p>
    <w:p w:rsidR="0021592F" w:rsidRDefault="0021592F" w:rsidP="00916D57">
      <w:r>
        <w:tab/>
        <w:t>while rebellious people collapse</w:t>
      </w:r>
      <w:r w:rsidR="0063243B">
        <w:rPr>
          <w:rStyle w:val="FootnoteReference"/>
        </w:rPr>
        <w:footnoteReference w:id="640"/>
      </w:r>
      <w:r>
        <w:t xml:space="preserve"> on them.</w:t>
      </w:r>
    </w:p>
    <w:p w:rsidR="00F82C2A" w:rsidRDefault="00F82C2A" w:rsidP="001D3546">
      <w:pPr>
        <w:pStyle w:val="Heading2"/>
      </w:pPr>
      <w:r>
        <w:t>Interpretation</w:t>
      </w:r>
    </w:p>
    <w:p w:rsidR="009125E4" w:rsidRPr="009125E4" w:rsidRDefault="00F82C2A" w:rsidP="009125E4">
      <w:r>
        <w:t>The closing lines in Hosea comprise an invitation to take seriously the scroll as a whole.</w:t>
      </w:r>
      <w:r w:rsidR="00E91AA3">
        <w:rPr>
          <w:rStyle w:val="FootnoteReference"/>
        </w:rPr>
        <w:footnoteReference w:id="641"/>
      </w:r>
      <w:r>
        <w:t xml:space="preserve"> Two comparable lines appear at the end of Psalm 107, though</w:t>
      </w:r>
      <w:r w:rsidR="00A87679">
        <w:t xml:space="preserve"> in reverse order: i</w:t>
      </w:r>
      <w:r w:rsidR="00784848">
        <w:t>n both contexts teachers who naturally talk the language of Job, P</w:t>
      </w:r>
      <w:r w:rsidR="00C30D5F">
        <w:t>roverbs, and Ecclesiastes urge</w:t>
      </w:r>
      <w:r w:rsidR="00784848">
        <w:t xml:space="preserve"> Israelites to have the sense to pay attention to the mate</w:t>
      </w:r>
      <w:r w:rsidR="00A87679">
        <w:t>rial in the respective works</w:t>
      </w:r>
      <w:r w:rsidR="00784848">
        <w:t xml:space="preserve">. </w:t>
      </w:r>
      <w:r w:rsidR="009125E4">
        <w:t xml:space="preserve">Here, their presupposition is that the </w:t>
      </w:r>
      <w:r w:rsidR="00A87679">
        <w:t>prophetic scroll has a significance that is not confined to the prophet’s</w:t>
      </w:r>
      <w:r w:rsidR="009125E4">
        <w:t xml:space="preserve"> day. Smartness and understanding will </w:t>
      </w:r>
      <w:r w:rsidR="00030085">
        <w:t>express themselves in pondering and acknowledging</w:t>
      </w:r>
      <w:r w:rsidR="009125E4">
        <w:t xml:space="preserve">. </w:t>
      </w:r>
      <w:r w:rsidR="000C700F">
        <w:t>While t</w:t>
      </w:r>
      <w:r w:rsidR="00030085">
        <w:t>alk of smartness, consider</w:t>
      </w:r>
      <w:r w:rsidR="00A87679">
        <w:t>ing, and acknowledging</w:t>
      </w:r>
      <w:r w:rsidR="009125E4" w:rsidRPr="009125E4">
        <w:t xml:space="preserve"> </w:t>
      </w:r>
      <w:r w:rsidR="00030085">
        <w:t>is man</w:t>
      </w:r>
      <w:r w:rsidR="000C700F">
        <w:t xml:space="preserve">ifestly Proverbs’ language, </w:t>
      </w:r>
      <w:r w:rsidR="00030085">
        <w:t>it</w:t>
      </w:r>
      <w:r w:rsidR="009125E4">
        <w:t xml:space="preserve"> </w:t>
      </w:r>
      <w:r w:rsidR="000C700F">
        <w:t xml:space="preserve">is </w:t>
      </w:r>
      <w:r w:rsidR="009125E4">
        <w:t>also Hosea’s language. Talk of smartness follows i</w:t>
      </w:r>
      <w:r w:rsidR="007534ED">
        <w:t>r</w:t>
      </w:r>
      <w:r w:rsidR="009125E4">
        <w:t>onically on 13:13 (let no listener follow the old Ephraim’s example).</w:t>
      </w:r>
      <w:r w:rsidR="00030085">
        <w:t xml:space="preserve"> Talk of consider</w:t>
      </w:r>
      <w:r w:rsidR="007534ED">
        <w:t xml:space="preserve">ing follows ironically </w:t>
      </w:r>
      <w:r w:rsidR="00A87679">
        <w:t xml:space="preserve">on 4:14. Talk of acknowledging </w:t>
      </w:r>
      <w:r w:rsidR="007534ED">
        <w:t>follows ironically on 2:8 [10]</w:t>
      </w:r>
      <w:r w:rsidR="00A87679">
        <w:t>,</w:t>
      </w:r>
      <w:r w:rsidR="007534ED">
        <w:t xml:space="preserve"> among many references.</w:t>
      </w:r>
      <w:r w:rsidR="007D788C">
        <w:rPr>
          <w:rStyle w:val="FootnoteReference"/>
        </w:rPr>
        <w:footnoteReference w:id="642"/>
      </w:r>
    </w:p>
    <w:p w:rsidR="009125E4" w:rsidRDefault="00030085" w:rsidP="00916D57">
      <w:r>
        <w:t>The second line makes more explicit</w:t>
      </w:r>
      <w:r w:rsidR="009125E4">
        <w:t xml:space="preserve"> that smartness involves both und</w:t>
      </w:r>
      <w:r>
        <w:t xml:space="preserve">erstanding </w:t>
      </w:r>
      <w:r w:rsidR="009125E4">
        <w:t xml:space="preserve">these things </w:t>
      </w:r>
      <w:r w:rsidRPr="00030085">
        <w:t xml:space="preserve">intellectually </w:t>
      </w:r>
      <w:r w:rsidR="009125E4">
        <w:t>and recognizing the</w:t>
      </w:r>
      <w:r>
        <w:t xml:space="preserve">ir truth </w:t>
      </w:r>
      <w:r w:rsidR="009125E4">
        <w:t>by living in light of them. It a</w:t>
      </w:r>
      <w:r w:rsidR="000C700F">
        <w:t>lso presupposes (like Proverbs</w:t>
      </w:r>
      <w:r w:rsidR="009125E4">
        <w:t>) that smartness embrace</w:t>
      </w:r>
      <w:r w:rsidR="00A87679">
        <w:t xml:space="preserve">s recognition of Yahweh and </w:t>
      </w:r>
      <w:r w:rsidR="009125E4">
        <w:t xml:space="preserve">recognition of an ethical aspect to smartness (cf. Prov. 1:2-7). </w:t>
      </w:r>
      <w:r w:rsidR="007534ED">
        <w:t>Here, uprightness</w:t>
      </w:r>
      <w:r w:rsidR="007C7AE7">
        <w:t xml:space="preserve"> </w:t>
      </w:r>
      <w:r>
        <w:t xml:space="preserve">(like understanding) </w:t>
      </w:r>
      <w:r w:rsidR="007C7AE7">
        <w:t>is</w:t>
      </w:r>
      <w:r>
        <w:t xml:space="preserve"> a Proverbs word and not </w:t>
      </w:r>
      <w:r w:rsidR="000C700F">
        <w:t>a Hosean one, though</w:t>
      </w:r>
      <w:r>
        <w:t xml:space="preserve"> t</w:t>
      </w:r>
      <w:r w:rsidR="003463EF">
        <w:t>he entire scroll has concerned itself with Yahweh’s</w:t>
      </w:r>
      <w:r w:rsidR="00A87679">
        <w:t xml:space="preserve"> ways, both the ways he </w:t>
      </w:r>
      <w:r w:rsidR="003463EF">
        <w:t xml:space="preserve">walks and the ways he expects his people to walk. </w:t>
      </w:r>
      <w:r w:rsidR="007C7AE7">
        <w:t>While Ho</w:t>
      </w:r>
      <w:r w:rsidR="00266DFB">
        <w:t>sea talks about faithfulness, he</w:t>
      </w:r>
      <w:r w:rsidR="007C7AE7">
        <w:t xml:space="preserve"> never uses the adjective faithful (</w:t>
      </w:r>
      <w:r w:rsidR="007C7AE7">
        <w:rPr>
          <w:i/>
        </w:rPr>
        <w:t>șaddîq</w:t>
      </w:r>
      <w:r w:rsidR="000C700F">
        <w:t>);</w:t>
      </w:r>
      <w:r>
        <w:t xml:space="preserve"> t</w:t>
      </w:r>
      <w:r w:rsidR="007C7AE7">
        <w:t>he language of rebellion appears in both contexts. Collapsing is more Hosea’s language than Proverbs’.</w:t>
      </w:r>
      <w:r w:rsidR="00266DFB">
        <w:t xml:space="preserve"> </w:t>
      </w:r>
      <w:r w:rsidR="003463EF">
        <w:t>When rebellious people bump into Yahweh’s ways (whether the ways he follows or the ways he expects people to follow), they fall over them</w:t>
      </w:r>
      <w:r w:rsidR="00CE1E65">
        <w:t xml:space="preserve"> (Aq nicely uses the verb </w:t>
      </w:r>
      <w:r w:rsidR="00CE1E65">
        <w:rPr>
          <w:i/>
        </w:rPr>
        <w:t>skandalizō</w:t>
      </w:r>
      <w:r w:rsidR="00CE1E65">
        <w:t>)</w:t>
      </w:r>
      <w:r w:rsidR="003463EF">
        <w:t>.</w:t>
      </w:r>
    </w:p>
    <w:p w:rsidR="00030085" w:rsidRDefault="00030085" w:rsidP="00916D57">
      <w:r>
        <w:t>The complex relationship between the language of Hosea and the language of Proverbs indicates how this closing exhortation comes from someone w</w:t>
      </w:r>
      <w:r w:rsidR="003D627C">
        <w:t>ho has immersed himself in both,</w:t>
      </w:r>
      <w:r w:rsidR="00B067FE">
        <w:rPr>
          <w:rStyle w:val="FootnoteReference"/>
        </w:rPr>
        <w:footnoteReference w:id="643"/>
      </w:r>
      <w:r w:rsidR="003D627C">
        <w:t xml:space="preserve"> either Hosea or one of his disciples.</w:t>
      </w:r>
    </w:p>
    <w:p w:rsidR="00D76DA6" w:rsidRDefault="00D76DA6" w:rsidP="001D3546">
      <w:pPr>
        <w:pStyle w:val="Heading2"/>
      </w:pPr>
      <w:r>
        <w:t>Theological Implications</w:t>
      </w:r>
    </w:p>
    <w:p w:rsidR="000070BD" w:rsidRDefault="000070BD" w:rsidP="009652A7">
      <w:pPr>
        <w:pStyle w:val="ListParagraph"/>
        <w:numPr>
          <w:ilvl w:val="0"/>
          <w:numId w:val="20"/>
        </w:numPr>
        <w:ind w:left="360"/>
      </w:pPr>
      <w:r>
        <w:t>The message of a prophetic scroll</w:t>
      </w:r>
      <w:r w:rsidR="00F30A16">
        <w:t xml:space="preserve"> is one that will be reflected on and heeded by sensible people way beyond Hosea’s day. The statements in 2 Timothy 3: 15-17 and in 2 Peter 1:19-21 about the Scriptures, and about the prophetic scrolls in particular, restate the point.</w:t>
      </w:r>
      <w:r w:rsidR="00FF212C">
        <w:rPr>
          <w:rStyle w:val="FootnoteReference"/>
        </w:rPr>
        <w:footnoteReference w:id="644"/>
      </w:r>
    </w:p>
    <w:p w:rsidR="00F30A16" w:rsidRDefault="000720B9" w:rsidP="009652A7">
      <w:pPr>
        <w:pStyle w:val="ListParagraph"/>
        <w:numPr>
          <w:ilvl w:val="0"/>
          <w:numId w:val="20"/>
        </w:numPr>
        <w:ind w:left="360"/>
      </w:pPr>
      <w:r>
        <w:lastRenderedPageBreak/>
        <w:t xml:space="preserve">On the basis of the </w:t>
      </w:r>
      <w:r w:rsidR="00540624">
        <w:t xml:space="preserve">scroll’s contents </w:t>
      </w:r>
      <w:r w:rsidR="002F2D02">
        <w:t>it declares that God</w:t>
      </w:r>
      <w:r>
        <w:t>’s ways are uprig</w:t>
      </w:r>
      <w:r w:rsidR="00540624">
        <w:t xml:space="preserve">ht. </w:t>
      </w:r>
      <w:r w:rsidR="002F2D02">
        <w:t xml:space="preserve">God </w:t>
      </w:r>
      <w:r>
        <w:t>has been upright in the way he has been dealing with Ephraim, in bringing trouble to it when it has gone wrong rather than ignoring such waywardne</w:t>
      </w:r>
      <w:r w:rsidR="002F2D02">
        <w:t>ss; and God</w:t>
      </w:r>
      <w:r>
        <w:t xml:space="preserve"> will be upright in the way he will restore Ephraim if it turns from that waywardness. Further</w:t>
      </w:r>
      <w:r w:rsidR="002F2D02">
        <w:t>, the ways of acting that God</w:t>
      </w:r>
      <w:r w:rsidR="00540624">
        <w:t xml:space="preserve"> expects are upright. H</w:t>
      </w:r>
      <w:r>
        <w:t>e looks for faithfulness to him and reliance on him rather than on other religious and political resources, on the basis of the f</w:t>
      </w:r>
      <w:r w:rsidR="000C700F">
        <w:t xml:space="preserve">act that he is God, and is Israel’s God, and </w:t>
      </w:r>
      <w:r>
        <w:t>is the only one capable of delivering Israel.</w:t>
      </w:r>
    </w:p>
    <w:p w:rsidR="009A36BE" w:rsidRPr="00DD2F77" w:rsidRDefault="00540624" w:rsidP="00DD2F77">
      <w:pPr>
        <w:pStyle w:val="ListParagraph"/>
        <w:numPr>
          <w:ilvl w:val="0"/>
          <w:numId w:val="20"/>
        </w:numPr>
        <w:ind w:left="360"/>
      </w:pPr>
      <w:r>
        <w:t>The closing line in Hosea “conveys a poignant message relevant to matters of theodicy,”</w:t>
      </w:r>
      <w:r>
        <w:rPr>
          <w:rStyle w:val="FootnoteReference"/>
        </w:rPr>
        <w:footnoteReference w:id="645"/>
      </w:r>
      <w:r>
        <w:t xml:space="preserve"> though the suffering of the Jewish people over the centuries, not least in the Holocaust, makes us aware that we cannot universalize its statement.</w:t>
      </w:r>
      <w:r>
        <w:rPr>
          <w:rStyle w:val="FootnoteReference"/>
        </w:rPr>
        <w:footnoteReference w:id="646"/>
      </w:r>
      <w:r w:rsidR="000C700F">
        <w:t xml:space="preserve"> The statement </w:t>
      </w:r>
      <w:r>
        <w:t xml:space="preserve">implies that we should not be so overwhelmed by the reality of undeserved suffering that we fail to ask about whether we as the people of God deserved our suffering. It also invites us to hold onto the declarations it makes, not least when they seem belied by experience. </w:t>
      </w:r>
      <w:r w:rsidR="008E3B54">
        <w:t>To say that faithful people walk in these upright ways is a tautology, though Proverbs is not averse to such tautologies</w:t>
      </w:r>
      <w:r w:rsidR="00B5793D">
        <w:t xml:space="preserve">, and neither is Hosea (see the </w:t>
      </w:r>
      <w:r w:rsidR="00F14F90">
        <w:t>comments</w:t>
      </w:r>
      <w:r w:rsidR="00B5793D">
        <w:t xml:space="preserve"> on 12:7)</w:t>
      </w:r>
      <w:r w:rsidR="008E3B54">
        <w:t xml:space="preserve">. But the parallel colon points to a less tautological point. Faithful people </w:t>
      </w:r>
      <w:r w:rsidR="008E3B54" w:rsidRPr="00540624">
        <w:rPr>
          <w:i/>
        </w:rPr>
        <w:t>can</w:t>
      </w:r>
      <w:r w:rsidR="008E3B54">
        <w:t xml:space="preserve"> walk by them; they walk successfully and safely by them. People listening to the Hosea scroll are encouraged to live their lives confidently in the conviction that they can trust its moral account of how life works. Conversely, they are encouraged to accept the corollary warning about the fate of rebellious people which is a prominen</w:t>
      </w:r>
      <w:r w:rsidR="000C700F">
        <w:t xml:space="preserve">t emphasis in the scroll. Like </w:t>
      </w:r>
      <w:r w:rsidR="008E3B54">
        <w:t xml:space="preserve">declarations in Proverbs, the promise and the warning will not work out 100% of </w:t>
      </w:r>
      <w:r w:rsidR="000C700F">
        <w:t>the time, but they will work out</w:t>
      </w:r>
      <w:r w:rsidR="008E3B54">
        <w:t xml:space="preserve"> enough of the time for the listeners to bet their lives on them.</w:t>
      </w:r>
      <w:bookmarkStart w:id="0" w:name="_GoBack"/>
      <w:bookmarkEnd w:id="0"/>
    </w:p>
    <w:sectPr w:rsidR="009A36BE" w:rsidRPr="00DD2F77" w:rsidSect="0033763D">
      <w:footerReference w:type="default" r:id="rId9"/>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1D" w:rsidRDefault="00F90D1D" w:rsidP="00282427">
      <w:r>
        <w:separator/>
      </w:r>
    </w:p>
  </w:endnote>
  <w:endnote w:type="continuationSeparator" w:id="0">
    <w:p w:rsidR="00F90D1D" w:rsidRDefault="00F90D1D" w:rsidP="0028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803" w:usb1="00000000" w:usb2="00000000" w:usb3="00000000" w:csb0="00000061" w:csb1="00000000"/>
  </w:font>
  <w:font w:name="TimesNewRomanPS-BoldMT">
    <w:altName w:val="Arial"/>
    <w:panose1 w:val="00000000000000000000"/>
    <w:charset w:val="00"/>
    <w:family w:val="swiss"/>
    <w:notTrueType/>
    <w:pitch w:val="default"/>
    <w:sig w:usb0="00002803" w:usb1="00000000" w:usb2="00000000" w:usb3="00000000" w:csb0="00000061" w:csb1="00000000"/>
  </w:font>
  <w:font w:name="Code2000">
    <w:altName w:val="Arial Unicode MS"/>
    <w:panose1 w:val="00000000000000000000"/>
    <w:charset w:val="81"/>
    <w:family w:val="auto"/>
    <w:notTrueType/>
    <w:pitch w:val="default"/>
    <w:sig w:usb0="00000001" w:usb1="09060000" w:usb2="00000010" w:usb3="00000000" w:csb0="00080000" w:csb1="00000000"/>
  </w:font>
  <w:font w:name="BerkeleyEis-SC">
    <w:altName w:val="MS Mincho"/>
    <w:panose1 w:val="00000000000000000000"/>
    <w:charset w:val="80"/>
    <w:family w:val="auto"/>
    <w:notTrueType/>
    <w:pitch w:val="default"/>
    <w:sig w:usb0="00000003" w:usb1="08070000" w:usb2="00000010" w:usb3="00000000" w:csb0="00020001" w:csb1="00000000"/>
  </w:font>
  <w:font w:name="BerkeleyEis">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00"/>
    <w:family w:val="roman"/>
    <w:notTrueType/>
    <w:pitch w:val="default"/>
    <w:sig w:usb0="00000003" w:usb1="08070000" w:usb2="00000010" w:usb3="00000000" w:csb0="00020001" w:csb1="00000000"/>
  </w:font>
  <w:font w:name="TimesNewRoman,Bold">
    <w:panose1 w:val="00000000000000000000"/>
    <w:charset w:val="00"/>
    <w:family w:val="swiss"/>
    <w:notTrueType/>
    <w:pitch w:val="default"/>
    <w:sig w:usb0="00000003" w:usb1="00000000" w:usb2="00000000" w:usb3="00000000" w:csb0="00000001" w:csb1="00000000"/>
  </w:font>
  <w:font w:name="AGaramondPro-Bold">
    <w:panose1 w:val="00000000000000000000"/>
    <w:charset w:val="00"/>
    <w:family w:val="auto"/>
    <w:notTrueType/>
    <w:pitch w:val="default"/>
    <w:sig w:usb0="00000003" w:usb1="00000000" w:usb2="00000000" w:usb3="00000000" w:csb0="00000001" w:csb1="00000000"/>
  </w:font>
  <w:font w:name="WSBOS E+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MS Mincho"/>
    <w:panose1 w:val="00000000000000000000"/>
    <w:charset w:val="80"/>
    <w:family w:val="auto"/>
    <w:notTrueType/>
    <w:pitch w:val="default"/>
    <w:sig w:usb0="00000003" w:usb1="08070000" w:usb2="00000010" w:usb3="00000000" w:csb0="00020001" w:csb1="00000000"/>
  </w:font>
  <w:font w:name="Garamond-Bold">
    <w:panose1 w:val="00000000000000000000"/>
    <w:charset w:val="00"/>
    <w:family w:val="roman"/>
    <w:notTrueType/>
    <w:pitch w:val="default"/>
    <w:sig w:usb0="00000003" w:usb1="00000000" w:usb2="00000000" w:usb3="00000000" w:csb0="00000001" w:csb1="00000000"/>
  </w:font>
  <w:font w:name="BaskOldFac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6B" w:rsidRDefault="00C5566B">
    <w:pPr>
      <w:pStyle w:val="Footer"/>
    </w:pPr>
  </w:p>
  <w:p w:rsidR="00C5566B" w:rsidRDefault="00C5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1D" w:rsidRDefault="00F90D1D" w:rsidP="00282427">
      <w:r>
        <w:separator/>
      </w:r>
    </w:p>
  </w:footnote>
  <w:footnote w:type="continuationSeparator" w:id="0">
    <w:p w:rsidR="00F90D1D" w:rsidRDefault="00F90D1D" w:rsidP="00282427">
      <w:r>
        <w:continuationSeparator/>
      </w:r>
    </w:p>
  </w:footnote>
  <w:footnote w:id="1">
    <w:p w:rsidR="00C5566B" w:rsidRPr="00F63C17" w:rsidRDefault="00C5566B" w:rsidP="001B67AF">
      <w:pPr>
        <w:pStyle w:val="FootnoteText"/>
      </w:pPr>
      <w:r>
        <w:rPr>
          <w:rStyle w:val="FootnoteReference"/>
        </w:rPr>
        <w:footnoteRef/>
      </w:r>
      <w:r>
        <w:t xml:space="preserve"> Ben Zvi, </w:t>
      </w:r>
      <w:r>
        <w:rPr>
          <w:i/>
        </w:rPr>
        <w:t>Hosea</w:t>
      </w:r>
      <w:r>
        <w:t>, 238.</w:t>
      </w:r>
    </w:p>
  </w:footnote>
  <w:footnote w:id="2">
    <w:p w:rsidR="00C5566B" w:rsidRPr="004D5C01" w:rsidRDefault="00C5566B">
      <w:pPr>
        <w:pStyle w:val="FootnoteText"/>
      </w:pPr>
      <w:r>
        <w:rPr>
          <w:rStyle w:val="FootnoteReference"/>
        </w:rPr>
        <w:footnoteRef/>
      </w:r>
      <w:r>
        <w:t xml:space="preserve"> See Chalmers, </w:t>
      </w:r>
      <w:r w:rsidRPr="004D5C01">
        <w:rPr>
          <w:i/>
        </w:rPr>
        <w:t>The Struggle of Yahweh and El for Hosea’s Israel</w:t>
      </w:r>
      <w:r>
        <w:t>.</w:t>
      </w:r>
    </w:p>
  </w:footnote>
  <w:footnote w:id="3">
    <w:p w:rsidR="00C5566B" w:rsidRPr="002D0499" w:rsidRDefault="00C5566B" w:rsidP="002D0499">
      <w:pPr>
        <w:pStyle w:val="Default"/>
        <w:rPr>
          <w:rFonts w:asciiTheme="minorHAnsi" w:hAnsiTheme="minorHAnsi"/>
          <w:i/>
          <w:sz w:val="20"/>
          <w:szCs w:val="20"/>
        </w:rPr>
      </w:pPr>
      <w:r>
        <w:tab/>
      </w:r>
      <w:r w:rsidRPr="004D5C01">
        <w:rPr>
          <w:rStyle w:val="FootnoteReference"/>
          <w:sz w:val="20"/>
          <w:szCs w:val="20"/>
        </w:rPr>
        <w:footnoteRef/>
      </w:r>
      <w:r w:rsidRPr="004D5C01">
        <w:rPr>
          <w:sz w:val="20"/>
          <w:szCs w:val="20"/>
        </w:rPr>
        <w:t xml:space="preserve"> </w:t>
      </w:r>
      <w:r w:rsidRPr="002D0499">
        <w:rPr>
          <w:rFonts w:asciiTheme="minorHAnsi" w:hAnsiTheme="minorHAnsi"/>
          <w:sz w:val="20"/>
          <w:szCs w:val="20"/>
        </w:rPr>
        <w:t xml:space="preserve">See Thomas A. Judge, </w:t>
      </w:r>
      <w:r w:rsidRPr="002D0499">
        <w:rPr>
          <w:rFonts w:asciiTheme="minorHAnsi" w:hAnsiTheme="minorHAnsi"/>
          <w:i/>
          <w:sz w:val="20"/>
          <w:szCs w:val="20"/>
        </w:rPr>
        <w:t xml:space="preserve">The Relationship between the Worship of Other Gods </w:t>
      </w:r>
    </w:p>
    <w:p w:rsidR="00C5566B" w:rsidRPr="002D0499" w:rsidRDefault="00C5566B" w:rsidP="002D0499">
      <w:pPr>
        <w:autoSpaceDE w:val="0"/>
        <w:autoSpaceDN w:val="0"/>
        <w:adjustRightInd w:val="0"/>
        <w:ind w:firstLine="0"/>
        <w:rPr>
          <w:rFonts w:eastAsiaTheme="minorHAnsi" w:cs="Times New Roman"/>
          <w:color w:val="000000"/>
          <w:sz w:val="20"/>
          <w:szCs w:val="20"/>
        </w:rPr>
      </w:pPr>
      <w:r w:rsidRPr="00882C4C">
        <w:rPr>
          <w:rFonts w:eastAsiaTheme="minorHAnsi" w:cs="Times New Roman"/>
          <w:i/>
          <w:color w:val="000000"/>
          <w:sz w:val="20"/>
          <w:szCs w:val="20"/>
        </w:rPr>
        <w:t>a</w:t>
      </w:r>
      <w:r w:rsidRPr="002D0499">
        <w:rPr>
          <w:rFonts w:eastAsiaTheme="minorHAnsi" w:cs="Times New Roman"/>
          <w:i/>
          <w:color w:val="000000"/>
          <w:sz w:val="20"/>
          <w:szCs w:val="20"/>
        </w:rPr>
        <w:t>nd the Worship of Idols within the Old Testament</w:t>
      </w:r>
      <w:r w:rsidRPr="002D0499">
        <w:rPr>
          <w:rFonts w:eastAsiaTheme="minorHAnsi" w:cs="Times New Roman"/>
          <w:color w:val="000000"/>
          <w:sz w:val="20"/>
          <w:szCs w:val="20"/>
        </w:rPr>
        <w:t xml:space="preserve"> (Dissertation, Durham U.K., 2015</w:t>
      </w:r>
      <w:r>
        <w:rPr>
          <w:rFonts w:eastAsiaTheme="minorHAnsi" w:cs="Times New Roman"/>
          <w:color w:val="000000"/>
          <w:sz w:val="20"/>
          <w:szCs w:val="20"/>
        </w:rPr>
        <w:t>)</w:t>
      </w:r>
      <w:r w:rsidRPr="002D0499">
        <w:rPr>
          <w:rFonts w:eastAsiaTheme="minorHAnsi" w:cs="Times New Roman"/>
          <w:color w:val="000000"/>
          <w:sz w:val="20"/>
          <w:szCs w:val="20"/>
        </w:rPr>
        <w:t>.</w:t>
      </w:r>
    </w:p>
  </w:footnote>
  <w:footnote w:id="4">
    <w:p w:rsidR="00C5566B" w:rsidRDefault="00C5566B" w:rsidP="00686DA7">
      <w:pPr>
        <w:pStyle w:val="FootnoteText"/>
      </w:pPr>
      <w:r>
        <w:rPr>
          <w:rStyle w:val="FootnoteReference"/>
        </w:rPr>
        <w:footnoteRef/>
      </w:r>
      <w:r>
        <w:t xml:space="preserve"> See John Day, </w:t>
      </w:r>
      <w:r w:rsidRPr="00EE7826">
        <w:t xml:space="preserve">“Hosea and the Baal Cult,” in Day (ed.), </w:t>
      </w:r>
      <w:r w:rsidRPr="00EE7826">
        <w:rPr>
          <w:i/>
        </w:rPr>
        <w:t>Prophecy and the Prophets in Ancient Israel</w:t>
      </w:r>
      <w:r w:rsidRPr="00EE7826">
        <w:t xml:space="preserve"> (London: Clark, 2010), 202-24.</w:t>
      </w:r>
    </w:p>
  </w:footnote>
  <w:footnote w:id="5">
    <w:p w:rsidR="00C5566B" w:rsidRDefault="00C5566B">
      <w:pPr>
        <w:pStyle w:val="FootnoteText"/>
      </w:pPr>
      <w:r>
        <w:rPr>
          <w:rStyle w:val="FootnoteReference"/>
        </w:rPr>
        <w:footnoteRef/>
      </w:r>
      <w:r>
        <w:t xml:space="preserve"> See the comments on 2:8 [10].</w:t>
      </w:r>
    </w:p>
  </w:footnote>
  <w:footnote w:id="6">
    <w:p w:rsidR="00C5566B" w:rsidRPr="008B2B3E" w:rsidRDefault="00C5566B">
      <w:pPr>
        <w:pStyle w:val="FootnoteText"/>
      </w:pPr>
      <w:r>
        <w:rPr>
          <w:rStyle w:val="FootnoteReference"/>
        </w:rPr>
        <w:footnoteRef/>
      </w:r>
      <w:r>
        <w:t xml:space="preserve"> Cf. Gale A. Yee, “The Book of Hosea,” </w:t>
      </w:r>
      <w:r>
        <w:rPr>
          <w:i/>
        </w:rPr>
        <w:t xml:space="preserve">NIB </w:t>
      </w:r>
      <w:r>
        <w:t>7:263.</w:t>
      </w:r>
    </w:p>
  </w:footnote>
  <w:footnote w:id="7">
    <w:p w:rsidR="00C5566B" w:rsidRPr="00EE7826" w:rsidRDefault="00C5566B" w:rsidP="003735E1">
      <w:pPr>
        <w:pStyle w:val="FootnoteText"/>
      </w:pPr>
      <w:r>
        <w:rPr>
          <w:rStyle w:val="FootnoteReference"/>
        </w:rPr>
        <w:footnoteRef/>
      </w:r>
      <w:r>
        <w:t xml:space="preserve"> And see John Day, “Does the Old Testament Refer to Sacred Prostitution and Did It Actually Exist in Ancient Israel,” in C. McCarthy and J. F. Healey (eds.), </w:t>
      </w:r>
      <w:r>
        <w:rPr>
          <w:i/>
        </w:rPr>
        <w:t>Biblical and Near Eastern Essays</w:t>
      </w:r>
      <w:r>
        <w:t xml:space="preserve"> (Kevin J. Cathcart Festchrift; London: Clark, 2004), 225-50.</w:t>
      </w:r>
    </w:p>
  </w:footnote>
  <w:footnote w:id="8">
    <w:p w:rsidR="00C5566B" w:rsidRPr="00853353" w:rsidRDefault="00C5566B" w:rsidP="003735E1">
      <w:pPr>
        <w:pStyle w:val="FootnoteText"/>
      </w:pPr>
      <w:r>
        <w:rPr>
          <w:rStyle w:val="FootnoteReference"/>
        </w:rPr>
        <w:footnoteRef/>
      </w:r>
      <w:r>
        <w:t xml:space="preserve"> On the need to abandon such theories, see e.g., </w:t>
      </w:r>
      <w:r w:rsidRPr="00DA1557">
        <w:t xml:space="preserve">Alice A. Keefe, </w:t>
      </w:r>
      <w:r w:rsidRPr="00DA1557">
        <w:rPr>
          <w:i/>
        </w:rPr>
        <w:t>Woman’s Body and the Social Body in Hosea</w:t>
      </w:r>
      <w:r w:rsidRPr="00DA1557">
        <w:t xml:space="preserve"> (London/New York: Sheffield Academic Press, 2001)</w:t>
      </w:r>
      <w:r>
        <w:t xml:space="preserve">; Irene E. Riegner, </w:t>
      </w:r>
      <w:r>
        <w:rPr>
          <w:i/>
        </w:rPr>
        <w:t xml:space="preserve">The Vanishing Hebrew Harlot </w:t>
      </w:r>
      <w:r>
        <w:t>(New York: Lang, 2009).</w:t>
      </w:r>
    </w:p>
  </w:footnote>
  <w:footnote w:id="9">
    <w:p w:rsidR="00C5566B" w:rsidRPr="00DE520B" w:rsidRDefault="00C5566B" w:rsidP="00DE520B">
      <w:pPr>
        <w:rPr>
          <w:sz w:val="20"/>
          <w:szCs w:val="20"/>
        </w:rPr>
      </w:pPr>
      <w:r>
        <w:rPr>
          <w:rStyle w:val="FootnoteReference"/>
        </w:rPr>
        <w:footnoteRef/>
      </w:r>
      <w:r>
        <w:t xml:space="preserve"> </w:t>
      </w:r>
      <w:r w:rsidRPr="003D6CAF">
        <w:rPr>
          <w:sz w:val="20"/>
          <w:szCs w:val="20"/>
        </w:rPr>
        <w:t xml:space="preserve">Fretheim, </w:t>
      </w:r>
      <w:r w:rsidRPr="003D6CAF">
        <w:rPr>
          <w:i/>
          <w:sz w:val="20"/>
          <w:szCs w:val="20"/>
        </w:rPr>
        <w:t>Reading Hosea-Micah</w:t>
      </w:r>
      <w:r w:rsidRPr="003D6CAF">
        <w:rPr>
          <w:sz w:val="20"/>
          <w:szCs w:val="20"/>
        </w:rPr>
        <w:t>, 12; see</w:t>
      </w:r>
      <w:r w:rsidRPr="00DE520B">
        <w:rPr>
          <w:sz w:val="20"/>
          <w:szCs w:val="20"/>
        </w:rPr>
        <w:t xml:space="preserve"> </w:t>
      </w:r>
      <w:r>
        <w:rPr>
          <w:sz w:val="20"/>
          <w:szCs w:val="20"/>
        </w:rPr>
        <w:t xml:space="preserve">further </w:t>
      </w:r>
      <w:r w:rsidRPr="00DE520B">
        <w:rPr>
          <w:sz w:val="20"/>
          <w:szCs w:val="20"/>
        </w:rPr>
        <w:t xml:space="preserve">Gören Eidevall, </w:t>
      </w:r>
      <w:r w:rsidRPr="00DE520B">
        <w:rPr>
          <w:i/>
          <w:sz w:val="20"/>
          <w:szCs w:val="20"/>
        </w:rPr>
        <w:t>Grapes in the Desert</w:t>
      </w:r>
      <w:r w:rsidRPr="00DE520B">
        <w:rPr>
          <w:sz w:val="20"/>
          <w:szCs w:val="20"/>
        </w:rPr>
        <w:t xml:space="preserve"> (Stockholm: Almqvist, 1996); Emmanuel O. Nwaoru, </w:t>
      </w:r>
      <w:r w:rsidRPr="00DE520B">
        <w:rPr>
          <w:i/>
          <w:sz w:val="20"/>
          <w:szCs w:val="20"/>
        </w:rPr>
        <w:t xml:space="preserve">Imagery in the Prophecy of Hosea </w:t>
      </w:r>
      <w:r w:rsidRPr="00DE520B">
        <w:rPr>
          <w:sz w:val="20"/>
          <w:szCs w:val="20"/>
        </w:rPr>
        <w:t xml:space="preserve">(Wiesbaden: Harrassowitz, 1999); Francis Landy, </w:t>
      </w:r>
      <w:r w:rsidRPr="00DE520B">
        <w:rPr>
          <w:i/>
          <w:sz w:val="20"/>
          <w:szCs w:val="20"/>
        </w:rPr>
        <w:t>Beauty and the Enigma</w:t>
      </w:r>
      <w:r w:rsidRPr="00DE520B">
        <w:rPr>
          <w:sz w:val="20"/>
          <w:szCs w:val="20"/>
        </w:rPr>
        <w:t xml:space="preserve"> (Sheffield: Sheffield Academic Press, 2001), 273-97; Haddox, </w:t>
      </w:r>
      <w:r w:rsidRPr="00DE520B">
        <w:rPr>
          <w:i/>
          <w:sz w:val="20"/>
          <w:szCs w:val="20"/>
        </w:rPr>
        <w:t>Metaphor and Masculinity</w:t>
      </w:r>
      <w:r w:rsidRPr="00DE520B">
        <w:rPr>
          <w:sz w:val="20"/>
          <w:szCs w:val="20"/>
        </w:rPr>
        <w:t xml:space="preserve">; Sharon Moughtin-Mumby, </w:t>
      </w:r>
      <w:r w:rsidRPr="00DE520B">
        <w:rPr>
          <w:i/>
          <w:sz w:val="20"/>
          <w:szCs w:val="20"/>
        </w:rPr>
        <w:t>Sexual and Marital Metaphors in Hosea, Jeremiah, Isaiah, and Ezekiel</w:t>
      </w:r>
      <w:r>
        <w:rPr>
          <w:sz w:val="20"/>
          <w:szCs w:val="20"/>
        </w:rPr>
        <w:t xml:space="preserve"> (Oxford: OUP, 2008).</w:t>
      </w:r>
    </w:p>
  </w:footnote>
  <w:footnote w:id="10">
    <w:p w:rsidR="00C5566B" w:rsidRPr="005E652E" w:rsidRDefault="00C5566B">
      <w:pPr>
        <w:pStyle w:val="FootnoteText"/>
      </w:pPr>
      <w:r>
        <w:rPr>
          <w:rStyle w:val="FootnoteReference"/>
        </w:rPr>
        <w:footnoteRef/>
      </w:r>
      <w:r>
        <w:t xml:space="preserve"> Walter Brueggemann, “The Recovering God of Hosea,” </w:t>
      </w:r>
      <w:r>
        <w:rPr>
          <w:i/>
        </w:rPr>
        <w:t>HBT</w:t>
      </w:r>
      <w:r>
        <w:t xml:space="preserve"> 30 (2008): 5-20 (7).</w:t>
      </w:r>
    </w:p>
  </w:footnote>
  <w:footnote w:id="11">
    <w:p w:rsidR="00C5566B" w:rsidRPr="00C022C9" w:rsidRDefault="00C5566B">
      <w:pPr>
        <w:pStyle w:val="FootnoteText"/>
      </w:pPr>
      <w:r>
        <w:rPr>
          <w:rStyle w:val="FootnoteReference"/>
        </w:rPr>
        <w:footnoteRef/>
      </w:r>
      <w:r>
        <w:t xml:space="preserve"> Cf. </w:t>
      </w:r>
      <w:r w:rsidRPr="00C022C9">
        <w:t xml:space="preserve">Wendland, </w:t>
      </w:r>
      <w:r w:rsidRPr="00C022C9">
        <w:rPr>
          <w:i/>
        </w:rPr>
        <w:t>Discourse Analysis of Hebrew Prophetic Literature</w:t>
      </w:r>
      <w:r w:rsidRPr="00C022C9">
        <w:t xml:space="preserve">, 172-218 (though I don’t think 6:1-3 is ironic in quite the sense he suggests). </w:t>
      </w:r>
    </w:p>
  </w:footnote>
  <w:footnote w:id="12">
    <w:p w:rsidR="00C5566B" w:rsidRPr="000B672A" w:rsidRDefault="00C5566B">
      <w:pPr>
        <w:pStyle w:val="FootnoteText"/>
        <w:rPr>
          <w:lang w:val="en-GB"/>
        </w:rPr>
      </w:pPr>
      <w:r>
        <w:rPr>
          <w:rStyle w:val="FootnoteReference"/>
        </w:rPr>
        <w:footnoteRef/>
      </w:r>
      <w:r>
        <w:t xml:space="preserve"> Cf. </w:t>
      </w:r>
      <w:r w:rsidRPr="000B672A">
        <w:rPr>
          <w:lang w:val="en-GB"/>
        </w:rPr>
        <w:t>Morris</w:t>
      </w:r>
      <w:r>
        <w:rPr>
          <w:lang w:val="en-GB"/>
        </w:rPr>
        <w:t>,</w:t>
      </w:r>
      <w:r w:rsidRPr="000B672A">
        <w:rPr>
          <w:lang w:val="en-GB"/>
        </w:rPr>
        <w:t xml:space="preserve"> </w:t>
      </w:r>
      <w:r w:rsidRPr="000B672A">
        <w:rPr>
          <w:i/>
          <w:lang w:val="en-GB"/>
        </w:rPr>
        <w:t>Prophecy, Poetry, and Hosea</w:t>
      </w:r>
      <w:r>
        <w:rPr>
          <w:lang w:val="en-GB"/>
        </w:rPr>
        <w:t>.</w:t>
      </w:r>
    </w:p>
  </w:footnote>
  <w:footnote w:id="13">
    <w:p w:rsidR="00C5566B" w:rsidRPr="00C60F4B" w:rsidRDefault="00C5566B">
      <w:pPr>
        <w:pStyle w:val="FootnoteText"/>
      </w:pPr>
      <w:r>
        <w:rPr>
          <w:rStyle w:val="FootnoteReference"/>
        </w:rPr>
        <w:footnoteRef/>
      </w:r>
      <w:r>
        <w:t xml:space="preserve"> Theodoret, </w:t>
      </w:r>
      <w:r>
        <w:rPr>
          <w:i/>
        </w:rPr>
        <w:t>Twelve Prophets</w:t>
      </w:r>
      <w:r>
        <w:t>, 38.</w:t>
      </w:r>
    </w:p>
  </w:footnote>
  <w:footnote w:id="14">
    <w:p w:rsidR="00C5566B" w:rsidRPr="00B42E25" w:rsidRDefault="00C5566B" w:rsidP="00D25281">
      <w:pPr>
        <w:pStyle w:val="FootnoteText"/>
      </w:pPr>
      <w:r>
        <w:rPr>
          <w:rStyle w:val="FootnoteReference"/>
        </w:rPr>
        <w:footnoteRef/>
      </w:r>
      <w:r>
        <w:t xml:space="preserve"> See Ben Zvi’s comments, </w:t>
      </w:r>
      <w:r>
        <w:rPr>
          <w:i/>
        </w:rPr>
        <w:t>Hosea,</w:t>
      </w:r>
      <w:r>
        <w:t xml:space="preserve"> e.g., 121-24.</w:t>
      </w:r>
    </w:p>
  </w:footnote>
  <w:footnote w:id="15">
    <w:p w:rsidR="00C5566B" w:rsidRPr="00993CE4" w:rsidRDefault="00C5566B">
      <w:pPr>
        <w:pStyle w:val="FootnoteText"/>
      </w:pPr>
      <w:r>
        <w:rPr>
          <w:rStyle w:val="FootnoteReference"/>
        </w:rPr>
        <w:footnoteRef/>
      </w:r>
      <w:r>
        <w:t xml:space="preserve"> It overlaps with that of Otto Eissfeldt, </w:t>
      </w:r>
      <w:r>
        <w:rPr>
          <w:i/>
        </w:rPr>
        <w:t>The Old Testament</w:t>
      </w:r>
      <w:r>
        <w:t xml:space="preserve"> (reprinted Oxford: Blackwell, 1966), 385-87.</w:t>
      </w:r>
    </w:p>
  </w:footnote>
  <w:footnote w:id="16">
    <w:p w:rsidR="00C5566B" w:rsidRPr="00374AB7" w:rsidRDefault="00C5566B" w:rsidP="009501A1">
      <w:pPr>
        <w:pStyle w:val="FootnoteText"/>
      </w:pPr>
      <w:r>
        <w:rPr>
          <w:rStyle w:val="FootnoteReference"/>
        </w:rPr>
        <w:footnoteRef/>
      </w:r>
      <w:r>
        <w:t xml:space="preserve"> Daniels, </w:t>
      </w:r>
      <w:r>
        <w:rPr>
          <w:i/>
        </w:rPr>
        <w:t>Hosea and Salvation History</w:t>
      </w:r>
      <w:r>
        <w:t>, 125.</w:t>
      </w:r>
    </w:p>
  </w:footnote>
  <w:footnote w:id="17">
    <w:p w:rsidR="00C5566B" w:rsidRPr="00AA6A6D" w:rsidRDefault="00C5566B" w:rsidP="009501A1">
      <w:pPr>
        <w:pStyle w:val="FootnoteText"/>
      </w:pPr>
      <w:r>
        <w:rPr>
          <w:rStyle w:val="FootnoteReference"/>
        </w:rPr>
        <w:footnoteRef/>
      </w:r>
      <w:r>
        <w:t xml:space="preserve"> Davies, </w:t>
      </w:r>
      <w:r>
        <w:rPr>
          <w:i/>
        </w:rPr>
        <w:t>Hosea</w:t>
      </w:r>
      <w:r>
        <w:t>, 273.</w:t>
      </w:r>
    </w:p>
  </w:footnote>
  <w:footnote w:id="18">
    <w:p w:rsidR="00C5566B" w:rsidRDefault="00C5566B">
      <w:pPr>
        <w:pStyle w:val="FootnoteText"/>
      </w:pPr>
      <w:r>
        <w:rPr>
          <w:rStyle w:val="FootnoteReference"/>
        </w:rPr>
        <w:footnoteRef/>
      </w:r>
      <w:r>
        <w:t xml:space="preserve"> Cf. </w:t>
      </w:r>
      <w:r w:rsidRPr="000B672A">
        <w:rPr>
          <w:lang w:val="en-GB"/>
        </w:rPr>
        <w:t xml:space="preserve">Morris, </w:t>
      </w:r>
      <w:r w:rsidRPr="000B672A">
        <w:rPr>
          <w:i/>
          <w:lang w:val="en-GB"/>
        </w:rPr>
        <w:t>Prophecy, Poetry, and Hosea</w:t>
      </w:r>
      <w:r>
        <w:rPr>
          <w:lang w:val="en-GB"/>
        </w:rPr>
        <w:t>, 111-20.</w:t>
      </w:r>
    </w:p>
  </w:footnote>
  <w:footnote w:id="19">
    <w:p w:rsidR="00C5566B" w:rsidRPr="00661082" w:rsidRDefault="00C5566B" w:rsidP="00231A10">
      <w:pPr>
        <w:pStyle w:val="FootnoteText"/>
      </w:pPr>
      <w:r>
        <w:rPr>
          <w:rStyle w:val="FootnoteReference"/>
        </w:rPr>
        <w:footnoteRef/>
      </w:r>
      <w:r>
        <w:t xml:space="preserve"> Mays, </w:t>
      </w:r>
      <w:r>
        <w:rPr>
          <w:i/>
        </w:rPr>
        <w:t>Hosea</w:t>
      </w:r>
      <w:r>
        <w:t>, 20.</w:t>
      </w:r>
    </w:p>
  </w:footnote>
  <w:footnote w:id="20">
    <w:p w:rsidR="00C5566B" w:rsidRDefault="00C5566B" w:rsidP="00C03BCD">
      <w:pPr>
        <w:pStyle w:val="FootnoteText"/>
      </w:pPr>
      <w:r>
        <w:rPr>
          <w:rStyle w:val="FootnoteReference"/>
        </w:rPr>
        <w:footnoteRef/>
      </w:r>
      <w:r>
        <w:t xml:space="preserve"> Andersen/Freedman, </w:t>
      </w:r>
      <w:r>
        <w:rPr>
          <w:i/>
        </w:rPr>
        <w:t>Hosea</w:t>
      </w:r>
      <w:r>
        <w:t>, 146-47. In this first reference to the monumental Andersen/Freedman commentaries on Hosea, Amos, and Micah, I am especially glad to acknowledge Francis Andersen, who after his retirement from New College, Berkeley, but still in the midst of writing for the Anchor Bible, kept the David Allan Hubbard chair at Fuller Seminary warm for me before I arrived in Pasadena, and hosted a marvelous welcome barbecue for our family in the foothills of the San Gabriel Mountains before he left to get back to Australia, where at the time of writing he still lives in his nineties.</w:t>
      </w:r>
    </w:p>
  </w:footnote>
  <w:footnote w:id="21">
    <w:p w:rsidR="00C5566B" w:rsidRDefault="00C5566B" w:rsidP="00965D5C">
      <w:pPr>
        <w:pStyle w:val="FootnoteText"/>
      </w:pPr>
      <w:r>
        <w:rPr>
          <w:rStyle w:val="FootnoteReference"/>
        </w:rPr>
        <w:footnoteRef/>
      </w:r>
      <w:r>
        <w:t xml:space="preserve"> JPSV has “When the LORD first spoke,” taking v. 2a as an adverbial phrase directly introducing v. 2. But the lack of a preposition makes it a less natural understanding, and </w:t>
      </w:r>
      <w:r w:rsidRPr="00FE563A">
        <w:t>MT has a section division after v. 2a</w:t>
      </w:r>
      <w:r>
        <w:t>, suggesting that it is a phrase that stands alone</w:t>
      </w:r>
      <w:r w:rsidRPr="00FE563A">
        <w:t>.</w:t>
      </w:r>
    </w:p>
  </w:footnote>
  <w:footnote w:id="22">
    <w:p w:rsidR="00C5566B" w:rsidRPr="00954746" w:rsidRDefault="00C5566B" w:rsidP="00965D5C">
      <w:pPr>
        <w:pStyle w:val="FootnoteText"/>
      </w:pPr>
      <w:r>
        <w:rPr>
          <w:rStyle w:val="FootnoteReference"/>
        </w:rPr>
        <w:footnoteRef/>
      </w:r>
      <w:r>
        <w:t xml:space="preserve"> Cf. GK 52o; 130d; Aq “the beginning which he spoke.” LXX </w:t>
      </w:r>
      <w:r>
        <w:rPr>
          <w:i/>
        </w:rPr>
        <w:t>logou</w:t>
      </w:r>
      <w:r>
        <w:t xml:space="preserve">, Vg </w:t>
      </w:r>
      <w:r>
        <w:rPr>
          <w:i/>
        </w:rPr>
        <w:t>loquendi</w:t>
      </w:r>
      <w:r>
        <w:t xml:space="preserve"> imply different vocalizations (cf. BHQ).</w:t>
      </w:r>
    </w:p>
  </w:footnote>
  <w:footnote w:id="23">
    <w:p w:rsidR="00C5566B" w:rsidRPr="008E3CE0" w:rsidRDefault="00C5566B" w:rsidP="00965D5C">
      <w:pPr>
        <w:pStyle w:val="FootnoteText"/>
      </w:pPr>
      <w:r>
        <w:rPr>
          <w:rStyle w:val="FootnoteReference"/>
        </w:rPr>
        <w:footnoteRef/>
      </w:r>
      <w:r>
        <w:t xml:space="preserve"> “To” for </w:t>
      </w:r>
      <w:r>
        <w:rPr>
          <w:i/>
        </w:rPr>
        <w:t xml:space="preserve">bə </w:t>
      </w:r>
      <w:r>
        <w:t xml:space="preserve">(JPSV) is hard to parallel, and </w:t>
      </w:r>
      <w:r>
        <w:rPr>
          <w:i/>
        </w:rPr>
        <w:t>‘al</w:t>
      </w:r>
      <w:r>
        <w:t xml:space="preserve"> is used for “to” in v. 2b.</w:t>
      </w:r>
    </w:p>
  </w:footnote>
  <w:footnote w:id="24">
    <w:p w:rsidR="00C5566B" w:rsidRPr="00191217" w:rsidRDefault="00C5566B" w:rsidP="00B776F6">
      <w:pPr>
        <w:pStyle w:val="FootnoteText"/>
      </w:pPr>
      <w:r>
        <w:rPr>
          <w:rStyle w:val="FootnoteReference"/>
        </w:rPr>
        <w:footnoteRef/>
      </w:r>
      <w:r>
        <w:t xml:space="preserve"> Landy, </w:t>
      </w:r>
      <w:r>
        <w:rPr>
          <w:i/>
        </w:rPr>
        <w:t>Hosea</w:t>
      </w:r>
      <w:r>
        <w:t>, 22.</w:t>
      </w:r>
    </w:p>
  </w:footnote>
  <w:footnote w:id="25">
    <w:p w:rsidR="00C5566B" w:rsidRPr="00711BFD" w:rsidRDefault="00C5566B" w:rsidP="00B776F6">
      <w:pPr>
        <w:pStyle w:val="FootnoteText"/>
      </w:pPr>
      <w:r>
        <w:rPr>
          <w:rStyle w:val="FootnoteReference"/>
        </w:rPr>
        <w:footnoteRef/>
      </w:r>
      <w:r>
        <w:t xml:space="preserve"> Wolff, </w:t>
      </w:r>
      <w:r>
        <w:rPr>
          <w:i/>
        </w:rPr>
        <w:t>Confrontations with Prophets</w:t>
      </w:r>
      <w:r>
        <w:t>, 23.</w:t>
      </w:r>
    </w:p>
  </w:footnote>
  <w:footnote w:id="26">
    <w:p w:rsidR="00C5566B" w:rsidRDefault="00C5566B">
      <w:pPr>
        <w:pStyle w:val="FootnoteText"/>
      </w:pPr>
      <w:r>
        <w:rPr>
          <w:rStyle w:val="FootnoteReference"/>
        </w:rPr>
        <w:footnoteRef/>
      </w:r>
      <w:r>
        <w:t xml:space="preserve"> More literally “a woman/children of whoredoms”: the latter noun is an intensive plural.</w:t>
      </w:r>
    </w:p>
  </w:footnote>
  <w:footnote w:id="27">
    <w:p w:rsidR="00C5566B" w:rsidRDefault="00C5566B">
      <w:pPr>
        <w:pStyle w:val="FootnoteText"/>
      </w:pPr>
      <w:r>
        <w:rPr>
          <w:rStyle w:val="FootnoteReference"/>
        </w:rPr>
        <w:footnoteRef/>
      </w:r>
      <w:r>
        <w:t xml:space="preserve"> The</w:t>
      </w:r>
      <w:r w:rsidRPr="0005735D">
        <w:t xml:space="preserve"> emphatic H</w:t>
      </w:r>
      <w:r>
        <w:t xml:space="preserve">ebrew idiom </w:t>
      </w:r>
      <w:r w:rsidRPr="0005735D">
        <w:t>involves an infinitive f</w:t>
      </w:r>
      <w:r>
        <w:t>ollowed by a finite verb—</w:t>
      </w:r>
      <w:r w:rsidRPr="0005735D">
        <w:t>“</w:t>
      </w:r>
      <w:r>
        <w:t>[</w:t>
      </w:r>
      <w:r w:rsidRPr="0005735D">
        <w:t>in</w:t>
      </w:r>
      <w:r>
        <w:t>]</w:t>
      </w:r>
      <w:r w:rsidRPr="0005735D">
        <w:t xml:space="preserve"> whoring it whores.”</w:t>
      </w:r>
      <w:r>
        <w:t xml:space="preserve"> T</w:t>
      </w:r>
      <w:r w:rsidRPr="00F613FE">
        <w:t>he verb is feminine because “country” (</w:t>
      </w:r>
      <w:r w:rsidRPr="00F613FE">
        <w:rPr>
          <w:i/>
        </w:rPr>
        <w:t>’ereș</w:t>
      </w:r>
      <w:r>
        <w:t>) is feminine, enhancing t</w:t>
      </w:r>
      <w:r w:rsidRPr="00F613FE">
        <w:t xml:space="preserve">he </w:t>
      </w:r>
      <w:r>
        <w:t>metaphor’s effectiveness. JPSV translates the yiqtol as future, but it is unlikely that there was any point in Hosea’s day when Yahweh saw Ephraim as faithful to him.</w:t>
      </w:r>
    </w:p>
  </w:footnote>
  <w:footnote w:id="28">
    <w:p w:rsidR="00C5566B" w:rsidRPr="00A27CC0" w:rsidRDefault="00C5566B">
      <w:pPr>
        <w:pStyle w:val="FootnoteText"/>
      </w:pPr>
      <w:r>
        <w:rPr>
          <w:rStyle w:val="FootnoteReference"/>
        </w:rPr>
        <w:footnoteRef/>
      </w:r>
      <w:r>
        <w:t xml:space="preserve"> Neither name is interpreted and their meaning is not obvious; Rudolph (</w:t>
      </w:r>
      <w:r>
        <w:rPr>
          <w:i/>
        </w:rPr>
        <w:t>Hosea</w:t>
      </w:r>
      <w:r>
        <w:t xml:space="preserve">, 50) nicely suggests that “Gomer” is an example of a name having a judgment passed on it by the replacing of its vowels by the vowels of the word for “shame,” </w:t>
      </w:r>
      <w:r w:rsidRPr="00A27CC0">
        <w:rPr>
          <w:i/>
        </w:rPr>
        <w:t>bōšet</w:t>
      </w:r>
      <w:r>
        <w:t>.</w:t>
      </w:r>
    </w:p>
  </w:footnote>
  <w:footnote w:id="29">
    <w:p w:rsidR="00C5566B" w:rsidRDefault="00C5566B">
      <w:pPr>
        <w:pStyle w:val="FootnoteText"/>
      </w:pPr>
      <w:r>
        <w:rPr>
          <w:rStyle w:val="FootnoteReference"/>
        </w:rPr>
        <w:footnoteRef/>
      </w:r>
      <w:r>
        <w:t xml:space="preserve"> Vg lacks “for him.”</w:t>
      </w:r>
    </w:p>
  </w:footnote>
  <w:footnote w:id="30">
    <w:p w:rsidR="00C5566B" w:rsidRDefault="00C5566B">
      <w:pPr>
        <w:pStyle w:val="FootnoteText"/>
      </w:pPr>
      <w:r>
        <w:rPr>
          <w:rStyle w:val="FootnoteReference"/>
        </w:rPr>
        <w:footnoteRef/>
      </w:r>
      <w:r>
        <w:t xml:space="preserve"> </w:t>
      </w:r>
      <w:r w:rsidRPr="00FD3FE7">
        <w:t xml:space="preserve">LXX renders </w:t>
      </w:r>
      <w:r>
        <w:rPr>
          <w:i/>
        </w:rPr>
        <w:t>pā</w:t>
      </w:r>
      <w:r w:rsidRPr="00FD3FE7">
        <w:rPr>
          <w:i/>
        </w:rPr>
        <w:t>qad</w:t>
      </w:r>
      <w:r>
        <w:t xml:space="preserve"> </w:t>
      </w:r>
      <w:r w:rsidRPr="00FD3FE7">
        <w:t>“a</w:t>
      </w:r>
      <w:r>
        <w:t xml:space="preserve">venge,” but </w:t>
      </w:r>
      <w:r w:rsidRPr="00FD3FE7">
        <w:t xml:space="preserve">the verb </w:t>
      </w:r>
      <w:r>
        <w:t xml:space="preserve">itself </w:t>
      </w:r>
      <w:r w:rsidRPr="00FD3FE7">
        <w:t>is neutral</w:t>
      </w:r>
      <w:r>
        <w:t>; cf. Aq</w:t>
      </w:r>
      <w:r w:rsidRPr="007E5A39">
        <w:t xml:space="preserve"> “attend to,”</w:t>
      </w:r>
      <w:r w:rsidRPr="007E5A39">
        <w:rPr>
          <w:vertAlign w:val="superscript"/>
        </w:rPr>
        <w:t xml:space="preserve"> </w:t>
      </w:r>
      <w:r w:rsidRPr="007E5A39">
        <w:t xml:space="preserve">Vg “visit.” </w:t>
      </w:r>
      <w:r>
        <w:t>I</w:t>
      </w:r>
      <w:r w:rsidRPr="007E5A39">
        <w:t>t is the context that</w:t>
      </w:r>
      <w:r>
        <w:t xml:space="preserve"> determines whether the visit or </w:t>
      </w:r>
      <w:r w:rsidRPr="007E5A39">
        <w:t>attention</w:t>
      </w:r>
      <w:r>
        <w:t xml:space="preserve"> is pleasant or unpleasant. While Hosea could have envisaged</w:t>
      </w:r>
      <w:r w:rsidRPr="00FD3FE7">
        <w:t xml:space="preserve"> </w:t>
      </w:r>
      <w:r>
        <w:t>Yahweh “</w:t>
      </w:r>
      <w:r w:rsidRPr="00FD3FE7">
        <w:t>appoint</w:t>
      </w:r>
      <w:r>
        <w:t>ing” Jezreel-type bloodshed for</w:t>
      </w:r>
      <w:r w:rsidRPr="00FD3FE7">
        <w:t xml:space="preserve"> Ephraim</w:t>
      </w:r>
      <w:r>
        <w:t xml:space="preserve"> (cf. </w:t>
      </w:r>
      <w:r w:rsidRPr="00053518">
        <w:t xml:space="preserve">Thomas E. McComiskey, “Prophetic Irony in Hosea 1.4,” </w:t>
      </w:r>
      <w:r w:rsidRPr="00053518">
        <w:rPr>
          <w:i/>
        </w:rPr>
        <w:t>JSOT</w:t>
      </w:r>
      <w:r w:rsidRPr="00053518">
        <w:t xml:space="preserve"> 58 [1993]: 93-101)</w:t>
      </w:r>
      <w:r>
        <w:t xml:space="preserve">, “appoint” is a much rarer meaning for </w:t>
      </w:r>
      <w:r>
        <w:rPr>
          <w:i/>
        </w:rPr>
        <w:t>pāqad</w:t>
      </w:r>
      <w:r w:rsidRPr="00FD3FE7">
        <w:t xml:space="preserve">. </w:t>
      </w:r>
    </w:p>
  </w:footnote>
  <w:footnote w:id="31">
    <w:p w:rsidR="00C5566B" w:rsidRDefault="00C5566B">
      <w:pPr>
        <w:pStyle w:val="FootnoteText"/>
      </w:pPr>
      <w:r>
        <w:rPr>
          <w:rStyle w:val="FootnoteReference"/>
        </w:rPr>
        <w:footnoteRef/>
      </w:r>
      <w:r>
        <w:t xml:space="preserve"> The plural of the word for “blood” means “bloodshed.”</w:t>
      </w:r>
    </w:p>
  </w:footnote>
  <w:footnote w:id="32">
    <w:p w:rsidR="00C5566B" w:rsidRDefault="00C5566B">
      <w:pPr>
        <w:pStyle w:val="FootnoteText"/>
      </w:pPr>
      <w:r>
        <w:rPr>
          <w:rStyle w:val="FootnoteReference"/>
        </w:rPr>
        <w:footnoteRef/>
      </w:r>
      <w:r>
        <w:t xml:space="preserve"> Some LXX mss have Judah for Jehu, which could make sense in the context of Judahite elaboration of Hosea’s message.</w:t>
      </w:r>
    </w:p>
  </w:footnote>
  <w:footnote w:id="33">
    <w:p w:rsidR="00C5566B" w:rsidRDefault="00C5566B">
      <w:pPr>
        <w:pStyle w:val="FootnoteText"/>
      </w:pPr>
      <w:r>
        <w:rPr>
          <w:rStyle w:val="FootnoteReference"/>
        </w:rPr>
        <w:footnoteRef/>
      </w:r>
      <w:r>
        <w:t xml:space="preserve"> “Bring [to a stop] its reign over” would give easier sense in the context (Andersen/Freedman, </w:t>
      </w:r>
      <w:r>
        <w:rPr>
          <w:i/>
        </w:rPr>
        <w:t>Hosea</w:t>
      </w:r>
      <w:r>
        <w:t>, 183-84), but it involves understanding both a pronominal suffix and a preposition.</w:t>
      </w:r>
    </w:p>
  </w:footnote>
  <w:footnote w:id="34">
    <w:p w:rsidR="00C5566B" w:rsidRDefault="00C5566B">
      <w:pPr>
        <w:pStyle w:val="FootnoteText"/>
      </w:pPr>
      <w:r>
        <w:rPr>
          <w:rStyle w:val="FootnoteReference"/>
        </w:rPr>
        <w:footnoteRef/>
      </w:r>
      <w:r>
        <w:t xml:space="preserve"> This occurrence of terms such as “Israel’s household” is one of a number that</w:t>
      </w:r>
      <w:r w:rsidRPr="00C86C8C">
        <w:t xml:space="preserve"> </w:t>
      </w:r>
      <w:r>
        <w:t>seem to denote “Israel’s royal household,” the administration and/or the dynasty.</w:t>
      </w:r>
    </w:p>
  </w:footnote>
  <w:footnote w:id="35">
    <w:p w:rsidR="00C5566B" w:rsidRDefault="00C5566B">
      <w:pPr>
        <w:pStyle w:val="FootnoteText"/>
      </w:pPr>
      <w:r>
        <w:rPr>
          <w:rStyle w:val="FootnoteReference"/>
        </w:rPr>
        <w:footnoteRef/>
      </w:r>
      <w:r>
        <w:t xml:space="preserve"> LXX translates with a participle, but the form is qatal; for names comprising sentences, cf. e.g., Isa. 7:3.</w:t>
      </w:r>
    </w:p>
  </w:footnote>
  <w:footnote w:id="36">
    <w:p w:rsidR="00C5566B" w:rsidRPr="00F90F01" w:rsidRDefault="00C5566B" w:rsidP="00DC1C1D">
      <w:pPr>
        <w:pStyle w:val="FootnoteText"/>
      </w:pPr>
      <w:r>
        <w:rPr>
          <w:rStyle w:val="FootnoteReference"/>
        </w:rPr>
        <w:footnoteRef/>
      </w:r>
      <w:r>
        <w:t xml:space="preserve"> Hosea again uses the emphatic construction involving an infinitive as well as a finite verb. </w:t>
      </w:r>
      <w:r w:rsidRPr="00875D8A">
        <w:t>MT’s verse division</w:t>
      </w:r>
      <w:r>
        <w:t xml:space="preserve"> might invite </w:t>
      </w:r>
      <w:r w:rsidRPr="00875D8A">
        <w:t>a threatening understanding of the</w:t>
      </w:r>
      <w:r>
        <w:t>se words, if the preceding negative also applies to this verb: “</w:t>
      </w:r>
      <w:r w:rsidRPr="00875D8A">
        <w:t xml:space="preserve">I will in no way carry….” Yet this requires some inference, especially given the intervening </w:t>
      </w:r>
      <w:r w:rsidRPr="00875D8A">
        <w:rPr>
          <w:i/>
        </w:rPr>
        <w:t>kî</w:t>
      </w:r>
      <w:r>
        <w:t xml:space="preserve"> (</w:t>
      </w:r>
      <w:r w:rsidRPr="00875D8A">
        <w:t xml:space="preserve">Macintosh, </w:t>
      </w:r>
      <w:r w:rsidRPr="00875D8A">
        <w:rPr>
          <w:i/>
        </w:rPr>
        <w:t>Hosea</w:t>
      </w:r>
      <w:r w:rsidRPr="00875D8A">
        <w:t>, 22</w:t>
      </w:r>
      <w:r>
        <w:t>)</w:t>
      </w:r>
      <w:r w:rsidRPr="00875D8A">
        <w:t>.</w:t>
      </w:r>
      <w:r>
        <w:t xml:space="preserve"> LXX “oppose” may be taking </w:t>
      </w:r>
      <w:r w:rsidRPr="00827641">
        <w:rPr>
          <w:i/>
        </w:rPr>
        <w:t>nāśā’</w:t>
      </w:r>
      <w:r w:rsidRPr="00827641">
        <w:t xml:space="preserve"> </w:t>
      </w:r>
      <w:r>
        <w:t xml:space="preserve">negatively to mean “carry away” or </w:t>
      </w:r>
      <w:r w:rsidRPr="00861212">
        <w:t xml:space="preserve">may imply </w:t>
      </w:r>
      <w:r>
        <w:t>a form</w:t>
      </w:r>
      <w:r w:rsidRPr="00861212">
        <w:t xml:space="preserve"> of </w:t>
      </w:r>
      <w:r w:rsidRPr="00861212">
        <w:rPr>
          <w:i/>
        </w:rPr>
        <w:t>śānē’</w:t>
      </w:r>
      <w:r w:rsidRPr="00861212">
        <w:t xml:space="preserve"> rather than </w:t>
      </w:r>
      <w:r w:rsidRPr="00861212">
        <w:rPr>
          <w:i/>
        </w:rPr>
        <w:t>nāśā’</w:t>
      </w:r>
      <w:r w:rsidRPr="00861212">
        <w:t xml:space="preserve"> (metathesis)</w:t>
      </w:r>
      <w:r>
        <w:t xml:space="preserve"> or may imply a form of </w:t>
      </w:r>
      <w:r w:rsidRPr="00861212">
        <w:rPr>
          <w:i/>
        </w:rPr>
        <w:t xml:space="preserve">nāšā’ </w:t>
      </w:r>
      <w:r>
        <w:t xml:space="preserve">I </w:t>
      </w:r>
      <w:r w:rsidRPr="00861212">
        <w:t xml:space="preserve">for </w:t>
      </w:r>
      <w:r w:rsidRPr="00861212">
        <w:rPr>
          <w:i/>
        </w:rPr>
        <w:t>nāśā’</w:t>
      </w:r>
      <w:r>
        <w:rPr>
          <w:i/>
        </w:rPr>
        <w:t xml:space="preserve"> </w:t>
      </w:r>
      <w:r>
        <w:t xml:space="preserve">(Wolff, </w:t>
      </w:r>
      <w:r>
        <w:rPr>
          <w:i/>
        </w:rPr>
        <w:t>Hosea</w:t>
      </w:r>
      <w:r>
        <w:t>, 8), as</w:t>
      </w:r>
      <w:r w:rsidRPr="00861212">
        <w:t xml:space="preserve"> </w:t>
      </w:r>
      <w:r>
        <w:t xml:space="preserve">Vg “forget” implies </w:t>
      </w:r>
      <w:r>
        <w:rPr>
          <w:i/>
        </w:rPr>
        <w:t>n</w:t>
      </w:r>
      <w:r>
        <w:rPr>
          <w:rFonts w:ascii="Times New Roman" w:hAnsi="Times New Roman" w:cs="Times New Roman"/>
          <w:i/>
        </w:rPr>
        <w:t>āšā</w:t>
      </w:r>
      <w:r>
        <w:rPr>
          <w:i/>
        </w:rPr>
        <w:t xml:space="preserve">’ </w:t>
      </w:r>
      <w:r>
        <w:t xml:space="preserve">II. </w:t>
      </w:r>
    </w:p>
  </w:footnote>
  <w:footnote w:id="37">
    <w:p w:rsidR="00C5566B" w:rsidRPr="00027514" w:rsidRDefault="00C5566B">
      <w:pPr>
        <w:pStyle w:val="FootnoteText"/>
      </w:pPr>
      <w:r>
        <w:rPr>
          <w:rStyle w:val="FootnoteReference"/>
        </w:rPr>
        <w:footnoteRef/>
      </w:r>
      <w:r>
        <w:t xml:space="preserve"> T</w:t>
      </w:r>
      <w:r w:rsidRPr="001508DB">
        <w:t xml:space="preserve">he verb </w:t>
      </w:r>
      <w:r w:rsidRPr="001508DB">
        <w:rPr>
          <w:i/>
        </w:rPr>
        <w:t xml:space="preserve">hôša‘ </w:t>
      </w:r>
      <w:r w:rsidRPr="001508DB">
        <w:t>which underlies Hosea’s name</w:t>
      </w:r>
      <w:r>
        <w:t>: h</w:t>
      </w:r>
      <w:r w:rsidRPr="001508DB">
        <w:t xml:space="preserve">e will </w:t>
      </w:r>
      <w:r>
        <w:t>“hosea</w:t>
      </w:r>
      <w:r w:rsidRPr="001508DB">
        <w:t>” them.</w:t>
      </w:r>
      <w:r>
        <w:t xml:space="preserve"> JPSV’s “give victory” risks obscuring the verb’s key religious and theological significance: God and not human beings is its regular subject (see J. F. Sawyer, </w:t>
      </w:r>
      <w:r>
        <w:rPr>
          <w:i/>
        </w:rPr>
        <w:t>TDOT</w:t>
      </w:r>
      <w:r>
        <w:t xml:space="preserve"> 6:444, 445).</w:t>
      </w:r>
    </w:p>
  </w:footnote>
  <w:footnote w:id="38">
    <w:p w:rsidR="00C5566B" w:rsidRPr="008512EF" w:rsidRDefault="00C5566B">
      <w:pPr>
        <w:pStyle w:val="FootnoteText"/>
      </w:pPr>
      <w:r>
        <w:rPr>
          <w:rStyle w:val="FootnoteReference"/>
        </w:rPr>
        <w:footnoteRef/>
      </w:r>
      <w:r>
        <w:t xml:space="preserve"> LXX and Vg’s understanding of </w:t>
      </w:r>
      <w:r w:rsidRPr="00E6276E">
        <w:t>Hosea’s distinctive final formulation</w:t>
      </w:r>
      <w:r>
        <w:t>,</w:t>
      </w:r>
      <w:r w:rsidRPr="00E6276E">
        <w:t xml:space="preserve"> “I will not be yours</w:t>
      </w:r>
      <w:r>
        <w:t>,</w:t>
      </w:r>
      <w:r w:rsidRPr="00E6276E">
        <w:t>”</w:t>
      </w:r>
      <w:r>
        <w:t xml:space="preserve"> </w:t>
      </w:r>
      <w:r w:rsidRPr="00E6276E">
        <w:t xml:space="preserve">sharpens the </w:t>
      </w:r>
      <w:r>
        <w:t xml:space="preserve">marriage </w:t>
      </w:r>
      <w:r w:rsidRPr="00E6276E">
        <w:t>analogy and makes the statement a declaration of divorce. MT hyphenates “not” and “I am” and thus suggests “I am ‘Not-I-am’ to you.” Presumably appalled by the statement, Tg omits it.</w:t>
      </w:r>
      <w:r>
        <w:t xml:space="preserve"> Some LXX mss read “I am not your God” (see BHQ, 55*), translating loosely and/or assimilating to the usual formula; but see Carl S. Ehrlich, “The Text of Hosea 1:9,” </w:t>
      </w:r>
      <w:r>
        <w:rPr>
          <w:i/>
        </w:rPr>
        <w:t>JBL</w:t>
      </w:r>
      <w:r>
        <w:t xml:space="preserve"> 104 (1985): 13-19. </w:t>
      </w:r>
    </w:p>
  </w:footnote>
  <w:footnote w:id="39">
    <w:p w:rsidR="00C5566B" w:rsidRDefault="00C5566B">
      <w:pPr>
        <w:pStyle w:val="FootnoteText"/>
      </w:pPr>
      <w:r>
        <w:rPr>
          <w:rStyle w:val="FootnoteReference"/>
        </w:rPr>
        <w:footnoteRef/>
      </w:r>
      <w:r>
        <w:t xml:space="preserve"> For this meaning of </w:t>
      </w:r>
      <w:r>
        <w:rPr>
          <w:i/>
        </w:rPr>
        <w:t xml:space="preserve">māqôm </w:t>
      </w:r>
      <w:r>
        <w:t xml:space="preserve">“place,” see e.g., Gen. 12:6; 28:10-22; </w:t>
      </w:r>
      <w:r w:rsidRPr="005572C9">
        <w:t>Exod</w:t>
      </w:r>
      <w:r>
        <w:t>.</w:t>
      </w:r>
      <w:r w:rsidRPr="005572C9">
        <w:t xml:space="preserve"> 20:24</w:t>
      </w:r>
      <w:r>
        <w:t xml:space="preserve"> (cf. BDB, which notes other occurrences followed by </w:t>
      </w:r>
      <w:r w:rsidRPr="00376423">
        <w:rPr>
          <w:i/>
        </w:rPr>
        <w:t>’ăsher</w:t>
      </w:r>
      <w:r>
        <w:t xml:space="preserve">, as here). In later Hebrew the expression could mean “instead” but this meaning Is not instanced in Classical Hebrew </w:t>
      </w:r>
    </w:p>
  </w:footnote>
  <w:footnote w:id="40">
    <w:p w:rsidR="00C5566B" w:rsidRDefault="00C5566B">
      <w:pPr>
        <w:pStyle w:val="FootnoteText"/>
      </w:pPr>
      <w:r>
        <w:rPr>
          <w:rStyle w:val="FootnoteReference"/>
        </w:rPr>
        <w:footnoteRef/>
      </w:r>
      <w:r>
        <w:t xml:space="preserve"> Tg adds “from David’s household,” but the idea </w:t>
      </w:r>
      <w:r w:rsidRPr="002A01A7">
        <w:t xml:space="preserve">that Judahites and Ephraimites </w:t>
      </w:r>
      <w:r>
        <w:t>might appoint such a head for themselves is in tension with 8:4 and</w:t>
      </w:r>
      <w:r w:rsidRPr="002A01A7">
        <w:t xml:space="preserve"> </w:t>
      </w:r>
      <w:r>
        <w:t xml:space="preserve">with </w:t>
      </w:r>
      <w:r w:rsidRPr="002A01A7">
        <w:t>the precedent of 1 Sam</w:t>
      </w:r>
      <w:r>
        <w:t>.</w:t>
      </w:r>
      <w:r w:rsidRPr="002A01A7">
        <w:t xml:space="preserve"> 8:4 where the verb appears on the people’s lips is hardly promising, and “head” is hardly a word for a king.</w:t>
      </w:r>
    </w:p>
  </w:footnote>
  <w:footnote w:id="41">
    <w:p w:rsidR="00C5566B" w:rsidRDefault="00C5566B" w:rsidP="000B12C7">
      <w:pPr>
        <w:pStyle w:val="FootnoteText"/>
      </w:pPr>
      <w:r>
        <w:rPr>
          <w:rStyle w:val="FootnoteReference"/>
        </w:rPr>
        <w:footnoteRef/>
      </w:r>
      <w:r>
        <w:t xml:space="preserve">Tg takes </w:t>
      </w:r>
      <w:r>
        <w:rPr>
          <w:i/>
        </w:rPr>
        <w:t>’e</w:t>
      </w:r>
      <w:r w:rsidRPr="004471AF">
        <w:rPr>
          <w:i/>
        </w:rPr>
        <w:t>reș</w:t>
      </w:r>
      <w:r>
        <w:t xml:space="preserve"> to mean “the earth,” bu</w:t>
      </w:r>
      <w:r w:rsidRPr="004471AF">
        <w:t>t there has been no reference to exile and this is not a usual wa</w:t>
      </w:r>
      <w:r>
        <w:t>y to refer to return from exile (p</w:t>
      </w:r>
      <w:r w:rsidRPr="004471AF">
        <w:t xml:space="preserve">eople return </w:t>
      </w:r>
      <w:r w:rsidRPr="000B12C7">
        <w:rPr>
          <w:i/>
        </w:rPr>
        <w:t>to</w:t>
      </w:r>
      <w:r w:rsidRPr="004471AF">
        <w:t xml:space="preserve"> the </w:t>
      </w:r>
      <w:r w:rsidRPr="004471AF">
        <w:rPr>
          <w:i/>
        </w:rPr>
        <w:t>’ereș</w:t>
      </w:r>
      <w:r w:rsidRPr="004471AF">
        <w:t xml:space="preserve">, not </w:t>
      </w:r>
      <w:r w:rsidRPr="000B12C7">
        <w:rPr>
          <w:i/>
        </w:rPr>
        <w:t>from</w:t>
      </w:r>
      <w:r>
        <w:t xml:space="preserve"> it)</w:t>
      </w:r>
      <w:r w:rsidRPr="000B12C7">
        <w:t xml:space="preserve">. </w:t>
      </w:r>
      <w:r>
        <w:t xml:space="preserve">The phrase could </w:t>
      </w:r>
      <w:r w:rsidRPr="000B12C7">
        <w:t xml:space="preserve">denote </w:t>
      </w:r>
      <w:r>
        <w:t>coming back from the world below, from death (</w:t>
      </w:r>
      <w:r w:rsidRPr="000B12C7">
        <w:t xml:space="preserve">William L. Holladay, “’Ereṣ--‘Underworld,’” </w:t>
      </w:r>
      <w:r w:rsidRPr="000B12C7">
        <w:rPr>
          <w:i/>
        </w:rPr>
        <w:t>VT</w:t>
      </w:r>
      <w:r>
        <w:t xml:space="preserve"> 19 [1969]: 123-24)</w:t>
      </w:r>
      <w:r w:rsidRPr="000B12C7">
        <w:t xml:space="preserve">, but it is an allusive way to make the point. </w:t>
      </w:r>
      <w:r>
        <w:t xml:space="preserve">The preposition makes the translation “take possession of the land” (NRSV) implausible (Macintosh, </w:t>
      </w:r>
      <w:r>
        <w:rPr>
          <w:i/>
        </w:rPr>
        <w:t>Hosea</w:t>
      </w:r>
      <w:r>
        <w:t>, 31).</w:t>
      </w:r>
    </w:p>
  </w:footnote>
  <w:footnote w:id="42">
    <w:p w:rsidR="00C5566B" w:rsidRDefault="00C5566B">
      <w:pPr>
        <w:pStyle w:val="FootnoteText"/>
      </w:pPr>
      <w:r>
        <w:rPr>
          <w:rStyle w:val="FootnoteReference"/>
        </w:rPr>
        <w:footnoteRef/>
      </w:r>
      <w:r>
        <w:t xml:space="preserve"> Tg takes the command to address particularly </w:t>
      </w:r>
      <w:r w:rsidRPr="005939C6">
        <w:t>prophets</w:t>
      </w:r>
      <w:r>
        <w:t>.</w:t>
      </w:r>
    </w:p>
  </w:footnote>
  <w:footnote w:id="43">
    <w:p w:rsidR="00C5566B" w:rsidRPr="0095337A" w:rsidRDefault="00C5566B">
      <w:pPr>
        <w:pStyle w:val="FootnoteText"/>
      </w:pPr>
      <w:r>
        <w:rPr>
          <w:rStyle w:val="FootnoteReference"/>
        </w:rPr>
        <w:footnoteRef/>
      </w:r>
      <w:r>
        <w:t xml:space="preserve"> TNIV has “of,” but the preposition </w:t>
      </w:r>
      <w:r>
        <w:rPr>
          <w:i/>
        </w:rPr>
        <w:t>lə</w:t>
      </w:r>
      <w:r>
        <w:t xml:space="preserve"> meant “to” in 1:10 and the content of what is said is the same as there.</w:t>
      </w:r>
    </w:p>
  </w:footnote>
  <w:footnote w:id="44">
    <w:p w:rsidR="00C5566B" w:rsidRDefault="00C5566B">
      <w:pPr>
        <w:pStyle w:val="FootnoteText"/>
      </w:pPr>
      <w:r>
        <w:rPr>
          <w:rStyle w:val="FootnoteReference"/>
        </w:rPr>
        <w:footnoteRef/>
      </w:r>
      <w:r>
        <w:t xml:space="preserve"> Both nouns are plural in MT, though the difference from singular lies only in the pointing and in a vowel letter: on the second, see GK 96 (p. 284). LXX has singular for both nouns, Vg plural for the first and singular for the second, inviting us to imagine the addressees speaking to Hosea and Gomer’s sons and daughter about the people they represent. </w:t>
      </w:r>
    </w:p>
  </w:footnote>
  <w:footnote w:id="45">
    <w:p w:rsidR="00C5566B" w:rsidRPr="002B609D" w:rsidRDefault="00C5566B" w:rsidP="00DB46B7">
      <w:pPr>
        <w:pStyle w:val="FootnoteText"/>
      </w:pPr>
      <w:r>
        <w:rPr>
          <w:rStyle w:val="FootnoteReference"/>
        </w:rPr>
        <w:footnoteRef/>
      </w:r>
      <w:r>
        <w:t xml:space="preserve"> Cf. Glenny, </w:t>
      </w:r>
      <w:r>
        <w:rPr>
          <w:i/>
        </w:rPr>
        <w:t>Hosea</w:t>
      </w:r>
      <w:r>
        <w:t>, 73.</w:t>
      </w:r>
    </w:p>
  </w:footnote>
  <w:footnote w:id="46">
    <w:p w:rsidR="00C5566B" w:rsidRPr="00795728" w:rsidRDefault="00C5566B" w:rsidP="00795728">
      <w:pPr>
        <w:pStyle w:val="FootnoteText"/>
      </w:pPr>
      <w:r>
        <w:rPr>
          <w:rStyle w:val="FootnoteReference"/>
        </w:rPr>
        <w:footnoteRef/>
      </w:r>
      <w:r>
        <w:t xml:space="preserve"> Ibn Ezra, </w:t>
      </w:r>
      <w:r>
        <w:rPr>
          <w:i/>
        </w:rPr>
        <w:t>Hosea</w:t>
      </w:r>
      <w:r>
        <w:t xml:space="preserve">, 19-21; Calvin, </w:t>
      </w:r>
      <w:r w:rsidRPr="009C2C74">
        <w:rPr>
          <w:i/>
        </w:rPr>
        <w:t>Minor Prophets</w:t>
      </w:r>
      <w:r w:rsidRPr="009C2C74">
        <w:t xml:space="preserve"> </w:t>
      </w:r>
      <w:r>
        <w:t xml:space="preserve">1:43-45; contrast Theodoret, </w:t>
      </w:r>
      <w:r>
        <w:rPr>
          <w:i/>
        </w:rPr>
        <w:t>Twelve Prophets</w:t>
      </w:r>
      <w:r>
        <w:t>, 39-41.</w:t>
      </w:r>
    </w:p>
  </w:footnote>
  <w:footnote w:id="47">
    <w:p w:rsidR="00C5566B" w:rsidRPr="00D424F4" w:rsidRDefault="00C5566B" w:rsidP="00FB06D2">
      <w:pPr>
        <w:pStyle w:val="FootnoteText"/>
      </w:pPr>
      <w:r>
        <w:rPr>
          <w:rStyle w:val="FootnoteReference"/>
        </w:rPr>
        <w:footnoteRef/>
      </w:r>
      <w:r>
        <w:t xml:space="preserve"> </w:t>
      </w:r>
      <w:r w:rsidRPr="00C20A0B">
        <w:rPr>
          <w:i/>
        </w:rPr>
        <w:t>In</w:t>
      </w:r>
      <w:r>
        <w:rPr>
          <w:i/>
        </w:rPr>
        <w:t xml:space="preserve"> Osee prophetam</w:t>
      </w:r>
      <w:r>
        <w:t xml:space="preserve"> on 1:2 (PL 25, column 823a).</w:t>
      </w:r>
    </w:p>
  </w:footnote>
  <w:footnote w:id="48">
    <w:p w:rsidR="00C5566B" w:rsidRPr="00E93C32" w:rsidRDefault="00C5566B">
      <w:pPr>
        <w:pStyle w:val="FootnoteText"/>
      </w:pPr>
      <w:r>
        <w:rPr>
          <w:rStyle w:val="FootnoteReference"/>
        </w:rPr>
        <w:footnoteRef/>
      </w:r>
      <w:r>
        <w:t xml:space="preserve"> Cf. Yvonne Sherwood, </w:t>
      </w:r>
      <w:r>
        <w:rPr>
          <w:i/>
        </w:rPr>
        <w:t>The Prostitute and the Prophet</w:t>
      </w:r>
      <w:r>
        <w:t xml:space="preserve"> (Sheffield: Sheffield Academic Press, 1996), 40-53; Joshua Moon, “</w:t>
      </w:r>
      <w:r w:rsidRPr="00E93C32">
        <w:rPr>
          <w:rFonts w:eastAsiaTheme="minorHAnsi" w:cs="TimesNewRomanPS-BoldMT"/>
          <w:bCs/>
        </w:rPr>
        <w:t>Honor and Shame in Hosea’s Marriages</w:t>
      </w:r>
      <w:r>
        <w:rPr>
          <w:rFonts w:eastAsiaTheme="minorHAnsi" w:cs="TimesNewRomanPS-BoldMT"/>
          <w:bCs/>
        </w:rPr>
        <w:t xml:space="preserve">,” </w:t>
      </w:r>
      <w:r>
        <w:rPr>
          <w:rFonts w:eastAsiaTheme="minorHAnsi" w:cs="TimesNewRomanPS-BoldMT"/>
          <w:bCs/>
          <w:i/>
        </w:rPr>
        <w:t>JSOT</w:t>
      </w:r>
      <w:r>
        <w:rPr>
          <w:rFonts w:eastAsiaTheme="minorHAnsi" w:cs="TimesNewRomanPS-BoldMT"/>
          <w:bCs/>
        </w:rPr>
        <w:t xml:space="preserve"> 39 (2015): 335-51.</w:t>
      </w:r>
    </w:p>
  </w:footnote>
  <w:footnote w:id="49">
    <w:p w:rsidR="00C5566B" w:rsidRPr="004F45F2" w:rsidRDefault="00C5566B" w:rsidP="00EB6420">
      <w:pPr>
        <w:pStyle w:val="FootnoteText"/>
      </w:pPr>
      <w:r>
        <w:rPr>
          <w:rStyle w:val="FootnoteReference"/>
        </w:rPr>
        <w:footnoteRef/>
      </w:r>
      <w:r>
        <w:t xml:space="preserve"> </w:t>
      </w:r>
      <w:r w:rsidRPr="004F45F2">
        <w:t xml:space="preserve">See R. D. Nelson </w:t>
      </w:r>
      <w:r w:rsidRPr="004F45F2">
        <w:rPr>
          <w:rFonts w:eastAsiaTheme="minorHAnsi" w:cs="Times New Roman"/>
          <w:color w:val="000000"/>
        </w:rPr>
        <w:t>“Priestly Purity and Proph</w:t>
      </w:r>
      <w:r>
        <w:rPr>
          <w:rFonts w:eastAsiaTheme="minorHAnsi" w:cs="Times New Roman"/>
          <w:color w:val="000000"/>
        </w:rPr>
        <w:t>etic Lunacy</w:t>
      </w:r>
      <w:r w:rsidRPr="004F45F2">
        <w:rPr>
          <w:rFonts w:eastAsiaTheme="minorHAnsi" w:cs="Times New Roman"/>
          <w:color w:val="000000"/>
        </w:rPr>
        <w:t xml:space="preserve">,” in </w:t>
      </w:r>
      <w:r>
        <w:rPr>
          <w:rFonts w:eastAsiaTheme="minorHAnsi" w:cs="Times New Roman"/>
          <w:color w:val="000000"/>
        </w:rPr>
        <w:t xml:space="preserve">L. L. Grabbe and A. O. Bellis (ed.), </w:t>
      </w:r>
      <w:r>
        <w:rPr>
          <w:rFonts w:eastAsiaTheme="minorHAnsi" w:cs="Times New Roman"/>
          <w:i/>
          <w:iCs/>
          <w:color w:val="000000"/>
        </w:rPr>
        <w:t>The Priests in the Prophets</w:t>
      </w:r>
      <w:r w:rsidRPr="004F45F2">
        <w:rPr>
          <w:rFonts w:eastAsiaTheme="minorHAnsi" w:cs="Times New Roman"/>
          <w:color w:val="000000"/>
        </w:rPr>
        <w:t xml:space="preserve"> </w:t>
      </w:r>
      <w:r>
        <w:rPr>
          <w:rFonts w:eastAsiaTheme="minorHAnsi" w:cs="Times New Roman"/>
          <w:color w:val="000000"/>
        </w:rPr>
        <w:t xml:space="preserve">(London: </w:t>
      </w:r>
      <w:r w:rsidRPr="004F45F2">
        <w:rPr>
          <w:rFonts w:eastAsiaTheme="minorHAnsi" w:cs="Times New Roman"/>
          <w:color w:val="000000"/>
        </w:rPr>
        <w:t>Clark, 2005</w:t>
      </w:r>
      <w:r>
        <w:rPr>
          <w:rFonts w:eastAsiaTheme="minorHAnsi" w:cs="Times New Roman"/>
          <w:color w:val="000000"/>
        </w:rPr>
        <w:t xml:space="preserve">), </w:t>
      </w:r>
      <w:r w:rsidRPr="004F45F2">
        <w:rPr>
          <w:rFonts w:eastAsiaTheme="minorHAnsi" w:cs="Times New Roman"/>
          <w:color w:val="000000"/>
        </w:rPr>
        <w:t xml:space="preserve">115-33. </w:t>
      </w:r>
    </w:p>
  </w:footnote>
  <w:footnote w:id="50">
    <w:p w:rsidR="00C5566B" w:rsidRDefault="00C5566B">
      <w:pPr>
        <w:pStyle w:val="FootnoteText"/>
      </w:pPr>
      <w:r>
        <w:rPr>
          <w:rStyle w:val="FootnoteReference"/>
        </w:rPr>
        <w:footnoteRef/>
      </w:r>
      <w:r>
        <w:t xml:space="preserve"> Cf. </w:t>
      </w:r>
      <w:r w:rsidRPr="00795728">
        <w:t xml:space="preserve">Theodore, </w:t>
      </w:r>
      <w:r w:rsidRPr="00795728">
        <w:rPr>
          <w:i/>
        </w:rPr>
        <w:t>Twelve Prophets</w:t>
      </w:r>
      <w:r w:rsidRPr="00795728">
        <w:t>, 41</w:t>
      </w:r>
      <w:r>
        <w:t>.</w:t>
      </w:r>
    </w:p>
  </w:footnote>
  <w:footnote w:id="51">
    <w:p w:rsidR="00C5566B" w:rsidRPr="00575BAC" w:rsidRDefault="00C5566B">
      <w:pPr>
        <w:pStyle w:val="FootnoteText"/>
      </w:pPr>
      <w:r>
        <w:rPr>
          <w:rStyle w:val="FootnoteReference"/>
        </w:rPr>
        <w:footnoteRef/>
      </w:r>
      <w:r>
        <w:t xml:space="preserve"> Cyril, </w:t>
      </w:r>
      <w:r>
        <w:rPr>
          <w:i/>
        </w:rPr>
        <w:t>Twelve Prophets</w:t>
      </w:r>
      <w:r>
        <w:t xml:space="preserve"> 1:39; Cyril gives eight pages in the English translation to his concern about the matter.</w:t>
      </w:r>
    </w:p>
  </w:footnote>
  <w:footnote w:id="52">
    <w:p w:rsidR="00C5566B" w:rsidRPr="00191217" w:rsidRDefault="00C5566B" w:rsidP="00DB46B7">
      <w:pPr>
        <w:pStyle w:val="FootnoteText"/>
      </w:pPr>
      <w:r>
        <w:rPr>
          <w:rStyle w:val="FootnoteReference"/>
        </w:rPr>
        <w:footnoteRef/>
      </w:r>
      <w:r>
        <w:t xml:space="preserve"> Landy, </w:t>
      </w:r>
      <w:r>
        <w:rPr>
          <w:i/>
        </w:rPr>
        <w:t>Hosea</w:t>
      </w:r>
      <w:r>
        <w:t>, 22.</w:t>
      </w:r>
    </w:p>
  </w:footnote>
  <w:footnote w:id="53">
    <w:p w:rsidR="00C5566B" w:rsidRPr="00265694" w:rsidRDefault="00C5566B">
      <w:pPr>
        <w:pStyle w:val="FootnoteText"/>
      </w:pPr>
      <w:r>
        <w:rPr>
          <w:rStyle w:val="FootnoteReference"/>
        </w:rPr>
        <w:footnoteRef/>
      </w:r>
      <w:r>
        <w:t xml:space="preserve"> Stuart, </w:t>
      </w:r>
      <w:r>
        <w:rPr>
          <w:i/>
        </w:rPr>
        <w:t>Hosea-Jonah</w:t>
      </w:r>
      <w:r>
        <w:t>, 34.</w:t>
      </w:r>
    </w:p>
  </w:footnote>
  <w:footnote w:id="54">
    <w:p w:rsidR="00C5566B" w:rsidRPr="00A372B6" w:rsidRDefault="00C5566B" w:rsidP="00A372B6">
      <w:pPr>
        <w:pStyle w:val="Default"/>
        <w:ind w:firstLine="720"/>
        <w:rPr>
          <w:rFonts w:asciiTheme="minorHAnsi" w:hAnsiTheme="minorHAnsi"/>
          <w:sz w:val="20"/>
          <w:szCs w:val="20"/>
        </w:rPr>
      </w:pPr>
      <w:r w:rsidRPr="005D5541">
        <w:rPr>
          <w:rStyle w:val="FootnoteReference"/>
          <w:sz w:val="20"/>
          <w:szCs w:val="20"/>
        </w:rPr>
        <w:footnoteRef/>
      </w:r>
      <w:r>
        <w:t xml:space="preserve"> </w:t>
      </w:r>
      <w:r>
        <w:rPr>
          <w:rFonts w:asciiTheme="minorHAnsi" w:hAnsiTheme="minorHAnsi"/>
          <w:sz w:val="20"/>
          <w:szCs w:val="20"/>
        </w:rPr>
        <w:t>For this understanding see T</w:t>
      </w:r>
      <w:r w:rsidRPr="00A372B6">
        <w:rPr>
          <w:rFonts w:asciiTheme="minorHAnsi" w:hAnsiTheme="minorHAnsi"/>
          <w:sz w:val="20"/>
          <w:szCs w:val="20"/>
        </w:rPr>
        <w:t>er</w:t>
      </w:r>
      <w:r>
        <w:rPr>
          <w:rFonts w:asciiTheme="minorHAnsi" w:hAnsiTheme="minorHAnsi"/>
          <w:sz w:val="20"/>
          <w:szCs w:val="20"/>
        </w:rPr>
        <w:t xml:space="preserve">esa J. Hornsby, </w:t>
      </w:r>
      <w:r w:rsidRPr="00A372B6">
        <w:rPr>
          <w:rFonts w:asciiTheme="minorHAnsi" w:hAnsiTheme="minorHAnsi"/>
          <w:sz w:val="20"/>
          <w:szCs w:val="20"/>
        </w:rPr>
        <w:t xml:space="preserve">“‘Israel Has Become a Worthless Thing,’” </w:t>
      </w:r>
      <w:r w:rsidRPr="00A372B6">
        <w:rPr>
          <w:rFonts w:asciiTheme="minorHAnsi" w:hAnsiTheme="minorHAnsi"/>
          <w:i/>
          <w:sz w:val="20"/>
          <w:szCs w:val="20"/>
        </w:rPr>
        <w:t xml:space="preserve">JSOT </w:t>
      </w:r>
      <w:r>
        <w:rPr>
          <w:rFonts w:asciiTheme="minorHAnsi" w:hAnsiTheme="minorHAnsi"/>
          <w:sz w:val="20"/>
          <w:szCs w:val="20"/>
        </w:rPr>
        <w:t>82 (1999)</w:t>
      </w:r>
      <w:r w:rsidRPr="00A372B6">
        <w:rPr>
          <w:rFonts w:asciiTheme="minorHAnsi" w:hAnsiTheme="minorHAnsi"/>
          <w:sz w:val="20"/>
          <w:szCs w:val="20"/>
        </w:rPr>
        <w:t>: 115-28</w:t>
      </w:r>
      <w:r>
        <w:rPr>
          <w:rFonts w:asciiTheme="minorHAnsi" w:hAnsiTheme="minorHAnsi"/>
          <w:sz w:val="20"/>
          <w:szCs w:val="20"/>
        </w:rPr>
        <w:t xml:space="preserve">); </w:t>
      </w:r>
      <w:r w:rsidRPr="006927F7">
        <w:rPr>
          <w:rFonts w:asciiTheme="minorHAnsi" w:hAnsiTheme="minorHAnsi"/>
          <w:sz w:val="20"/>
          <w:szCs w:val="20"/>
        </w:rPr>
        <w:t xml:space="preserve">Douglas K. </w:t>
      </w:r>
      <w:r>
        <w:rPr>
          <w:rFonts w:asciiTheme="minorHAnsi" w:hAnsiTheme="minorHAnsi"/>
          <w:sz w:val="20"/>
          <w:szCs w:val="20"/>
        </w:rPr>
        <w:t xml:space="preserve">Stuart, “’Marry a Promiscuous Woman’ (Hos. 1:2) and ‘Your Wife Again’ (Hos. 3:1),” </w:t>
      </w:r>
      <w:r w:rsidRPr="006927F7">
        <w:rPr>
          <w:rFonts w:asciiTheme="minorHAnsi" w:hAnsiTheme="minorHAnsi"/>
          <w:i/>
          <w:sz w:val="20"/>
          <w:szCs w:val="20"/>
        </w:rPr>
        <w:t>Bibli</w:t>
      </w:r>
      <w:r w:rsidRPr="006927F7">
        <w:rPr>
          <w:i/>
          <w:sz w:val="20"/>
          <w:szCs w:val="20"/>
        </w:rPr>
        <w:t xml:space="preserve">otheca </w:t>
      </w:r>
      <w:r w:rsidRPr="00213110">
        <w:rPr>
          <w:rFonts w:asciiTheme="minorHAnsi" w:hAnsiTheme="minorHAnsi"/>
          <w:i/>
          <w:sz w:val="20"/>
          <w:szCs w:val="20"/>
        </w:rPr>
        <w:t>sacra</w:t>
      </w:r>
      <w:r w:rsidRPr="00213110">
        <w:rPr>
          <w:rFonts w:asciiTheme="minorHAnsi" w:hAnsiTheme="minorHAnsi"/>
          <w:sz w:val="20"/>
          <w:szCs w:val="20"/>
        </w:rPr>
        <w:t xml:space="preserve"> 171 (2014): 131-147.</w:t>
      </w:r>
      <w:r>
        <w:rPr>
          <w:rFonts w:asciiTheme="minorHAnsi" w:hAnsiTheme="minorHAnsi"/>
          <w:sz w:val="20"/>
          <w:szCs w:val="20"/>
        </w:rPr>
        <w:t xml:space="preserve"> Thomas Hentrich considers Gomer’s role in light of that of a Babylonian</w:t>
      </w:r>
      <w:r w:rsidRPr="0033158B">
        <w:rPr>
          <w:rFonts w:asciiTheme="minorHAnsi" w:hAnsiTheme="minorHAnsi"/>
          <w:sz w:val="20"/>
          <w:szCs w:val="20"/>
        </w:rPr>
        <w:t xml:space="preserve"> </w:t>
      </w:r>
      <w:r>
        <w:rPr>
          <w:rFonts w:asciiTheme="minorHAnsi" w:hAnsiTheme="minorHAnsi"/>
          <w:sz w:val="20"/>
          <w:szCs w:val="20"/>
        </w:rPr>
        <w:t>priestess who functioned as a midwife (</w:t>
      </w:r>
      <w:r w:rsidRPr="0033158B">
        <w:rPr>
          <w:rFonts w:asciiTheme="minorHAnsi" w:hAnsiTheme="minorHAnsi"/>
          <w:sz w:val="20"/>
          <w:szCs w:val="20"/>
        </w:rPr>
        <w:t>“Qui était</w:t>
      </w:r>
      <w:r>
        <w:rPr>
          <w:rFonts w:asciiTheme="minorHAnsi" w:hAnsiTheme="minorHAnsi"/>
          <w:sz w:val="20"/>
          <w:szCs w:val="20"/>
        </w:rPr>
        <w:t xml:space="preserve"> Gomer</w:t>
      </w:r>
      <w:r w:rsidRPr="0033158B">
        <w:rPr>
          <w:rFonts w:asciiTheme="minorHAnsi" w:hAnsiTheme="minorHAnsi"/>
          <w:sz w:val="20"/>
          <w:szCs w:val="20"/>
        </w:rPr>
        <w:t xml:space="preserve">?” </w:t>
      </w:r>
      <w:r w:rsidRPr="0033158B">
        <w:rPr>
          <w:rFonts w:asciiTheme="minorHAnsi" w:hAnsiTheme="minorHAnsi"/>
          <w:i/>
          <w:sz w:val="20"/>
          <w:szCs w:val="20"/>
        </w:rPr>
        <w:t>Science et Esprit</w:t>
      </w:r>
      <w:r w:rsidRPr="0033158B">
        <w:rPr>
          <w:rFonts w:asciiTheme="minorHAnsi" w:hAnsiTheme="minorHAnsi"/>
          <w:sz w:val="20"/>
          <w:szCs w:val="20"/>
        </w:rPr>
        <w:t xml:space="preserve"> 55 </w:t>
      </w:r>
      <w:r>
        <w:rPr>
          <w:rFonts w:asciiTheme="minorHAnsi" w:hAnsiTheme="minorHAnsi"/>
          <w:sz w:val="20"/>
          <w:szCs w:val="20"/>
        </w:rPr>
        <w:t>[2003]</w:t>
      </w:r>
      <w:r w:rsidRPr="0033158B">
        <w:rPr>
          <w:rFonts w:asciiTheme="minorHAnsi" w:hAnsiTheme="minorHAnsi"/>
          <w:sz w:val="20"/>
          <w:szCs w:val="20"/>
        </w:rPr>
        <w:t>: 5-22</w:t>
      </w:r>
      <w:r>
        <w:rPr>
          <w:rFonts w:asciiTheme="minorHAnsi" w:hAnsiTheme="minorHAnsi"/>
          <w:sz w:val="20"/>
          <w:szCs w:val="20"/>
        </w:rPr>
        <w:t>).</w:t>
      </w:r>
    </w:p>
  </w:footnote>
  <w:footnote w:id="55">
    <w:p w:rsidR="00C5566B" w:rsidRDefault="00C5566B">
      <w:pPr>
        <w:pStyle w:val="FootnoteText"/>
      </w:pPr>
      <w:r>
        <w:rPr>
          <w:rStyle w:val="FootnoteReference"/>
        </w:rPr>
        <w:footnoteRef/>
      </w:r>
      <w:r>
        <w:t xml:space="preserve"> On the possibility that this might involve sexual rites, see the Introduction to Hosea above, on “The Issues.”</w:t>
      </w:r>
    </w:p>
  </w:footnote>
  <w:footnote w:id="56">
    <w:p w:rsidR="00C5566B" w:rsidRDefault="00C5566B" w:rsidP="00D17076">
      <w:pPr>
        <w:pStyle w:val="FootnoteText"/>
      </w:pPr>
      <w:r>
        <w:rPr>
          <w:rStyle w:val="FootnoteReference"/>
        </w:rPr>
        <w:footnoteRef/>
      </w:r>
      <w:r>
        <w:t xml:space="preserve"> Wolff, </w:t>
      </w:r>
      <w:r>
        <w:rPr>
          <w:i/>
        </w:rPr>
        <w:t>Hosea</w:t>
      </w:r>
      <w:r>
        <w:t>,</w:t>
      </w:r>
      <w:r>
        <w:rPr>
          <w:i/>
        </w:rPr>
        <w:t xml:space="preserve"> </w:t>
      </w:r>
      <w:r>
        <w:t>15.</w:t>
      </w:r>
    </w:p>
  </w:footnote>
  <w:footnote w:id="57">
    <w:p w:rsidR="00C5566B" w:rsidRPr="00414E83" w:rsidRDefault="00C5566B">
      <w:pPr>
        <w:pStyle w:val="FootnoteText"/>
      </w:pPr>
      <w:r>
        <w:rPr>
          <w:rStyle w:val="FootnoteReference"/>
        </w:rPr>
        <w:footnoteRef/>
      </w:r>
      <w:r>
        <w:t xml:space="preserve"> Stuart, </w:t>
      </w:r>
      <w:r>
        <w:rPr>
          <w:i/>
        </w:rPr>
        <w:t>Hosea-Jonah</w:t>
      </w:r>
      <w:r>
        <w:t>, 26.</w:t>
      </w:r>
    </w:p>
  </w:footnote>
  <w:footnote w:id="58">
    <w:p w:rsidR="00C5566B" w:rsidRDefault="00C5566B" w:rsidP="001F751F">
      <w:pPr>
        <w:pStyle w:val="FootnoteText"/>
      </w:pPr>
      <w:r>
        <w:rPr>
          <w:rStyle w:val="FootnoteReference"/>
        </w:rPr>
        <w:footnoteRef/>
      </w:r>
      <w:r>
        <w:t xml:space="preserve"> Wolff, </w:t>
      </w:r>
      <w:r>
        <w:rPr>
          <w:i/>
        </w:rPr>
        <w:t>Hosea</w:t>
      </w:r>
      <w:r>
        <w:t>,</w:t>
      </w:r>
      <w:r>
        <w:rPr>
          <w:i/>
        </w:rPr>
        <w:t xml:space="preserve"> </w:t>
      </w:r>
      <w:r>
        <w:t>14.</w:t>
      </w:r>
    </w:p>
  </w:footnote>
  <w:footnote w:id="59">
    <w:p w:rsidR="00C5566B" w:rsidRPr="00C679A0" w:rsidRDefault="00C5566B">
      <w:pPr>
        <w:pStyle w:val="FootnoteText"/>
      </w:pPr>
      <w:r>
        <w:rPr>
          <w:rStyle w:val="FootnoteReference"/>
        </w:rPr>
        <w:footnoteRef/>
      </w:r>
      <w:r>
        <w:t xml:space="preserve"> Dearman, </w:t>
      </w:r>
      <w:r>
        <w:rPr>
          <w:i/>
        </w:rPr>
        <w:t>Hosea</w:t>
      </w:r>
      <w:r>
        <w:t>, 91.</w:t>
      </w:r>
    </w:p>
  </w:footnote>
  <w:footnote w:id="60">
    <w:p w:rsidR="00C5566B" w:rsidRPr="00D45EE7" w:rsidRDefault="00C5566B" w:rsidP="00AE5471">
      <w:pPr>
        <w:pStyle w:val="FootnoteText"/>
      </w:pPr>
      <w:r>
        <w:rPr>
          <w:rStyle w:val="FootnoteReference"/>
        </w:rPr>
        <w:footnoteRef/>
      </w:r>
      <w:r>
        <w:t xml:space="preserve"> Lim/Castelo, </w:t>
      </w:r>
      <w:r>
        <w:rPr>
          <w:i/>
        </w:rPr>
        <w:t>Hosea</w:t>
      </w:r>
      <w:r>
        <w:t>, 54</w:t>
      </w:r>
    </w:p>
  </w:footnote>
  <w:footnote w:id="61">
    <w:p w:rsidR="00C5566B" w:rsidRDefault="00C5566B" w:rsidP="00E20D2E">
      <w:pPr>
        <w:pStyle w:val="FootnoteText"/>
      </w:pPr>
      <w:r>
        <w:rPr>
          <w:rStyle w:val="FootnoteReference"/>
        </w:rPr>
        <w:footnoteRef/>
      </w:r>
      <w:r>
        <w:t xml:space="preserve"> </w:t>
      </w:r>
      <w:r w:rsidRPr="00E20D2E">
        <w:t xml:space="preserve">Luther, </w:t>
      </w:r>
      <w:r w:rsidRPr="00E20D2E">
        <w:rPr>
          <w:i/>
        </w:rPr>
        <w:t>Minor Prophets</w:t>
      </w:r>
      <w:r>
        <w:t xml:space="preserve"> 1:4</w:t>
      </w:r>
      <w:r w:rsidRPr="00E20D2E">
        <w:t>.</w:t>
      </w:r>
    </w:p>
  </w:footnote>
  <w:footnote w:id="62">
    <w:p w:rsidR="00C5566B" w:rsidRPr="00C04A8F" w:rsidRDefault="00C5566B">
      <w:pPr>
        <w:pStyle w:val="FootnoteText"/>
      </w:pPr>
      <w:r>
        <w:rPr>
          <w:rStyle w:val="FootnoteReference"/>
        </w:rPr>
        <w:footnoteRef/>
      </w:r>
      <w:r>
        <w:t xml:space="preserve"> See further </w:t>
      </w:r>
      <w:r w:rsidRPr="00C04A8F">
        <w:rPr>
          <w:rFonts w:eastAsia="Code2000" w:cs="Code2000"/>
        </w:rPr>
        <w:t xml:space="preserve">Shawn Zelig Aster, </w:t>
      </w:r>
      <w:r>
        <w:rPr>
          <w:rFonts w:eastAsia="Code2000" w:cs="Code2000"/>
        </w:rPr>
        <w:t>“</w:t>
      </w:r>
      <w:r w:rsidRPr="00C04A8F">
        <w:rPr>
          <w:rFonts w:eastAsia="Code2000" w:cs="Code2000"/>
        </w:rPr>
        <w:t>The Function of the City of Jezreel and the Symbolism of Jezreel in Hosea 1–2</w:t>
      </w:r>
      <w:r>
        <w:rPr>
          <w:rFonts w:eastAsia="Code2000" w:cs="Code2000"/>
        </w:rPr>
        <w:t xml:space="preserve">,” </w:t>
      </w:r>
      <w:r>
        <w:rPr>
          <w:rFonts w:eastAsia="Code2000" w:cs="Code2000"/>
          <w:i/>
        </w:rPr>
        <w:t>Journal of Near Eastern Studies</w:t>
      </w:r>
      <w:r w:rsidRPr="00C04A8F">
        <w:rPr>
          <w:rFonts w:eastAsia="Code2000" w:cs="Code2000"/>
        </w:rPr>
        <w:t xml:space="preserve"> </w:t>
      </w:r>
      <w:r>
        <w:rPr>
          <w:rFonts w:eastAsia="Code2000" w:cs="Code2000"/>
        </w:rPr>
        <w:t>71 (2012)</w:t>
      </w:r>
      <w:r w:rsidRPr="00C04A8F">
        <w:rPr>
          <w:rFonts w:eastAsia="Code2000" w:cs="Code2000"/>
        </w:rPr>
        <w:t xml:space="preserve">: </w:t>
      </w:r>
      <w:r>
        <w:rPr>
          <w:rFonts w:eastAsia="Code2000" w:cs="Code2000"/>
        </w:rPr>
        <w:t>31-46</w:t>
      </w:r>
      <w:r w:rsidRPr="00C04A8F">
        <w:rPr>
          <w:rFonts w:eastAsia="Code2000" w:cs="Code2000"/>
        </w:rPr>
        <w:t>.</w:t>
      </w:r>
    </w:p>
  </w:footnote>
  <w:footnote w:id="63">
    <w:p w:rsidR="00C5566B" w:rsidRPr="00F318C6" w:rsidRDefault="00C5566B" w:rsidP="00F318C6">
      <w:pPr>
        <w:pStyle w:val="FootnoteText"/>
      </w:pPr>
      <w:r>
        <w:rPr>
          <w:rStyle w:val="FootnoteReference"/>
        </w:rPr>
        <w:footnoteRef/>
      </w:r>
      <w:r>
        <w:t xml:space="preserve"> Yvonne Sherwood, </w:t>
      </w:r>
      <w:r>
        <w:rPr>
          <w:i/>
        </w:rPr>
        <w:t>The Prostitute and the Prophet</w:t>
      </w:r>
      <w:r>
        <w:t xml:space="preserve"> (Sheffield: Sheffield Academic Press, 1996), 242.</w:t>
      </w:r>
    </w:p>
  </w:footnote>
  <w:footnote w:id="64">
    <w:p w:rsidR="00C5566B" w:rsidRPr="00B42A99" w:rsidRDefault="00C5566B">
      <w:pPr>
        <w:pStyle w:val="FootnoteText"/>
      </w:pPr>
      <w:r>
        <w:rPr>
          <w:rStyle w:val="FootnoteReference"/>
        </w:rPr>
        <w:footnoteRef/>
      </w:r>
      <w:r>
        <w:t xml:space="preserve"> Calvin, </w:t>
      </w:r>
      <w:r w:rsidRPr="009C2C74">
        <w:rPr>
          <w:i/>
        </w:rPr>
        <w:t>Minor Prophets</w:t>
      </w:r>
      <w:r w:rsidRPr="009C2C74">
        <w:t xml:space="preserve"> </w:t>
      </w:r>
      <w:r>
        <w:t>1:62.</w:t>
      </w:r>
    </w:p>
  </w:footnote>
  <w:footnote w:id="65">
    <w:p w:rsidR="00C5566B" w:rsidRPr="00191217" w:rsidRDefault="00C5566B" w:rsidP="00372B61">
      <w:pPr>
        <w:pStyle w:val="FootnoteText"/>
      </w:pPr>
      <w:r>
        <w:rPr>
          <w:rStyle w:val="FootnoteReference"/>
        </w:rPr>
        <w:footnoteRef/>
      </w:r>
      <w:r>
        <w:t xml:space="preserve"> Landy, </w:t>
      </w:r>
      <w:r>
        <w:rPr>
          <w:i/>
        </w:rPr>
        <w:t>Hosea</w:t>
      </w:r>
      <w:r>
        <w:t>, 27.</w:t>
      </w:r>
    </w:p>
  </w:footnote>
  <w:footnote w:id="66">
    <w:p w:rsidR="00C5566B" w:rsidRDefault="00C5566B">
      <w:pPr>
        <w:pStyle w:val="FootnoteText"/>
      </w:pPr>
      <w:r>
        <w:rPr>
          <w:rStyle w:val="FootnoteReference"/>
        </w:rPr>
        <w:footnoteRef/>
      </w:r>
      <w:r>
        <w:t xml:space="preserve"> Cf. Andersen/Freedman, </w:t>
      </w:r>
      <w:r>
        <w:rPr>
          <w:i/>
        </w:rPr>
        <w:t xml:space="preserve">Hosea, </w:t>
      </w:r>
      <w:r>
        <w:t>200.</w:t>
      </w:r>
    </w:p>
  </w:footnote>
  <w:footnote w:id="67">
    <w:p w:rsidR="00C5566B" w:rsidRPr="00DC5F5F" w:rsidRDefault="00C5566B">
      <w:pPr>
        <w:pStyle w:val="FootnoteText"/>
      </w:pPr>
      <w:r>
        <w:rPr>
          <w:rStyle w:val="FootnoteReference"/>
        </w:rPr>
        <w:footnoteRef/>
      </w:r>
      <w:r>
        <w:t xml:space="preserve"> Cf. Hans Walter Wolff, “Der grosse Jesreeltag,” </w:t>
      </w:r>
      <w:r w:rsidRPr="000308B0">
        <w:rPr>
          <w:i/>
        </w:rPr>
        <w:t>Evangelische Theologie</w:t>
      </w:r>
      <w:r>
        <w:rPr>
          <w:i/>
        </w:rPr>
        <w:t xml:space="preserve"> </w:t>
      </w:r>
      <w:r>
        <w:t xml:space="preserve">12 (1952-53): 78-104 (95). Unfortunately he abandoned that view in </w:t>
      </w:r>
      <w:r>
        <w:rPr>
          <w:i/>
        </w:rPr>
        <w:t>Hose</w:t>
      </w:r>
      <w:r>
        <w:t>a, 24, 28.</w:t>
      </w:r>
    </w:p>
  </w:footnote>
  <w:footnote w:id="68">
    <w:p w:rsidR="00C5566B" w:rsidRPr="000D1F38" w:rsidRDefault="00C5566B">
      <w:pPr>
        <w:pStyle w:val="FootnoteText"/>
      </w:pPr>
      <w:r>
        <w:rPr>
          <w:rStyle w:val="FootnoteReference"/>
        </w:rPr>
        <w:footnoteRef/>
      </w:r>
      <w:r>
        <w:t xml:space="preserve"> Luther, </w:t>
      </w:r>
      <w:r>
        <w:rPr>
          <w:i/>
        </w:rPr>
        <w:t>Minor Prophets</w:t>
      </w:r>
      <w:r>
        <w:t xml:space="preserve"> 1:3.</w:t>
      </w:r>
    </w:p>
  </w:footnote>
  <w:footnote w:id="69">
    <w:p w:rsidR="00C5566B" w:rsidRPr="00E0364F" w:rsidRDefault="00C5566B" w:rsidP="00CB5459">
      <w:pPr>
        <w:pStyle w:val="FootnoteText"/>
      </w:pPr>
      <w:r>
        <w:rPr>
          <w:rStyle w:val="FootnoteReference"/>
        </w:rPr>
        <w:footnoteRef/>
      </w:r>
      <w:r>
        <w:t xml:space="preserve"> Ehud Ben Zvi, “</w:t>
      </w:r>
      <w:r w:rsidRPr="00E0364F">
        <w:rPr>
          <w:rFonts w:eastAsiaTheme="minorHAnsi" w:cs="Times New Roman"/>
          <w:bCs/>
        </w:rPr>
        <w:t>Observations on the Marital Metaphor of YHWH and Israel in its An</w:t>
      </w:r>
      <w:r>
        <w:rPr>
          <w:rFonts w:eastAsiaTheme="minorHAnsi" w:cs="Times New Roman"/>
          <w:bCs/>
        </w:rPr>
        <w:t xml:space="preserve">cient Israelite Context,” </w:t>
      </w:r>
      <w:r>
        <w:rPr>
          <w:rFonts w:eastAsiaTheme="minorHAnsi" w:cs="Times New Roman"/>
          <w:bCs/>
          <w:i/>
        </w:rPr>
        <w:t>JSOT</w:t>
      </w:r>
      <w:r>
        <w:rPr>
          <w:rFonts w:eastAsiaTheme="minorHAnsi" w:cs="Times New Roman"/>
          <w:bCs/>
        </w:rPr>
        <w:t xml:space="preserve"> 28 (2003-4): 363-84 (370).</w:t>
      </w:r>
    </w:p>
  </w:footnote>
  <w:footnote w:id="70">
    <w:p w:rsidR="00C5566B" w:rsidRDefault="00C5566B" w:rsidP="00CB5459">
      <w:pPr>
        <w:pStyle w:val="FootnoteText"/>
      </w:pPr>
      <w:r>
        <w:rPr>
          <w:rStyle w:val="FootnoteReference"/>
        </w:rPr>
        <w:footnoteRef/>
      </w:r>
      <w:r>
        <w:t xml:space="preserve"> See Gillian Cooper and John Goldingay, “</w:t>
      </w:r>
      <w:r w:rsidRPr="00282427">
        <w:t>Hosea and Gomer Visit the Marriage Counsellor</w:t>
      </w:r>
      <w:r>
        <w:t>,” i</w:t>
      </w:r>
      <w:r w:rsidRPr="00C30D0A">
        <w:t xml:space="preserve">n </w:t>
      </w:r>
      <w:r w:rsidRPr="00C30D0A">
        <w:rPr>
          <w:i/>
          <w:iCs/>
        </w:rPr>
        <w:t xml:space="preserve">First Person: Essays in Biblical Autobiography </w:t>
      </w:r>
      <w:r>
        <w:t xml:space="preserve">(ed. Philip R. Davies; </w:t>
      </w:r>
      <w:r w:rsidRPr="00C30D0A">
        <w:t>London/New York: Sheffield Academic Press, 2002</w:t>
      </w:r>
      <w:r>
        <w:t xml:space="preserve">), 119-36; also John Goldingay, “Hosea 1—3, Genesis 1—4, and Masculist Interpretation,” </w:t>
      </w:r>
      <w:r w:rsidRPr="00F71B19">
        <w:t xml:space="preserve">in </w:t>
      </w:r>
      <w:r w:rsidRPr="00F71B19">
        <w:rPr>
          <w:i/>
        </w:rPr>
        <w:t>A Feminist Companion to the Latter Prophets</w:t>
      </w:r>
      <w:r>
        <w:t xml:space="preserve"> (ed. A. Brenner; </w:t>
      </w:r>
      <w:r w:rsidRPr="00F71B19">
        <w:t>Sheffield, UK: Sheffield Academic Press, 1995</w:t>
      </w:r>
      <w:r>
        <w:t xml:space="preserve">), </w:t>
      </w:r>
      <w:r w:rsidRPr="00F71B19">
        <w:t xml:space="preserve">161-68.  </w:t>
      </w:r>
    </w:p>
  </w:footnote>
  <w:footnote w:id="71">
    <w:p w:rsidR="00C5566B" w:rsidRPr="00771CC5" w:rsidRDefault="00C5566B" w:rsidP="00771CC5">
      <w:pPr>
        <w:autoSpaceDE w:val="0"/>
        <w:autoSpaceDN w:val="0"/>
        <w:adjustRightInd w:val="0"/>
        <w:ind w:firstLine="0"/>
        <w:rPr>
          <w:sz w:val="20"/>
          <w:szCs w:val="20"/>
        </w:rPr>
      </w:pPr>
      <w:r>
        <w:tab/>
      </w:r>
      <w:r>
        <w:rPr>
          <w:rStyle w:val="FootnoteReference"/>
        </w:rPr>
        <w:footnoteRef/>
      </w:r>
      <w:r>
        <w:t xml:space="preserve"> </w:t>
      </w:r>
      <w:r w:rsidRPr="00771CC5">
        <w:rPr>
          <w:sz w:val="20"/>
          <w:szCs w:val="20"/>
        </w:rPr>
        <w:t>But Peggy L. Day argues that the background rather lies in what men do to women in war (“</w:t>
      </w:r>
      <w:r w:rsidRPr="00771CC5">
        <w:rPr>
          <w:iCs/>
          <w:sz w:val="20"/>
          <w:szCs w:val="20"/>
        </w:rPr>
        <w:t>Yahweh’s Broken Marriages as</w:t>
      </w:r>
      <w:r w:rsidRPr="00771CC5">
        <w:rPr>
          <w:iCs/>
        </w:rPr>
        <w:t xml:space="preserve"> </w:t>
      </w:r>
      <w:r w:rsidRPr="00771CC5">
        <w:rPr>
          <w:iCs/>
          <w:sz w:val="20"/>
          <w:szCs w:val="20"/>
        </w:rPr>
        <w:t>Metaphoric Vehicle in the</w:t>
      </w:r>
      <w:r w:rsidRPr="00771CC5">
        <w:rPr>
          <w:iCs/>
        </w:rPr>
        <w:t xml:space="preserve"> Hebrew Bible Prophets</w:t>
      </w:r>
      <w:r>
        <w:rPr>
          <w:iCs/>
        </w:rPr>
        <w:t xml:space="preserve">,” in </w:t>
      </w:r>
      <w:r>
        <w:rPr>
          <w:rFonts w:eastAsia="BerkeleyEis-SC" w:cs="BerkeleyEis-SC"/>
          <w:sz w:val="20"/>
          <w:szCs w:val="20"/>
        </w:rPr>
        <w:t xml:space="preserve">Martti Nissinen </w:t>
      </w:r>
      <w:r w:rsidRPr="00F67BC7">
        <w:rPr>
          <w:rFonts w:eastAsiaTheme="minorHAnsi" w:cs="BerkeleyEis"/>
          <w:sz w:val="20"/>
          <w:szCs w:val="20"/>
        </w:rPr>
        <w:t>and</w:t>
      </w:r>
      <w:r>
        <w:rPr>
          <w:rFonts w:eastAsiaTheme="minorHAnsi" w:cs="BerkeleyEis"/>
          <w:sz w:val="20"/>
          <w:szCs w:val="20"/>
        </w:rPr>
        <w:t xml:space="preserve"> </w:t>
      </w:r>
      <w:r w:rsidRPr="00F67BC7">
        <w:rPr>
          <w:rFonts w:eastAsia="BerkeleyEis-SC" w:cs="BerkeleyEis-SC"/>
          <w:sz w:val="20"/>
          <w:szCs w:val="20"/>
        </w:rPr>
        <w:t>Risto Uro</w:t>
      </w:r>
      <w:r>
        <w:rPr>
          <w:rFonts w:eastAsia="BerkeleyEis-SC" w:cs="BerkeleyEis-SC"/>
          <w:sz w:val="20"/>
          <w:szCs w:val="20"/>
        </w:rPr>
        <w:t xml:space="preserve"> (eds.), </w:t>
      </w:r>
      <w:r>
        <w:rPr>
          <w:rFonts w:eastAsia="BerkeleyEis-SC" w:cs="BerkeleyEis-SC"/>
          <w:i/>
          <w:sz w:val="20"/>
          <w:szCs w:val="20"/>
        </w:rPr>
        <w:t>Sacred Marriages</w:t>
      </w:r>
      <w:r>
        <w:rPr>
          <w:rFonts w:eastAsia="BerkeleyEis-SC" w:cs="BerkeleyEis-SC"/>
          <w:sz w:val="20"/>
          <w:szCs w:val="20"/>
        </w:rPr>
        <w:t xml:space="preserve"> (Winona Lake, IN: Eisenbrauns, 2008), 219-41.</w:t>
      </w:r>
    </w:p>
  </w:footnote>
  <w:footnote w:id="72">
    <w:p w:rsidR="00C5566B" w:rsidRPr="00044309" w:rsidRDefault="00C5566B" w:rsidP="00CB5459">
      <w:pPr>
        <w:pStyle w:val="FootnoteText"/>
        <w:rPr>
          <w:rFonts w:asciiTheme="majorHAnsi" w:hAnsiTheme="majorHAnsi"/>
          <w:sz w:val="22"/>
          <w:szCs w:val="22"/>
        </w:rPr>
      </w:pPr>
      <w:r>
        <w:rPr>
          <w:rStyle w:val="FootnoteReference"/>
        </w:rPr>
        <w:footnoteRef/>
      </w:r>
      <w:r>
        <w:t xml:space="preserve"> Cf. </w:t>
      </w:r>
      <w:r w:rsidRPr="00044309">
        <w:rPr>
          <w:rFonts w:eastAsiaTheme="minorHAnsi" w:cs="TimesNewRomanPS-BoldMT"/>
          <w:bCs/>
        </w:rPr>
        <w:t>Willem Boshoff</w:t>
      </w:r>
      <w:r w:rsidRPr="00044309">
        <w:rPr>
          <w:rFonts w:eastAsiaTheme="minorHAnsi" w:cs="TimesNewRomanPS-BoldMT"/>
          <w:b/>
          <w:bCs/>
        </w:rPr>
        <w:t xml:space="preserve">, </w:t>
      </w:r>
      <w:r>
        <w:rPr>
          <w:rFonts w:eastAsiaTheme="minorHAnsi" w:cs="TimesNewRomanPS-BoldMT"/>
          <w:b/>
          <w:bCs/>
        </w:rPr>
        <w:t>“</w:t>
      </w:r>
      <w:r w:rsidRPr="00044309">
        <w:rPr>
          <w:rFonts w:eastAsiaTheme="minorHAnsi" w:cs="TimesNewRomanPSMT"/>
        </w:rPr>
        <w:t>Sexual Encounters of a Different Kind,”</w:t>
      </w:r>
      <w:r w:rsidRPr="00044309">
        <w:rPr>
          <w:rFonts w:asciiTheme="majorHAnsi" w:eastAsiaTheme="minorHAnsi" w:hAnsiTheme="majorHAnsi" w:cs="TimesNewRomanPSMT"/>
          <w:sz w:val="22"/>
          <w:szCs w:val="22"/>
        </w:rPr>
        <w:t xml:space="preserve"> </w:t>
      </w:r>
      <w:r w:rsidRPr="00044309">
        <w:rPr>
          <w:rFonts w:eastAsiaTheme="minorHAnsi" w:cs="TimesNewRomanPSMT"/>
          <w:i/>
        </w:rPr>
        <w:t xml:space="preserve">Religion and Theology </w:t>
      </w:r>
      <w:r w:rsidRPr="00044309">
        <w:rPr>
          <w:rFonts w:eastAsiaTheme="minorHAnsi" w:cs="TimesNewRomanPSMT"/>
        </w:rPr>
        <w:t>1 (1994): 329-39.</w:t>
      </w:r>
    </w:p>
  </w:footnote>
  <w:footnote w:id="73">
    <w:p w:rsidR="00C5566B" w:rsidRPr="00443EFB" w:rsidRDefault="00C5566B" w:rsidP="008B7FA0">
      <w:pPr>
        <w:pStyle w:val="FootnoteText"/>
      </w:pPr>
      <w:r>
        <w:rPr>
          <w:rStyle w:val="FootnoteReference"/>
        </w:rPr>
        <w:footnoteRef/>
      </w:r>
      <w:r>
        <w:t xml:space="preserve"> Ben Zvi, </w:t>
      </w:r>
      <w:r>
        <w:rPr>
          <w:i/>
        </w:rPr>
        <w:t xml:space="preserve">Hosea, </w:t>
      </w:r>
      <w:r>
        <w:t>46.</w:t>
      </w:r>
    </w:p>
  </w:footnote>
  <w:footnote w:id="74">
    <w:p w:rsidR="00C5566B" w:rsidRPr="00FE2CF0" w:rsidRDefault="00C5566B">
      <w:pPr>
        <w:pStyle w:val="FootnoteText"/>
      </w:pPr>
      <w:r>
        <w:rPr>
          <w:rStyle w:val="FootnoteReference"/>
        </w:rPr>
        <w:footnoteRef/>
      </w:r>
      <w:r>
        <w:t xml:space="preserve"> Tg has “that” (the </w:t>
      </w:r>
      <w:r>
        <w:rPr>
          <w:i/>
        </w:rPr>
        <w:t>kî</w:t>
      </w:r>
      <w:r>
        <w:t xml:space="preserve"> introducing direct speech); but one would expect an intervening word for “say” (</w:t>
      </w:r>
      <w:r>
        <w:rPr>
          <w:i/>
        </w:rPr>
        <w:t>DCH</w:t>
      </w:r>
      <w:r>
        <w:t xml:space="preserve"> 7:478).</w:t>
      </w:r>
    </w:p>
  </w:footnote>
  <w:footnote w:id="75">
    <w:p w:rsidR="00C5566B" w:rsidRPr="002E643C" w:rsidRDefault="00C5566B">
      <w:pPr>
        <w:pStyle w:val="FootnoteText"/>
      </w:pPr>
      <w:r>
        <w:rPr>
          <w:rStyle w:val="FootnoteReference"/>
        </w:rPr>
        <w:footnoteRef/>
      </w:r>
      <w:r>
        <w:t xml:space="preserve"> LXX has “I will put away… from my face,” making v. 2 [4] follow nicely on the promissory and familial address of v. 1 [3], but then in v. 3 [5] it oddly omits the “don’t.” MT has a “defamiliarizing" effect after v. 1 [3] (</w:t>
      </w:r>
      <w:r w:rsidRPr="002E643C">
        <w:t xml:space="preserve">Ben Zvi, </w:t>
      </w:r>
      <w:r w:rsidRPr="002E643C">
        <w:rPr>
          <w:i/>
        </w:rPr>
        <w:t>Hosea,</w:t>
      </w:r>
      <w:r>
        <w:t xml:space="preserve"> 63).</w:t>
      </w:r>
    </w:p>
  </w:footnote>
  <w:footnote w:id="76">
    <w:p w:rsidR="00C5566B" w:rsidRDefault="00C5566B">
      <w:pPr>
        <w:pStyle w:val="FootnoteText"/>
      </w:pPr>
      <w:r>
        <w:rPr>
          <w:rStyle w:val="FootnoteReference"/>
        </w:rPr>
        <w:footnoteRef/>
      </w:r>
      <w:r>
        <w:t xml:space="preserve"> The piel participle, presumably intensive, is used only of illicit love.</w:t>
      </w:r>
    </w:p>
  </w:footnote>
  <w:footnote w:id="77">
    <w:p w:rsidR="00C5566B" w:rsidRDefault="00C5566B">
      <w:pPr>
        <w:pStyle w:val="FootnoteText"/>
      </w:pPr>
      <w:r>
        <w:rPr>
          <w:rStyle w:val="FootnoteReference"/>
        </w:rPr>
        <w:footnoteRef/>
      </w:r>
      <w:r>
        <w:t xml:space="preserve"> LXX provides the expected “her way.”</w:t>
      </w:r>
    </w:p>
  </w:footnote>
  <w:footnote w:id="78">
    <w:p w:rsidR="00C5566B" w:rsidRDefault="00C5566B">
      <w:pPr>
        <w:pStyle w:val="FootnoteText"/>
      </w:pPr>
      <w:r>
        <w:rPr>
          <w:rStyle w:val="FootnoteReference"/>
        </w:rPr>
        <w:footnoteRef/>
      </w:r>
      <w:r>
        <w:t xml:space="preserve"> The pronominal suffix has quasi-dative meaning (Stuart, </w:t>
      </w:r>
      <w:r w:rsidRPr="00AF6837">
        <w:rPr>
          <w:i/>
        </w:rPr>
        <w:t>Hosea-Jonah</w:t>
      </w:r>
      <w:r>
        <w:t xml:space="preserve">, 44; cf. DG 2a), or </w:t>
      </w:r>
      <w:r w:rsidRPr="00D67AC1">
        <w:t>pregnant significance</w:t>
      </w:r>
      <w:r>
        <w:t xml:space="preserve"> (GK 135m ). </w:t>
      </w:r>
    </w:p>
  </w:footnote>
  <w:footnote w:id="79">
    <w:p w:rsidR="00C5566B" w:rsidRDefault="00C5566B">
      <w:pPr>
        <w:pStyle w:val="FootnoteText"/>
      </w:pPr>
      <w:r>
        <w:rPr>
          <w:rStyle w:val="FootnoteReference"/>
        </w:rPr>
        <w:footnoteRef/>
      </w:r>
      <w:r>
        <w:t xml:space="preserve"> Piel of </w:t>
      </w:r>
      <w:r>
        <w:rPr>
          <w:i/>
        </w:rPr>
        <w:t>rādap,</w:t>
      </w:r>
      <w:r>
        <w:t xml:space="preserve"> again intensive.</w:t>
      </w:r>
    </w:p>
  </w:footnote>
  <w:footnote w:id="80">
    <w:p w:rsidR="00C5566B" w:rsidRPr="00AE779E" w:rsidRDefault="00C5566B">
      <w:pPr>
        <w:pStyle w:val="FootnoteText"/>
      </w:pPr>
      <w:r>
        <w:rPr>
          <w:rStyle w:val="FootnoteReference"/>
        </w:rPr>
        <w:footnoteRef/>
      </w:r>
      <w:r>
        <w:t xml:space="preserve"> Tg has more explicitly </w:t>
      </w:r>
      <w:r w:rsidRPr="00495966">
        <w:t>“my first lord” (</w:t>
      </w:r>
      <w:r w:rsidRPr="00495966">
        <w:rPr>
          <w:i/>
        </w:rPr>
        <w:t>ribbônî</w:t>
      </w:r>
      <w:r>
        <w:t>).</w:t>
      </w:r>
    </w:p>
  </w:footnote>
  <w:footnote w:id="81">
    <w:p w:rsidR="00C5566B" w:rsidRDefault="00C5566B" w:rsidP="00757AA3">
      <w:pPr>
        <w:pStyle w:val="FootnoteText"/>
      </w:pPr>
      <w:r>
        <w:rPr>
          <w:rStyle w:val="FootnoteReference"/>
        </w:rPr>
        <w:footnoteRef/>
      </w:r>
      <w:r>
        <w:t xml:space="preserve"> Rather than “made into the Master”; cf. Exod. 38:24; 1 Sam. 8:16; 2 Chron. 24:7. T</w:t>
      </w:r>
      <w:r w:rsidRPr="008225CA">
        <w:t>he colon involves an un</w:t>
      </w:r>
      <w:r>
        <w:t>marked relative clause (cf. Vg, Tg);</w:t>
      </w:r>
      <w:r w:rsidRPr="008225CA">
        <w:t xml:space="preserve"> </w:t>
      </w:r>
      <w:r>
        <w:t xml:space="preserve">LXX “silver and gold they made for the Master” makes explicit the point implicit in the parallelism that the silver was also used for the Master. The parallelism suggests further that the first colon also involves an unmarked relative clause. </w:t>
      </w:r>
      <w:r w:rsidRPr="00704FB2">
        <w:t xml:space="preserve">LXX cannily provides a feminine article for </w:t>
      </w:r>
      <w:r w:rsidRPr="00704FB2">
        <w:rPr>
          <w:i/>
        </w:rPr>
        <w:t>ba‘al</w:t>
      </w:r>
      <w:r w:rsidRPr="00704FB2">
        <w:t>, which might suggest “the Mistress,” a goddess, rather tha</w:t>
      </w:r>
      <w:r>
        <w:t>n “the Master,” or might hint at</w:t>
      </w:r>
      <w:r w:rsidRPr="00704FB2">
        <w:t xml:space="preserve"> the replacing of </w:t>
      </w:r>
      <w:r w:rsidRPr="00704FB2">
        <w:rPr>
          <w:i/>
        </w:rPr>
        <w:t>ba‘al</w:t>
      </w:r>
      <w:r w:rsidRPr="00704FB2">
        <w:t xml:space="preserve"> by the Greek word </w:t>
      </w:r>
      <w:r w:rsidRPr="00704FB2">
        <w:rPr>
          <w:i/>
        </w:rPr>
        <w:t>aischunē</w:t>
      </w:r>
      <w:r w:rsidRPr="00704FB2">
        <w:t xml:space="preserve">, Hebrew </w:t>
      </w:r>
      <w:r w:rsidRPr="00704FB2">
        <w:rPr>
          <w:i/>
        </w:rPr>
        <w:t>bōšet</w:t>
      </w:r>
      <w:r w:rsidRPr="00704FB2">
        <w:t xml:space="preserve">, “shame” (cf. 9:10) as has happened in names such as Ish-boshet (so Macintosh, </w:t>
      </w:r>
      <w:r w:rsidRPr="00704FB2">
        <w:rPr>
          <w:i/>
        </w:rPr>
        <w:t>Hosea</w:t>
      </w:r>
      <w:r w:rsidRPr="00704FB2">
        <w:t>, 56).</w:t>
      </w:r>
    </w:p>
  </w:footnote>
  <w:footnote w:id="82">
    <w:p w:rsidR="00C5566B" w:rsidRPr="00B65672" w:rsidRDefault="00C5566B">
      <w:pPr>
        <w:pStyle w:val="FootnoteText"/>
      </w:pPr>
      <w:r>
        <w:rPr>
          <w:rStyle w:val="FootnoteReference"/>
        </w:rPr>
        <w:footnoteRef/>
      </w:r>
      <w:r>
        <w:t xml:space="preserve"> Literally “return and take” (cf. Tg). </w:t>
      </w:r>
      <w:r>
        <w:rPr>
          <w:i/>
        </w:rPr>
        <w:t>Waw</w:t>
      </w:r>
      <w:r>
        <w:t xml:space="preserve">-consecutive following adverbial use of </w:t>
      </w:r>
      <w:r>
        <w:rPr>
          <w:i/>
        </w:rPr>
        <w:t>šûb</w:t>
      </w:r>
      <w:r>
        <w:t xml:space="preserve"> is unusual (JM 177b; GK 120e) but it makes for a tighter link with the wife saying “I will go and turn back” (v. 7).</w:t>
      </w:r>
    </w:p>
  </w:footnote>
  <w:footnote w:id="83">
    <w:p w:rsidR="00C5566B" w:rsidRPr="004F1D9D" w:rsidRDefault="00C5566B" w:rsidP="004F1D9D">
      <w:pPr>
        <w:pStyle w:val="FootnoteText"/>
        <w:rPr>
          <w:bCs/>
        </w:rPr>
      </w:pPr>
      <w:r>
        <w:rPr>
          <w:rStyle w:val="FootnoteReference"/>
        </w:rPr>
        <w:footnoteRef/>
      </w:r>
      <w:r>
        <w:t xml:space="preserve"> Andersen/Freedman (</w:t>
      </w:r>
      <w:r>
        <w:rPr>
          <w:i/>
        </w:rPr>
        <w:t>Hosea</w:t>
      </w:r>
      <w:r>
        <w:t>, 215, 246) take the piel as privative, “to uncover.” Less implausibly, Brad E. Kelle (“</w:t>
      </w:r>
      <w:r w:rsidRPr="00760258">
        <w:rPr>
          <w:rFonts w:eastAsiaTheme="minorHAnsi" w:cs="TimesNewRomanPSMT"/>
        </w:rPr>
        <w:t xml:space="preserve">A Reconsideration of </w:t>
      </w:r>
      <w:r>
        <w:rPr>
          <w:rFonts w:eastAsiaTheme="minorHAnsi" w:cs="TimesNewRomanPS-ItalicMT"/>
          <w:i/>
          <w:iCs/>
        </w:rPr>
        <w:t>l</w:t>
      </w:r>
      <w:r>
        <w:rPr>
          <w:rFonts w:eastAsiaTheme="minorHAnsi" w:cs="TimesNewRomanPS-ItalicMT"/>
          <w:i/>
          <w:iCs/>
          <w:vertAlign w:val="superscript"/>
        </w:rPr>
        <w:t>e</w:t>
      </w:r>
      <w:r w:rsidRPr="00760258">
        <w:rPr>
          <w:rFonts w:eastAsiaTheme="minorHAnsi" w:cs="TimesNewRomanPS-ItalicMT"/>
          <w:i/>
          <w:iCs/>
        </w:rPr>
        <w:t xml:space="preserve">kassôt </w:t>
      </w:r>
      <w:r w:rsidRPr="00760258">
        <w:rPr>
          <w:rFonts w:eastAsiaTheme="minorHAnsi" w:cs="TimesNewRomanPSMT"/>
        </w:rPr>
        <w:t>in Hosea 2,</w:t>
      </w:r>
      <w:r>
        <w:rPr>
          <w:rFonts w:eastAsiaTheme="minorHAnsi" w:cs="TimesNewRomanPSMT"/>
        </w:rPr>
        <w:t xml:space="preserve"> 11 [MT],” </w:t>
      </w:r>
      <w:r>
        <w:rPr>
          <w:rFonts w:eastAsiaTheme="minorHAnsi" w:cs="TimesNewRomanPSMT"/>
          <w:i/>
        </w:rPr>
        <w:t xml:space="preserve">ZAW </w:t>
      </w:r>
      <w:r>
        <w:rPr>
          <w:rFonts w:eastAsiaTheme="minorHAnsi" w:cs="TimesNewRomanPSMT"/>
        </w:rPr>
        <w:t>102 [2004]: 334-47</w:t>
      </w:r>
      <w:r w:rsidRPr="00760258">
        <w:t>) renders</w:t>
      </w:r>
      <w:r>
        <w:t xml:space="preserve"> “to calculate [from </w:t>
      </w:r>
      <w:r>
        <w:rPr>
          <w:i/>
        </w:rPr>
        <w:t>kāsas</w:t>
      </w:r>
      <w:r>
        <w:t xml:space="preserve"> not </w:t>
      </w:r>
      <w:r>
        <w:rPr>
          <w:i/>
        </w:rPr>
        <w:t>kāsāh</w:t>
      </w:r>
      <w:r>
        <w:t xml:space="preserve">] her indecency [as in Deut. 24:1].” But see </w:t>
      </w:r>
      <w:r w:rsidRPr="004F1D9D">
        <w:rPr>
          <w:bCs/>
        </w:rPr>
        <w:t>Matthew W. Mitchell</w:t>
      </w:r>
      <w:r>
        <w:rPr>
          <w:bCs/>
        </w:rPr>
        <w:t>, “</w:t>
      </w:r>
      <w:r w:rsidRPr="004F1D9D">
        <w:rPr>
          <w:bCs/>
        </w:rPr>
        <w:t>Finding the Naked Woman in Hosea ii 11</w:t>
      </w:r>
      <w:r>
        <w:rPr>
          <w:bCs/>
        </w:rPr>
        <w:t xml:space="preserve">,” </w:t>
      </w:r>
      <w:r>
        <w:rPr>
          <w:bCs/>
          <w:i/>
        </w:rPr>
        <w:t>VT</w:t>
      </w:r>
      <w:r>
        <w:rPr>
          <w:bCs/>
        </w:rPr>
        <w:t xml:space="preserve"> 57 (2007): 114-23.</w:t>
      </w:r>
    </w:p>
  </w:footnote>
  <w:footnote w:id="84">
    <w:p w:rsidR="00C5566B" w:rsidRPr="00AD1F89" w:rsidRDefault="00C5566B" w:rsidP="00AD1F89">
      <w:pPr>
        <w:pStyle w:val="FootnoteText"/>
      </w:pPr>
      <w:r>
        <w:rPr>
          <w:rStyle w:val="FootnoteReference"/>
        </w:rPr>
        <w:footnoteRef/>
      </w:r>
      <w:r>
        <w:t xml:space="preserve"> Taking the </w:t>
      </w:r>
      <w:r>
        <w:rPr>
          <w:i/>
        </w:rPr>
        <w:t>waw</w:t>
      </w:r>
      <w:r>
        <w:t xml:space="preserve"> as epexegetical, s</w:t>
      </w:r>
      <w:r w:rsidRPr="00364EFE">
        <w:t>ince the previous col</w:t>
      </w:r>
      <w:r>
        <w:t>on covers all the set occasions.</w:t>
      </w:r>
    </w:p>
  </w:footnote>
  <w:footnote w:id="85">
    <w:p w:rsidR="00C5566B" w:rsidRPr="0060760F" w:rsidRDefault="00C5566B">
      <w:pPr>
        <w:pStyle w:val="FootnoteText"/>
      </w:pPr>
      <w:r>
        <w:rPr>
          <w:rStyle w:val="FootnoteReference"/>
        </w:rPr>
        <w:footnoteRef/>
      </w:r>
      <w:r>
        <w:t xml:space="preserve"> </w:t>
      </w:r>
      <w:r>
        <w:rPr>
          <w:i/>
        </w:rPr>
        <w:t>’Etnāh</w:t>
      </w:r>
      <w:r>
        <w:t xml:space="preserve">, a variant on </w:t>
      </w:r>
      <w:r>
        <w:rPr>
          <w:i/>
        </w:rPr>
        <w:t>’etnan</w:t>
      </w:r>
      <w:r>
        <w:t xml:space="preserve"> to denote a “gift” to a prostitute, comes only here; it generates a paronomasia with </w:t>
      </w:r>
      <w:r>
        <w:rPr>
          <w:i/>
        </w:rPr>
        <w:t>tə’ēnātāh</w:t>
      </w:r>
      <w:r>
        <w:t xml:space="preserve"> (her fig), and also with </w:t>
      </w:r>
      <w:r>
        <w:rPr>
          <w:i/>
        </w:rPr>
        <w:t xml:space="preserve">nātənû </w:t>
      </w:r>
      <w:r>
        <w:t>(they have given). Whatever the word’s etymology, it makes for a nice euphemism.</w:t>
      </w:r>
    </w:p>
  </w:footnote>
  <w:footnote w:id="86">
    <w:p w:rsidR="00C5566B" w:rsidRPr="00B26623" w:rsidRDefault="00C5566B">
      <w:pPr>
        <w:pStyle w:val="FootnoteText"/>
      </w:pPr>
      <w:r>
        <w:rPr>
          <w:rStyle w:val="FootnoteReference"/>
        </w:rPr>
        <w:footnoteRef/>
      </w:r>
      <w:r>
        <w:t xml:space="preserve"> LXX “witness” implies </w:t>
      </w:r>
      <w:r>
        <w:rPr>
          <w:i/>
        </w:rPr>
        <w:t>‘ēd</w:t>
      </w:r>
      <w:r>
        <w:t xml:space="preserve"> for </w:t>
      </w:r>
      <w:r>
        <w:rPr>
          <w:i/>
        </w:rPr>
        <w:t>ya‘ar</w:t>
      </w:r>
      <w:r>
        <w:t>. Hebrew d and r are similar; the reading is plausible and suggestive (cf. Gen. 31:44-52).</w:t>
      </w:r>
    </w:p>
  </w:footnote>
  <w:footnote w:id="87">
    <w:p w:rsidR="00C5566B" w:rsidRDefault="00C5566B">
      <w:pPr>
        <w:pStyle w:val="FootnoteText"/>
      </w:pPr>
      <w:r>
        <w:rPr>
          <w:rStyle w:val="FootnoteReference"/>
        </w:rPr>
        <w:footnoteRef/>
      </w:r>
      <w:r>
        <w:t xml:space="preserve"> See the note on 1:4.</w:t>
      </w:r>
    </w:p>
  </w:footnote>
  <w:footnote w:id="88">
    <w:p w:rsidR="00C5566B" w:rsidRDefault="00C5566B">
      <w:pPr>
        <w:pStyle w:val="FootnoteText"/>
      </w:pPr>
      <w:r>
        <w:rPr>
          <w:rStyle w:val="FootnoteReference"/>
        </w:rPr>
        <w:footnoteRef/>
      </w:r>
      <w:r>
        <w:t xml:space="preserve"> Cf. Vg; LXX has “on which [days] she burns incense for them” (cf. DG 124a). JM118n takes as past yiqtol, which fits with the next line, but the context doesn’t imply she’s stopped, and the more regular present tense translation fits.</w:t>
      </w:r>
    </w:p>
  </w:footnote>
  <w:footnote w:id="89">
    <w:p w:rsidR="00C5566B" w:rsidRDefault="00C5566B">
      <w:pPr>
        <w:pStyle w:val="FootnoteText"/>
      </w:pPr>
      <w:r>
        <w:rPr>
          <w:rStyle w:val="FootnoteReference"/>
        </w:rPr>
        <w:footnoteRef/>
      </w:r>
      <w:r>
        <w:t xml:space="preserve"> For </w:t>
      </w:r>
      <w:r>
        <w:rPr>
          <w:i/>
        </w:rPr>
        <w:t>pātāh</w:t>
      </w:r>
      <w:r>
        <w:t>, LXX has “deceive.”</w:t>
      </w:r>
    </w:p>
  </w:footnote>
  <w:footnote w:id="90">
    <w:p w:rsidR="00C5566B" w:rsidRPr="00FB0931" w:rsidRDefault="00C5566B" w:rsidP="0048335E">
      <w:pPr>
        <w:pStyle w:val="FootnoteText"/>
      </w:pPr>
      <w:r>
        <w:rPr>
          <w:rStyle w:val="FootnoteReference"/>
        </w:rPr>
        <w:footnoteRef/>
      </w:r>
      <w:r>
        <w:t xml:space="preserve"> </w:t>
      </w:r>
      <w:r>
        <w:rPr>
          <w:i/>
        </w:rPr>
        <w:t>M</w:t>
      </w:r>
      <w:r w:rsidRPr="00FB0931">
        <w:rPr>
          <w:i/>
        </w:rPr>
        <w:t>idbār</w:t>
      </w:r>
      <w:r>
        <w:t xml:space="preserve"> </w:t>
      </w:r>
      <w:r>
        <w:rPr>
          <w:i/>
        </w:rPr>
        <w:t>wədibbartî</w:t>
      </w:r>
      <w:r>
        <w:t xml:space="preserve">, both from a root </w:t>
      </w:r>
      <w:r>
        <w:rPr>
          <w:i/>
        </w:rPr>
        <w:t>dbr</w:t>
      </w:r>
      <w:r>
        <w:t>:</w:t>
      </w:r>
      <w:r w:rsidRPr="00FB0931">
        <w:t xml:space="preserve"> </w:t>
      </w:r>
      <w:r>
        <w:t xml:space="preserve">“The desert is a place of absence, but there are words in it…. In the settled land the word itself may be forgotten” (Fisch, </w:t>
      </w:r>
      <w:r>
        <w:rPr>
          <w:i/>
        </w:rPr>
        <w:t>Poetry with a Purpose</w:t>
      </w:r>
      <w:r>
        <w:t>, 143).</w:t>
      </w:r>
    </w:p>
  </w:footnote>
  <w:footnote w:id="91">
    <w:p w:rsidR="00C5566B" w:rsidRDefault="00C5566B">
      <w:pPr>
        <w:pStyle w:val="FootnoteText"/>
      </w:pPr>
      <w:r>
        <w:rPr>
          <w:rStyle w:val="FootnoteReference"/>
        </w:rPr>
        <w:footnoteRef/>
      </w:r>
      <w:r>
        <w:t xml:space="preserve"> Anatomically, the heart, but</w:t>
      </w:r>
      <w:r w:rsidRPr="00190A9B">
        <w:t xml:space="preserve"> “speak to her heart” could give </w:t>
      </w:r>
      <w:r>
        <w:t xml:space="preserve">a misleading impression; </w:t>
      </w:r>
      <w:r w:rsidRPr="00190A9B">
        <w:t>in Hebrew the heart is not especially the locus of the emotions. If anything, it refers to what we would call the mind</w:t>
      </w:r>
      <w:r>
        <w:t xml:space="preserve"> (cf. </w:t>
      </w:r>
      <w:r w:rsidRPr="00190A9B">
        <w:t>7:11).</w:t>
      </w:r>
    </w:p>
  </w:footnote>
  <w:footnote w:id="92">
    <w:p w:rsidR="00C5566B" w:rsidRPr="00CD38CE" w:rsidRDefault="00C5566B">
      <w:pPr>
        <w:pStyle w:val="FootnoteText"/>
      </w:pPr>
      <w:r>
        <w:rPr>
          <w:rStyle w:val="FootnoteReference"/>
        </w:rPr>
        <w:footnoteRef/>
      </w:r>
      <w:r>
        <w:t xml:space="preserve"> JPSV’s “plowland” derives </w:t>
      </w:r>
      <w:r>
        <w:rPr>
          <w:i/>
        </w:rPr>
        <w:t>petaḥ</w:t>
      </w:r>
      <w:r>
        <w:t xml:space="preserve"> from </w:t>
      </w:r>
      <w:r>
        <w:rPr>
          <w:i/>
        </w:rPr>
        <w:t>pātaḥ</w:t>
      </w:r>
      <w:r>
        <w:t xml:space="preserve"> II which means “engrave.”</w:t>
      </w:r>
    </w:p>
  </w:footnote>
  <w:footnote w:id="93">
    <w:p w:rsidR="00C5566B" w:rsidRPr="00360472" w:rsidRDefault="00C5566B" w:rsidP="006A6017">
      <w:pPr>
        <w:pStyle w:val="FootnoteText"/>
      </w:pPr>
      <w:r>
        <w:rPr>
          <w:rStyle w:val="FootnoteReference"/>
        </w:rPr>
        <w:footnoteRef/>
      </w:r>
      <w:r>
        <w:t xml:space="preserve"> </w:t>
      </w:r>
      <w:r>
        <w:rPr>
          <w:i/>
        </w:rPr>
        <w:t>‘</w:t>
      </w:r>
      <w:r>
        <w:t>Ā</w:t>
      </w:r>
      <w:r w:rsidRPr="00540938">
        <w:rPr>
          <w:i/>
        </w:rPr>
        <w:t>nāh</w:t>
      </w:r>
      <w:r w:rsidRPr="00540938">
        <w:t xml:space="preserve"> </w:t>
      </w:r>
      <w:r>
        <w:t>(here and vv. 21-22 [23-24])</w:t>
      </w:r>
      <w:r w:rsidRPr="00540938">
        <w:t xml:space="preserve"> most often means “answer,” but</w:t>
      </w:r>
      <w:r>
        <w:t xml:space="preserve"> it can mean respond or testify in a formal</w:t>
      </w:r>
      <w:r w:rsidRPr="00540938">
        <w:t xml:space="preserve"> </w:t>
      </w:r>
      <w:r>
        <w:t>sense; hence “aver.” T</w:t>
      </w:r>
      <w:r w:rsidRPr="00540938">
        <w:t xml:space="preserve">here are several homonyms </w:t>
      </w:r>
      <w:r w:rsidRPr="00540938">
        <w:rPr>
          <w:i/>
        </w:rPr>
        <w:t>‘ānāh</w:t>
      </w:r>
      <w:r>
        <w:t>:</w:t>
      </w:r>
      <w:r w:rsidRPr="00540938">
        <w:t xml:space="preserve"> </w:t>
      </w:r>
      <w:r>
        <w:t xml:space="preserve">LXX “be made low” (cf. Sym) takes it as BDB’s </w:t>
      </w:r>
      <w:r>
        <w:rPr>
          <w:i/>
        </w:rPr>
        <w:t>‘ānāh</w:t>
      </w:r>
      <w:r>
        <w:t xml:space="preserve"> III, Vg “sing” as BDB’s </w:t>
      </w:r>
      <w:r>
        <w:rPr>
          <w:i/>
        </w:rPr>
        <w:t>‘ānāh</w:t>
      </w:r>
      <w:r>
        <w:t xml:space="preserve"> IV (cf. Marlow, </w:t>
      </w:r>
      <w:r>
        <w:rPr>
          <w:i/>
        </w:rPr>
        <w:t>Biblical Prophets and Contemporary Environmental E</w:t>
      </w:r>
      <w:r w:rsidRPr="006A6017">
        <w:rPr>
          <w:i/>
        </w:rPr>
        <w:t>thics</w:t>
      </w:r>
      <w:r>
        <w:rPr>
          <w:i/>
        </w:rPr>
        <w:t xml:space="preserve">, </w:t>
      </w:r>
      <w:r>
        <w:t xml:space="preserve"> 176-77); Tg gives a different meaning each time it occurs—rightly, A. Guillaume thinks (“A Note on Hosea ii. 23, 24 [</w:t>
      </w:r>
      <w:r>
        <w:rPr>
          <w:i/>
        </w:rPr>
        <w:t>JTS</w:t>
      </w:r>
      <w:r>
        <w:t xml:space="preserve"> 15 (1964): 57-58]).</w:t>
      </w:r>
    </w:p>
  </w:footnote>
  <w:footnote w:id="94">
    <w:p w:rsidR="00C5566B" w:rsidRDefault="00C5566B">
      <w:pPr>
        <w:pStyle w:val="FootnoteText"/>
      </w:pPr>
      <w:r>
        <w:rPr>
          <w:rStyle w:val="FootnoteReference"/>
        </w:rPr>
        <w:footnoteRef/>
      </w:r>
      <w:r>
        <w:t xml:space="preserve"> LXX, Vg have third-person verbs in this verse.</w:t>
      </w:r>
    </w:p>
  </w:footnote>
  <w:footnote w:id="95">
    <w:p w:rsidR="00C5566B" w:rsidRDefault="00C5566B">
      <w:pPr>
        <w:pStyle w:val="FootnoteText"/>
      </w:pPr>
      <w:r>
        <w:rPr>
          <w:rStyle w:val="FootnoteReference"/>
        </w:rPr>
        <w:footnoteRef/>
      </w:r>
      <w:r>
        <w:t xml:space="preserve"> That is, by being mentioned in worship (cf. Exod. 23:13).</w:t>
      </w:r>
    </w:p>
  </w:footnote>
  <w:footnote w:id="96">
    <w:p w:rsidR="00C5566B" w:rsidRDefault="00C5566B">
      <w:pPr>
        <w:pStyle w:val="FootnoteText"/>
      </w:pPr>
      <w:r>
        <w:rPr>
          <w:rStyle w:val="FootnoteReference"/>
        </w:rPr>
        <w:footnoteRef/>
      </w:r>
      <w:r>
        <w:t xml:space="preserve"> The “she” of v. 17 has become a “they.”</w:t>
      </w:r>
    </w:p>
  </w:footnote>
  <w:footnote w:id="97">
    <w:p w:rsidR="00C5566B" w:rsidRDefault="00C5566B">
      <w:pPr>
        <w:pStyle w:val="FootnoteText"/>
      </w:pPr>
      <w:r>
        <w:rPr>
          <w:rStyle w:val="FootnoteReference"/>
        </w:rPr>
        <w:footnoteRef/>
      </w:r>
      <w:r>
        <w:t xml:space="preserve"> Presumably the Ephraimites, the “them” of v. 18a.</w:t>
      </w:r>
    </w:p>
  </w:footnote>
  <w:footnote w:id="98">
    <w:p w:rsidR="00C5566B" w:rsidRPr="0024258A" w:rsidRDefault="00C5566B">
      <w:pPr>
        <w:pStyle w:val="FootnoteText"/>
      </w:pPr>
      <w:r>
        <w:rPr>
          <w:rStyle w:val="FootnoteReference"/>
        </w:rPr>
        <w:footnoteRef/>
      </w:r>
      <w:r>
        <w:t xml:space="preserve"> Cf. Vg, LXX; </w:t>
      </w:r>
      <w:r>
        <w:rPr>
          <w:i/>
        </w:rPr>
        <w:t>bāṭaḥ</w:t>
      </w:r>
      <w:r>
        <w:t xml:space="preserve"> denotes “trust” and </w:t>
      </w:r>
      <w:r>
        <w:rPr>
          <w:i/>
        </w:rPr>
        <w:t xml:space="preserve">beṭaḥ </w:t>
      </w:r>
      <w:r>
        <w:t>refers to a sense of security not directly to actual security (though that would also apply here).</w:t>
      </w:r>
    </w:p>
  </w:footnote>
  <w:footnote w:id="99">
    <w:p w:rsidR="00C5566B" w:rsidRPr="00F45C5F" w:rsidRDefault="00C5566B">
      <w:pPr>
        <w:pStyle w:val="FootnoteText"/>
      </w:pPr>
      <w:r>
        <w:rPr>
          <w:rStyle w:val="FootnoteReference"/>
        </w:rPr>
        <w:footnoteRef/>
      </w:r>
      <w:r>
        <w:t xml:space="preserve"> Perhaps </w:t>
      </w:r>
      <w:r>
        <w:rPr>
          <w:i/>
        </w:rPr>
        <w:t>b</w:t>
      </w:r>
      <w:r>
        <w:t xml:space="preserve"> indicating price (cf. GK 119p).</w:t>
      </w:r>
    </w:p>
  </w:footnote>
  <w:footnote w:id="100">
    <w:p w:rsidR="00C5566B" w:rsidRDefault="00C5566B">
      <w:pPr>
        <w:pStyle w:val="FootnoteText"/>
      </w:pPr>
      <w:r>
        <w:rPr>
          <w:rStyle w:val="FootnoteReference"/>
        </w:rPr>
        <w:footnoteRef/>
      </w:r>
      <w:r>
        <w:t xml:space="preserve"> Vg has “acknowledge that I am the Lord,” reflecting the language of Ezekiel and </w:t>
      </w:r>
      <w:r w:rsidRPr="00CE3649">
        <w:t>Isaiah 40—55</w:t>
      </w:r>
      <w:r>
        <w:t>.</w:t>
      </w:r>
    </w:p>
  </w:footnote>
  <w:footnote w:id="101">
    <w:p w:rsidR="00C5566B" w:rsidRDefault="00C5566B">
      <w:pPr>
        <w:pStyle w:val="FootnoteText"/>
      </w:pPr>
      <w:r>
        <w:rPr>
          <w:rStyle w:val="FootnoteReference"/>
        </w:rPr>
        <w:footnoteRef/>
      </w:r>
      <w:r>
        <w:t xml:space="preserve"> Tg “the exiles of my people” presupposes a negative understanding of </w:t>
      </w:r>
      <w:r>
        <w:rPr>
          <w:i/>
        </w:rPr>
        <w:t>zāra‘</w:t>
      </w:r>
      <w:r>
        <w:t>, “scatter” (see the comments on 1:4).</w:t>
      </w:r>
    </w:p>
  </w:footnote>
  <w:footnote w:id="102">
    <w:p w:rsidR="00C5566B" w:rsidRDefault="00C5566B">
      <w:pPr>
        <w:pStyle w:val="FootnoteText"/>
      </w:pPr>
      <w:r>
        <w:rPr>
          <w:rStyle w:val="FootnoteReference"/>
        </w:rPr>
        <w:footnoteRef/>
      </w:r>
      <w:r>
        <w:t xml:space="preserve"> Vg fills the colon out as “You’re my Lord,” LXX as “You’re the Lord my God.”</w:t>
      </w:r>
    </w:p>
  </w:footnote>
  <w:footnote w:id="103">
    <w:p w:rsidR="00C5566B" w:rsidRPr="00A430ED" w:rsidRDefault="00C5566B" w:rsidP="00E85236">
      <w:pPr>
        <w:pStyle w:val="FootnoteText"/>
      </w:pPr>
      <w:r>
        <w:rPr>
          <w:rStyle w:val="FootnoteReference"/>
        </w:rPr>
        <w:footnoteRef/>
      </w:r>
      <w:r>
        <w:t xml:space="preserve"> On marriage and divorce in the ancient Middle East, see </w:t>
      </w:r>
      <w:r w:rsidRPr="0027688E">
        <w:t>Paul A. Kruger, “The Marriage Meta</w:t>
      </w:r>
      <w:r>
        <w:t>phor in Hosea 2:4-17</w:t>
      </w:r>
      <w:r w:rsidRPr="0027688E">
        <w:t xml:space="preserve">,” </w:t>
      </w:r>
      <w:r w:rsidRPr="0027688E">
        <w:rPr>
          <w:i/>
        </w:rPr>
        <w:t>OTE</w:t>
      </w:r>
      <w:r>
        <w:t xml:space="preserve"> 5 (1992): 7-25; </w:t>
      </w:r>
      <w:r w:rsidRPr="00BC1416">
        <w:t xml:space="preserve">Brad E. Kelle, </w:t>
      </w:r>
      <w:r w:rsidRPr="00BC1416">
        <w:rPr>
          <w:i/>
        </w:rPr>
        <w:t>Hosea 2</w:t>
      </w:r>
      <w:r>
        <w:t xml:space="preserve"> (Atlanta: SBL, 2005), 47-79.</w:t>
      </w:r>
    </w:p>
  </w:footnote>
  <w:footnote w:id="104">
    <w:p w:rsidR="00C5566B" w:rsidRPr="00C06869" w:rsidRDefault="00C5566B">
      <w:pPr>
        <w:pStyle w:val="FootnoteText"/>
      </w:pPr>
      <w:r>
        <w:rPr>
          <w:rStyle w:val="FootnoteReference"/>
        </w:rPr>
        <w:footnoteRef/>
      </w:r>
      <w:r>
        <w:t xml:space="preserve"> See Paul Kruger’s comments on v. 6 [8] in particular, </w:t>
      </w:r>
      <w:r w:rsidRPr="00C06869">
        <w:rPr>
          <w:rFonts w:eastAsiaTheme="minorHAnsi" w:cs="Times New Roman"/>
        </w:rPr>
        <w:t>"I will hedge her wa</w:t>
      </w:r>
      <w:r>
        <w:rPr>
          <w:rFonts w:eastAsiaTheme="minorHAnsi" w:cs="Times New Roman"/>
        </w:rPr>
        <w:t xml:space="preserve">y with thornbushes" (Hosea 2,8),” </w:t>
      </w:r>
      <w:r>
        <w:rPr>
          <w:rFonts w:eastAsiaTheme="minorHAnsi" w:cs="Times New Roman"/>
          <w:i/>
        </w:rPr>
        <w:t>BZ</w:t>
      </w:r>
      <w:r>
        <w:rPr>
          <w:rFonts w:eastAsiaTheme="minorHAnsi" w:cs="Times New Roman"/>
        </w:rPr>
        <w:t xml:space="preserve"> 43 (1999): 92-99. </w:t>
      </w:r>
    </w:p>
  </w:footnote>
  <w:footnote w:id="105">
    <w:p w:rsidR="00C5566B" w:rsidRPr="00EB3ADC" w:rsidRDefault="00C5566B">
      <w:pPr>
        <w:pStyle w:val="FootnoteText"/>
      </w:pPr>
      <w:r>
        <w:rPr>
          <w:rStyle w:val="FootnoteReference"/>
        </w:rPr>
        <w:footnoteRef/>
      </w:r>
      <w:r>
        <w:t xml:space="preserve"> Mary Joan Winn Leith, “Verse and Reverse,” in P.L. Day (ed.), </w:t>
      </w:r>
      <w:r>
        <w:rPr>
          <w:i/>
        </w:rPr>
        <w:t>Gender and Difference in Ancient Israel</w:t>
      </w:r>
      <w:r>
        <w:t xml:space="preserve"> (Minneapolis: Fortress, 1989), 95-108 (98).</w:t>
      </w:r>
    </w:p>
  </w:footnote>
  <w:footnote w:id="106">
    <w:p w:rsidR="00C5566B" w:rsidRPr="005D5541" w:rsidRDefault="00C5566B">
      <w:pPr>
        <w:pStyle w:val="FootnoteText"/>
      </w:pPr>
      <w:r>
        <w:rPr>
          <w:rStyle w:val="FootnoteReference"/>
        </w:rPr>
        <w:footnoteRef/>
      </w:r>
      <w:r>
        <w:t xml:space="preserve"> Gale A. Yee, </w:t>
      </w:r>
      <w:r>
        <w:rPr>
          <w:i/>
        </w:rPr>
        <w:t xml:space="preserve">Poor Banished Children of Eve </w:t>
      </w:r>
      <w:r>
        <w:t>(Minneapolis: Fortress, 2003), 98-99.</w:t>
      </w:r>
    </w:p>
  </w:footnote>
  <w:footnote w:id="107">
    <w:p w:rsidR="00C5566B" w:rsidRDefault="00C5566B">
      <w:pPr>
        <w:pStyle w:val="FootnoteText"/>
      </w:pPr>
      <w:r>
        <w:rPr>
          <w:rStyle w:val="FootnoteReference"/>
        </w:rPr>
        <w:footnoteRef/>
      </w:r>
      <w:r>
        <w:t xml:space="preserve"> Cf. </w:t>
      </w:r>
      <w:r w:rsidRPr="003C18FE">
        <w:t xml:space="preserve">Haddox, </w:t>
      </w:r>
      <w:r w:rsidRPr="003C18FE">
        <w:rPr>
          <w:i/>
        </w:rPr>
        <w:t>Metaphor and Masculinity.</w:t>
      </w:r>
    </w:p>
  </w:footnote>
  <w:footnote w:id="108">
    <w:p w:rsidR="00C5566B" w:rsidRPr="001D75A0" w:rsidRDefault="00C5566B" w:rsidP="00D44182">
      <w:pPr>
        <w:pStyle w:val="FootnoteText"/>
      </w:pPr>
      <w:r>
        <w:rPr>
          <w:rStyle w:val="FootnoteReference"/>
        </w:rPr>
        <w:footnoteRef/>
      </w:r>
      <w:r>
        <w:t xml:space="preserve"> So Renita J. Weems, “Gomer,” </w:t>
      </w:r>
      <w:r>
        <w:rPr>
          <w:i/>
        </w:rPr>
        <w:t>Semeia</w:t>
      </w:r>
      <w:r>
        <w:t xml:space="preserve"> 47 (1989): 87-104 (95).</w:t>
      </w:r>
    </w:p>
  </w:footnote>
  <w:footnote w:id="109">
    <w:p w:rsidR="00C5566B" w:rsidRPr="00586B0D" w:rsidRDefault="00C5566B">
      <w:pPr>
        <w:pStyle w:val="FootnoteText"/>
      </w:pPr>
      <w:r>
        <w:rPr>
          <w:rStyle w:val="FootnoteReference"/>
        </w:rPr>
        <w:footnoteRef/>
      </w:r>
      <w:r>
        <w:t xml:space="preserve"> Fishbane, </w:t>
      </w:r>
      <w:r>
        <w:rPr>
          <w:i/>
        </w:rPr>
        <w:t>Haftorot</w:t>
      </w:r>
      <w:r>
        <w:t>, 154.</w:t>
      </w:r>
    </w:p>
  </w:footnote>
  <w:footnote w:id="110">
    <w:p w:rsidR="00C5566B" w:rsidRPr="0089041A" w:rsidRDefault="00C5566B" w:rsidP="00241262">
      <w:pPr>
        <w:pStyle w:val="FootnoteText"/>
      </w:pPr>
      <w:r>
        <w:rPr>
          <w:rStyle w:val="FootnoteReference"/>
        </w:rPr>
        <w:footnoteRef/>
      </w:r>
      <w:r>
        <w:t xml:space="preserve"> See William D. Whitt, “The Divorce of Yahweh and Asherah in Hos 2,4-7.12ff,” </w:t>
      </w:r>
      <w:r>
        <w:rPr>
          <w:i/>
        </w:rPr>
        <w:t>SJOT</w:t>
      </w:r>
      <w:r>
        <w:t xml:space="preserve"> 6 (1992): 31-67; and further Mari-Therese Wacker, “”traces of the Goddess in the Book of Hosea,” in </w:t>
      </w:r>
      <w:r w:rsidRPr="00DE58FD">
        <w:t xml:space="preserve">Athalya Brenner [ed.], </w:t>
      </w:r>
      <w:r w:rsidRPr="00DE58FD">
        <w:rPr>
          <w:i/>
        </w:rPr>
        <w:t>A Feminist Companion to the Latter Prophets</w:t>
      </w:r>
      <w:r w:rsidRPr="00DE58FD">
        <w:t xml:space="preserve"> [Sheffield: Sheffield Academic Press, 1995],</w:t>
      </w:r>
      <w:r>
        <w:t xml:space="preserve"> 219-41.</w:t>
      </w:r>
    </w:p>
  </w:footnote>
  <w:footnote w:id="111">
    <w:p w:rsidR="00C5566B" w:rsidRPr="00A73768" w:rsidRDefault="00C5566B">
      <w:pPr>
        <w:pStyle w:val="FootnoteText"/>
      </w:pPr>
      <w:r>
        <w:rPr>
          <w:rStyle w:val="FootnoteReference"/>
        </w:rPr>
        <w:footnoteRef/>
      </w:r>
      <w:r>
        <w:t xml:space="preserve"> See e.g., John J. Schmitt, “The Gender of Ancient Israel,” </w:t>
      </w:r>
      <w:r>
        <w:rPr>
          <w:i/>
        </w:rPr>
        <w:t>JSOT</w:t>
      </w:r>
      <w:r>
        <w:t xml:space="preserve"> 26 (1983): 115-25; “The Wife of God in Hosea 2,” </w:t>
      </w:r>
      <w:r>
        <w:rPr>
          <w:i/>
        </w:rPr>
        <w:t>Biblical Research</w:t>
      </w:r>
      <w:r>
        <w:t xml:space="preserve"> 34 (1989): 5-18; “Yahweh’s Divorce in Hosea 2,” </w:t>
      </w:r>
      <w:r>
        <w:rPr>
          <w:i/>
        </w:rPr>
        <w:t>SJOT</w:t>
      </w:r>
      <w:r>
        <w:t xml:space="preserve"> 9 (1995): 119-32.</w:t>
      </w:r>
    </w:p>
  </w:footnote>
  <w:footnote w:id="112">
    <w:p w:rsidR="00C5566B" w:rsidRPr="00C36539" w:rsidRDefault="00C5566B" w:rsidP="00756904">
      <w:pPr>
        <w:pStyle w:val="FootnoteText"/>
      </w:pPr>
      <w:r>
        <w:rPr>
          <w:rStyle w:val="FootnoteReference"/>
        </w:rPr>
        <w:footnoteRef/>
      </w:r>
      <w:r>
        <w:t xml:space="preserve"> Cf. Mark Smith, </w:t>
      </w:r>
      <w:r>
        <w:rPr>
          <w:i/>
        </w:rPr>
        <w:t xml:space="preserve">The Early History of God </w:t>
      </w:r>
      <w:r>
        <w:t>(2</w:t>
      </w:r>
      <w:r w:rsidRPr="00C36539">
        <w:rPr>
          <w:vertAlign w:val="superscript"/>
        </w:rPr>
        <w:t>nd</w:t>
      </w:r>
      <w:r>
        <w:t xml:space="preserve"> ed., Grand Rapids: Eerdmans, 2002), 79.</w:t>
      </w:r>
    </w:p>
  </w:footnote>
  <w:footnote w:id="113">
    <w:p w:rsidR="00C5566B" w:rsidRPr="0015265F" w:rsidRDefault="00C5566B">
      <w:pPr>
        <w:pStyle w:val="FootnoteText"/>
      </w:pPr>
      <w:r>
        <w:rPr>
          <w:rStyle w:val="FootnoteReference"/>
        </w:rPr>
        <w:footnoteRef/>
      </w:r>
      <w:r>
        <w:t xml:space="preserve"> So Kelle’s systematic interpretation of the section in his monograph </w:t>
      </w:r>
      <w:r>
        <w:rPr>
          <w:i/>
        </w:rPr>
        <w:t>Hosea 2</w:t>
      </w:r>
      <w:r>
        <w:t>.</w:t>
      </w:r>
    </w:p>
  </w:footnote>
  <w:footnote w:id="114">
    <w:p w:rsidR="00C5566B" w:rsidRPr="009925A9" w:rsidRDefault="00C5566B">
      <w:pPr>
        <w:pStyle w:val="FootnoteText"/>
      </w:pPr>
      <w:r>
        <w:rPr>
          <w:rStyle w:val="FootnoteReference"/>
        </w:rPr>
        <w:footnoteRef/>
      </w:r>
      <w:r>
        <w:t xml:space="preserve"> See </w:t>
      </w:r>
      <w:r w:rsidRPr="009925A9">
        <w:t xml:space="preserve">Keefe, </w:t>
      </w:r>
      <w:r w:rsidRPr="009925A9">
        <w:rPr>
          <w:i/>
        </w:rPr>
        <w:t>Woman’s Body and the Social Body in Hosea</w:t>
      </w:r>
      <w:r>
        <w:t>, esp. 122-39.</w:t>
      </w:r>
    </w:p>
  </w:footnote>
  <w:footnote w:id="115">
    <w:p w:rsidR="00C5566B" w:rsidRPr="00105067" w:rsidRDefault="00C5566B">
      <w:pPr>
        <w:pStyle w:val="FootnoteText"/>
      </w:pPr>
      <w:r>
        <w:rPr>
          <w:rStyle w:val="FootnoteReference"/>
        </w:rPr>
        <w:footnoteRef/>
      </w:r>
      <w:r>
        <w:t xml:space="preserve"> Landy, </w:t>
      </w:r>
      <w:r>
        <w:rPr>
          <w:i/>
        </w:rPr>
        <w:t>Hosea</w:t>
      </w:r>
      <w:r>
        <w:t xml:space="preserve">, 36; he continues with more comparisons and contrasts. </w:t>
      </w:r>
    </w:p>
  </w:footnote>
  <w:footnote w:id="116">
    <w:p w:rsidR="00C5566B" w:rsidRPr="00150F36" w:rsidRDefault="00C5566B">
      <w:pPr>
        <w:pStyle w:val="FootnoteText"/>
      </w:pPr>
      <w:r>
        <w:rPr>
          <w:rStyle w:val="FootnoteReference"/>
        </w:rPr>
        <w:footnoteRef/>
      </w:r>
      <w:r>
        <w:t xml:space="preserve"> Cf. Yee, </w:t>
      </w:r>
      <w:r>
        <w:rPr>
          <w:i/>
        </w:rPr>
        <w:t xml:space="preserve">Poor Banished </w:t>
      </w:r>
      <w:r w:rsidRPr="00D42F47">
        <w:rPr>
          <w:i/>
        </w:rPr>
        <w:t>Chi</w:t>
      </w:r>
      <w:r>
        <w:rPr>
          <w:i/>
        </w:rPr>
        <w:t>ld</w:t>
      </w:r>
      <w:r w:rsidRPr="00D42F47">
        <w:rPr>
          <w:i/>
        </w:rPr>
        <w:t>ren</w:t>
      </w:r>
      <w:r>
        <w:rPr>
          <w:i/>
        </w:rPr>
        <w:t xml:space="preserve"> of Eve</w:t>
      </w:r>
      <w:r>
        <w:t xml:space="preserve">, 84; further </w:t>
      </w:r>
      <w:r w:rsidRPr="00150F36">
        <w:t xml:space="preserve">Keefe, </w:t>
      </w:r>
      <w:r w:rsidRPr="00150F36">
        <w:rPr>
          <w:i/>
        </w:rPr>
        <w:t>Woman’s Body and the Social Body in Hosea</w:t>
      </w:r>
      <w:r>
        <w:t>, 197-200.</w:t>
      </w:r>
    </w:p>
  </w:footnote>
  <w:footnote w:id="117">
    <w:p w:rsidR="00C5566B" w:rsidRDefault="00C5566B">
      <w:pPr>
        <w:pStyle w:val="FootnoteText"/>
      </w:pPr>
      <w:r>
        <w:rPr>
          <w:rStyle w:val="FootnoteReference"/>
        </w:rPr>
        <w:footnoteRef/>
      </w:r>
      <w:r>
        <w:t xml:space="preserve"> See further Saul M. Olyan,”‘In the Sight of Her Lovers’: On the Interpretation of nablût in Hos 2,12,” </w:t>
      </w:r>
      <w:r>
        <w:rPr>
          <w:rStyle w:val="Emphasis"/>
        </w:rPr>
        <w:t>BZ</w:t>
      </w:r>
      <w:r>
        <w:t xml:space="preserve"> 36 (1992): 255-61.</w:t>
      </w:r>
    </w:p>
  </w:footnote>
  <w:footnote w:id="118">
    <w:p w:rsidR="00C5566B" w:rsidRPr="007F327D" w:rsidRDefault="00C5566B">
      <w:pPr>
        <w:pStyle w:val="FootnoteText"/>
      </w:pPr>
      <w:r>
        <w:rPr>
          <w:rStyle w:val="FootnoteReference"/>
        </w:rPr>
        <w:footnoteRef/>
      </w:r>
      <w:r>
        <w:t xml:space="preserve"> See Andersen/Freedman, </w:t>
      </w:r>
      <w:r>
        <w:rPr>
          <w:i/>
        </w:rPr>
        <w:t>Hosea</w:t>
      </w:r>
      <w:r>
        <w:t>, 249-50.</w:t>
      </w:r>
    </w:p>
  </w:footnote>
  <w:footnote w:id="119">
    <w:p w:rsidR="00C5566B" w:rsidRPr="007F327D" w:rsidRDefault="00C5566B" w:rsidP="001C37E1">
      <w:pPr>
        <w:pStyle w:val="FootnoteText"/>
      </w:pPr>
      <w:r>
        <w:rPr>
          <w:rStyle w:val="FootnoteReference"/>
        </w:rPr>
        <w:footnoteRef/>
      </w:r>
      <w:r>
        <w:t xml:space="preserve"> See Andersen/Freedman, </w:t>
      </w:r>
      <w:r>
        <w:rPr>
          <w:i/>
        </w:rPr>
        <w:t>Hosea</w:t>
      </w:r>
      <w:r>
        <w:t>, 250.</w:t>
      </w:r>
    </w:p>
  </w:footnote>
  <w:footnote w:id="120">
    <w:p w:rsidR="00C5566B" w:rsidRPr="00AA1FD4" w:rsidRDefault="00C5566B">
      <w:pPr>
        <w:pStyle w:val="FootnoteText"/>
      </w:pPr>
      <w:r>
        <w:rPr>
          <w:rStyle w:val="FootnoteReference"/>
        </w:rPr>
        <w:footnoteRef/>
      </w:r>
      <w:r>
        <w:t xml:space="preserve"> Cf. Landy, </w:t>
      </w:r>
      <w:r>
        <w:rPr>
          <w:i/>
        </w:rPr>
        <w:t>Hosea</w:t>
      </w:r>
      <w:r>
        <w:t>, 43.</w:t>
      </w:r>
    </w:p>
  </w:footnote>
  <w:footnote w:id="121">
    <w:p w:rsidR="00C5566B" w:rsidRPr="00CA579D" w:rsidRDefault="00C5566B" w:rsidP="00B561B9">
      <w:pPr>
        <w:pStyle w:val="FootnoteText"/>
      </w:pPr>
      <w:r>
        <w:rPr>
          <w:rStyle w:val="FootnoteReference"/>
        </w:rPr>
        <w:footnoteRef/>
      </w:r>
      <w:r>
        <w:t xml:space="preserve"> Cf. Sweeney, </w:t>
      </w:r>
      <w:r>
        <w:rPr>
          <w:i/>
        </w:rPr>
        <w:t>Twelve Prophets</w:t>
      </w:r>
      <w:r>
        <w:t xml:space="preserve"> 1:32.</w:t>
      </w:r>
    </w:p>
  </w:footnote>
  <w:footnote w:id="122">
    <w:p w:rsidR="00C5566B" w:rsidRPr="005D1605" w:rsidRDefault="00C5566B" w:rsidP="005D1605">
      <w:pPr>
        <w:pStyle w:val="FootnoteText"/>
      </w:pPr>
      <w:r>
        <w:rPr>
          <w:rStyle w:val="FootnoteReference"/>
        </w:rPr>
        <w:footnoteRef/>
      </w:r>
      <w:r>
        <w:t xml:space="preserve"> Cf. Kruger</w:t>
      </w:r>
      <w:r w:rsidRPr="005D1605">
        <w:t>, “</w:t>
      </w:r>
      <w:r>
        <w:rPr>
          <w:rFonts w:eastAsiaTheme="minorHAnsi" w:cs="Times New Roman"/>
        </w:rPr>
        <w:t>The Marriage M</w:t>
      </w:r>
      <w:r w:rsidRPr="005D1605">
        <w:rPr>
          <w:rFonts w:eastAsiaTheme="minorHAnsi" w:cs="Times New Roman"/>
        </w:rPr>
        <w:t>eta</w:t>
      </w:r>
      <w:r>
        <w:rPr>
          <w:rFonts w:eastAsiaTheme="minorHAnsi" w:cs="Times New Roman"/>
        </w:rPr>
        <w:t>phor in Hosea 2:4-17,” 8.</w:t>
      </w:r>
    </w:p>
  </w:footnote>
  <w:footnote w:id="123">
    <w:p w:rsidR="00C5566B" w:rsidRPr="004C610F" w:rsidRDefault="00C5566B" w:rsidP="005D1605">
      <w:pPr>
        <w:pStyle w:val="FootnoteText"/>
        <w:tabs>
          <w:tab w:val="left" w:pos="4260"/>
        </w:tabs>
      </w:pPr>
      <w:r>
        <w:rPr>
          <w:rStyle w:val="FootnoteReference"/>
        </w:rPr>
        <w:footnoteRef/>
      </w:r>
      <w:r>
        <w:t xml:space="preserve"> Calvin, </w:t>
      </w:r>
      <w:r w:rsidRPr="009C2C74">
        <w:rPr>
          <w:i/>
        </w:rPr>
        <w:t>Minor Prophets</w:t>
      </w:r>
      <w:r w:rsidRPr="009C2C74">
        <w:t xml:space="preserve"> 1:</w:t>
      </w:r>
      <w:r>
        <w:t>99.</w:t>
      </w:r>
      <w:r>
        <w:tab/>
      </w:r>
    </w:p>
  </w:footnote>
  <w:footnote w:id="124">
    <w:p w:rsidR="00C5566B" w:rsidRPr="00751B55" w:rsidRDefault="00C5566B">
      <w:pPr>
        <w:pStyle w:val="FootnoteText"/>
      </w:pPr>
      <w:r>
        <w:rPr>
          <w:rStyle w:val="FootnoteReference"/>
        </w:rPr>
        <w:footnoteRef/>
      </w:r>
      <w:r>
        <w:t xml:space="preserve"> See David J. A. Clines, “Hosea 2,” in </w:t>
      </w:r>
      <w:r>
        <w:rPr>
          <w:i/>
        </w:rPr>
        <w:t>On the Way</w:t>
      </w:r>
      <w:r>
        <w:t xml:space="preserve"> </w:t>
      </w:r>
      <w:r w:rsidRPr="001C23B9">
        <w:rPr>
          <w:i/>
        </w:rPr>
        <w:t>to the Postmodern</w:t>
      </w:r>
      <w:r>
        <w:t xml:space="preserve"> (Sheffield: Sheffield Academic Press, 1998), 1:293-313 (297-98).</w:t>
      </w:r>
    </w:p>
  </w:footnote>
  <w:footnote w:id="125">
    <w:p w:rsidR="00C5566B" w:rsidRPr="00047C0C" w:rsidRDefault="00C5566B">
      <w:pPr>
        <w:pStyle w:val="FootnoteText"/>
      </w:pPr>
      <w:r>
        <w:rPr>
          <w:rStyle w:val="FootnoteReference"/>
        </w:rPr>
        <w:footnoteRef/>
      </w:r>
      <w:r>
        <w:t xml:space="preserve"> </w:t>
      </w:r>
      <w:r w:rsidRPr="00047C0C">
        <w:t xml:space="preserve">Cf. </w:t>
      </w:r>
      <w:r w:rsidRPr="00047C0C">
        <w:rPr>
          <w:rFonts w:eastAsiaTheme="minorHAnsi" w:cs="TimesNewRomanPS-BoldMT"/>
          <w:bCs/>
          <w:lang w:bidi="he-IL"/>
        </w:rPr>
        <w:t>Erasmus Gass, “</w:t>
      </w:r>
      <w:r w:rsidRPr="00047C0C">
        <w:rPr>
          <w:rFonts w:eastAsiaTheme="minorHAnsi" w:cs="Times New Roman"/>
          <w:bCs/>
        </w:rPr>
        <w:t xml:space="preserve">Hosea zwischen Tradition und Innovation am Beispiel von Hos 2,16 f,” </w:t>
      </w:r>
      <w:r w:rsidRPr="00047C0C">
        <w:rPr>
          <w:rFonts w:eastAsiaTheme="minorHAnsi" w:cs="Times New Roman"/>
          <w:bCs/>
          <w:i/>
        </w:rPr>
        <w:t xml:space="preserve">ZAW </w:t>
      </w:r>
      <w:r w:rsidRPr="00047C0C">
        <w:rPr>
          <w:rFonts w:eastAsia="Calibri" w:cs="Times New Roman"/>
        </w:rPr>
        <w:t>122 (2010): 169-184.</w:t>
      </w:r>
    </w:p>
  </w:footnote>
  <w:footnote w:id="126">
    <w:p w:rsidR="00C5566B" w:rsidRPr="00F318C6" w:rsidRDefault="00C5566B" w:rsidP="00021F56">
      <w:pPr>
        <w:pStyle w:val="FootnoteText"/>
      </w:pPr>
      <w:r>
        <w:rPr>
          <w:rStyle w:val="FootnoteReference"/>
        </w:rPr>
        <w:footnoteRef/>
      </w:r>
      <w:r>
        <w:t xml:space="preserve"> So Sherwood, </w:t>
      </w:r>
      <w:r>
        <w:rPr>
          <w:i/>
        </w:rPr>
        <w:t>The Prostitute and the Prophet</w:t>
      </w:r>
      <w:r>
        <w:t xml:space="preserve">, 207-14. Matthew W. Mitchell comments, “This book deconstructs itself in terms of everything from its imagery to its logic” (“Hosea 1—2 and the Search for Unity,” </w:t>
      </w:r>
      <w:r>
        <w:rPr>
          <w:i/>
        </w:rPr>
        <w:t xml:space="preserve">JSOT </w:t>
      </w:r>
      <w:r>
        <w:t>29 [2004] 115-27 [127]).</w:t>
      </w:r>
    </w:p>
  </w:footnote>
  <w:footnote w:id="127">
    <w:p w:rsidR="00C5566B" w:rsidRDefault="00C5566B">
      <w:pPr>
        <w:pStyle w:val="FootnoteText"/>
      </w:pPr>
      <w:r>
        <w:rPr>
          <w:rStyle w:val="FootnoteReference"/>
        </w:rPr>
        <w:footnoteRef/>
      </w:r>
      <w:r>
        <w:t xml:space="preserve"> The first time, if one follows LXX in v. 6 (cf. Clines, “Hosea 2,” 302).</w:t>
      </w:r>
    </w:p>
  </w:footnote>
  <w:footnote w:id="128">
    <w:p w:rsidR="00C5566B" w:rsidRPr="001D75A0" w:rsidRDefault="00C5566B">
      <w:pPr>
        <w:pStyle w:val="FootnoteText"/>
      </w:pPr>
      <w:r>
        <w:rPr>
          <w:rStyle w:val="FootnoteReference"/>
        </w:rPr>
        <w:footnoteRef/>
      </w:r>
      <w:r>
        <w:t xml:space="preserve"> Cf. Mordechai A. Friedman, “Israel’s Response in Hosea 2:17b,” </w:t>
      </w:r>
      <w:r>
        <w:rPr>
          <w:i/>
        </w:rPr>
        <w:t>JBL</w:t>
      </w:r>
      <w:r>
        <w:t xml:space="preserve"> 99 (1980): 199-204.</w:t>
      </w:r>
    </w:p>
  </w:footnote>
  <w:footnote w:id="129">
    <w:p w:rsidR="00C5566B" w:rsidRPr="00053518" w:rsidRDefault="00C5566B">
      <w:pPr>
        <w:pStyle w:val="FootnoteText"/>
      </w:pPr>
      <w:r>
        <w:rPr>
          <w:rStyle w:val="FootnoteReference"/>
        </w:rPr>
        <w:footnoteRef/>
      </w:r>
      <w:r>
        <w:t xml:space="preserve"> Cf. Richtsje Abma, </w:t>
      </w:r>
      <w:r>
        <w:rPr>
          <w:i/>
        </w:rPr>
        <w:t>Bonds of Love</w:t>
      </w:r>
      <w:r>
        <w:t xml:space="preserve"> (Assen: Van Gorcum, 1999), 195.</w:t>
      </w:r>
    </w:p>
  </w:footnote>
  <w:footnote w:id="130">
    <w:p w:rsidR="00C5566B" w:rsidRPr="00D733C0" w:rsidRDefault="00C5566B">
      <w:pPr>
        <w:pStyle w:val="FootnoteText"/>
      </w:pPr>
      <w:r>
        <w:rPr>
          <w:rStyle w:val="FootnoteReference"/>
        </w:rPr>
        <w:footnoteRef/>
      </w:r>
      <w:r>
        <w:t xml:space="preserve"> Calvin, </w:t>
      </w:r>
      <w:r w:rsidRPr="009C2C74">
        <w:rPr>
          <w:i/>
        </w:rPr>
        <w:t>Minor Prophets</w:t>
      </w:r>
      <w:r w:rsidRPr="009C2C74">
        <w:t xml:space="preserve"> 1:</w:t>
      </w:r>
      <w:r>
        <w:t>110.</w:t>
      </w:r>
    </w:p>
  </w:footnote>
  <w:footnote w:id="131">
    <w:p w:rsidR="00C5566B" w:rsidRPr="004577BF" w:rsidRDefault="00C5566B">
      <w:pPr>
        <w:pStyle w:val="FootnoteText"/>
      </w:pPr>
      <w:r>
        <w:rPr>
          <w:rStyle w:val="FootnoteReference"/>
        </w:rPr>
        <w:footnoteRef/>
      </w:r>
      <w:r>
        <w:t xml:space="preserve"> So perhaps “wed” is better than “betroth” (Kelle, </w:t>
      </w:r>
      <w:r>
        <w:rPr>
          <w:i/>
        </w:rPr>
        <w:t>Hosea 2</w:t>
      </w:r>
      <w:r>
        <w:t xml:space="preserve">, 277-78). </w:t>
      </w:r>
    </w:p>
  </w:footnote>
  <w:footnote w:id="132">
    <w:p w:rsidR="00C5566B" w:rsidRPr="007456E4" w:rsidRDefault="00C5566B" w:rsidP="007456E4">
      <w:pPr>
        <w:pStyle w:val="FootnoteText"/>
        <w:rPr>
          <w:i/>
        </w:rPr>
      </w:pPr>
      <w:r>
        <w:rPr>
          <w:rStyle w:val="FootnoteReference"/>
        </w:rPr>
        <w:footnoteRef/>
      </w:r>
      <w:r>
        <w:t xml:space="preserve"> </w:t>
      </w:r>
      <w:r w:rsidRPr="007456E4">
        <w:rPr>
          <w:rFonts w:eastAsiaTheme="minorHAnsi" w:cs="OpenSans"/>
        </w:rPr>
        <w:t xml:space="preserve">Allan Rosengren, “Knowledge of God according to Hosea the Ripper,” </w:t>
      </w:r>
      <w:r>
        <w:rPr>
          <w:rFonts w:eastAsiaTheme="minorHAnsi" w:cs="OpenSans"/>
          <w:i/>
        </w:rPr>
        <w:t>SJOT</w:t>
      </w:r>
      <w:r w:rsidRPr="007456E4">
        <w:rPr>
          <w:rFonts w:eastAsiaTheme="minorHAnsi" w:cs="OpenSans"/>
        </w:rPr>
        <w:t xml:space="preserve"> 23 (2009):122-126 (122).</w:t>
      </w:r>
    </w:p>
  </w:footnote>
  <w:footnote w:id="133">
    <w:p w:rsidR="00C5566B" w:rsidRPr="00D733C0" w:rsidRDefault="00C5566B">
      <w:pPr>
        <w:pStyle w:val="FootnoteText"/>
      </w:pPr>
      <w:r>
        <w:rPr>
          <w:rStyle w:val="FootnoteReference"/>
        </w:rPr>
        <w:footnoteRef/>
      </w:r>
      <w:r>
        <w:t xml:space="preserve"> Cf. Calvin, </w:t>
      </w:r>
      <w:r w:rsidRPr="009C2C74">
        <w:rPr>
          <w:i/>
        </w:rPr>
        <w:t>Minor Prophets</w:t>
      </w:r>
      <w:r w:rsidRPr="009C2C74">
        <w:t xml:space="preserve"> 1:</w:t>
      </w:r>
      <w:r>
        <w:t>112-14.</w:t>
      </w:r>
    </w:p>
  </w:footnote>
  <w:footnote w:id="134">
    <w:p w:rsidR="00C5566B" w:rsidRPr="00AA1FD4" w:rsidRDefault="00C5566B">
      <w:pPr>
        <w:pStyle w:val="FootnoteText"/>
      </w:pPr>
      <w:r>
        <w:rPr>
          <w:rStyle w:val="FootnoteReference"/>
        </w:rPr>
        <w:footnoteRef/>
      </w:r>
      <w:r>
        <w:t xml:space="preserve"> Cf. Landy, </w:t>
      </w:r>
      <w:r>
        <w:rPr>
          <w:i/>
        </w:rPr>
        <w:t>Hosea</w:t>
      </w:r>
      <w:r>
        <w:t>, 44.</w:t>
      </w:r>
    </w:p>
  </w:footnote>
  <w:footnote w:id="135">
    <w:p w:rsidR="00C5566B" w:rsidRPr="00D45EE7" w:rsidRDefault="00C5566B">
      <w:pPr>
        <w:pStyle w:val="FootnoteText"/>
      </w:pPr>
      <w:r>
        <w:rPr>
          <w:rStyle w:val="FootnoteReference"/>
        </w:rPr>
        <w:footnoteRef/>
      </w:r>
      <w:r>
        <w:t xml:space="preserve"> Lim/Castelo, </w:t>
      </w:r>
      <w:r>
        <w:rPr>
          <w:i/>
        </w:rPr>
        <w:t>Hosea</w:t>
      </w:r>
      <w:r>
        <w:t>, 22-26.</w:t>
      </w:r>
    </w:p>
  </w:footnote>
  <w:footnote w:id="136">
    <w:p w:rsidR="00C5566B" w:rsidRPr="00F42051" w:rsidRDefault="00C5566B" w:rsidP="00EC3323">
      <w:pPr>
        <w:pStyle w:val="FootnoteText"/>
      </w:pPr>
      <w:r>
        <w:rPr>
          <w:rStyle w:val="FootnoteReference"/>
        </w:rPr>
        <w:footnoteRef/>
      </w:r>
      <w:r>
        <w:t xml:space="preserve"> Theodore, </w:t>
      </w:r>
      <w:r w:rsidRPr="00F42051">
        <w:rPr>
          <w:i/>
        </w:rPr>
        <w:t>Twelve Prophets</w:t>
      </w:r>
      <w:r>
        <w:t>, 49.</w:t>
      </w:r>
    </w:p>
  </w:footnote>
  <w:footnote w:id="137">
    <w:p w:rsidR="00C5566B" w:rsidRPr="00B027F6" w:rsidRDefault="00C5566B" w:rsidP="00F13519">
      <w:pPr>
        <w:pStyle w:val="FootnoteText"/>
      </w:pPr>
      <w:r>
        <w:rPr>
          <w:rStyle w:val="FootnoteReference"/>
        </w:rPr>
        <w:footnoteRef/>
      </w:r>
      <w:r>
        <w:t xml:space="preserve"> Barth, </w:t>
      </w:r>
      <w:r>
        <w:rPr>
          <w:i/>
        </w:rPr>
        <w:t>CD</w:t>
      </w:r>
      <w:r>
        <w:t xml:space="preserve"> IV, 2:762.</w:t>
      </w:r>
    </w:p>
  </w:footnote>
  <w:footnote w:id="138">
    <w:p w:rsidR="00C5566B" w:rsidRPr="00191217" w:rsidRDefault="00C5566B" w:rsidP="00191217">
      <w:pPr>
        <w:pStyle w:val="FootnoteText"/>
      </w:pPr>
      <w:r>
        <w:rPr>
          <w:rStyle w:val="FootnoteReference"/>
        </w:rPr>
        <w:footnoteRef/>
      </w:r>
      <w:r>
        <w:t xml:space="preserve"> Landy, </w:t>
      </w:r>
      <w:r>
        <w:rPr>
          <w:i/>
        </w:rPr>
        <w:t>Hosea</w:t>
      </w:r>
      <w:r>
        <w:t>, 23.</w:t>
      </w:r>
    </w:p>
  </w:footnote>
  <w:footnote w:id="139">
    <w:p w:rsidR="00C5566B" w:rsidRPr="001D75A0" w:rsidRDefault="00C5566B" w:rsidP="00976476">
      <w:pPr>
        <w:pStyle w:val="FootnoteText"/>
      </w:pPr>
      <w:r>
        <w:rPr>
          <w:rStyle w:val="FootnoteReference"/>
        </w:rPr>
        <w:footnoteRef/>
      </w:r>
      <w:r>
        <w:t xml:space="preserve"> Weems, “Gomer,” 101, quoting from </w:t>
      </w:r>
      <w:r>
        <w:rPr>
          <w:bCs/>
        </w:rPr>
        <w:t>Sallie Mc</w:t>
      </w:r>
      <w:r w:rsidRPr="00976476">
        <w:rPr>
          <w:bCs/>
        </w:rPr>
        <w:t>Fague</w:t>
      </w:r>
      <w:r>
        <w:rPr>
          <w:bCs/>
        </w:rPr>
        <w:t xml:space="preserve">, </w:t>
      </w:r>
      <w:r>
        <w:rPr>
          <w:bCs/>
          <w:i/>
        </w:rPr>
        <w:t xml:space="preserve">Metaphorical Theology </w:t>
      </w:r>
      <w:r>
        <w:rPr>
          <w:bCs/>
        </w:rPr>
        <w:t>(Philadelphia: Fortress, 1982), 127</w:t>
      </w:r>
      <w:r w:rsidRPr="00976476">
        <w:rPr>
          <w:bCs/>
        </w:rPr>
        <w:t>.</w:t>
      </w:r>
    </w:p>
  </w:footnote>
  <w:footnote w:id="140">
    <w:p w:rsidR="00C5566B" w:rsidRPr="00C60F4B" w:rsidRDefault="00C5566B" w:rsidP="00EC3323">
      <w:pPr>
        <w:pStyle w:val="FootnoteText"/>
      </w:pPr>
      <w:r>
        <w:rPr>
          <w:rStyle w:val="FootnoteReference"/>
        </w:rPr>
        <w:footnoteRef/>
      </w:r>
      <w:r>
        <w:t xml:space="preserve"> Theodoret, </w:t>
      </w:r>
      <w:r>
        <w:rPr>
          <w:i/>
        </w:rPr>
        <w:t>Twelve Prophets</w:t>
      </w:r>
      <w:r>
        <w:t>, 44.</w:t>
      </w:r>
    </w:p>
  </w:footnote>
  <w:footnote w:id="141">
    <w:p w:rsidR="00C5566B" w:rsidRPr="001D75A0" w:rsidRDefault="00C5566B" w:rsidP="00976476">
      <w:pPr>
        <w:pStyle w:val="FootnoteText"/>
      </w:pPr>
      <w:r>
        <w:rPr>
          <w:rStyle w:val="FootnoteReference"/>
        </w:rPr>
        <w:footnoteRef/>
      </w:r>
      <w:r>
        <w:t xml:space="preserve"> Weems, “Gomer,” 89.</w:t>
      </w:r>
    </w:p>
  </w:footnote>
  <w:footnote w:id="142">
    <w:p w:rsidR="00C5566B" w:rsidRPr="00B067FE" w:rsidRDefault="00C5566B" w:rsidP="00CA706B">
      <w:pPr>
        <w:pStyle w:val="FootnoteText"/>
      </w:pPr>
      <w:r>
        <w:rPr>
          <w:rStyle w:val="FootnoteReference"/>
        </w:rPr>
        <w:footnoteRef/>
      </w:r>
      <w:r>
        <w:t xml:space="preserve"> See Weems, “Gomer,” 101; cf. Weems, </w:t>
      </w:r>
      <w:r>
        <w:rPr>
          <w:i/>
        </w:rPr>
        <w:t>Battered Love</w:t>
      </w:r>
      <w:r>
        <w:t xml:space="preserve"> (Minneapolis: Fortress, 1995); </w:t>
      </w:r>
      <w:r w:rsidRPr="00EC3323">
        <w:t xml:space="preserve">Yee, </w:t>
      </w:r>
      <w:r w:rsidRPr="00EC3323">
        <w:rPr>
          <w:i/>
        </w:rPr>
        <w:t>Poor Banished Children of Eve</w:t>
      </w:r>
      <w:r>
        <w:t xml:space="preserve">; Rut Törnkvist, </w:t>
      </w:r>
      <w:r>
        <w:rPr>
          <w:i/>
        </w:rPr>
        <w:t>The Use and Abuse of Female Sexual Imagery in the Book of Hosea</w:t>
      </w:r>
      <w:r>
        <w:t xml:space="preserve"> (Uppsala: Uppsala University Library, 1998).</w:t>
      </w:r>
    </w:p>
  </w:footnote>
  <w:footnote w:id="143">
    <w:p w:rsidR="00C5566B" w:rsidRPr="002F5177" w:rsidRDefault="00C5566B" w:rsidP="00CA706B">
      <w:pPr>
        <w:pStyle w:val="FootnoteText"/>
      </w:pPr>
      <w:r>
        <w:rPr>
          <w:rStyle w:val="FootnoteReference"/>
        </w:rPr>
        <w:footnoteRef/>
      </w:r>
      <w:r>
        <w:t xml:space="preserve"> Cf. Helgard Balz-Cochois, “Gomer oder die Macht der Astarte, </w:t>
      </w:r>
      <w:r>
        <w:rPr>
          <w:i/>
        </w:rPr>
        <w:t>Evangelische Theologie</w:t>
      </w:r>
      <w:r>
        <w:t xml:space="preserve"> 42 (1982): 37-65 (60-63). See further </w:t>
      </w:r>
      <w:r w:rsidRPr="002F5177">
        <w:t>Balz-Cochois</w:t>
      </w:r>
      <w:r>
        <w:t xml:space="preserve">, </w:t>
      </w:r>
      <w:r>
        <w:rPr>
          <w:i/>
        </w:rPr>
        <w:t>Gomer</w:t>
      </w:r>
      <w:r>
        <w:t xml:space="preserve"> (Frankfurt: Lang, 1982).</w:t>
      </w:r>
    </w:p>
  </w:footnote>
  <w:footnote w:id="144">
    <w:p w:rsidR="00C5566B" w:rsidRPr="00D733C0" w:rsidRDefault="00C5566B" w:rsidP="00976476">
      <w:pPr>
        <w:pStyle w:val="FootnoteText"/>
      </w:pPr>
      <w:r>
        <w:rPr>
          <w:rStyle w:val="FootnoteReference"/>
        </w:rPr>
        <w:footnoteRef/>
      </w:r>
      <w:r>
        <w:t xml:space="preserve"> Calvin, </w:t>
      </w:r>
      <w:r w:rsidRPr="009C2C74">
        <w:rPr>
          <w:i/>
        </w:rPr>
        <w:t>Minor Prophets</w:t>
      </w:r>
      <w:r w:rsidRPr="009C2C74">
        <w:t xml:space="preserve"> 1:</w:t>
      </w:r>
      <w:r>
        <w:t>118.</w:t>
      </w:r>
    </w:p>
  </w:footnote>
  <w:footnote w:id="145">
    <w:p w:rsidR="00C5566B" w:rsidRPr="004E4290" w:rsidRDefault="00C5566B">
      <w:pPr>
        <w:pStyle w:val="FootnoteText"/>
      </w:pPr>
      <w:r>
        <w:rPr>
          <w:rStyle w:val="FootnoteReference"/>
        </w:rPr>
        <w:footnoteRef/>
      </w:r>
      <w:r>
        <w:t xml:space="preserve"> Richard Whitekettle, “</w:t>
      </w:r>
      <w:r w:rsidRPr="004E4290">
        <w:rPr>
          <w:rFonts w:eastAsiaTheme="minorHAnsi" w:cs="TimesNewRomanPS-BoldMT"/>
          <w:bCs/>
        </w:rPr>
        <w:t>Freedom from Fear and Bloodshed</w:t>
      </w:r>
      <w:r>
        <w:rPr>
          <w:rFonts w:eastAsiaTheme="minorHAnsi" w:cs="TimesNewRomanPS-BoldMT"/>
          <w:bCs/>
        </w:rPr>
        <w:t xml:space="preserve">,” </w:t>
      </w:r>
      <w:r>
        <w:rPr>
          <w:rFonts w:eastAsiaTheme="minorHAnsi" w:cs="TimesNewRomanPS-BoldMT"/>
          <w:bCs/>
          <w:i/>
        </w:rPr>
        <w:t>JSOT</w:t>
      </w:r>
      <w:r>
        <w:rPr>
          <w:rFonts w:eastAsiaTheme="minorHAnsi" w:cs="TimesNewRomanPS-BoldMT"/>
          <w:bCs/>
        </w:rPr>
        <w:t xml:space="preserve"> 37 (2012): 219-36.</w:t>
      </w:r>
    </w:p>
  </w:footnote>
  <w:footnote w:id="146">
    <w:p w:rsidR="00C5566B" w:rsidRPr="0013055E" w:rsidRDefault="00C5566B" w:rsidP="006044B7">
      <w:pPr>
        <w:pStyle w:val="FootnoteText"/>
      </w:pPr>
      <w:r>
        <w:rPr>
          <w:rStyle w:val="FootnoteReference"/>
        </w:rPr>
        <w:footnoteRef/>
      </w:r>
      <w:r>
        <w:t xml:space="preserve"> James D. G. Dunn, </w:t>
      </w:r>
      <w:r>
        <w:rPr>
          <w:i/>
        </w:rPr>
        <w:t xml:space="preserve">Romans </w:t>
      </w:r>
      <w:r>
        <w:t xml:space="preserve">(Dallas: Word, 1988) 2:575; cf. Steve Moyise, “The Minor Prophets in Paul,” in Menken and Moyise (eds.), </w:t>
      </w:r>
      <w:r>
        <w:rPr>
          <w:i/>
        </w:rPr>
        <w:t>Minor Prophets</w:t>
      </w:r>
      <w:r>
        <w:t>, 97-114 (106).</w:t>
      </w:r>
    </w:p>
  </w:footnote>
  <w:footnote w:id="147">
    <w:p w:rsidR="00C5566B" w:rsidRDefault="00C5566B" w:rsidP="006044B7">
      <w:pPr>
        <w:pStyle w:val="FootnoteText"/>
      </w:pPr>
      <w:r>
        <w:rPr>
          <w:rStyle w:val="FootnoteReference"/>
        </w:rPr>
        <w:footnoteRef/>
      </w:r>
      <w:r>
        <w:t xml:space="preserve"> From the greater to the lesser.</w:t>
      </w:r>
    </w:p>
  </w:footnote>
  <w:footnote w:id="148">
    <w:p w:rsidR="00C5566B" w:rsidRPr="00887ADE" w:rsidRDefault="00C5566B" w:rsidP="006044B7">
      <w:pPr>
        <w:pStyle w:val="FootnoteText"/>
      </w:pPr>
      <w:r>
        <w:rPr>
          <w:rStyle w:val="FootnoteReference"/>
        </w:rPr>
        <w:footnoteRef/>
      </w:r>
      <w:r>
        <w:t xml:space="preserve"> Barth, </w:t>
      </w:r>
      <w:r>
        <w:rPr>
          <w:i/>
        </w:rPr>
        <w:t>CD</w:t>
      </w:r>
      <w:r>
        <w:t xml:space="preserve"> II, 2:231.</w:t>
      </w:r>
    </w:p>
  </w:footnote>
  <w:footnote w:id="149">
    <w:p w:rsidR="00C5566B" w:rsidRPr="00214176" w:rsidRDefault="00C5566B">
      <w:pPr>
        <w:pStyle w:val="FootnoteText"/>
      </w:pPr>
      <w:r>
        <w:rPr>
          <w:rStyle w:val="FootnoteReference"/>
        </w:rPr>
        <w:footnoteRef/>
      </w:r>
      <w:r>
        <w:t xml:space="preserve"> Taking </w:t>
      </w:r>
      <w:r>
        <w:rPr>
          <w:i/>
        </w:rPr>
        <w:t>‘ôd</w:t>
      </w:r>
      <w:r>
        <w:t xml:space="preserve"> with the word it follows, in keeping with the Masoretic accents and with usual practice.</w:t>
      </w:r>
    </w:p>
  </w:footnote>
  <w:footnote w:id="150">
    <w:p w:rsidR="00C5566B" w:rsidRPr="00C06A46" w:rsidRDefault="00C5566B">
      <w:pPr>
        <w:pStyle w:val="FootnoteText"/>
      </w:pPr>
      <w:r>
        <w:rPr>
          <w:rStyle w:val="FootnoteReference"/>
        </w:rPr>
        <w:footnoteRef/>
      </w:r>
      <w:r>
        <w:t xml:space="preserve"> LXX “loving” may imply </w:t>
      </w:r>
      <w:r>
        <w:rPr>
          <w:i/>
        </w:rPr>
        <w:t>’ōhebet</w:t>
      </w:r>
      <w:r>
        <w:t xml:space="preserve"> for MT </w:t>
      </w:r>
      <w:r>
        <w:rPr>
          <w:i/>
        </w:rPr>
        <w:t>’ăhubat</w:t>
      </w:r>
      <w:r>
        <w:t xml:space="preserve"> but may simply presuppose the passive participle’s capacity for an active meaning (cf. English expressions such as “I am minded”). </w:t>
      </w:r>
    </w:p>
  </w:footnote>
  <w:footnote w:id="151">
    <w:p w:rsidR="00C5566B" w:rsidRPr="00253517" w:rsidRDefault="00C5566B">
      <w:pPr>
        <w:pStyle w:val="FootnoteText"/>
      </w:pPr>
      <w:r>
        <w:rPr>
          <w:rStyle w:val="FootnoteReference"/>
        </w:rPr>
        <w:footnoteRef/>
      </w:r>
      <w:r>
        <w:t xml:space="preserve"> F</w:t>
      </w:r>
      <w:r w:rsidRPr="00183264">
        <w:t xml:space="preserve">or MT </w:t>
      </w:r>
      <w:r w:rsidRPr="00183264">
        <w:rPr>
          <w:i/>
        </w:rPr>
        <w:t>rēa‘</w:t>
      </w:r>
      <w:r w:rsidRPr="00183264">
        <w:t>.</w:t>
      </w:r>
      <w:r>
        <w:t xml:space="preserve">LXX implies </w:t>
      </w:r>
      <w:r>
        <w:rPr>
          <w:i/>
        </w:rPr>
        <w:t>ra‘</w:t>
      </w:r>
      <w:r>
        <w:t xml:space="preserve"> “what is bad.” Tg understands the neighbor to be “her husband,” which implies that she is already Hosea’s wife who has then committed adultery.</w:t>
      </w:r>
    </w:p>
  </w:footnote>
  <w:footnote w:id="152">
    <w:p w:rsidR="00C5566B" w:rsidRPr="00EB36D2" w:rsidRDefault="00C5566B">
      <w:pPr>
        <w:pStyle w:val="FootnoteText"/>
      </w:pPr>
      <w:r>
        <w:rPr>
          <w:rStyle w:val="FootnoteReference"/>
        </w:rPr>
        <w:footnoteRef/>
      </w:r>
      <w:r>
        <w:t xml:space="preserve"> The </w:t>
      </w:r>
      <w:r>
        <w:rPr>
          <w:i/>
        </w:rPr>
        <w:t>waw</w:t>
      </w:r>
      <w:r>
        <w:t xml:space="preserve">-clause with a pronominal subject is concessive (cf. </w:t>
      </w:r>
      <w:r>
        <w:rPr>
          <w:i/>
        </w:rPr>
        <w:t xml:space="preserve">TTH </w:t>
      </w:r>
      <w:r>
        <w:t>160).</w:t>
      </w:r>
    </w:p>
  </w:footnote>
  <w:footnote w:id="153">
    <w:p w:rsidR="00C5566B" w:rsidRDefault="00C5566B" w:rsidP="00667439">
      <w:pPr>
        <w:pStyle w:val="FootnoteText"/>
      </w:pPr>
      <w:r>
        <w:rPr>
          <w:rStyle w:val="FootnoteReference"/>
        </w:rPr>
        <w:footnoteRef/>
      </w:r>
      <w:r>
        <w:t xml:space="preserve"> LXX understands these as raison blocks, Rashi (i</w:t>
      </w:r>
      <w:r w:rsidRPr="001F3E1E">
        <w:t xml:space="preserve">n </w:t>
      </w:r>
      <w:r w:rsidRPr="001F3E1E">
        <w:rPr>
          <w:i/>
        </w:rPr>
        <w:t>miqrā’ôt gədôlôt</w:t>
      </w:r>
      <w:r w:rsidRPr="001F3E1E">
        <w:t xml:space="preserve"> on the passage</w:t>
      </w:r>
      <w:r>
        <w:t>) as goblets of wine.</w:t>
      </w:r>
    </w:p>
  </w:footnote>
  <w:footnote w:id="154">
    <w:p w:rsidR="00C5566B" w:rsidRPr="00981DD3" w:rsidRDefault="00C5566B">
      <w:pPr>
        <w:pStyle w:val="FootnoteText"/>
      </w:pPr>
      <w:r>
        <w:rPr>
          <w:rStyle w:val="FootnoteReference"/>
        </w:rPr>
        <w:footnoteRef/>
      </w:r>
      <w:r>
        <w:t xml:space="preserve"> Vg derives </w:t>
      </w:r>
      <w:r>
        <w:rPr>
          <w:i/>
        </w:rPr>
        <w:t>’ekkərehā</w:t>
      </w:r>
      <w:r>
        <w:t xml:space="preserve"> from </w:t>
      </w:r>
      <w:r>
        <w:rPr>
          <w:i/>
        </w:rPr>
        <w:t>kārāh</w:t>
      </w:r>
      <w:r>
        <w:t xml:space="preserve"> I “dig,” </w:t>
      </w:r>
      <w:r w:rsidRPr="004235B7">
        <w:t>Ibn Ezra (</w:t>
      </w:r>
      <w:r>
        <w:rPr>
          <w:i/>
        </w:rPr>
        <w:t>Hosea</w:t>
      </w:r>
      <w:r>
        <w:t xml:space="preserve">, 39) </w:t>
      </w:r>
      <w:r w:rsidRPr="004235B7">
        <w:t xml:space="preserve">from </w:t>
      </w:r>
      <w:r w:rsidRPr="004235B7">
        <w:rPr>
          <w:i/>
        </w:rPr>
        <w:t>nākar</w:t>
      </w:r>
      <w:r w:rsidRPr="004235B7">
        <w:t xml:space="preserve"> “recognize [as mine]” and</w:t>
      </w:r>
      <w:r>
        <w:t xml:space="preserve"> thus “acquire,” LXX from </w:t>
      </w:r>
      <w:r w:rsidRPr="00981DD3">
        <w:rPr>
          <w:i/>
        </w:rPr>
        <w:t>kārāh</w:t>
      </w:r>
      <w:r>
        <w:t xml:space="preserve"> II “hire/buy” with an implication of barter (Job 6:27; 40:30; cf. Wolff, </w:t>
      </w:r>
      <w:r>
        <w:rPr>
          <w:i/>
        </w:rPr>
        <w:t>Hosea</w:t>
      </w:r>
      <w:r>
        <w:t>, 61), which fits with the reference to what Hosea pays. Tg “them” reads</w:t>
      </w:r>
      <w:r w:rsidRPr="0081315A">
        <w:t xml:space="preserve"> the</w:t>
      </w:r>
      <w:r>
        <w:t xml:space="preserve"> interpretation </w:t>
      </w:r>
      <w:r w:rsidRPr="0081315A">
        <w:t>into the allegory</w:t>
      </w:r>
      <w:r>
        <w:t xml:space="preserve"> itself</w:t>
      </w:r>
      <w:r w:rsidRPr="0081315A">
        <w:t>.</w:t>
      </w:r>
    </w:p>
  </w:footnote>
  <w:footnote w:id="155">
    <w:p w:rsidR="00C5566B" w:rsidRPr="006B174C" w:rsidRDefault="00C5566B">
      <w:pPr>
        <w:pStyle w:val="FootnoteText"/>
      </w:pPr>
      <w:r>
        <w:rPr>
          <w:rStyle w:val="FootnoteReference"/>
        </w:rPr>
        <w:footnoteRef/>
      </w:r>
      <w:r>
        <w:t xml:space="preserve"> LXX has “a skin of wine,” which avoids the repetition of barley.</w:t>
      </w:r>
    </w:p>
  </w:footnote>
  <w:footnote w:id="156">
    <w:p w:rsidR="00C5566B" w:rsidRPr="005066A1" w:rsidRDefault="00C5566B">
      <w:pPr>
        <w:pStyle w:val="FootnoteText"/>
      </w:pPr>
      <w:r>
        <w:rPr>
          <w:rStyle w:val="FootnoteReference"/>
        </w:rPr>
        <w:footnoteRef/>
      </w:r>
      <w:r>
        <w:t xml:space="preserve"> LXX “with/by me” involves a unique understanding of the preposition </w:t>
      </w:r>
      <w:r w:rsidRPr="003970AE">
        <w:rPr>
          <w:i/>
        </w:rPr>
        <w:t>lə</w:t>
      </w:r>
      <w:r>
        <w:t>. Vg “wait for me” and JPSV “remain for me” are semantically possible but don’t fit the context.</w:t>
      </w:r>
    </w:p>
  </w:footnote>
  <w:footnote w:id="157">
    <w:p w:rsidR="00C5566B" w:rsidRPr="006E0BCE" w:rsidRDefault="00C5566B">
      <w:pPr>
        <w:pStyle w:val="FootnoteText"/>
      </w:pPr>
      <w:r>
        <w:rPr>
          <w:rStyle w:val="FootnoteReference"/>
        </w:rPr>
        <w:footnoteRef/>
      </w:r>
      <w:r>
        <w:t xml:space="preserve"> There seems no reason to infer that that the “not” carries over so that the colon refers to abstaining from sex (JPSV); for </w:t>
      </w:r>
      <w:r>
        <w:rPr>
          <w:i/>
        </w:rPr>
        <w:t>’el</w:t>
      </w:r>
      <w:r>
        <w:t xml:space="preserve"> used without a verb to mean “toward” in a positive sense, cf. 2 Kings 6:11; Ezek. 36:9 (Barthélemy</w:t>
      </w:r>
      <w:r>
        <w:rPr>
          <w:i/>
        </w:rPr>
        <w:t>, Critique Textuelle</w:t>
      </w:r>
      <w:r>
        <w:t xml:space="preserve"> 3:506).</w:t>
      </w:r>
    </w:p>
  </w:footnote>
  <w:footnote w:id="158">
    <w:p w:rsidR="00C5566B" w:rsidRPr="00B76FAC" w:rsidRDefault="00C5566B">
      <w:pPr>
        <w:pStyle w:val="FootnoteText"/>
      </w:pPr>
      <w:r>
        <w:rPr>
          <w:rStyle w:val="FootnoteReference"/>
        </w:rPr>
        <w:footnoteRef/>
      </w:r>
      <w:r>
        <w:t xml:space="preserve"> LXX, Vg “altar” suggests </w:t>
      </w:r>
      <w:r>
        <w:rPr>
          <w:i/>
        </w:rPr>
        <w:t>mizbēaḥ</w:t>
      </w:r>
      <w:r>
        <w:t xml:space="preserve"> for </w:t>
      </w:r>
      <w:r>
        <w:rPr>
          <w:i/>
        </w:rPr>
        <w:t>maṣṣēbāh</w:t>
      </w:r>
      <w:r>
        <w:t>, possibly on the assumption that Hosea refers to the worship in Jerusalem where a pillar would be illegitimate.</w:t>
      </w:r>
    </w:p>
  </w:footnote>
  <w:footnote w:id="159">
    <w:p w:rsidR="00C5566B" w:rsidRDefault="00C5566B">
      <w:pPr>
        <w:pStyle w:val="FootnoteText"/>
      </w:pPr>
      <w:r>
        <w:rPr>
          <w:rStyle w:val="FootnoteReference"/>
        </w:rPr>
        <w:footnoteRef/>
      </w:r>
      <w:r>
        <w:t xml:space="preserve"> </w:t>
      </w:r>
      <w:r w:rsidRPr="009D542F">
        <w:rPr>
          <w:i/>
        </w:rPr>
        <w:t>Tərāpîm</w:t>
      </w:r>
      <w:r>
        <w:t>.</w:t>
      </w:r>
      <w:r w:rsidRPr="009D542F">
        <w:t xml:space="preserve"> LXX </w:t>
      </w:r>
      <w:r>
        <w:t xml:space="preserve">has </w:t>
      </w:r>
      <w:r w:rsidRPr="009D542F">
        <w:rPr>
          <w:i/>
        </w:rPr>
        <w:t>dēlōn</w:t>
      </w:r>
      <w:r w:rsidRPr="009D542F">
        <w:t>, “clear things,”</w:t>
      </w:r>
      <w:r w:rsidRPr="009D542F">
        <w:rPr>
          <w:i/>
        </w:rPr>
        <w:t xml:space="preserve"> </w:t>
      </w:r>
      <w:r w:rsidRPr="009D542F">
        <w:t>means of discovering God’s will</w:t>
      </w:r>
      <w:r>
        <w:t xml:space="preserve"> (c</w:t>
      </w:r>
      <w:r w:rsidRPr="009D542F">
        <w:t xml:space="preserve">f. Glenny, </w:t>
      </w:r>
      <w:r w:rsidRPr="009D542F">
        <w:rPr>
          <w:i/>
        </w:rPr>
        <w:t>Hosea</w:t>
      </w:r>
      <w:r>
        <w:t>, 86)</w:t>
      </w:r>
      <w:r w:rsidRPr="009D542F">
        <w:t>; Tg</w:t>
      </w:r>
      <w:r>
        <w:t xml:space="preserve"> has</w:t>
      </w:r>
      <w:r w:rsidRPr="009D542F">
        <w:t xml:space="preserve"> </w:t>
      </w:r>
      <w:r w:rsidRPr="009D542F">
        <w:rPr>
          <w:i/>
        </w:rPr>
        <w:t xml:space="preserve">məḥawȇ </w:t>
      </w:r>
      <w:r w:rsidRPr="009D542F">
        <w:t>“oracles” or “seers</w:t>
      </w:r>
      <w:r>
        <w:t>.</w:t>
      </w:r>
      <w:r w:rsidRPr="009D542F">
        <w:t>”</w:t>
      </w:r>
    </w:p>
  </w:footnote>
  <w:footnote w:id="160">
    <w:p w:rsidR="00C5566B" w:rsidRPr="00CF4C21" w:rsidRDefault="00C5566B" w:rsidP="00C5556C">
      <w:pPr>
        <w:pStyle w:val="FootnoteText"/>
      </w:pPr>
      <w:r>
        <w:rPr>
          <w:rStyle w:val="FootnoteReference"/>
        </w:rPr>
        <w:footnoteRef/>
      </w:r>
      <w:r>
        <w:t xml:space="preserve"> In the context, </w:t>
      </w:r>
      <w:r>
        <w:rPr>
          <w:i/>
        </w:rPr>
        <w:t>y</w:t>
      </w:r>
      <w:r w:rsidRPr="00452503">
        <w:rPr>
          <w:i/>
        </w:rPr>
        <w:t>āšubû</w:t>
      </w:r>
      <w:r>
        <w:t xml:space="preserve"> has this regular meaning rather than instancing </w:t>
      </w:r>
      <w:r w:rsidRPr="00CF4C21">
        <w:rPr>
          <w:i/>
        </w:rPr>
        <w:t>šûb</w:t>
      </w:r>
      <w:r w:rsidRPr="00CF4C21">
        <w:t xml:space="preserve"> </w:t>
      </w:r>
      <w:r>
        <w:t xml:space="preserve">qualifying another verb and meaning “again.” </w:t>
      </w:r>
      <w:r w:rsidRPr="00452503">
        <w:rPr>
          <w:i/>
        </w:rPr>
        <w:t>Yāšubû</w:t>
      </w:r>
      <w:r>
        <w:rPr>
          <w:i/>
        </w:rPr>
        <w:t xml:space="preserve"> </w:t>
      </w:r>
      <w:r w:rsidRPr="00452503">
        <w:t xml:space="preserve">completes a triple paronomasia in </w:t>
      </w:r>
      <w:r>
        <w:t>vv. 3-5</w:t>
      </w:r>
      <w:r w:rsidRPr="00452503">
        <w:t xml:space="preserve"> with </w:t>
      </w:r>
      <w:r w:rsidRPr="00452503">
        <w:rPr>
          <w:i/>
        </w:rPr>
        <w:t xml:space="preserve">tēšəbî </w:t>
      </w:r>
      <w:r>
        <w:t xml:space="preserve">(you will live) and </w:t>
      </w:r>
      <w:r w:rsidRPr="00452503">
        <w:rPr>
          <w:i/>
        </w:rPr>
        <w:t xml:space="preserve">yēšəbû </w:t>
      </w:r>
      <w:r w:rsidRPr="00452503">
        <w:t>(they will live).</w:t>
      </w:r>
    </w:p>
  </w:footnote>
  <w:footnote w:id="161">
    <w:p w:rsidR="00C5566B" w:rsidRPr="002660E9" w:rsidRDefault="00C5566B">
      <w:pPr>
        <w:pStyle w:val="FootnoteText"/>
      </w:pPr>
      <w:r>
        <w:rPr>
          <w:rStyle w:val="FootnoteReference"/>
        </w:rPr>
        <w:footnoteRef/>
      </w:r>
      <w:r>
        <w:t xml:space="preserve"> </w:t>
      </w:r>
      <w:r>
        <w:rPr>
          <w:i/>
        </w:rPr>
        <w:t>Pāḥad</w:t>
      </w:r>
      <w:r>
        <w:t xml:space="preserve">, a rarer and thus more emphatic synonym for </w:t>
      </w:r>
      <w:r>
        <w:rPr>
          <w:i/>
        </w:rPr>
        <w:t xml:space="preserve">yārē’ </w:t>
      </w:r>
      <w:r>
        <w:t>(conventionally “fear”). Each can suggest either a negative or a positive fear or awe; the context decides the connotation.</w:t>
      </w:r>
    </w:p>
  </w:footnote>
  <w:footnote w:id="162">
    <w:p w:rsidR="00C5566B" w:rsidRPr="00A1601B" w:rsidRDefault="00C5566B" w:rsidP="00442938">
      <w:pPr>
        <w:pStyle w:val="FootnoteText"/>
      </w:pPr>
      <w:r>
        <w:rPr>
          <w:rStyle w:val="FootnoteReference"/>
        </w:rPr>
        <w:footnoteRef/>
      </w:r>
      <w:r>
        <w:t xml:space="preserve"> So Wolff, </w:t>
      </w:r>
      <w:r>
        <w:rPr>
          <w:i/>
        </w:rPr>
        <w:t>Hosea</w:t>
      </w:r>
      <w:r>
        <w:t>, 59.</w:t>
      </w:r>
    </w:p>
  </w:footnote>
  <w:footnote w:id="163">
    <w:p w:rsidR="00C5566B" w:rsidRPr="001314C9" w:rsidRDefault="00C5566B" w:rsidP="00442938">
      <w:pPr>
        <w:pStyle w:val="FootnoteText"/>
      </w:pPr>
      <w:r>
        <w:rPr>
          <w:rStyle w:val="FootnoteReference"/>
        </w:rPr>
        <w:footnoteRef/>
      </w:r>
      <w:r>
        <w:t xml:space="preserve"> Ben Zvi, </w:t>
      </w:r>
      <w:r>
        <w:rPr>
          <w:i/>
        </w:rPr>
        <w:t>Hosea</w:t>
      </w:r>
      <w:r>
        <w:t>, 80.</w:t>
      </w:r>
    </w:p>
  </w:footnote>
  <w:footnote w:id="164">
    <w:p w:rsidR="00C5566B" w:rsidRPr="007364CA" w:rsidRDefault="00C5566B">
      <w:pPr>
        <w:pStyle w:val="FootnoteText"/>
      </w:pPr>
      <w:r>
        <w:rPr>
          <w:rStyle w:val="FootnoteReference"/>
        </w:rPr>
        <w:footnoteRef/>
      </w:r>
      <w:r>
        <w:t xml:space="preserve"> Cf. Tg; Calvin, </w:t>
      </w:r>
      <w:r w:rsidRPr="009C2C74">
        <w:rPr>
          <w:i/>
        </w:rPr>
        <w:t>Minor Prophets</w:t>
      </w:r>
      <w:r w:rsidRPr="009C2C74">
        <w:t xml:space="preserve"> 1:</w:t>
      </w:r>
      <w:r>
        <w:t>123.</w:t>
      </w:r>
    </w:p>
  </w:footnote>
  <w:footnote w:id="165">
    <w:p w:rsidR="00C5566B" w:rsidRPr="004235B7" w:rsidRDefault="00C5566B">
      <w:pPr>
        <w:pStyle w:val="FootnoteText"/>
      </w:pPr>
      <w:r>
        <w:rPr>
          <w:rStyle w:val="FootnoteReference"/>
        </w:rPr>
        <w:footnoteRef/>
      </w:r>
      <w:r>
        <w:t xml:space="preserve"> See J. Schreiner, </w:t>
      </w:r>
      <w:r>
        <w:rPr>
          <w:i/>
        </w:rPr>
        <w:t>TDOT</w:t>
      </w:r>
      <w:r>
        <w:t xml:space="preserve"> 11:582, 583.</w:t>
      </w:r>
    </w:p>
  </w:footnote>
  <w:footnote w:id="166">
    <w:p w:rsidR="00C5566B" w:rsidRPr="004D0039" w:rsidRDefault="00C5566B">
      <w:pPr>
        <w:pStyle w:val="FootnoteText"/>
      </w:pPr>
      <w:r>
        <w:rPr>
          <w:rStyle w:val="FootnoteReference"/>
        </w:rPr>
        <w:footnoteRef/>
      </w:r>
      <w:r>
        <w:t xml:space="preserve"> Cf. Rainer Kessler, “Hosea 3,” </w:t>
      </w:r>
      <w:r>
        <w:rPr>
          <w:i/>
        </w:rPr>
        <w:t xml:space="preserve">ZAW </w:t>
      </w:r>
      <w:r>
        <w:t>120 (2008): 563-81.</w:t>
      </w:r>
    </w:p>
  </w:footnote>
  <w:footnote w:id="167">
    <w:p w:rsidR="00C5566B" w:rsidRPr="00157B26" w:rsidRDefault="00C5566B" w:rsidP="00157B26">
      <w:pPr>
        <w:pStyle w:val="FootnoteText"/>
      </w:pPr>
      <w:r>
        <w:rPr>
          <w:rStyle w:val="FootnoteReference"/>
        </w:rPr>
        <w:footnoteRef/>
      </w:r>
      <w:r>
        <w:t xml:space="preserve"> See </w:t>
      </w:r>
      <w:r w:rsidRPr="00157B26">
        <w:rPr>
          <w:bCs/>
        </w:rPr>
        <w:t>Susanne Rudnig-Zelt</w:t>
      </w:r>
      <w:r>
        <w:rPr>
          <w:bCs/>
        </w:rPr>
        <w:t>, “</w:t>
      </w:r>
      <w:r w:rsidRPr="00157B26">
        <w:rPr>
          <w:bCs/>
        </w:rPr>
        <w:t>Vom Propheten und seiner Frau, einem Ephod und einem Terap</w:t>
      </w:r>
      <w:r>
        <w:rPr>
          <w:bCs/>
        </w:rPr>
        <w:t xml:space="preserve">him,” </w:t>
      </w:r>
      <w:r>
        <w:rPr>
          <w:bCs/>
          <w:i/>
        </w:rPr>
        <w:t xml:space="preserve">VT </w:t>
      </w:r>
      <w:r>
        <w:rPr>
          <w:bCs/>
        </w:rPr>
        <w:t>60 (2010): 373-99.</w:t>
      </w:r>
    </w:p>
  </w:footnote>
  <w:footnote w:id="168">
    <w:p w:rsidR="00C5566B" w:rsidRPr="00670021" w:rsidRDefault="00C5566B">
      <w:pPr>
        <w:pStyle w:val="FootnoteText"/>
      </w:pPr>
      <w:r>
        <w:rPr>
          <w:rStyle w:val="FootnoteReference"/>
        </w:rPr>
        <w:footnoteRef/>
      </w:r>
      <w:r>
        <w:t xml:space="preserve"> </w:t>
      </w:r>
      <w:r w:rsidRPr="00670021">
        <w:rPr>
          <w:rFonts w:eastAsiaTheme="minorHAnsi" w:cs="TimesNewRomanPSMT"/>
        </w:rPr>
        <w:t xml:space="preserve">Paul A. Kruger, </w:t>
      </w:r>
      <w:r>
        <w:rPr>
          <w:rFonts w:eastAsiaTheme="minorHAnsi" w:cs="TimesNewRomanPSMT"/>
        </w:rPr>
        <w:t>“</w:t>
      </w:r>
      <w:r w:rsidRPr="00670021">
        <w:rPr>
          <w:rFonts w:eastAsiaTheme="minorHAnsi" w:cs="Times New Roman"/>
          <w:bCs/>
        </w:rPr>
        <w:t>The Face of Disorder</w:t>
      </w:r>
      <w:r>
        <w:rPr>
          <w:rFonts w:eastAsiaTheme="minorHAnsi" w:cs="Times New Roman"/>
          <w:bCs/>
        </w:rPr>
        <w:t xml:space="preserve">,” </w:t>
      </w:r>
      <w:r>
        <w:rPr>
          <w:rFonts w:eastAsiaTheme="minorHAnsi" w:cs="Times New Roman"/>
          <w:bCs/>
          <w:i/>
        </w:rPr>
        <w:t>ZAW</w:t>
      </w:r>
      <w:r>
        <w:rPr>
          <w:rFonts w:eastAsiaTheme="minorHAnsi" w:cs="Times New Roman"/>
          <w:bCs/>
        </w:rPr>
        <w:t xml:space="preserve"> </w:t>
      </w:r>
      <w:r w:rsidRPr="00670021">
        <w:rPr>
          <w:rFonts w:eastAsiaTheme="minorHAnsi" w:cs="Times New Roman"/>
          <w:bCs/>
        </w:rPr>
        <w:t xml:space="preserve">124 (2012): 249-254 </w:t>
      </w:r>
      <w:r>
        <w:rPr>
          <w:rFonts w:eastAsiaTheme="minorHAnsi" w:cs="Times New Roman"/>
          <w:bCs/>
        </w:rPr>
        <w:t>(253).</w:t>
      </w:r>
    </w:p>
  </w:footnote>
  <w:footnote w:id="169">
    <w:p w:rsidR="00C5566B" w:rsidRPr="003B277D" w:rsidRDefault="00C5566B" w:rsidP="00DA363B">
      <w:pPr>
        <w:pStyle w:val="FootnoteText"/>
      </w:pPr>
      <w:r>
        <w:rPr>
          <w:rStyle w:val="FootnoteReference"/>
        </w:rPr>
        <w:footnoteRef/>
      </w:r>
      <w:r>
        <w:t xml:space="preserve"> Ben Zvi</w:t>
      </w:r>
      <w:r>
        <w:rPr>
          <w:i/>
        </w:rPr>
        <w:t>, Hosea</w:t>
      </w:r>
      <w:r>
        <w:t xml:space="preserve">, 89; further, </w:t>
      </w:r>
      <w:r w:rsidRPr="00452503">
        <w:t xml:space="preserve">Alexander Rofé, “David Their King,” in David A. Baer and Robert P. Gordon (eds.), </w:t>
      </w:r>
      <w:r w:rsidRPr="00452503">
        <w:rPr>
          <w:i/>
        </w:rPr>
        <w:t>Leshon Limmudim</w:t>
      </w:r>
      <w:r>
        <w:t xml:space="preserve"> (</w:t>
      </w:r>
      <w:r w:rsidRPr="00452503">
        <w:t>A. A. Macintosh Festschrift; London: Bloomsbury, 2013), 130-35.</w:t>
      </w:r>
    </w:p>
  </w:footnote>
  <w:footnote w:id="170">
    <w:p w:rsidR="00C5566B" w:rsidRPr="001D3546" w:rsidRDefault="00C5566B" w:rsidP="001D3546">
      <w:pPr>
        <w:pStyle w:val="FootnoteText"/>
      </w:pPr>
      <w:r>
        <w:rPr>
          <w:rStyle w:val="FootnoteReference"/>
        </w:rPr>
        <w:footnoteRef/>
      </w:r>
      <w:r>
        <w:t xml:space="preserve"> </w:t>
      </w:r>
      <w:r w:rsidRPr="001D3546">
        <w:t>Peter Machinist, “</w:t>
      </w:r>
      <w:r w:rsidRPr="001D3546">
        <w:rPr>
          <w:rFonts w:eastAsiaTheme="minorHAnsi" w:cs="BerkeleyEis"/>
        </w:rPr>
        <w:t xml:space="preserve">Hosea and the Ambiguity of Kingship in Ancient Israel,” in </w:t>
      </w:r>
      <w:r w:rsidRPr="001D3546">
        <w:rPr>
          <w:i/>
        </w:rPr>
        <w:t>Constituting the Community</w:t>
      </w:r>
      <w:r>
        <w:rPr>
          <w:i/>
        </w:rPr>
        <w:t xml:space="preserve"> </w:t>
      </w:r>
      <w:r w:rsidRPr="001D3546">
        <w:t xml:space="preserve">(S. Dean McBride, Jr., Festschrift, </w:t>
      </w:r>
      <w:r>
        <w:rPr>
          <w:rFonts w:eastAsiaTheme="minorHAnsi" w:cs="BerkeleyEis"/>
        </w:rPr>
        <w:t>ed</w:t>
      </w:r>
      <w:r w:rsidRPr="001D3546">
        <w:rPr>
          <w:rFonts w:eastAsiaTheme="minorHAnsi" w:cs="BerkeleyEis"/>
        </w:rPr>
        <w:t xml:space="preserve">s. </w:t>
      </w:r>
      <w:r w:rsidRPr="001D3546">
        <w:rPr>
          <w:rFonts w:eastAsia="BerkeleyEis-SC" w:cs="BerkeleyEis-SC"/>
        </w:rPr>
        <w:t xml:space="preserve">John T. Strong and Steven S. Tuell; </w:t>
      </w:r>
      <w:r>
        <w:rPr>
          <w:rFonts w:eastAsia="BerkeleyEis-SC" w:cs="BerkeleyEis-SC"/>
        </w:rPr>
        <w:t>Winona Lake, IN: Eisenbrauns, 2005), 153</w:t>
      </w:r>
      <w:r>
        <w:t>-81</w:t>
      </w:r>
      <w:r w:rsidRPr="001D3546">
        <w:t>.</w:t>
      </w:r>
    </w:p>
  </w:footnote>
  <w:footnote w:id="171">
    <w:p w:rsidR="00C5566B" w:rsidRPr="00816176" w:rsidRDefault="00C5566B" w:rsidP="00494B87">
      <w:pPr>
        <w:pStyle w:val="FootnoteText"/>
      </w:pPr>
      <w:r>
        <w:rPr>
          <w:rStyle w:val="FootnoteReference"/>
        </w:rPr>
        <w:footnoteRef/>
      </w:r>
      <w:r>
        <w:t xml:space="preserve"> Cf. Wolff, </w:t>
      </w:r>
      <w:r>
        <w:rPr>
          <w:i/>
        </w:rPr>
        <w:t>Hosea</w:t>
      </w:r>
      <w:r>
        <w:t>, 64.</w:t>
      </w:r>
    </w:p>
  </w:footnote>
  <w:footnote w:id="172">
    <w:p w:rsidR="00C5566B" w:rsidRDefault="00C5566B">
      <w:pPr>
        <w:pStyle w:val="FootnoteText"/>
      </w:pPr>
      <w:r>
        <w:rPr>
          <w:rStyle w:val="FootnoteReference"/>
        </w:rPr>
        <w:footnoteRef/>
      </w:r>
      <w:r>
        <w:t xml:space="preserve"> </w:t>
      </w:r>
      <w:r w:rsidRPr="001E480E">
        <w:t>David Jobling. “A Deco</w:t>
      </w:r>
      <w:r>
        <w:t>nstructive Reading of Hosea 1—3,</w:t>
      </w:r>
      <w:r w:rsidRPr="001E480E">
        <w:t xml:space="preserve">” </w:t>
      </w:r>
      <w:r>
        <w:t xml:space="preserve">in </w:t>
      </w:r>
      <w:r w:rsidRPr="001E480E">
        <w:t>Carleen M</w:t>
      </w:r>
      <w:r>
        <w:t xml:space="preserve">andalfo and Timothy J. Sandoval (eds.), </w:t>
      </w:r>
      <w:r w:rsidRPr="001E480E">
        <w:rPr>
          <w:i/>
        </w:rPr>
        <w:t>Relating to the Text</w:t>
      </w:r>
      <w:r>
        <w:t xml:space="preserve"> (Martin J. Buss Festschrift;</w:t>
      </w:r>
      <w:r w:rsidRPr="001E480E">
        <w:t xml:space="preserve"> London: Clark, 2003</w:t>
      </w:r>
      <w:r>
        <w:t>),</w:t>
      </w:r>
      <w:r w:rsidRPr="001E480E">
        <w:t xml:space="preserve"> 206-15 (208).</w:t>
      </w:r>
    </w:p>
  </w:footnote>
  <w:footnote w:id="173">
    <w:p w:rsidR="00C5566B" w:rsidRPr="00066402" w:rsidRDefault="00C5566B" w:rsidP="00066402">
      <w:pPr>
        <w:pStyle w:val="FootnoteText"/>
        <w:rPr>
          <w:rFonts w:eastAsiaTheme="minorHAnsi"/>
        </w:rPr>
      </w:pPr>
      <w:r>
        <w:rPr>
          <w:rStyle w:val="FootnoteReference"/>
        </w:rPr>
        <w:footnoteRef/>
      </w:r>
      <w:r>
        <w:t xml:space="preserve"> Cf. </w:t>
      </w:r>
      <w:r>
        <w:rPr>
          <w:bCs/>
        </w:rPr>
        <w:t>George L. K</w:t>
      </w:r>
      <w:r w:rsidRPr="00066402">
        <w:rPr>
          <w:bCs/>
        </w:rPr>
        <w:t>lein</w:t>
      </w:r>
      <w:r>
        <w:rPr>
          <w:bCs/>
        </w:rPr>
        <w:t>, “H</w:t>
      </w:r>
      <w:r>
        <w:rPr>
          <w:rFonts w:eastAsiaTheme="minorHAnsi"/>
        </w:rPr>
        <w:t>os 3:1-3—Background to 1 C</w:t>
      </w:r>
      <w:r w:rsidRPr="00066402">
        <w:rPr>
          <w:rFonts w:eastAsiaTheme="minorHAnsi"/>
        </w:rPr>
        <w:t>or 6:19b-20?</w:t>
      </w:r>
      <w:r>
        <w:rPr>
          <w:rFonts w:eastAsiaTheme="minorHAnsi"/>
        </w:rPr>
        <w:t xml:space="preserve">” </w:t>
      </w:r>
      <w:r w:rsidRPr="00066402">
        <w:rPr>
          <w:rFonts w:eastAsiaTheme="minorHAnsi"/>
        </w:rPr>
        <w:t xml:space="preserve"> </w:t>
      </w:r>
      <w:r>
        <w:rPr>
          <w:rFonts w:eastAsiaTheme="minorHAnsi"/>
          <w:i/>
        </w:rPr>
        <w:t>Criswell Theological Review</w:t>
      </w:r>
      <w:r>
        <w:rPr>
          <w:rFonts w:eastAsiaTheme="minorHAnsi"/>
        </w:rPr>
        <w:t xml:space="preserve"> 3 (1989): 373-75.</w:t>
      </w:r>
    </w:p>
  </w:footnote>
  <w:footnote w:id="174">
    <w:p w:rsidR="00C5566B" w:rsidRDefault="00C5566B">
      <w:pPr>
        <w:pStyle w:val="FootnoteText"/>
      </w:pPr>
      <w:r>
        <w:rPr>
          <w:rStyle w:val="FootnoteReference"/>
        </w:rPr>
        <w:footnoteRef/>
      </w:r>
      <w:r>
        <w:t xml:space="preserve"> Cf. </w:t>
      </w:r>
      <w:r w:rsidRPr="00446EAC">
        <w:t>Joshua Moon, “</w:t>
      </w:r>
      <w:r w:rsidRPr="00446EAC">
        <w:rPr>
          <w:bCs/>
        </w:rPr>
        <w:t>Honor and Shame in Hosea</w:t>
      </w:r>
      <w:r w:rsidRPr="00446EAC">
        <w:rPr>
          <w:rFonts w:hint="cs"/>
          <w:bCs/>
        </w:rPr>
        <w:t>’</w:t>
      </w:r>
      <w:r w:rsidRPr="00446EAC">
        <w:rPr>
          <w:bCs/>
        </w:rPr>
        <w:t xml:space="preserve">s Marriages,” </w:t>
      </w:r>
      <w:r w:rsidRPr="00446EAC">
        <w:rPr>
          <w:bCs/>
          <w:i/>
        </w:rPr>
        <w:t>JSOT</w:t>
      </w:r>
      <w:r w:rsidRPr="00446EAC">
        <w:rPr>
          <w:bCs/>
        </w:rPr>
        <w:t xml:space="preserve"> 39 (2015): </w:t>
      </w:r>
      <w:r>
        <w:rPr>
          <w:bCs/>
        </w:rPr>
        <w:t>335-51 (347-51).</w:t>
      </w:r>
    </w:p>
  </w:footnote>
  <w:footnote w:id="175">
    <w:p w:rsidR="00C5566B" w:rsidRPr="00E90FC0" w:rsidRDefault="00C5566B" w:rsidP="00A84D61">
      <w:pPr>
        <w:pStyle w:val="FootnoteText"/>
      </w:pPr>
      <w:r>
        <w:rPr>
          <w:rStyle w:val="FootnoteReference"/>
        </w:rPr>
        <w:footnoteRef/>
      </w:r>
      <w:r>
        <w:t xml:space="preserve"> Julia Kristeva, </w:t>
      </w:r>
      <w:r>
        <w:rPr>
          <w:i/>
        </w:rPr>
        <w:t xml:space="preserve">Black Sun </w:t>
      </w:r>
      <w:r>
        <w:t xml:space="preserve">(New York: Columbia University Press, 1989), 33; cf. Landy, </w:t>
      </w:r>
      <w:r>
        <w:rPr>
          <w:i/>
        </w:rPr>
        <w:t>Hosea</w:t>
      </w:r>
      <w:r>
        <w:t>, 50.</w:t>
      </w:r>
    </w:p>
  </w:footnote>
  <w:footnote w:id="176">
    <w:p w:rsidR="00C5566B" w:rsidRPr="00F42051" w:rsidRDefault="00C5566B">
      <w:pPr>
        <w:pStyle w:val="FootnoteText"/>
      </w:pPr>
      <w:r>
        <w:rPr>
          <w:rStyle w:val="FootnoteReference"/>
        </w:rPr>
        <w:footnoteRef/>
      </w:r>
      <w:r>
        <w:t xml:space="preserve"> So Theodore, </w:t>
      </w:r>
      <w:r>
        <w:rPr>
          <w:i/>
        </w:rPr>
        <w:t>Twelve Prophets</w:t>
      </w:r>
      <w:r>
        <w:t>, 54.</w:t>
      </w:r>
    </w:p>
  </w:footnote>
  <w:footnote w:id="177">
    <w:p w:rsidR="00C5566B" w:rsidRPr="00D07565" w:rsidRDefault="00C5566B" w:rsidP="00A059EE">
      <w:pPr>
        <w:pStyle w:val="FootnoteText"/>
      </w:pPr>
      <w:r>
        <w:rPr>
          <w:rStyle w:val="FootnoteReference"/>
        </w:rPr>
        <w:footnoteRef/>
      </w:r>
      <w:r>
        <w:t xml:space="preserve"> Ben Zvi, </w:t>
      </w:r>
      <w:r>
        <w:rPr>
          <w:i/>
        </w:rPr>
        <w:t>Hosea</w:t>
      </w:r>
      <w:r>
        <w:t>, 40.</w:t>
      </w:r>
    </w:p>
  </w:footnote>
  <w:footnote w:id="178">
    <w:p w:rsidR="00C5566B" w:rsidRDefault="00C5566B" w:rsidP="00FF6A58">
      <w:pPr>
        <w:pStyle w:val="FootnoteText"/>
      </w:pPr>
      <w:r>
        <w:rPr>
          <w:rStyle w:val="FootnoteReference"/>
        </w:rPr>
        <w:footnoteRef/>
      </w:r>
      <w:r>
        <w:t xml:space="preserve"> Not “the land,” in the context: see the comments. “Against you who live in the land” (TNIV) and “against the inhabitants of this land” (JPSV) read an interpretation into the text.</w:t>
      </w:r>
    </w:p>
  </w:footnote>
  <w:footnote w:id="179">
    <w:p w:rsidR="00C5566B" w:rsidRPr="006D0BD2" w:rsidRDefault="00C5566B" w:rsidP="00FF6A58">
      <w:pPr>
        <w:pStyle w:val="FootnoteText"/>
      </w:pPr>
      <w:r>
        <w:rPr>
          <w:rStyle w:val="FootnoteReference"/>
        </w:rPr>
        <w:footnoteRef/>
      </w:r>
      <w:r>
        <w:t xml:space="preserve"> Tg apparently takes the five infinitives as substitutes for finite verbs (</w:t>
      </w:r>
      <w:r w:rsidRPr="006D0BD2">
        <w:t xml:space="preserve">cf. GK 113ff). </w:t>
      </w:r>
      <w:r>
        <w:t xml:space="preserve">They might also be taken as gerundives (“in taking oaths, deceiving…”), with “the people who live in the earth” still the subject of the finite verb (cf. </w:t>
      </w:r>
      <w:r w:rsidRPr="000D30F3">
        <w:rPr>
          <w:i/>
        </w:rPr>
        <w:t>DCH</w:t>
      </w:r>
      <w:r>
        <w:t>). LXX, Vg take the infinitives as gerunds and as the subjects of the main verb, which makes for parallelism with the third colon: to put it another way, the third colon clarifies the syntax of the preceding cola. At the end LXX adds “in the earth.”</w:t>
      </w:r>
    </w:p>
  </w:footnote>
  <w:footnote w:id="180">
    <w:p w:rsidR="00C5566B" w:rsidRPr="00540ACC" w:rsidRDefault="00C5566B" w:rsidP="00FF6A58">
      <w:pPr>
        <w:pStyle w:val="FootnoteText"/>
      </w:pPr>
      <w:r>
        <w:rPr>
          <w:rStyle w:val="FootnoteReference"/>
        </w:rPr>
        <w:footnoteRef/>
      </w:r>
      <w:r>
        <w:t xml:space="preserve"> In the context, </w:t>
      </w:r>
      <w:r>
        <w:rPr>
          <w:i/>
        </w:rPr>
        <w:t>HALOT</w:t>
      </w:r>
      <w:r>
        <w:t xml:space="preserve">’s </w:t>
      </w:r>
      <w:r>
        <w:rPr>
          <w:i/>
        </w:rPr>
        <w:t>’ābal</w:t>
      </w:r>
      <w:r>
        <w:t xml:space="preserve"> II not </w:t>
      </w:r>
      <w:r>
        <w:rPr>
          <w:i/>
        </w:rPr>
        <w:t xml:space="preserve">’ābal </w:t>
      </w:r>
      <w:r>
        <w:t>I “mourn.” T</w:t>
      </w:r>
      <w:r w:rsidRPr="006F5AE3">
        <w:t xml:space="preserve">he verbs </w:t>
      </w:r>
      <w:r>
        <w:t xml:space="preserve">in v. 3 </w:t>
      </w:r>
      <w:r w:rsidRPr="006F5AE3">
        <w:t xml:space="preserve">are yiqtol and </w:t>
      </w:r>
      <w:r w:rsidRPr="006F5AE3">
        <w:rPr>
          <w:i/>
        </w:rPr>
        <w:t>waw</w:t>
      </w:r>
      <w:r>
        <w:t>-consecutive, suggesting future reference</w:t>
      </w:r>
      <w:r w:rsidRPr="006F5AE3">
        <w:t xml:space="preserve"> (cf. LXX, Vg).</w:t>
      </w:r>
    </w:p>
  </w:footnote>
  <w:footnote w:id="181">
    <w:p w:rsidR="00C5566B" w:rsidRPr="00777891" w:rsidRDefault="00C5566B" w:rsidP="00FF6A58">
      <w:pPr>
        <w:pStyle w:val="FootnoteText"/>
      </w:pPr>
      <w:r>
        <w:rPr>
          <w:rStyle w:val="FootnoteReference"/>
        </w:rPr>
        <w:footnoteRef/>
      </w:r>
      <w:r>
        <w:t xml:space="preserve"> Vg has “everyone”; but </w:t>
      </w:r>
      <w:r>
        <w:rPr>
          <w:i/>
        </w:rPr>
        <w:t>’umlal</w:t>
      </w:r>
      <w:r>
        <w:t xml:space="preserve"> usually has an impersonal subject, and this fits the context.</w:t>
      </w:r>
    </w:p>
  </w:footnote>
  <w:footnote w:id="182">
    <w:p w:rsidR="00C5566B" w:rsidRDefault="00C5566B" w:rsidP="00FF6A58">
      <w:pPr>
        <w:pStyle w:val="FootnoteText"/>
      </w:pPr>
      <w:r>
        <w:rPr>
          <w:rStyle w:val="FootnoteReference"/>
        </w:rPr>
        <w:footnoteRef/>
      </w:r>
      <w:r>
        <w:t xml:space="preserve"> LXX adds “the things that crawl on the ground” from 2:18 [20].</w:t>
      </w:r>
    </w:p>
  </w:footnote>
  <w:footnote w:id="183">
    <w:p w:rsidR="00C5566B" w:rsidRPr="00F44B73" w:rsidRDefault="00C5566B">
      <w:pPr>
        <w:pStyle w:val="FootnoteText"/>
      </w:pPr>
      <w:r>
        <w:rPr>
          <w:rStyle w:val="FootnoteReference"/>
        </w:rPr>
        <w:footnoteRef/>
      </w:r>
      <w:r>
        <w:t xml:space="preserve"> It requires even more inference to take Hosea as speaking to the king (so Jack R. Lundbom, </w:t>
      </w:r>
      <w:r>
        <w:rPr>
          <w:i/>
        </w:rPr>
        <w:t>Biblical Rhetoric and Rhetorical Criticism</w:t>
      </w:r>
      <w:r>
        <w:t xml:space="preserve"> [Sheffield: Sheffield Phoenix, 2013], 224).</w:t>
      </w:r>
    </w:p>
  </w:footnote>
  <w:footnote w:id="184">
    <w:p w:rsidR="00C5566B" w:rsidRDefault="00C5566B" w:rsidP="00015743">
      <w:pPr>
        <w:pStyle w:val="FootnoteText"/>
      </w:pPr>
      <w:r>
        <w:rPr>
          <w:rStyle w:val="FootnoteReference"/>
        </w:rPr>
        <w:footnoteRef/>
      </w:r>
      <w:r>
        <w:t xml:space="preserve"> Not simply “like ones who”; see the note on 5:10.</w:t>
      </w:r>
    </w:p>
  </w:footnote>
  <w:footnote w:id="185">
    <w:p w:rsidR="00C5566B" w:rsidRDefault="00C5566B">
      <w:pPr>
        <w:pStyle w:val="FootnoteText"/>
      </w:pPr>
      <w:r>
        <w:rPr>
          <w:rStyle w:val="FootnoteReference"/>
        </w:rPr>
        <w:footnoteRef/>
      </w:r>
      <w:r>
        <w:t xml:space="preserve"> LXX has “my people is like a priest who is confronted.” Tg has “your people confront their teachers.” Vg reads as MT. Scholars have suggested various emendations but none has carried conviction.</w:t>
      </w:r>
    </w:p>
  </w:footnote>
  <w:footnote w:id="186">
    <w:p w:rsidR="00C5566B" w:rsidRPr="00EC02BA" w:rsidRDefault="00C5566B">
      <w:pPr>
        <w:pStyle w:val="FootnoteText"/>
      </w:pPr>
      <w:r>
        <w:rPr>
          <w:rStyle w:val="FootnoteReference"/>
        </w:rPr>
        <w:footnoteRef/>
      </w:r>
      <w:r>
        <w:t xml:space="preserve"> Cf. Vg. It is doubtful whether </w:t>
      </w:r>
      <w:r>
        <w:rPr>
          <w:i/>
        </w:rPr>
        <w:t>hayyôm</w:t>
      </w:r>
      <w:r>
        <w:t xml:space="preserve"> ever means “by day” (LXX); Neh. 4:</w:t>
      </w:r>
      <w:r w:rsidRPr="00EC02BA">
        <w:t>16 is the only possible other example</w:t>
      </w:r>
      <w:r>
        <w:t xml:space="preserve"> (see </w:t>
      </w:r>
      <w:r>
        <w:rPr>
          <w:i/>
        </w:rPr>
        <w:t>DCH</w:t>
      </w:r>
      <w:r>
        <w:t xml:space="preserve">). Tg significantly adds the preposition </w:t>
      </w:r>
      <w:r w:rsidRPr="00EC02BA">
        <w:rPr>
          <w:i/>
        </w:rPr>
        <w:t>b.</w:t>
      </w:r>
    </w:p>
  </w:footnote>
  <w:footnote w:id="187">
    <w:p w:rsidR="00C5566B" w:rsidRDefault="00C5566B">
      <w:pPr>
        <w:pStyle w:val="FootnoteText"/>
      </w:pPr>
      <w:r>
        <w:rPr>
          <w:rStyle w:val="FootnoteReference"/>
        </w:rPr>
        <w:footnoteRef/>
      </w:r>
      <w:r>
        <w:t xml:space="preserve"> LXX, Vg link “by night” with the next colon, ignoring the “and.”</w:t>
      </w:r>
    </w:p>
  </w:footnote>
  <w:footnote w:id="188">
    <w:p w:rsidR="00C5566B" w:rsidRPr="007A2B16" w:rsidRDefault="00C5566B">
      <w:pPr>
        <w:pStyle w:val="FootnoteText"/>
        <w:rPr>
          <w:i/>
        </w:rPr>
      </w:pPr>
      <w:r>
        <w:rPr>
          <w:rStyle w:val="FootnoteReference"/>
        </w:rPr>
        <w:footnoteRef/>
      </w:r>
      <w:r>
        <w:t xml:space="preserve"> Here and in the next colon LXX derives </w:t>
      </w:r>
      <w:r>
        <w:rPr>
          <w:i/>
        </w:rPr>
        <w:t>dāmîtî</w:t>
      </w:r>
      <w:r>
        <w:t xml:space="preserve"> from </w:t>
      </w:r>
      <w:r>
        <w:rPr>
          <w:i/>
        </w:rPr>
        <w:t>dāmāh</w:t>
      </w:r>
      <w:r>
        <w:t xml:space="preserve"> I “resemble” not </w:t>
      </w:r>
      <w:r>
        <w:rPr>
          <w:i/>
        </w:rPr>
        <w:t>dāmāh</w:t>
      </w:r>
      <w:r>
        <w:t xml:space="preserve"> II “cut off.” Aq, Sym, Theod, Vg derive it from </w:t>
      </w:r>
      <w:r>
        <w:rPr>
          <w:i/>
        </w:rPr>
        <w:t xml:space="preserve">dāmam </w:t>
      </w:r>
      <w:r w:rsidRPr="007A2B16">
        <w:t>“be silent.”</w:t>
      </w:r>
    </w:p>
  </w:footnote>
  <w:footnote w:id="189">
    <w:p w:rsidR="00C5566B" w:rsidRDefault="00C5566B">
      <w:pPr>
        <w:pStyle w:val="FootnoteText"/>
      </w:pPr>
      <w:r>
        <w:rPr>
          <w:rStyle w:val="FootnoteReference"/>
        </w:rPr>
        <w:footnoteRef/>
      </w:r>
      <w:r>
        <w:t xml:space="preserve"> Tg takes “mother” as a figure for the people as a whole (cf. 2:2 [4] and the next line).</w:t>
      </w:r>
    </w:p>
  </w:footnote>
  <w:footnote w:id="190">
    <w:p w:rsidR="00C5566B" w:rsidRPr="00746D85" w:rsidRDefault="00C5566B">
      <w:pPr>
        <w:pStyle w:val="FootnoteText"/>
      </w:pPr>
      <w:r>
        <w:rPr>
          <w:rStyle w:val="FootnoteReference"/>
        </w:rPr>
        <w:footnoteRef/>
      </w:r>
      <w:r>
        <w:t xml:space="preserve"> Taking </w:t>
      </w:r>
      <w:r w:rsidRPr="000C4AB7">
        <w:rPr>
          <w:i/>
        </w:rPr>
        <w:t xml:space="preserve">rubbām </w:t>
      </w:r>
      <w:r>
        <w:t xml:space="preserve">as a form of the noun </w:t>
      </w:r>
      <w:r>
        <w:rPr>
          <w:i/>
        </w:rPr>
        <w:t>rōb</w:t>
      </w:r>
      <w:r>
        <w:t>, w</w:t>
      </w:r>
      <w:r w:rsidRPr="000C4AB7">
        <w:t>ith LXX and Vg</w:t>
      </w:r>
      <w:r>
        <w:t>, rather than infinitive</w:t>
      </w:r>
      <w:r w:rsidRPr="000C4AB7">
        <w:t xml:space="preserve"> from </w:t>
      </w:r>
      <w:r w:rsidRPr="000C4AB7">
        <w:rPr>
          <w:i/>
        </w:rPr>
        <w:t>rābab</w:t>
      </w:r>
      <w:r>
        <w:t>, “as many as they were.”</w:t>
      </w:r>
    </w:p>
  </w:footnote>
  <w:footnote w:id="191">
    <w:p w:rsidR="00C5566B" w:rsidRPr="00D81489" w:rsidRDefault="00C5566B">
      <w:pPr>
        <w:pStyle w:val="FootnoteText"/>
      </w:pPr>
      <w:r>
        <w:rPr>
          <w:rStyle w:val="FootnoteReference"/>
        </w:rPr>
        <w:footnoteRef/>
      </w:r>
      <w:r>
        <w:t xml:space="preserve"> Tg implies </w:t>
      </w:r>
      <w:r>
        <w:rPr>
          <w:i/>
        </w:rPr>
        <w:t>hēmîrû</w:t>
      </w:r>
      <w:r>
        <w:t xml:space="preserve"> “they’ve changed” for MT </w:t>
      </w:r>
      <w:r>
        <w:rPr>
          <w:i/>
        </w:rPr>
        <w:t>’āmîr</w:t>
      </w:r>
      <w:r>
        <w:t>; “their honor” (</w:t>
      </w:r>
      <w:r>
        <w:rPr>
          <w:i/>
        </w:rPr>
        <w:t>kəbôdām</w:t>
      </w:r>
      <w:r>
        <w:t>)</w:t>
      </w:r>
      <w:r>
        <w:rPr>
          <w:i/>
        </w:rPr>
        <w:t xml:space="preserve"> </w:t>
      </w:r>
      <w:r>
        <w:t xml:space="preserve">might then denote Yahweh as “the honorable/glorious one” (cf. Ps. 106:20, to which Tg assimilates this line). Seethe discussion in Carmel McCarthy, </w:t>
      </w:r>
      <w:r>
        <w:rPr>
          <w:i/>
        </w:rPr>
        <w:t>The Tiqqune Sopherim</w:t>
      </w:r>
      <w:r>
        <w:t xml:space="preserve"> (Göttingen: Vandenhoeck, 1981), 97-105.</w:t>
      </w:r>
    </w:p>
  </w:footnote>
  <w:footnote w:id="192">
    <w:p w:rsidR="00C5566B" w:rsidRDefault="00C5566B">
      <w:pPr>
        <w:pStyle w:val="FootnoteText"/>
      </w:pPr>
      <w:r>
        <w:rPr>
          <w:rStyle w:val="FootnoteReference"/>
        </w:rPr>
        <w:footnoteRef/>
      </w:r>
      <w:r>
        <w:t xml:space="preserve"> I add “each” on the assumption that Hosea abbreviates the distributive construction (cf. Andersen/ Freedman, </w:t>
      </w:r>
      <w:r>
        <w:rPr>
          <w:i/>
        </w:rPr>
        <w:t>Hosea</w:t>
      </w:r>
      <w:r>
        <w:t>, 359).</w:t>
      </w:r>
    </w:p>
  </w:footnote>
  <w:footnote w:id="193">
    <w:p w:rsidR="00C5566B" w:rsidRDefault="00C5566B">
      <w:pPr>
        <w:pStyle w:val="FootnoteText"/>
      </w:pPr>
      <w:r>
        <w:rPr>
          <w:rStyle w:val="FootnoteReference"/>
        </w:rPr>
        <w:footnoteRef/>
      </w:r>
      <w:r>
        <w:t xml:space="preserve"> The subsequent</w:t>
      </w:r>
      <w:r w:rsidRPr="00DD4ED8">
        <w:t xml:space="preserve"> col</w:t>
      </w:r>
      <w:r>
        <w:t>a indicate the implication “people will suffer like priest</w:t>
      </w:r>
      <w:r w:rsidRPr="00DD4ED8">
        <w:t>”</w:t>
      </w:r>
      <w:r>
        <w:t xml:space="preserve"> as opposed to “priest will suffer like people.”</w:t>
      </w:r>
    </w:p>
  </w:footnote>
  <w:footnote w:id="194">
    <w:p w:rsidR="00C5566B" w:rsidRDefault="00C5566B" w:rsidP="00D221E4">
      <w:pPr>
        <w:pStyle w:val="FootnoteText"/>
      </w:pPr>
      <w:r>
        <w:rPr>
          <w:rStyle w:val="FootnoteReference"/>
        </w:rPr>
        <w:footnoteRef/>
      </w:r>
      <w:r>
        <w:t xml:space="preserve"> The object comes first and thus with emphasis. The third-person reference to Yahweh in a statement by Yahweh again reflects the ambiguity of the prophet’s position as mouthpiece or messenger. </w:t>
      </w:r>
    </w:p>
  </w:footnote>
  <w:footnote w:id="195">
    <w:p w:rsidR="00C5566B" w:rsidRPr="009F1476" w:rsidRDefault="00C5566B">
      <w:pPr>
        <w:pStyle w:val="FootnoteText"/>
      </w:pPr>
      <w:r>
        <w:rPr>
          <w:rStyle w:val="FootnoteReference"/>
        </w:rPr>
        <w:footnoteRef/>
      </w:r>
      <w:r>
        <w:t xml:space="preserve"> </w:t>
      </w:r>
      <w:r w:rsidRPr="005620A1">
        <w:t>MT’s verse division implies “they have abandoned observing Yahwe</w:t>
      </w:r>
      <w:r>
        <w:t xml:space="preserve">h,” but the formulation is </w:t>
      </w:r>
      <w:r w:rsidRPr="005620A1">
        <w:t>odd.</w:t>
      </w:r>
      <w:r>
        <w:t xml:space="preserve"> Tg reads the </w:t>
      </w:r>
      <w:r>
        <w:rPr>
          <w:i/>
        </w:rPr>
        <w:t xml:space="preserve">l </w:t>
      </w:r>
      <w:r>
        <w:t>on the verb as a negative, to make more sense of MT’s verse division (Cathcart/</w:t>
      </w:r>
      <w:r w:rsidRPr="009F1476">
        <w:t xml:space="preserve">Gordon, </w:t>
      </w:r>
      <w:r w:rsidRPr="009F1476">
        <w:rPr>
          <w:i/>
        </w:rPr>
        <w:t>Targum of the Minor Prophets</w:t>
      </w:r>
      <w:r>
        <w:t>, 37); cf. Vg.</w:t>
      </w:r>
    </w:p>
  </w:footnote>
  <w:footnote w:id="196">
    <w:p w:rsidR="00C5566B" w:rsidRDefault="00C5566B">
      <w:pPr>
        <w:pStyle w:val="FootnoteText"/>
      </w:pPr>
      <w:r>
        <w:rPr>
          <w:rStyle w:val="FootnoteReference"/>
        </w:rPr>
        <w:footnoteRef/>
      </w:r>
      <w:r>
        <w:t xml:space="preserve"> With LXX (c</w:t>
      </w:r>
      <w:r w:rsidRPr="00CD3830">
        <w:t xml:space="preserve">f. Cyril, </w:t>
      </w:r>
      <w:r w:rsidRPr="00CD3830">
        <w:rPr>
          <w:i/>
        </w:rPr>
        <w:t>Twelve Prophets</w:t>
      </w:r>
      <w:r w:rsidRPr="00CD3830">
        <w:t xml:space="preserve"> 1:113</w:t>
      </w:r>
      <w:r>
        <w:t>) I see “whoring” as the object of “observe.”.</w:t>
      </w:r>
    </w:p>
  </w:footnote>
  <w:footnote w:id="197">
    <w:p w:rsidR="00C5566B" w:rsidRDefault="00C5566B">
      <w:pPr>
        <w:pStyle w:val="FootnoteText"/>
      </w:pPr>
      <w:r>
        <w:rPr>
          <w:rStyle w:val="FootnoteReference"/>
        </w:rPr>
        <w:footnoteRef/>
      </w:r>
      <w:r>
        <w:t xml:space="preserve"> The singular verb treats “wine and new wine” as one thing (JM150p).</w:t>
      </w:r>
    </w:p>
  </w:footnote>
  <w:footnote w:id="198">
    <w:p w:rsidR="00C5566B" w:rsidRDefault="00C5566B">
      <w:pPr>
        <w:pStyle w:val="FootnoteText"/>
      </w:pPr>
      <w:r>
        <w:rPr>
          <w:rStyle w:val="FootnoteReference"/>
        </w:rPr>
        <w:footnoteRef/>
      </w:r>
      <w:r>
        <w:t xml:space="preserve"> LXX “the mind of my people” takes </w:t>
      </w:r>
      <w:r w:rsidRPr="0034224A">
        <w:rPr>
          <w:i/>
        </w:rPr>
        <w:t xml:space="preserve">lēb </w:t>
      </w:r>
      <w:r>
        <w:t>w</w:t>
      </w:r>
      <w:r w:rsidRPr="0034224A">
        <w:t>i</w:t>
      </w:r>
      <w:r>
        <w:t xml:space="preserve">th what follows. On </w:t>
      </w:r>
      <w:r>
        <w:rPr>
          <w:i/>
        </w:rPr>
        <w:t>lēb</w:t>
      </w:r>
      <w:r>
        <w:t>, see the note on 2:14 [16].</w:t>
      </w:r>
    </w:p>
  </w:footnote>
  <w:footnote w:id="199">
    <w:p w:rsidR="00C5566B" w:rsidRDefault="00C5566B">
      <w:pPr>
        <w:pStyle w:val="FootnoteText"/>
      </w:pPr>
      <w:r>
        <w:rPr>
          <w:rStyle w:val="FootnoteReference"/>
        </w:rPr>
        <w:footnoteRef/>
      </w:r>
      <w:r>
        <w:t xml:space="preserve"> The subject comes in emphatic position before the verb.</w:t>
      </w:r>
    </w:p>
  </w:footnote>
  <w:footnote w:id="200">
    <w:p w:rsidR="00C5566B" w:rsidRDefault="00C5566B" w:rsidP="00517705">
      <w:pPr>
        <w:pStyle w:val="FootnoteText"/>
      </w:pPr>
      <w:r>
        <w:rPr>
          <w:rStyle w:val="FootnoteReference"/>
        </w:rPr>
        <w:footnoteRef/>
      </w:r>
      <w:r>
        <w:t xml:space="preserve"> Taking </w:t>
      </w:r>
      <w:r>
        <w:rPr>
          <w:i/>
        </w:rPr>
        <w:t>bə</w:t>
      </w:r>
      <w:r>
        <w:t xml:space="preserve"> in the first colon as applying also in the second; what follows is then an unmarked relative clause.</w:t>
      </w:r>
    </w:p>
  </w:footnote>
  <w:footnote w:id="201">
    <w:p w:rsidR="00C5566B" w:rsidRDefault="00C5566B">
      <w:pPr>
        <w:pStyle w:val="FootnoteText"/>
      </w:pPr>
      <w:r>
        <w:rPr>
          <w:rStyle w:val="FootnoteReference"/>
        </w:rPr>
        <w:footnoteRef/>
      </w:r>
      <w:r>
        <w:t xml:space="preserve"> T</w:t>
      </w:r>
      <w:r w:rsidRPr="00A71869">
        <w:t xml:space="preserve">he verb </w:t>
      </w:r>
      <w:r>
        <w:t xml:space="preserve">is </w:t>
      </w:r>
      <w:r w:rsidRPr="00A71869">
        <w:t>masculine</w:t>
      </w:r>
      <w:r>
        <w:t>, though the subject (which precedes it) is feminine.</w:t>
      </w:r>
    </w:p>
  </w:footnote>
  <w:footnote w:id="202">
    <w:p w:rsidR="00C5566B" w:rsidRDefault="00C5566B">
      <w:pPr>
        <w:pStyle w:val="FootnoteText"/>
      </w:pPr>
      <w:r>
        <w:rPr>
          <w:rStyle w:val="FootnoteReference"/>
        </w:rPr>
        <w:footnoteRef/>
      </w:r>
      <w:r>
        <w:t xml:space="preserve"> Tg assumes that this line refers to marrying foreign girls (cf. 5:7).</w:t>
      </w:r>
    </w:p>
  </w:footnote>
  <w:footnote w:id="203">
    <w:p w:rsidR="00C5566B" w:rsidRDefault="00C5566B">
      <w:pPr>
        <w:pStyle w:val="FootnoteText"/>
      </w:pPr>
      <w:r>
        <w:rPr>
          <w:rStyle w:val="FootnoteReference"/>
        </w:rPr>
        <w:footnoteRef/>
      </w:r>
      <w:r>
        <w:t xml:space="preserve"> Not “understand” (e.g., NRSV): the point is that they need to put in the effort.</w:t>
      </w:r>
    </w:p>
  </w:footnote>
  <w:footnote w:id="204">
    <w:p w:rsidR="00C5566B" w:rsidRPr="003E7B1B" w:rsidRDefault="00C5566B">
      <w:pPr>
        <w:pStyle w:val="FootnoteText"/>
      </w:pPr>
      <w:r>
        <w:rPr>
          <w:rStyle w:val="FootnoteReference"/>
        </w:rPr>
        <w:footnoteRef/>
      </w:r>
      <w:r>
        <w:t xml:space="preserve"> Whether or not the repeated verb </w:t>
      </w:r>
      <w:r w:rsidRPr="003E7B1B">
        <w:rPr>
          <w:i/>
        </w:rPr>
        <w:t>sārar</w:t>
      </w:r>
      <w:r>
        <w:t xml:space="preserve"> is a byform of </w:t>
      </w:r>
      <w:r>
        <w:rPr>
          <w:i/>
        </w:rPr>
        <w:t>sûr</w:t>
      </w:r>
      <w:r>
        <w:t xml:space="preserve"> “turn aside,” in the context it will evoke the implications of </w:t>
      </w:r>
      <w:r w:rsidRPr="003E7B1B">
        <w:rPr>
          <w:i/>
        </w:rPr>
        <w:t>sûr</w:t>
      </w:r>
      <w:r>
        <w:t xml:space="preserve"> (</w:t>
      </w:r>
      <w:r>
        <w:rPr>
          <w:i/>
        </w:rPr>
        <w:t xml:space="preserve">DCH </w:t>
      </w:r>
      <w:r>
        <w:t>notes the juxtaposition of the verbs in Jer. 4:23; 5:28).</w:t>
      </w:r>
    </w:p>
  </w:footnote>
  <w:footnote w:id="205">
    <w:p w:rsidR="00C5566B" w:rsidRDefault="00C5566B">
      <w:pPr>
        <w:pStyle w:val="FootnoteText"/>
      </w:pPr>
      <w:r>
        <w:rPr>
          <w:rStyle w:val="FootnoteReference"/>
        </w:rPr>
        <w:footnoteRef/>
      </w:r>
      <w:r>
        <w:t xml:space="preserve"> At first sight v. 16b looks like a statement and a promise, which ill fits the context. It </w:t>
      </w:r>
      <w:r w:rsidRPr="002E265C">
        <w:t xml:space="preserve">can be understood as a threat </w:t>
      </w:r>
      <w:r>
        <w:t xml:space="preserve">if it’s </w:t>
      </w:r>
      <w:r w:rsidRPr="002E265C">
        <w:t xml:space="preserve">unnatural for a cow to be in a meadow </w:t>
      </w:r>
      <w:r>
        <w:t xml:space="preserve">(cf. Rashi </w:t>
      </w:r>
      <w:r w:rsidRPr="00FE68E6">
        <w:t xml:space="preserve">in </w:t>
      </w:r>
      <w:r w:rsidRPr="00FE68E6">
        <w:rPr>
          <w:i/>
        </w:rPr>
        <w:t>miqrā’ôt gədôlôt</w:t>
      </w:r>
      <w:r>
        <w:t>, on the passage), but it’s easier to infer that the line is an unmarked question (GK 150a).</w:t>
      </w:r>
    </w:p>
  </w:footnote>
  <w:footnote w:id="206">
    <w:p w:rsidR="00C5566B" w:rsidRPr="00AB78CB" w:rsidRDefault="00C5566B">
      <w:pPr>
        <w:pStyle w:val="FootnoteText"/>
      </w:pPr>
      <w:r>
        <w:rPr>
          <w:rStyle w:val="FootnoteReference"/>
        </w:rPr>
        <w:footnoteRef/>
      </w:r>
      <w:r>
        <w:t xml:space="preserve"> </w:t>
      </w:r>
      <w:r>
        <w:rPr>
          <w:i/>
        </w:rPr>
        <w:t>Sûr</w:t>
      </w:r>
      <w:r>
        <w:t xml:space="preserve"> is unusual in this connection (though see Isa. 11:13) but it makes for a paronomasia with </w:t>
      </w:r>
      <w:r>
        <w:rPr>
          <w:i/>
        </w:rPr>
        <w:t>sārar</w:t>
      </w:r>
      <w:r>
        <w:t xml:space="preserve"> (with the connotations of </w:t>
      </w:r>
      <w:r w:rsidRPr="00FC5C11">
        <w:rPr>
          <w:i/>
        </w:rPr>
        <w:t>sûr</w:t>
      </w:r>
      <w:r>
        <w:t>)</w:t>
      </w:r>
      <w:r w:rsidRPr="00FC5C11">
        <w:t xml:space="preserve"> </w:t>
      </w:r>
      <w:r>
        <w:t>in v. 16.</w:t>
      </w:r>
    </w:p>
  </w:footnote>
  <w:footnote w:id="207">
    <w:p w:rsidR="00C5566B" w:rsidRDefault="00C5566B">
      <w:pPr>
        <w:pStyle w:val="FootnoteText"/>
      </w:pPr>
      <w:r>
        <w:rPr>
          <w:rStyle w:val="FootnoteReference"/>
        </w:rPr>
        <w:footnoteRef/>
      </w:r>
      <w:r>
        <w:t xml:space="preserve"> Literally, “[in] whoring they have whored.”</w:t>
      </w:r>
    </w:p>
  </w:footnote>
  <w:footnote w:id="208">
    <w:p w:rsidR="00C5566B" w:rsidRDefault="00C5566B">
      <w:pPr>
        <w:pStyle w:val="FootnoteText"/>
      </w:pPr>
      <w:r>
        <w:rPr>
          <w:rStyle w:val="FootnoteReference"/>
        </w:rPr>
        <w:footnoteRef/>
      </w:r>
      <w:r>
        <w:t xml:space="preserve"> </w:t>
      </w:r>
      <w:r w:rsidRPr="004A7A8C">
        <w:rPr>
          <w:i/>
        </w:rPr>
        <w:t>Māginneyhā</w:t>
      </w:r>
      <w:r>
        <w:t xml:space="preserve">; cf. Vg </w:t>
      </w:r>
      <w:r w:rsidRPr="00A71869">
        <w:t xml:space="preserve">“protectors.” </w:t>
      </w:r>
      <w:r>
        <w:t xml:space="preserve">LXX “through their insolence” implies a reading such as </w:t>
      </w:r>
      <w:r>
        <w:rPr>
          <w:i/>
        </w:rPr>
        <w:t>miggə’ōnām</w:t>
      </w:r>
      <w:r>
        <w:t xml:space="preserve">. </w:t>
      </w:r>
    </w:p>
  </w:footnote>
  <w:footnote w:id="209">
    <w:p w:rsidR="00C5566B" w:rsidRPr="009D2D75" w:rsidRDefault="00C5566B">
      <w:pPr>
        <w:pStyle w:val="FootnoteText"/>
      </w:pPr>
      <w:r>
        <w:rPr>
          <w:rStyle w:val="FootnoteReference"/>
        </w:rPr>
        <w:footnoteRef/>
      </w:r>
      <w:r>
        <w:t xml:space="preserve"> </w:t>
      </w:r>
      <w:r>
        <w:rPr>
          <w:i/>
        </w:rPr>
        <w:t>DCH</w:t>
      </w:r>
      <w:r>
        <w:t xml:space="preserve"> takes </w:t>
      </w:r>
      <w:r>
        <w:rPr>
          <w:i/>
        </w:rPr>
        <w:t>hēbû</w:t>
      </w:r>
      <w:r>
        <w:t xml:space="preserve"> as a noun for “love” from the root </w:t>
      </w:r>
      <w:r>
        <w:rPr>
          <w:i/>
        </w:rPr>
        <w:t>’āhēb</w:t>
      </w:r>
      <w:r>
        <w:t>,</w:t>
      </w:r>
      <w:r>
        <w:rPr>
          <w:i/>
        </w:rPr>
        <w:t xml:space="preserve"> </w:t>
      </w:r>
      <w:r>
        <w:t xml:space="preserve">used adverbially; or one might take </w:t>
      </w:r>
      <w:r w:rsidRPr="009D2D75">
        <w:rPr>
          <w:i/>
        </w:rPr>
        <w:t>’āhăbû</w:t>
      </w:r>
      <w:r>
        <w:t xml:space="preserve"> </w:t>
      </w:r>
      <w:r w:rsidRPr="004A7A8C">
        <w:rPr>
          <w:i/>
        </w:rPr>
        <w:t xml:space="preserve">hēbû </w:t>
      </w:r>
      <w:r>
        <w:t xml:space="preserve">as an artificial pe‘al‘al form (JM 59d; cf. </w:t>
      </w:r>
      <w:r w:rsidRPr="00533E10">
        <w:t>Barthélemy</w:t>
      </w:r>
      <w:r w:rsidRPr="00533E10">
        <w:rPr>
          <w:i/>
        </w:rPr>
        <w:t>, Critique Textuelle</w:t>
      </w:r>
      <w:r>
        <w:t xml:space="preserve"> 3:515).</w:t>
      </w:r>
    </w:p>
  </w:footnote>
  <w:footnote w:id="210">
    <w:p w:rsidR="00C5566B" w:rsidRPr="004A7A8C" w:rsidRDefault="00C5566B" w:rsidP="004A7A8C">
      <w:pPr>
        <w:rPr>
          <w:sz w:val="20"/>
          <w:szCs w:val="20"/>
        </w:rPr>
      </w:pPr>
      <w:r>
        <w:rPr>
          <w:rStyle w:val="FootnoteReference"/>
        </w:rPr>
        <w:footnoteRef/>
      </w:r>
      <w:r>
        <w:t xml:space="preserve"> </w:t>
      </w:r>
      <w:r w:rsidRPr="004A7A8C">
        <w:rPr>
          <w:i/>
          <w:sz w:val="20"/>
          <w:szCs w:val="20"/>
        </w:rPr>
        <w:t>Ṣārar</w:t>
      </w:r>
      <w:r w:rsidRPr="004A7A8C">
        <w:rPr>
          <w:sz w:val="20"/>
          <w:szCs w:val="20"/>
        </w:rPr>
        <w:t xml:space="preserve"> generates another paronomasia with</w:t>
      </w:r>
      <w:r w:rsidRPr="004A7A8C">
        <w:rPr>
          <w:i/>
          <w:sz w:val="20"/>
          <w:szCs w:val="20"/>
        </w:rPr>
        <w:t xml:space="preserve"> sārar</w:t>
      </w:r>
      <w:r w:rsidRPr="004A7A8C">
        <w:rPr>
          <w:sz w:val="20"/>
          <w:szCs w:val="20"/>
        </w:rPr>
        <w:t xml:space="preserve"> and </w:t>
      </w:r>
      <w:r w:rsidRPr="004A7A8C">
        <w:rPr>
          <w:i/>
          <w:sz w:val="20"/>
          <w:szCs w:val="20"/>
        </w:rPr>
        <w:t>sûr</w:t>
      </w:r>
      <w:r w:rsidRPr="004A7A8C">
        <w:rPr>
          <w:sz w:val="20"/>
          <w:szCs w:val="20"/>
        </w:rPr>
        <w:t xml:space="preserve"> in vv. 16, 18. The feminine singular suffixes in vv. 18-19</w:t>
      </w:r>
      <w:r>
        <w:rPr>
          <w:sz w:val="20"/>
          <w:szCs w:val="20"/>
        </w:rPr>
        <w:t xml:space="preserve"> are odd, but one can hardly</w:t>
      </w:r>
      <w:r w:rsidRPr="004A7A8C">
        <w:rPr>
          <w:sz w:val="20"/>
          <w:szCs w:val="20"/>
        </w:rPr>
        <w:t xml:space="preserve"> read in a reference to an unnamed goddess </w:t>
      </w:r>
      <w:r>
        <w:rPr>
          <w:sz w:val="20"/>
          <w:szCs w:val="20"/>
        </w:rPr>
        <w:t>(so e.g.,</w:t>
      </w:r>
      <w:r w:rsidRPr="004A7A8C">
        <w:rPr>
          <w:sz w:val="20"/>
          <w:szCs w:val="20"/>
        </w:rPr>
        <w:t xml:space="preserve"> Frédéric Gangloff and Jean-Claude Haelewyck,  “Osée 4,17-19,” </w:t>
      </w:r>
      <w:r w:rsidRPr="004A7A8C">
        <w:rPr>
          <w:i/>
          <w:sz w:val="20"/>
          <w:szCs w:val="20"/>
        </w:rPr>
        <w:t>Ephemerides theologicae Lovanienses</w:t>
      </w:r>
      <w:r>
        <w:rPr>
          <w:sz w:val="20"/>
          <w:szCs w:val="20"/>
        </w:rPr>
        <w:t xml:space="preserve"> 71 [1995]</w:t>
      </w:r>
      <w:r w:rsidRPr="004A7A8C">
        <w:rPr>
          <w:sz w:val="20"/>
          <w:szCs w:val="20"/>
        </w:rPr>
        <w:t>: 370-382</w:t>
      </w:r>
      <w:r>
        <w:rPr>
          <w:sz w:val="20"/>
          <w:szCs w:val="20"/>
        </w:rPr>
        <w:t>)</w:t>
      </w:r>
      <w:r w:rsidRPr="004A7A8C">
        <w:rPr>
          <w:sz w:val="20"/>
          <w:szCs w:val="20"/>
        </w:rPr>
        <w:t>.</w:t>
      </w:r>
    </w:p>
  </w:footnote>
  <w:footnote w:id="211">
    <w:p w:rsidR="00C5566B" w:rsidRPr="00994EB7" w:rsidRDefault="00C5566B">
      <w:pPr>
        <w:pStyle w:val="FootnoteText"/>
      </w:pPr>
      <w:r>
        <w:rPr>
          <w:rStyle w:val="FootnoteReference"/>
        </w:rPr>
        <w:footnoteRef/>
      </w:r>
      <w:r>
        <w:t xml:space="preserve"> LXX, Tg imply </w:t>
      </w:r>
      <w:r>
        <w:rPr>
          <w:i/>
        </w:rPr>
        <w:t>mimmizbəḥôtām</w:t>
      </w:r>
      <w:r>
        <w:t xml:space="preserve"> ‘by their altars” for MT </w:t>
      </w:r>
      <w:r w:rsidRPr="00994EB7">
        <w:rPr>
          <w:i/>
        </w:rPr>
        <w:t>miz</w:t>
      </w:r>
      <w:r>
        <w:rPr>
          <w:i/>
        </w:rPr>
        <w:t>zi</w:t>
      </w:r>
      <w:r w:rsidRPr="00994EB7">
        <w:rPr>
          <w:i/>
        </w:rPr>
        <w:t>bḥôtām</w:t>
      </w:r>
      <w:r>
        <w:t>.</w:t>
      </w:r>
    </w:p>
  </w:footnote>
  <w:footnote w:id="212">
    <w:p w:rsidR="00C5566B" w:rsidRPr="0023790A" w:rsidRDefault="00C5566B" w:rsidP="00333F38">
      <w:pPr>
        <w:pStyle w:val="FootnoteText"/>
      </w:pPr>
      <w:r>
        <w:rPr>
          <w:rStyle w:val="FootnoteReference"/>
        </w:rPr>
        <w:footnoteRef/>
      </w:r>
      <w:r>
        <w:t xml:space="preserve"> Wolff, </w:t>
      </w:r>
      <w:r>
        <w:rPr>
          <w:i/>
        </w:rPr>
        <w:t>Hosea</w:t>
      </w:r>
      <w:r>
        <w:t>, 75.</w:t>
      </w:r>
    </w:p>
  </w:footnote>
  <w:footnote w:id="213">
    <w:p w:rsidR="00C5566B" w:rsidRPr="00324120" w:rsidRDefault="00C5566B" w:rsidP="00FF6A58">
      <w:pPr>
        <w:pStyle w:val="FootnoteText"/>
        <w:ind w:left="720" w:firstLine="0"/>
      </w:pPr>
      <w:r>
        <w:rPr>
          <w:rStyle w:val="FootnoteReference"/>
        </w:rPr>
        <w:footnoteRef/>
      </w:r>
      <w:r>
        <w:t xml:space="preserve"> Cf. Cathcart/Gordon, </w:t>
      </w:r>
      <w:r>
        <w:rPr>
          <w:i/>
        </w:rPr>
        <w:t>Targum of the Minor Prophets</w:t>
      </w:r>
      <w:r>
        <w:t>, 36.</w:t>
      </w:r>
    </w:p>
  </w:footnote>
  <w:footnote w:id="214">
    <w:p w:rsidR="00C5566B" w:rsidRPr="00EC1A43" w:rsidRDefault="00C5566B" w:rsidP="00FC64AE">
      <w:pPr>
        <w:pStyle w:val="FootnoteText"/>
      </w:pPr>
      <w:r>
        <w:rPr>
          <w:rStyle w:val="FootnoteReference"/>
        </w:rPr>
        <w:footnoteRef/>
      </w:r>
      <w:r>
        <w:t xml:space="preserve"> Walter Brueggemann, “The Uninflected </w:t>
      </w:r>
      <w:r>
        <w:rPr>
          <w:i/>
        </w:rPr>
        <w:t>Therefore</w:t>
      </w:r>
      <w:r>
        <w:t xml:space="preserve"> of Hosea 4:1-3,” in Fernando F. Segovia and Mary Ann Tolbert (eds.), </w:t>
      </w:r>
      <w:r>
        <w:rPr>
          <w:i/>
        </w:rPr>
        <w:t>Reading from This Place</w:t>
      </w:r>
      <w:r>
        <w:t xml:space="preserve"> (Minneapolis: Fortress, 1995) 1:231-49 (241).</w:t>
      </w:r>
    </w:p>
  </w:footnote>
  <w:footnote w:id="215">
    <w:p w:rsidR="00C5566B" w:rsidRPr="007A372B" w:rsidRDefault="00C5566B" w:rsidP="00D47254">
      <w:pPr>
        <w:pStyle w:val="FootnoteText"/>
      </w:pPr>
      <w:r>
        <w:rPr>
          <w:rStyle w:val="FootnoteReference"/>
        </w:rPr>
        <w:footnoteRef/>
      </w:r>
      <w:r>
        <w:t xml:space="preserve"> Andersen/Freedman, </w:t>
      </w:r>
      <w:r>
        <w:rPr>
          <w:i/>
        </w:rPr>
        <w:t>Hosea</w:t>
      </w:r>
      <w:r>
        <w:t>, 323.</w:t>
      </w:r>
    </w:p>
  </w:footnote>
  <w:footnote w:id="216">
    <w:p w:rsidR="00C5566B" w:rsidRDefault="00C5566B">
      <w:pPr>
        <w:pStyle w:val="FootnoteText"/>
      </w:pPr>
      <w:r>
        <w:rPr>
          <w:rStyle w:val="FootnoteReference"/>
        </w:rPr>
        <w:footnoteRef/>
      </w:r>
      <w:r>
        <w:t xml:space="preserve"> Cf. Robert Gordis, “Quotations in Biblical, Oriental, and Rabbinic Literature,” in </w:t>
      </w:r>
      <w:r>
        <w:rPr>
          <w:i/>
        </w:rPr>
        <w:t xml:space="preserve">Poets, Prophets, and Sages </w:t>
      </w:r>
      <w:r>
        <w:t xml:space="preserve">(Bloomington: Indiana University Press, 1971), 104-59 (113); Andersen/Freedman, </w:t>
      </w:r>
      <w:r>
        <w:rPr>
          <w:i/>
        </w:rPr>
        <w:t>Hosea</w:t>
      </w:r>
      <w:r>
        <w:t xml:space="preserve">, 345. </w:t>
      </w:r>
      <w:r>
        <w:rPr>
          <w:i/>
        </w:rPr>
        <w:t xml:space="preserve"> </w:t>
      </w:r>
      <w:r>
        <w:t>I extend the quotation through v. 5.</w:t>
      </w:r>
    </w:p>
  </w:footnote>
  <w:footnote w:id="217">
    <w:p w:rsidR="00C5566B" w:rsidRDefault="00C5566B">
      <w:pPr>
        <w:pStyle w:val="FootnoteText"/>
      </w:pPr>
      <w:r>
        <w:rPr>
          <w:rStyle w:val="FootnoteReference"/>
        </w:rPr>
        <w:footnoteRef/>
      </w:r>
      <w:r>
        <w:t xml:space="preserve"> See the comments on Hosea 9:7-8.</w:t>
      </w:r>
    </w:p>
  </w:footnote>
  <w:footnote w:id="218">
    <w:p w:rsidR="00C5566B" w:rsidRPr="00E05E8E" w:rsidRDefault="00C5566B">
      <w:pPr>
        <w:pStyle w:val="FootnoteText"/>
      </w:pPr>
      <w:r>
        <w:rPr>
          <w:rStyle w:val="FootnoteReference"/>
        </w:rPr>
        <w:footnoteRef/>
      </w:r>
      <w:r>
        <w:t xml:space="preserve"> Landy, </w:t>
      </w:r>
      <w:r>
        <w:rPr>
          <w:i/>
        </w:rPr>
        <w:t>Hosea</w:t>
      </w:r>
      <w:r>
        <w:t>, 57.</w:t>
      </w:r>
    </w:p>
  </w:footnote>
  <w:footnote w:id="219">
    <w:p w:rsidR="00C5566B" w:rsidRPr="00141BCC" w:rsidRDefault="00C5566B">
      <w:pPr>
        <w:pStyle w:val="FootnoteText"/>
      </w:pPr>
      <w:r>
        <w:rPr>
          <w:rStyle w:val="FootnoteReference"/>
        </w:rPr>
        <w:footnoteRef/>
      </w:r>
      <w:r>
        <w:t xml:space="preserve"> Dearman, </w:t>
      </w:r>
      <w:r>
        <w:rPr>
          <w:i/>
        </w:rPr>
        <w:t>Hosea</w:t>
      </w:r>
      <w:r>
        <w:t>, 161.</w:t>
      </w:r>
    </w:p>
  </w:footnote>
  <w:footnote w:id="220">
    <w:p w:rsidR="00C5566B" w:rsidRPr="00BA745C" w:rsidRDefault="00C5566B">
      <w:pPr>
        <w:pStyle w:val="FootnoteText"/>
      </w:pPr>
      <w:r>
        <w:rPr>
          <w:rStyle w:val="FootnoteReference"/>
        </w:rPr>
        <w:footnoteRef/>
      </w:r>
      <w:r>
        <w:t xml:space="preserve"> Cf. Ben Zvi, </w:t>
      </w:r>
      <w:r>
        <w:rPr>
          <w:i/>
        </w:rPr>
        <w:t>Hosea</w:t>
      </w:r>
      <w:r>
        <w:t>, 104.</w:t>
      </w:r>
    </w:p>
  </w:footnote>
  <w:footnote w:id="221">
    <w:p w:rsidR="00C5566B" w:rsidRPr="00832C5B" w:rsidRDefault="00C5566B" w:rsidP="00B77849">
      <w:pPr>
        <w:rPr>
          <w:rFonts w:eastAsiaTheme="minorHAnsi" w:cs="TimesNewRomanPS-ItalicMT"/>
          <w:iCs/>
          <w:sz w:val="20"/>
          <w:szCs w:val="20"/>
        </w:rPr>
      </w:pPr>
      <w:r>
        <w:rPr>
          <w:rStyle w:val="FootnoteReference"/>
        </w:rPr>
        <w:footnoteRef/>
      </w:r>
      <w:r>
        <w:t xml:space="preserve"> </w:t>
      </w:r>
      <w:r w:rsidRPr="00832C5B">
        <w:rPr>
          <w:rFonts w:eastAsiaTheme="minorHAnsi" w:cs="TimesNewRomanPS-ItalicMT"/>
          <w:iCs/>
          <w:sz w:val="20"/>
          <w:szCs w:val="20"/>
        </w:rPr>
        <w:t>Jutta Krispenz</w:t>
      </w:r>
      <w:r>
        <w:rPr>
          <w:rFonts w:eastAsiaTheme="minorHAnsi" w:cs="TimesNewRomanPS-ItalicMT"/>
          <w:iCs/>
          <w:sz w:val="20"/>
          <w:szCs w:val="20"/>
        </w:rPr>
        <w:t>, “</w:t>
      </w:r>
      <w:r w:rsidRPr="00832C5B">
        <w:rPr>
          <w:rFonts w:eastAsiaTheme="minorHAnsi" w:cs="TimesNewRomanPS-ItalicMT"/>
          <w:iCs/>
          <w:sz w:val="20"/>
          <w:szCs w:val="20"/>
        </w:rPr>
        <w:t>Idolatry, Apostasy, Prostitution</w:t>
      </w:r>
      <w:r>
        <w:rPr>
          <w:rFonts w:eastAsiaTheme="minorHAnsi" w:cs="TimesNewRomanPS-ItalicMT"/>
          <w:iCs/>
          <w:sz w:val="20"/>
          <w:szCs w:val="20"/>
        </w:rPr>
        <w:t xml:space="preserve">,” in </w:t>
      </w:r>
      <w:r w:rsidRPr="00832C5B">
        <w:rPr>
          <w:rFonts w:eastAsiaTheme="minorHAnsi" w:cs="MinionPro-Regular"/>
          <w:sz w:val="20"/>
          <w:szCs w:val="20"/>
        </w:rPr>
        <w:t>Lena-Sofia Tiemeyer</w:t>
      </w:r>
      <w:r>
        <w:rPr>
          <w:rFonts w:eastAsiaTheme="minorHAnsi" w:cs="MinionPro-Regular"/>
          <w:sz w:val="20"/>
          <w:szCs w:val="20"/>
        </w:rPr>
        <w:t xml:space="preserve"> (ed.), </w:t>
      </w:r>
      <w:r w:rsidRPr="00832C5B">
        <w:rPr>
          <w:rFonts w:eastAsiaTheme="minorHAnsi" w:cs="TimesNewRomanPS-ItalicMT"/>
          <w:i/>
          <w:iCs/>
          <w:sz w:val="20"/>
          <w:szCs w:val="20"/>
        </w:rPr>
        <w:t>Priests and Cults in the Book of the Twelve</w:t>
      </w:r>
      <w:r>
        <w:rPr>
          <w:rFonts w:eastAsiaTheme="minorHAnsi" w:cs="TimesNewRomanPS-ItalicMT"/>
          <w:iCs/>
          <w:sz w:val="20"/>
          <w:szCs w:val="20"/>
        </w:rPr>
        <w:t xml:space="preserve"> (Atlanta: SBL, 2016), 9-30 (16).</w:t>
      </w:r>
    </w:p>
  </w:footnote>
  <w:footnote w:id="222">
    <w:p w:rsidR="00C5566B" w:rsidRDefault="00C5566B">
      <w:pPr>
        <w:pStyle w:val="FootnoteText"/>
      </w:pPr>
      <w:r>
        <w:rPr>
          <w:rStyle w:val="FootnoteReference"/>
        </w:rPr>
        <w:footnoteRef/>
      </w:r>
      <w:r>
        <w:t xml:space="preserve"> Cf. </w:t>
      </w:r>
      <w:r w:rsidRPr="00155598">
        <w:t xml:space="preserve">Landy, </w:t>
      </w:r>
      <w:r w:rsidRPr="00155598">
        <w:rPr>
          <w:i/>
        </w:rPr>
        <w:t>Hosea</w:t>
      </w:r>
      <w:r>
        <w:t>, 62; he notes many other instances of paronomasia in the context.</w:t>
      </w:r>
    </w:p>
  </w:footnote>
  <w:footnote w:id="223">
    <w:p w:rsidR="00C5566B" w:rsidRPr="002F5177" w:rsidRDefault="00C5566B" w:rsidP="002F5177">
      <w:pPr>
        <w:pStyle w:val="FootnoteText"/>
      </w:pPr>
      <w:r>
        <w:rPr>
          <w:rStyle w:val="FootnoteReference"/>
        </w:rPr>
        <w:footnoteRef/>
      </w:r>
      <w:r>
        <w:t xml:space="preserve"> Cf. Karin Adams, “Metaphor and Dissonance,” </w:t>
      </w:r>
      <w:r>
        <w:rPr>
          <w:i/>
        </w:rPr>
        <w:t xml:space="preserve">JBL 127 </w:t>
      </w:r>
      <w:r>
        <w:t>(2008): 291-305; she thinks in terms of unfaithful worship more generally. James E. Miller’s critique (“</w:t>
      </w:r>
      <w:r w:rsidRPr="002F5177">
        <w:rPr>
          <w:bCs/>
        </w:rPr>
        <w:t>A Critical Response to Karin Adams's Reinterpretation of Hosea 4:13-14</w:t>
      </w:r>
      <w:r>
        <w:rPr>
          <w:bCs/>
        </w:rPr>
        <w:t xml:space="preserve">,” </w:t>
      </w:r>
      <w:r>
        <w:rPr>
          <w:bCs/>
          <w:i/>
        </w:rPr>
        <w:t xml:space="preserve">JBL </w:t>
      </w:r>
      <w:r>
        <w:rPr>
          <w:bCs/>
        </w:rPr>
        <w:t>128 [2009]: 503-6) does not affect the central point.</w:t>
      </w:r>
    </w:p>
  </w:footnote>
  <w:footnote w:id="224">
    <w:p w:rsidR="00C5566B" w:rsidRDefault="00C5566B">
      <w:pPr>
        <w:pStyle w:val="FootnoteText"/>
      </w:pPr>
      <w:r>
        <w:rPr>
          <w:rStyle w:val="FootnoteReference"/>
        </w:rPr>
        <w:footnoteRef/>
      </w:r>
      <w:r>
        <w:t xml:space="preserve"> Jack R. Lundbom</w:t>
      </w:r>
      <w:r w:rsidRPr="00F44B73">
        <w:t xml:space="preserve"> </w:t>
      </w:r>
      <w:r>
        <w:t>(</w:t>
      </w:r>
      <w:r w:rsidRPr="00F44B73">
        <w:rPr>
          <w:i/>
        </w:rPr>
        <w:t>Biblical Rhetoric and Rhetorical Criticism</w:t>
      </w:r>
      <w:r>
        <w:t xml:space="preserve"> [</w:t>
      </w:r>
      <w:r w:rsidRPr="00F44B73">
        <w:t>She</w:t>
      </w:r>
      <w:r>
        <w:t>ffield: Sheffield Phoenix, 2013], 232-39) particularly ties together this colon and v. 11.</w:t>
      </w:r>
    </w:p>
  </w:footnote>
  <w:footnote w:id="225">
    <w:p w:rsidR="00C5566B" w:rsidRPr="00681121" w:rsidRDefault="00C5566B">
      <w:pPr>
        <w:pStyle w:val="FootnoteText"/>
      </w:pPr>
      <w:r>
        <w:rPr>
          <w:rStyle w:val="FootnoteReference"/>
        </w:rPr>
        <w:footnoteRef/>
      </w:r>
      <w:r>
        <w:t xml:space="preserve"> Cf. Landy, </w:t>
      </w:r>
      <w:r>
        <w:rPr>
          <w:i/>
        </w:rPr>
        <w:t>Hosea</w:t>
      </w:r>
      <w:r>
        <w:t>, 60.</w:t>
      </w:r>
    </w:p>
  </w:footnote>
  <w:footnote w:id="226">
    <w:p w:rsidR="00C5566B" w:rsidRDefault="00C5566B">
      <w:pPr>
        <w:pStyle w:val="FootnoteText"/>
      </w:pPr>
      <w:r>
        <w:rPr>
          <w:rStyle w:val="FootnoteReference"/>
        </w:rPr>
        <w:footnoteRef/>
      </w:r>
      <w:r>
        <w:t xml:space="preserve"> Cyril,</w:t>
      </w:r>
      <w:r w:rsidRPr="00CD3830">
        <w:t xml:space="preserve"> </w:t>
      </w:r>
      <w:r w:rsidRPr="00CD3830">
        <w:rPr>
          <w:i/>
        </w:rPr>
        <w:t>Twelve Prophets</w:t>
      </w:r>
      <w:r w:rsidRPr="00CD3830">
        <w:t xml:space="preserve"> 1</w:t>
      </w:r>
      <w:r>
        <w:t>:119.</w:t>
      </w:r>
    </w:p>
  </w:footnote>
  <w:footnote w:id="227">
    <w:p w:rsidR="00C5566B" w:rsidRPr="006B142A" w:rsidRDefault="00C5566B">
      <w:pPr>
        <w:pStyle w:val="FootnoteText"/>
      </w:pPr>
      <w:r>
        <w:rPr>
          <w:rStyle w:val="FootnoteReference"/>
        </w:rPr>
        <w:footnoteRef/>
      </w:r>
      <w:r>
        <w:t xml:space="preserve"> See Pierre J. P. van Hecke, “Conceptual Blending,” in van Hecke (ed.), </w:t>
      </w:r>
      <w:r>
        <w:rPr>
          <w:i/>
        </w:rPr>
        <w:t>Metaphor in the Hebrew Bible</w:t>
      </w:r>
      <w:r>
        <w:t xml:space="preserve"> (Leuven: Peeters, 2015), 215-31.</w:t>
      </w:r>
    </w:p>
  </w:footnote>
  <w:footnote w:id="228">
    <w:p w:rsidR="00C5566B" w:rsidRPr="00A54A9F" w:rsidRDefault="00C5566B" w:rsidP="00FF6A58">
      <w:pPr>
        <w:pStyle w:val="Footnote"/>
      </w:pPr>
      <w:r>
        <w:rPr>
          <w:rStyle w:val="FootnoteReference"/>
        </w:rPr>
        <w:footnoteRef/>
      </w:r>
      <w:r>
        <w:t xml:space="preserve"> See Thomas C. Parker, </w:t>
      </w:r>
      <w:r>
        <w:rPr>
          <w:i/>
        </w:rPr>
        <w:t>The Knowledge of God in Hosea</w:t>
      </w:r>
      <w:r>
        <w:t xml:space="preserve"> (Diss., Sheffield, 1993).</w:t>
      </w:r>
    </w:p>
  </w:footnote>
  <w:footnote w:id="229">
    <w:p w:rsidR="00C5566B" w:rsidRPr="004A329A" w:rsidRDefault="00C5566B">
      <w:pPr>
        <w:pStyle w:val="FootnoteText"/>
      </w:pPr>
      <w:r>
        <w:rPr>
          <w:rStyle w:val="FootnoteReference"/>
        </w:rPr>
        <w:footnoteRef/>
      </w:r>
      <w:r>
        <w:t xml:space="preserve"> See </w:t>
      </w:r>
      <w:r w:rsidRPr="004A329A">
        <w:t>Gunther H</w:t>
      </w:r>
      <w:r>
        <w:t>.</w:t>
      </w:r>
      <w:r w:rsidRPr="004A329A">
        <w:rPr>
          <w:rFonts w:eastAsiaTheme="minorHAnsi"/>
          <w:sz w:val="22"/>
          <w:szCs w:val="22"/>
        </w:rPr>
        <w:t xml:space="preserve"> </w:t>
      </w:r>
      <w:r>
        <w:t>Wittenberg, “</w:t>
      </w:r>
      <w:r>
        <w:rPr>
          <w:rFonts w:eastAsiaTheme="minorHAnsi" w:cs="TimesNewRoman,Bold"/>
          <w:bCs/>
        </w:rPr>
        <w:t xml:space="preserve">Knowledge of God,” </w:t>
      </w:r>
      <w:r>
        <w:rPr>
          <w:rFonts w:eastAsiaTheme="minorHAnsi" w:cs="TimesNewRoman,Bold"/>
          <w:bCs/>
          <w:i/>
        </w:rPr>
        <w:t xml:space="preserve">OTE </w:t>
      </w:r>
      <w:r>
        <w:rPr>
          <w:rFonts w:eastAsiaTheme="minorHAnsi" w:cs="TimesNewRoman,Bold"/>
          <w:bCs/>
        </w:rPr>
        <w:t>22 (2009): 488-509.</w:t>
      </w:r>
    </w:p>
  </w:footnote>
  <w:footnote w:id="230">
    <w:p w:rsidR="00C5566B" w:rsidRPr="00E272F1" w:rsidRDefault="00C5566B" w:rsidP="00FF6A58">
      <w:pPr>
        <w:pStyle w:val="FootnoteText"/>
      </w:pPr>
      <w:r>
        <w:rPr>
          <w:rStyle w:val="FootnoteReference"/>
        </w:rPr>
        <w:footnoteRef/>
      </w:r>
      <w:r>
        <w:t xml:space="preserve"> Michael DeRoche, “The Reversal of Creation in Hosea,” </w:t>
      </w:r>
      <w:r>
        <w:rPr>
          <w:i/>
        </w:rPr>
        <w:t>VT</w:t>
      </w:r>
      <w:r>
        <w:t xml:space="preserve"> 31 (1981): 400-9 (403). </w:t>
      </w:r>
    </w:p>
  </w:footnote>
  <w:footnote w:id="231">
    <w:p w:rsidR="00C5566B" w:rsidRPr="00D04B9F" w:rsidRDefault="00C5566B">
      <w:pPr>
        <w:pStyle w:val="FootnoteText"/>
      </w:pPr>
      <w:r>
        <w:rPr>
          <w:rStyle w:val="FootnoteReference"/>
        </w:rPr>
        <w:footnoteRef/>
      </w:r>
      <w:r>
        <w:t xml:space="preserve"> Carl J. Bosma, “Creation in Jeopardy,” </w:t>
      </w:r>
      <w:r>
        <w:rPr>
          <w:i/>
        </w:rPr>
        <w:t>CTJ</w:t>
      </w:r>
      <w:r>
        <w:t xml:space="preserve"> 34 (1999): 64-116.</w:t>
      </w:r>
    </w:p>
  </w:footnote>
  <w:footnote w:id="232">
    <w:p w:rsidR="00C5566B" w:rsidRPr="000178A6" w:rsidRDefault="00C5566B">
      <w:pPr>
        <w:pStyle w:val="FootnoteText"/>
      </w:pPr>
      <w:r>
        <w:rPr>
          <w:rStyle w:val="FootnoteReference"/>
        </w:rPr>
        <w:footnoteRef/>
      </w:r>
      <w:r>
        <w:t xml:space="preserve"> </w:t>
      </w:r>
      <w:r w:rsidRPr="000178A6">
        <w:t>Melissa Tubbs Loya</w:t>
      </w:r>
      <w:r>
        <w:t xml:space="preserve">, “‘Therefore the Earth Mourns,’” in Habel and Trudiger (eds.), </w:t>
      </w:r>
      <w:r>
        <w:rPr>
          <w:i/>
        </w:rPr>
        <w:t>Exploring Ecological Hermeneutics</w:t>
      </w:r>
      <w:r>
        <w:t>, 53-62 (59).</w:t>
      </w:r>
    </w:p>
  </w:footnote>
  <w:footnote w:id="233">
    <w:p w:rsidR="00C5566B" w:rsidRPr="006A6017" w:rsidRDefault="00C5566B">
      <w:pPr>
        <w:pStyle w:val="FootnoteText"/>
      </w:pPr>
      <w:r>
        <w:rPr>
          <w:rStyle w:val="FootnoteReference"/>
        </w:rPr>
        <w:footnoteRef/>
      </w:r>
      <w:r>
        <w:t xml:space="preserve"> Marlow, </w:t>
      </w:r>
      <w:r w:rsidRPr="006A6017">
        <w:rPr>
          <w:i/>
        </w:rPr>
        <w:t>Biblical Prophets and Contemporary Environmental Ethics</w:t>
      </w:r>
      <w:r>
        <w:t>, 194.</w:t>
      </w:r>
    </w:p>
  </w:footnote>
  <w:footnote w:id="234">
    <w:p w:rsidR="00C5566B" w:rsidRPr="009242D3" w:rsidRDefault="00C5566B" w:rsidP="009242D3">
      <w:pPr>
        <w:pStyle w:val="FootnoteText"/>
      </w:pPr>
      <w:r>
        <w:rPr>
          <w:rStyle w:val="FootnoteReference"/>
        </w:rPr>
        <w:footnoteRef/>
      </w:r>
      <w:r>
        <w:t xml:space="preserve"> Wolff, </w:t>
      </w:r>
      <w:r>
        <w:rPr>
          <w:i/>
        </w:rPr>
        <w:t>Hosea</w:t>
      </w:r>
      <w:r>
        <w:t>, 79, 80. The English equivalents of the first two references are 2:1 and 23.</w:t>
      </w:r>
    </w:p>
  </w:footnote>
  <w:footnote w:id="235">
    <w:p w:rsidR="00C5566B" w:rsidRDefault="00C5566B">
      <w:pPr>
        <w:pStyle w:val="FootnoteText"/>
      </w:pPr>
      <w:r>
        <w:rPr>
          <w:rStyle w:val="FootnoteReference"/>
        </w:rPr>
        <w:footnoteRef/>
      </w:r>
      <w:r>
        <w:t xml:space="preserve"> </w:t>
      </w:r>
      <w:r w:rsidRPr="007333E5">
        <w:t>Bosma, “Creation in Jeopardy</w:t>
      </w:r>
      <w:r>
        <w:t>,” 64.</w:t>
      </w:r>
    </w:p>
  </w:footnote>
  <w:footnote w:id="236">
    <w:p w:rsidR="00C5566B" w:rsidRDefault="00C5566B">
      <w:pPr>
        <w:pStyle w:val="FootnoteText"/>
      </w:pPr>
      <w:r>
        <w:rPr>
          <w:rStyle w:val="FootnoteReference"/>
        </w:rPr>
        <w:footnoteRef/>
      </w:r>
      <w:r>
        <w:t xml:space="preserve"> </w:t>
      </w:r>
      <w:r w:rsidRPr="00197619">
        <w:t>Augustine</w:t>
      </w:r>
      <w:r>
        <w:t>,</w:t>
      </w:r>
      <w:r w:rsidRPr="00197619">
        <w:t xml:space="preserve"> </w:t>
      </w:r>
      <w:r w:rsidRPr="00197619">
        <w:rPr>
          <w:i/>
        </w:rPr>
        <w:t>Homilies on John</w:t>
      </w:r>
      <w:r>
        <w:rPr>
          <w:i/>
        </w:rPr>
        <w:t>,</w:t>
      </w:r>
      <w:r>
        <w:t xml:space="preserve"> 15:25 (NPNF I,</w:t>
      </w:r>
      <w:r w:rsidRPr="00197619">
        <w:t xml:space="preserve"> 7</w:t>
      </w:r>
      <w:r>
        <w:t>:105-6)</w:t>
      </w:r>
    </w:p>
  </w:footnote>
  <w:footnote w:id="237">
    <w:p w:rsidR="00C5566B" w:rsidRDefault="00C5566B" w:rsidP="0096363D">
      <w:pPr>
        <w:pStyle w:val="FootnoteText"/>
      </w:pPr>
      <w:r>
        <w:rPr>
          <w:rStyle w:val="FootnoteReference"/>
        </w:rPr>
        <w:footnoteRef/>
      </w:r>
      <w:r>
        <w:t xml:space="preserve"> See the note on “Israel’s household” in 1:4; it makes sense in light of the next line if the phrase here refers specifically to the administration.</w:t>
      </w:r>
    </w:p>
  </w:footnote>
  <w:footnote w:id="238">
    <w:p w:rsidR="00C5566B" w:rsidRPr="004B75DB" w:rsidRDefault="00C5566B" w:rsidP="00125113">
      <w:pPr>
        <w:autoSpaceDE w:val="0"/>
        <w:autoSpaceDN w:val="0"/>
        <w:adjustRightInd w:val="0"/>
        <w:rPr>
          <w:rFonts w:eastAsiaTheme="minorHAnsi" w:cs="TimesNewRomanPSMT"/>
          <w:sz w:val="20"/>
          <w:szCs w:val="20"/>
          <w:lang w:bidi="he-IL"/>
        </w:rPr>
      </w:pPr>
      <w:r>
        <w:rPr>
          <w:rStyle w:val="FootnoteReference"/>
        </w:rPr>
        <w:footnoteRef/>
      </w:r>
      <w:r>
        <w:t xml:space="preserve"> </w:t>
      </w:r>
      <w:r w:rsidRPr="004B75DB">
        <w:rPr>
          <w:sz w:val="20"/>
          <w:szCs w:val="20"/>
        </w:rPr>
        <w:t xml:space="preserve">The line begins with the paronomasia </w:t>
      </w:r>
      <w:r w:rsidRPr="004B75DB">
        <w:rPr>
          <w:i/>
          <w:sz w:val="20"/>
          <w:szCs w:val="20"/>
        </w:rPr>
        <w:t>wəšaḥăṭāh śēṭîm</w:t>
      </w:r>
      <w:r w:rsidRPr="004B75DB">
        <w:rPr>
          <w:sz w:val="20"/>
          <w:szCs w:val="20"/>
        </w:rPr>
        <w:t xml:space="preserve">: the first word is an alternative spelling for </w:t>
      </w:r>
      <w:r w:rsidRPr="004B75DB">
        <w:rPr>
          <w:i/>
          <w:sz w:val="20"/>
          <w:szCs w:val="20"/>
        </w:rPr>
        <w:t xml:space="preserve">šaḥătāh </w:t>
      </w:r>
      <w:r>
        <w:rPr>
          <w:sz w:val="20"/>
          <w:szCs w:val="20"/>
        </w:rPr>
        <w:t>(“slaughter”),</w:t>
      </w:r>
      <w:r w:rsidRPr="004B75DB">
        <w:rPr>
          <w:sz w:val="20"/>
          <w:szCs w:val="20"/>
        </w:rPr>
        <w:t xml:space="preserve"> the second is</w:t>
      </w:r>
      <w:r w:rsidRPr="004B75DB">
        <w:rPr>
          <w:i/>
          <w:sz w:val="20"/>
          <w:szCs w:val="20"/>
        </w:rPr>
        <w:t xml:space="preserve"> śēṭ</w:t>
      </w:r>
      <w:r w:rsidRPr="004B75DB">
        <w:rPr>
          <w:sz w:val="20"/>
          <w:szCs w:val="20"/>
        </w:rPr>
        <w:t xml:space="preserve"> from </w:t>
      </w:r>
      <w:r w:rsidRPr="004B75DB">
        <w:rPr>
          <w:i/>
          <w:sz w:val="20"/>
          <w:szCs w:val="20"/>
        </w:rPr>
        <w:t>śûṭ</w:t>
      </w:r>
      <w:r w:rsidRPr="004B75DB">
        <w:rPr>
          <w:sz w:val="20"/>
          <w:szCs w:val="20"/>
        </w:rPr>
        <w:t xml:space="preserve">, a variant for </w:t>
      </w:r>
      <w:r w:rsidRPr="004B75DB">
        <w:rPr>
          <w:i/>
          <w:sz w:val="20"/>
          <w:szCs w:val="20"/>
        </w:rPr>
        <w:t>śāṭāh</w:t>
      </w:r>
      <w:r>
        <w:rPr>
          <w:sz w:val="20"/>
          <w:szCs w:val="20"/>
        </w:rPr>
        <w:t xml:space="preserve"> (see BDB). On</w:t>
      </w:r>
      <w:r w:rsidRPr="004B75DB">
        <w:rPr>
          <w:sz w:val="20"/>
          <w:szCs w:val="20"/>
        </w:rPr>
        <w:t xml:space="preserve"> NRSV’s emendation, see Macintosh, </w:t>
      </w:r>
      <w:r w:rsidRPr="004B75DB">
        <w:rPr>
          <w:i/>
          <w:sz w:val="20"/>
          <w:szCs w:val="20"/>
        </w:rPr>
        <w:t>Hosea</w:t>
      </w:r>
      <w:r>
        <w:rPr>
          <w:sz w:val="20"/>
          <w:szCs w:val="20"/>
        </w:rPr>
        <w:t xml:space="preserve">, 178-82. See further </w:t>
      </w:r>
      <w:r w:rsidRPr="004B75DB">
        <w:rPr>
          <w:sz w:val="20"/>
          <w:szCs w:val="20"/>
        </w:rPr>
        <w:t>Gert Kwakkel, “</w:t>
      </w:r>
      <w:r w:rsidRPr="004B75DB">
        <w:rPr>
          <w:rFonts w:eastAsiaTheme="minorHAnsi" w:cs="Times New Roman"/>
          <w:bCs/>
          <w:sz w:val="20"/>
          <w:szCs w:val="20"/>
        </w:rPr>
        <w:t xml:space="preserve">Paronomasia, Ambiguities and Shifts in Hos 5:1-2,” </w:t>
      </w:r>
      <w:r w:rsidRPr="004B75DB">
        <w:rPr>
          <w:rFonts w:eastAsiaTheme="minorHAnsi" w:cs="Times New Roman"/>
          <w:bCs/>
          <w:i/>
          <w:sz w:val="20"/>
          <w:szCs w:val="20"/>
        </w:rPr>
        <w:t xml:space="preserve">VT </w:t>
      </w:r>
      <w:r w:rsidRPr="004B75DB">
        <w:rPr>
          <w:rFonts w:eastAsiaTheme="minorHAnsi" w:cs="Times New Roman"/>
          <w:bCs/>
          <w:sz w:val="20"/>
          <w:szCs w:val="20"/>
        </w:rPr>
        <w:t>61 (2011): 603-15.</w:t>
      </w:r>
    </w:p>
  </w:footnote>
  <w:footnote w:id="239">
    <w:p w:rsidR="00C5566B" w:rsidRDefault="00C5566B" w:rsidP="0096363D">
      <w:pPr>
        <w:pStyle w:val="FootnoteText"/>
      </w:pPr>
      <w:r>
        <w:rPr>
          <w:rStyle w:val="FootnoteReference"/>
        </w:rPr>
        <w:footnoteRef/>
      </w:r>
      <w:r>
        <w:t xml:space="preserve"> The line thus takes neat abcc’b’a’ form.</w:t>
      </w:r>
    </w:p>
  </w:footnote>
  <w:footnote w:id="240">
    <w:p w:rsidR="00C5566B" w:rsidRPr="002F3D6E" w:rsidRDefault="00C5566B" w:rsidP="0096363D">
      <w:pPr>
        <w:pStyle w:val="FootnoteText"/>
      </w:pPr>
      <w:r>
        <w:rPr>
          <w:rStyle w:val="FootnoteReference"/>
        </w:rPr>
        <w:footnoteRef/>
      </w:r>
      <w:r>
        <w:t xml:space="preserve"> LXX, Aq, Sym, Theod, Vg have terms such as “pride,” but </w:t>
      </w:r>
      <w:r>
        <w:rPr>
          <w:i/>
        </w:rPr>
        <w:t>gā’ôn</w:t>
      </w:r>
      <w:r>
        <w:t xml:space="preserve"> is not an inherently pejorative word; hence Tg </w:t>
      </w:r>
      <w:r>
        <w:rPr>
          <w:i/>
        </w:rPr>
        <w:t>yəqar</w:t>
      </w:r>
      <w:r>
        <w:t>.</w:t>
      </w:r>
    </w:p>
  </w:footnote>
  <w:footnote w:id="241">
    <w:p w:rsidR="00C5566B" w:rsidRPr="00242F22" w:rsidRDefault="00C5566B" w:rsidP="0096363D">
      <w:pPr>
        <w:pStyle w:val="FootnoteText"/>
      </w:pPr>
      <w:r>
        <w:rPr>
          <w:rStyle w:val="FootnoteReference"/>
        </w:rPr>
        <w:footnoteRef/>
      </w:r>
      <w:r>
        <w:t xml:space="preserve"> The parallelism suggests deriving the verb from </w:t>
      </w:r>
      <w:r w:rsidRPr="00594D2F">
        <w:rPr>
          <w:i/>
        </w:rPr>
        <w:t>‘ānāh</w:t>
      </w:r>
      <w:r w:rsidRPr="00594D2F">
        <w:t xml:space="preserve"> III </w:t>
      </w:r>
      <w:r>
        <w:t xml:space="preserve">(LXX, Tg) rather than </w:t>
      </w:r>
      <w:r>
        <w:rPr>
          <w:i/>
        </w:rPr>
        <w:t>‘ānāh</w:t>
      </w:r>
      <w:r>
        <w:t xml:space="preserve"> I “answer, aver” (Vg). </w:t>
      </w:r>
    </w:p>
  </w:footnote>
  <w:footnote w:id="242">
    <w:p w:rsidR="00C5566B" w:rsidRDefault="00C5566B" w:rsidP="0096363D">
      <w:pPr>
        <w:pStyle w:val="FootnoteText"/>
      </w:pPr>
      <w:r>
        <w:rPr>
          <w:rStyle w:val="FootnoteReference"/>
        </w:rPr>
        <w:footnoteRef/>
      </w:r>
      <w:r>
        <w:t xml:space="preserve"> Or “before/against its own face” if the verb is </w:t>
      </w:r>
      <w:r w:rsidRPr="00CE3050">
        <w:rPr>
          <w:i/>
        </w:rPr>
        <w:t>‘ānāh</w:t>
      </w:r>
      <w:r w:rsidRPr="00CE3050">
        <w:t xml:space="preserve"> I</w:t>
      </w:r>
      <w:r>
        <w:t xml:space="preserve">. </w:t>
      </w:r>
    </w:p>
  </w:footnote>
  <w:footnote w:id="243">
    <w:p w:rsidR="00C5566B" w:rsidRPr="001C2935" w:rsidRDefault="00C5566B" w:rsidP="0096363D">
      <w:pPr>
        <w:pStyle w:val="FootnoteText"/>
      </w:pPr>
      <w:r>
        <w:rPr>
          <w:rStyle w:val="FootnoteReference"/>
        </w:rPr>
        <w:footnoteRef/>
      </w:r>
      <w:r>
        <w:t xml:space="preserve"> More literally, “Israel and Ephraim will collapse,” the verb being plural. Were Israel and Ephraim in some way separate entities (see e.g., Dearman, </w:t>
      </w:r>
      <w:r>
        <w:rPr>
          <w:i/>
        </w:rPr>
        <w:t>Hosea</w:t>
      </w:r>
      <w:r>
        <w:t>, 23-24, 175-76</w:t>
      </w:r>
      <w:r>
        <w:rPr>
          <w:i/>
        </w:rPr>
        <w:t>)</w:t>
      </w:r>
      <w:r>
        <w:t xml:space="preserve">? I rather take </w:t>
      </w:r>
      <w:r>
        <w:rPr>
          <w:i/>
        </w:rPr>
        <w:t>wə’eprayim</w:t>
      </w:r>
      <w:r>
        <w:t xml:space="preserve"> as defining </w:t>
      </w:r>
      <w:r>
        <w:rPr>
          <w:i/>
        </w:rPr>
        <w:t>yiśrā’ēl</w:t>
      </w:r>
      <w:r>
        <w:t>, perhaps as an explanatory addition in light of the (added?) reference to Judah in the next colon. Hosea can switch between treating Israel as singular or plural (see 4:15—5:4) so the plural can be original.</w:t>
      </w:r>
    </w:p>
  </w:footnote>
  <w:footnote w:id="244">
    <w:p w:rsidR="00C5566B" w:rsidRPr="007150B9" w:rsidRDefault="00C5566B" w:rsidP="0096363D">
      <w:pPr>
        <w:pStyle w:val="FootnoteText"/>
      </w:pPr>
      <w:r>
        <w:rPr>
          <w:rStyle w:val="FootnoteReference"/>
        </w:rPr>
        <w:footnoteRef/>
      </w:r>
      <w:r>
        <w:t xml:space="preserve"> The verb </w:t>
      </w:r>
      <w:r>
        <w:rPr>
          <w:i/>
        </w:rPr>
        <w:t>ḥālaṣ</w:t>
      </w:r>
      <w:r>
        <w:t xml:space="preserve"> usually denotes pulling off or pulling out (in the niphal and piel), often in the sense of rescuing—so the usage here conveys some irony.</w:t>
      </w:r>
    </w:p>
  </w:footnote>
  <w:footnote w:id="245">
    <w:p w:rsidR="00C5566B" w:rsidRPr="00770CD1" w:rsidRDefault="00C5566B" w:rsidP="0096363D">
      <w:pPr>
        <w:pStyle w:val="FootnoteText"/>
      </w:pPr>
      <w:r>
        <w:rPr>
          <w:rStyle w:val="FootnoteReference"/>
        </w:rPr>
        <w:footnoteRef/>
      </w:r>
      <w:r>
        <w:t xml:space="preserve"> The more straightforward translation “a new month will consume them” makes poor sense; LXX implies </w:t>
      </w:r>
      <w:r>
        <w:rPr>
          <w:i/>
        </w:rPr>
        <w:t>ḥāsîl</w:t>
      </w:r>
      <w:r>
        <w:t xml:space="preserve"> (locust) for </w:t>
      </w:r>
      <w:r w:rsidRPr="00770CD1">
        <w:rPr>
          <w:i/>
        </w:rPr>
        <w:t>ḥōdeš</w:t>
      </w:r>
      <w:r>
        <w:t xml:space="preserve">, an easier reading. For </w:t>
      </w:r>
      <w:r w:rsidRPr="00FC63E8">
        <w:rPr>
          <w:i/>
        </w:rPr>
        <w:t>ḥōdeš</w:t>
      </w:r>
      <w:r w:rsidRPr="00FC63E8">
        <w:t xml:space="preserve"> as adverbial expression of time</w:t>
      </w:r>
      <w:r>
        <w:t>, cf. Tg (and</w:t>
      </w:r>
      <w:r w:rsidRPr="00FC63E8">
        <w:t xml:space="preserve"> GK 118i).</w:t>
      </w:r>
    </w:p>
  </w:footnote>
  <w:footnote w:id="246">
    <w:p w:rsidR="00C5566B" w:rsidRPr="006F6851" w:rsidRDefault="00C5566B" w:rsidP="0096363D">
      <w:pPr>
        <w:pStyle w:val="FootnoteText"/>
      </w:pPr>
      <w:r>
        <w:rPr>
          <w:rStyle w:val="FootnoteReference"/>
        </w:rPr>
        <w:footnoteRef/>
      </w:r>
      <w:r>
        <w:t xml:space="preserve"> Cf. Jeremias, </w:t>
      </w:r>
      <w:r>
        <w:rPr>
          <w:i/>
        </w:rPr>
        <w:t>Hosea</w:t>
      </w:r>
      <w:r>
        <w:t>, 75.</w:t>
      </w:r>
    </w:p>
  </w:footnote>
  <w:footnote w:id="247">
    <w:p w:rsidR="00C5566B" w:rsidRPr="00F8286A" w:rsidRDefault="00C5566B" w:rsidP="0096363D">
      <w:pPr>
        <w:pStyle w:val="FootnoteText"/>
      </w:pPr>
      <w:r>
        <w:rPr>
          <w:rStyle w:val="FootnoteReference"/>
        </w:rPr>
        <w:footnoteRef/>
      </w:r>
      <w:r>
        <w:t xml:space="preserve"> Cf. </w:t>
      </w:r>
      <w:r w:rsidRPr="00F8286A">
        <w:t>Barthélemy</w:t>
      </w:r>
      <w:r w:rsidRPr="00F8286A">
        <w:rPr>
          <w:i/>
        </w:rPr>
        <w:t>, Critique Textuelle</w:t>
      </w:r>
      <w:r>
        <w:t xml:space="preserve"> 3:521.</w:t>
      </w:r>
    </w:p>
  </w:footnote>
  <w:footnote w:id="248">
    <w:p w:rsidR="00C5566B" w:rsidRPr="00C94378" w:rsidRDefault="00C5566B">
      <w:pPr>
        <w:pStyle w:val="FootnoteText"/>
      </w:pPr>
      <w:r>
        <w:rPr>
          <w:rStyle w:val="FootnoteReference"/>
        </w:rPr>
        <w:footnoteRef/>
      </w:r>
      <w:r>
        <w:t xml:space="preserve"> </w:t>
      </w:r>
      <w:r w:rsidRPr="00C94378">
        <w:rPr>
          <w:i/>
        </w:rPr>
        <w:t>Gib</w:t>
      </w:r>
      <w:r>
        <w:t>‘</w:t>
      </w:r>
      <w:r w:rsidRPr="00C94378">
        <w:rPr>
          <w:i/>
        </w:rPr>
        <w:t>āh</w:t>
      </w:r>
      <w:r>
        <w:t xml:space="preserve"> and </w:t>
      </w:r>
      <w:r w:rsidRPr="00C94378">
        <w:rPr>
          <w:i/>
        </w:rPr>
        <w:t>rāmāh</w:t>
      </w:r>
      <w:r>
        <w:t xml:space="preserve"> (Gibeah and Ramah) both have the article.</w:t>
      </w:r>
    </w:p>
  </w:footnote>
  <w:footnote w:id="249">
    <w:p w:rsidR="00C5566B" w:rsidRPr="0096393C" w:rsidRDefault="00C5566B" w:rsidP="003B00B4">
      <w:pPr>
        <w:pStyle w:val="FootnoteText"/>
      </w:pPr>
      <w:r>
        <w:rPr>
          <w:rStyle w:val="FootnoteReference"/>
        </w:rPr>
        <w:footnoteRef/>
      </w:r>
      <w:r>
        <w:t xml:space="preserve"> LXX “Benjamin is astonished” suggests a form of the verb </w:t>
      </w:r>
      <w:r>
        <w:rPr>
          <w:i/>
        </w:rPr>
        <w:t>ḥārad</w:t>
      </w:r>
      <w:r>
        <w:t xml:space="preserve"> for MT </w:t>
      </w:r>
      <w:r w:rsidRPr="003B00B4">
        <w:rPr>
          <w:i/>
        </w:rPr>
        <w:t>’aḥărēkā</w:t>
      </w:r>
      <w:r>
        <w:t>.</w:t>
      </w:r>
    </w:p>
  </w:footnote>
  <w:footnote w:id="250">
    <w:p w:rsidR="00C5566B" w:rsidRPr="00A94765" w:rsidRDefault="00C5566B">
      <w:pPr>
        <w:pStyle w:val="FootnoteText"/>
      </w:pPr>
      <w:r>
        <w:rPr>
          <w:rStyle w:val="FootnoteReference"/>
        </w:rPr>
        <w:footnoteRef/>
      </w:r>
      <w:r>
        <w:t xml:space="preserve"> LXX, Vg take </w:t>
      </w:r>
      <w:r>
        <w:rPr>
          <w:i/>
        </w:rPr>
        <w:t>tihyeh</w:t>
      </w:r>
      <w:r>
        <w:t xml:space="preserve"> as third person feminine, but Ephraim is elsewhere treated as masculine (e.g., 4:17; 5:3, 11) and </w:t>
      </w:r>
      <w:r w:rsidRPr="003A7095">
        <w:t xml:space="preserve">direct address to Ephraim </w:t>
      </w:r>
      <w:r w:rsidRPr="00E55E7B">
        <w:t>(cf. Deut</w:t>
      </w:r>
      <w:r>
        <w:t>.</w:t>
      </w:r>
      <w:r w:rsidRPr="00E55E7B">
        <w:t xml:space="preserve"> 28:37</w:t>
      </w:r>
      <w:r>
        <w:t xml:space="preserve">) </w:t>
      </w:r>
      <w:r w:rsidRPr="003A7095">
        <w:t xml:space="preserve">fits </w:t>
      </w:r>
      <w:r>
        <w:t>following v. 9.</w:t>
      </w:r>
    </w:p>
  </w:footnote>
  <w:footnote w:id="251">
    <w:p w:rsidR="00C5566B" w:rsidRDefault="00C5566B">
      <w:pPr>
        <w:pStyle w:val="FootnoteText"/>
      </w:pPr>
      <w:r>
        <w:rPr>
          <w:rStyle w:val="FootnoteReference"/>
        </w:rPr>
        <w:footnoteRef/>
      </w:r>
      <w:r>
        <w:t xml:space="preserve"> The qatal is instantaneous or performative (see JM 112f).</w:t>
      </w:r>
    </w:p>
  </w:footnote>
  <w:footnote w:id="252">
    <w:p w:rsidR="00C5566B" w:rsidRPr="001E7437" w:rsidRDefault="00C5566B">
      <w:pPr>
        <w:pStyle w:val="FootnoteText"/>
      </w:pPr>
      <w:r>
        <w:rPr>
          <w:rStyle w:val="FootnoteReference"/>
        </w:rPr>
        <w:footnoteRef/>
      </w:r>
      <w:r>
        <w:t xml:space="preserve"> Not just “like” (unless in the colloquial sense): see GK 118x; </w:t>
      </w:r>
      <w:r w:rsidRPr="00E8571E">
        <w:rPr>
          <w:i/>
        </w:rPr>
        <w:t>IBHS</w:t>
      </w:r>
      <w:r w:rsidRPr="00E8571E">
        <w:t xml:space="preserve"> 11.2.9b.</w:t>
      </w:r>
    </w:p>
  </w:footnote>
  <w:footnote w:id="253">
    <w:p w:rsidR="00C5566B" w:rsidRPr="005F2C61" w:rsidRDefault="00C5566B">
      <w:pPr>
        <w:pStyle w:val="FootnoteText"/>
      </w:pPr>
      <w:r>
        <w:rPr>
          <w:rStyle w:val="FootnoteReference"/>
        </w:rPr>
        <w:footnoteRef/>
      </w:r>
      <w:r>
        <w:t xml:space="preserve"> On LXX’s active verbs, see Theocharous,</w:t>
      </w:r>
      <w:r w:rsidRPr="005F2C61">
        <w:t xml:space="preserve"> </w:t>
      </w:r>
      <w:r w:rsidRPr="005F2C61">
        <w:rPr>
          <w:i/>
        </w:rPr>
        <w:t>Lexical Dependence</w:t>
      </w:r>
      <w:r>
        <w:t>, 78-94.</w:t>
      </w:r>
    </w:p>
  </w:footnote>
  <w:footnote w:id="254">
    <w:p w:rsidR="00C5566B" w:rsidRPr="00013584" w:rsidRDefault="00C5566B" w:rsidP="00A93EC6">
      <w:pPr>
        <w:pStyle w:val="FootnoteText"/>
      </w:pPr>
      <w:r>
        <w:rPr>
          <w:rStyle w:val="FootnoteReference"/>
        </w:rPr>
        <w:footnoteRef/>
      </w:r>
      <w:r>
        <w:t xml:space="preserve"> </w:t>
      </w:r>
      <w:r>
        <w:rPr>
          <w:i/>
        </w:rPr>
        <w:t xml:space="preserve">Hālak </w:t>
      </w:r>
      <w:r>
        <w:t>follows asyndetically from</w:t>
      </w:r>
      <w:r>
        <w:rPr>
          <w:i/>
        </w:rPr>
        <w:t xml:space="preserve"> hô’îl</w:t>
      </w:r>
      <w:r>
        <w:t xml:space="preserve"> (cf. GK 120g). </w:t>
      </w:r>
    </w:p>
  </w:footnote>
  <w:footnote w:id="255">
    <w:p w:rsidR="00C5566B" w:rsidRDefault="00C5566B">
      <w:pPr>
        <w:pStyle w:val="FootnoteText"/>
      </w:pPr>
      <w:r>
        <w:rPr>
          <w:rStyle w:val="FootnoteReference"/>
        </w:rPr>
        <w:footnoteRef/>
      </w:r>
      <w:r>
        <w:t xml:space="preserve"> Taking </w:t>
      </w:r>
      <w:r>
        <w:rPr>
          <w:i/>
        </w:rPr>
        <w:t xml:space="preserve">ṣāw </w:t>
      </w:r>
      <w:r>
        <w:t xml:space="preserve">as a byform of </w:t>
      </w:r>
      <w:r w:rsidRPr="00601D3A">
        <w:rPr>
          <w:i/>
        </w:rPr>
        <w:t>šāw’</w:t>
      </w:r>
      <w:r>
        <w:t xml:space="preserve"> (cf. LXX) not of </w:t>
      </w:r>
      <w:r w:rsidRPr="00E55E7B">
        <w:rPr>
          <w:i/>
        </w:rPr>
        <w:t>ṣō’ā</w:t>
      </w:r>
      <w:r w:rsidRPr="00E55E7B">
        <w:t xml:space="preserve"> </w:t>
      </w:r>
      <w:r>
        <w:t>“filth” (Vg</w:t>
      </w:r>
      <w:r>
        <w:rPr>
          <w:i/>
        </w:rPr>
        <w:t xml:space="preserve">; </w:t>
      </w:r>
      <w:r>
        <w:t xml:space="preserve">cf. </w:t>
      </w:r>
      <w:r w:rsidRPr="00762FD8">
        <w:t>Barthélemy</w:t>
      </w:r>
      <w:r w:rsidRPr="00762FD8">
        <w:rPr>
          <w:i/>
        </w:rPr>
        <w:t>, Critique Textuelle</w:t>
      </w:r>
      <w:r>
        <w:t xml:space="preserve"> 3:523-24</w:t>
      </w:r>
      <w:r w:rsidRPr="00762FD8">
        <w:t>).</w:t>
      </w:r>
    </w:p>
  </w:footnote>
  <w:footnote w:id="256">
    <w:p w:rsidR="00C5566B" w:rsidRPr="00115A26" w:rsidRDefault="00C5566B">
      <w:pPr>
        <w:pStyle w:val="FootnoteText"/>
      </w:pPr>
      <w:r>
        <w:rPr>
          <w:rStyle w:val="FootnoteReference"/>
        </w:rPr>
        <w:footnoteRef/>
      </w:r>
      <w:r>
        <w:t xml:space="preserve"> Or pus (see </w:t>
      </w:r>
      <w:r>
        <w:rPr>
          <w:i/>
        </w:rPr>
        <w:t>HALOT</w:t>
      </w:r>
      <w:r>
        <w:t xml:space="preserve">), which would lead well into v. 13; either way, </w:t>
      </w:r>
      <w:r w:rsidRPr="001F4C51">
        <w:rPr>
          <w:i/>
        </w:rPr>
        <w:t>‘āš</w:t>
      </w:r>
      <w:r>
        <w:rPr>
          <w:i/>
        </w:rPr>
        <w:t xml:space="preserve"> </w:t>
      </w:r>
      <w:r>
        <w:t xml:space="preserve">is similar to </w:t>
      </w:r>
      <w:r w:rsidRPr="001F4C51">
        <w:rPr>
          <w:i/>
        </w:rPr>
        <w:t>‘āšûq</w:t>
      </w:r>
      <w:r>
        <w:t xml:space="preserve"> (oppressed).</w:t>
      </w:r>
      <w:r w:rsidRPr="001F4C51">
        <w:t xml:space="preserve"> </w:t>
      </w:r>
      <w:r>
        <w:t xml:space="preserve"> </w:t>
      </w:r>
    </w:p>
  </w:footnote>
  <w:footnote w:id="257">
    <w:p w:rsidR="00C5566B" w:rsidRDefault="00C5566B">
      <w:pPr>
        <w:pStyle w:val="FootnoteText"/>
      </w:pPr>
      <w:r>
        <w:rPr>
          <w:rStyle w:val="FootnoteReference"/>
        </w:rPr>
        <w:footnoteRef/>
      </w:r>
      <w:r>
        <w:t xml:space="preserve"> Judah’s </w:t>
      </w:r>
      <w:r w:rsidRPr="002F30D0">
        <w:t>seeing Ephraim’s wound</w:t>
      </w:r>
      <w:r>
        <w:t xml:space="preserve"> would suggest the seriousness of Ephraim’s affliction, but v. 14 suggests that more likely Judah is seeing its own wound.</w:t>
      </w:r>
    </w:p>
  </w:footnote>
  <w:footnote w:id="258">
    <w:p w:rsidR="00C5566B" w:rsidRPr="007A7437" w:rsidRDefault="00C5566B" w:rsidP="00770A5B">
      <w:pPr>
        <w:pStyle w:val="FootnoteText"/>
      </w:pPr>
      <w:r>
        <w:rPr>
          <w:rStyle w:val="FootnoteReference"/>
        </w:rPr>
        <w:footnoteRef/>
      </w:r>
      <w:r>
        <w:t xml:space="preserve"> </w:t>
      </w:r>
      <w:r>
        <w:rPr>
          <w:i/>
        </w:rPr>
        <w:t>Y</w:t>
      </w:r>
      <w:r w:rsidRPr="00217D98">
        <w:rPr>
          <w:i/>
        </w:rPr>
        <w:t>ārēb</w:t>
      </w:r>
      <w:r>
        <w:t>, from a</w:t>
      </w:r>
      <w:r w:rsidRPr="00217D98">
        <w:rPr>
          <w:i/>
        </w:rPr>
        <w:t xml:space="preserve"> </w:t>
      </w:r>
      <w:r>
        <w:t xml:space="preserve">byform of </w:t>
      </w:r>
      <w:r w:rsidRPr="00770A5B">
        <w:rPr>
          <w:i/>
        </w:rPr>
        <w:t>rābab</w:t>
      </w:r>
      <w:r>
        <w:t xml:space="preserve"> (see </w:t>
      </w:r>
      <w:r>
        <w:rPr>
          <w:i/>
        </w:rPr>
        <w:t>HALOT</w:t>
      </w:r>
      <w:r>
        <w:t xml:space="preserve">), though it can alternatively be taken as jussive from </w:t>
      </w:r>
      <w:r>
        <w:rPr>
          <w:i/>
        </w:rPr>
        <w:t xml:space="preserve">rîb </w:t>
      </w:r>
      <w:r>
        <w:t>(cf. Aq, Vg, Tg), implying</w:t>
      </w:r>
      <w:r w:rsidRPr="00217D98">
        <w:t xml:space="preserve"> </w:t>
      </w:r>
      <w:r>
        <w:t>“he should contend.”</w:t>
      </w:r>
    </w:p>
  </w:footnote>
  <w:footnote w:id="259">
    <w:p w:rsidR="00C5566B" w:rsidRPr="00C66EC3" w:rsidRDefault="00C5566B">
      <w:pPr>
        <w:pStyle w:val="FootnoteText"/>
      </w:pPr>
      <w:r>
        <w:rPr>
          <w:rStyle w:val="FootnoteReference"/>
        </w:rPr>
        <w:footnoteRef/>
      </w:r>
      <w:r>
        <w:t xml:space="preserve"> </w:t>
      </w:r>
      <w:r>
        <w:rPr>
          <w:i/>
        </w:rPr>
        <w:t xml:space="preserve">Māzôr </w:t>
      </w:r>
      <w:r>
        <w:t xml:space="preserve">is thus the subject of an intransitive verb (LXX) not the object of a transitive one (Vg), which would need to be hiphil (cf. </w:t>
      </w:r>
      <w:r>
        <w:rPr>
          <w:i/>
        </w:rPr>
        <w:t xml:space="preserve">DCH </w:t>
      </w:r>
      <w:r>
        <w:t xml:space="preserve">on </w:t>
      </w:r>
      <w:r w:rsidRPr="009D6275">
        <w:rPr>
          <w:i/>
        </w:rPr>
        <w:t>yāgāh</w:t>
      </w:r>
      <w:r>
        <w:t xml:space="preserve">). </w:t>
      </w:r>
    </w:p>
  </w:footnote>
  <w:footnote w:id="260">
    <w:p w:rsidR="00C5566B" w:rsidRDefault="00C5566B">
      <w:pPr>
        <w:pStyle w:val="FootnoteText"/>
      </w:pPr>
      <w:r>
        <w:rPr>
          <w:rStyle w:val="FootnoteReference"/>
        </w:rPr>
        <w:footnoteRef/>
      </w:r>
      <w:r>
        <w:t xml:space="preserve"> Strictly (according to BDB) a lion that is not an adult but older than a whelp.</w:t>
      </w:r>
    </w:p>
  </w:footnote>
  <w:footnote w:id="261">
    <w:p w:rsidR="00C5566B" w:rsidRPr="008E19DD" w:rsidRDefault="00C5566B">
      <w:pPr>
        <w:pStyle w:val="FootnoteText"/>
      </w:pPr>
      <w:r>
        <w:rPr>
          <w:rStyle w:val="FootnoteReference"/>
        </w:rPr>
        <w:footnoteRef/>
      </w:r>
      <w:r>
        <w:t xml:space="preserve"> Tg has “acknowledge that they have sinned,” but it is questionable whether </w:t>
      </w:r>
      <w:r>
        <w:rPr>
          <w:i/>
        </w:rPr>
        <w:t>’āšam</w:t>
      </w:r>
      <w:r>
        <w:t xml:space="preserve"> can bear this meaning (cf. Davies, </w:t>
      </w:r>
      <w:r>
        <w:rPr>
          <w:i/>
        </w:rPr>
        <w:t>Hosea</w:t>
      </w:r>
      <w:r>
        <w:t xml:space="preserve">, 158). But </w:t>
      </w:r>
      <w:r w:rsidRPr="00CE4EF9">
        <w:rPr>
          <w:i/>
        </w:rPr>
        <w:t>’āšam</w:t>
      </w:r>
      <w:r w:rsidRPr="00CE4EF9">
        <w:t xml:space="preserve"> conveniently resembles </w:t>
      </w:r>
      <w:r>
        <w:rPr>
          <w:i/>
        </w:rPr>
        <w:t>šāmë</w:t>
      </w:r>
      <w:r w:rsidRPr="00CE4EF9">
        <w:rPr>
          <w:i/>
        </w:rPr>
        <w:t>m</w:t>
      </w:r>
      <w:r w:rsidRPr="00CE4EF9">
        <w:t xml:space="preserve"> “be desolate”</w:t>
      </w:r>
      <w:r>
        <w:t xml:space="preserve"> (cf. LXX, Vg; and 5:9). </w:t>
      </w:r>
    </w:p>
  </w:footnote>
  <w:footnote w:id="262">
    <w:p w:rsidR="00C5566B" w:rsidRDefault="00C5566B">
      <w:pPr>
        <w:pStyle w:val="FootnoteText"/>
      </w:pPr>
      <w:r>
        <w:rPr>
          <w:rStyle w:val="FootnoteReference"/>
        </w:rPr>
        <w:footnoteRef/>
      </w:r>
      <w:r>
        <w:t xml:space="preserve"> The asyndetic clause with the verb at the end is circumstantial.</w:t>
      </w:r>
    </w:p>
  </w:footnote>
  <w:footnote w:id="263">
    <w:p w:rsidR="00C5566B" w:rsidRPr="00C51467" w:rsidRDefault="00C5566B">
      <w:pPr>
        <w:pStyle w:val="FootnoteText"/>
      </w:pPr>
      <w:r>
        <w:rPr>
          <w:rStyle w:val="FootnoteReference"/>
        </w:rPr>
        <w:footnoteRef/>
      </w:r>
      <w:r>
        <w:t xml:space="preserve"> Taking the verb as jussive used with yiqtol meaning (GK 109k; cf. LXX, Vg) rather than </w:t>
      </w:r>
      <w:r>
        <w:rPr>
          <w:i/>
        </w:rPr>
        <w:t>waw-</w:t>
      </w:r>
      <w:r>
        <w:t xml:space="preserve">consecutive without the </w:t>
      </w:r>
      <w:r>
        <w:rPr>
          <w:i/>
        </w:rPr>
        <w:t>waw</w:t>
      </w:r>
      <w:r>
        <w:t xml:space="preserve"> (</w:t>
      </w:r>
      <w:r>
        <w:rPr>
          <w:i/>
        </w:rPr>
        <w:t>TTH</w:t>
      </w:r>
      <w:r>
        <w:t xml:space="preserve"> 84β).</w:t>
      </w:r>
    </w:p>
  </w:footnote>
  <w:footnote w:id="264">
    <w:p w:rsidR="00C5566B" w:rsidRPr="007E2A29" w:rsidRDefault="00C5566B">
      <w:pPr>
        <w:pStyle w:val="FootnoteText"/>
      </w:pPr>
      <w:r>
        <w:rPr>
          <w:rStyle w:val="FootnoteReference"/>
        </w:rPr>
        <w:footnoteRef/>
      </w:r>
      <w:r>
        <w:t xml:space="preserve"> The suffix carries over from the previous word. I take the verb as linking with v. 2 and then picked up in the next line, rather than as being repeated within the same line (cf. Isa. 26:3). For simple </w:t>
      </w:r>
      <w:r>
        <w:rPr>
          <w:i/>
        </w:rPr>
        <w:t>waw</w:t>
      </w:r>
      <w:r>
        <w:t xml:space="preserve"> plus cohortative of </w:t>
      </w:r>
      <w:r>
        <w:rPr>
          <w:i/>
        </w:rPr>
        <w:t>yāda‘</w:t>
      </w:r>
      <w:r>
        <w:t xml:space="preserve"> in a purpose clause, cf. Isa. 41:26.</w:t>
      </w:r>
    </w:p>
  </w:footnote>
  <w:footnote w:id="265">
    <w:p w:rsidR="00C5566B" w:rsidRDefault="00C5566B">
      <w:pPr>
        <w:pStyle w:val="FootnoteText"/>
      </w:pPr>
      <w:r>
        <w:rPr>
          <w:rStyle w:val="FootnoteReference"/>
        </w:rPr>
        <w:footnoteRef/>
      </w:r>
      <w:r>
        <w:t xml:space="preserve"> </w:t>
      </w:r>
      <w:r w:rsidRPr="00E76F91">
        <w:rPr>
          <w:i/>
        </w:rPr>
        <w:t>Šaḥar</w:t>
      </w:r>
      <w:r w:rsidRPr="00E76F91">
        <w:t xml:space="preserve"> makes for another link with 5:15 via the denominative verb “look urgently” (</w:t>
      </w:r>
      <w:r w:rsidRPr="00E76F91">
        <w:rPr>
          <w:i/>
        </w:rPr>
        <w:t>šāḥar</w:t>
      </w:r>
      <w:r w:rsidRPr="00E76F91">
        <w:t>).</w:t>
      </w:r>
    </w:p>
  </w:footnote>
  <w:footnote w:id="266">
    <w:p w:rsidR="00C5566B" w:rsidRDefault="00C5566B">
      <w:pPr>
        <w:pStyle w:val="FootnoteText"/>
      </w:pPr>
      <w:r>
        <w:rPr>
          <w:rStyle w:val="FootnoteReference"/>
        </w:rPr>
        <w:footnoteRef/>
      </w:r>
      <w:r>
        <w:t xml:space="preserve"> LXX has “first rain,” the rain that softens the earth and makes sewing possible, but the Hebrew works by using a general word and then a more specific one.</w:t>
      </w:r>
    </w:p>
  </w:footnote>
  <w:footnote w:id="267">
    <w:p w:rsidR="00C5566B" w:rsidRPr="005466AC" w:rsidRDefault="00C5566B">
      <w:pPr>
        <w:pStyle w:val="FootnoteText"/>
      </w:pPr>
      <w:r>
        <w:rPr>
          <w:rStyle w:val="FootnoteReference"/>
        </w:rPr>
        <w:footnoteRef/>
      </w:r>
      <w:r>
        <w:t xml:space="preserve"> In the context </w:t>
      </w:r>
      <w:r>
        <w:rPr>
          <w:i/>
        </w:rPr>
        <w:t>yôreh</w:t>
      </w:r>
      <w:r>
        <w:t xml:space="preserve"> should be a verbal form, which would usually be taken as qal yiqtol (or hiphil participle) from </w:t>
      </w:r>
      <w:r>
        <w:rPr>
          <w:i/>
        </w:rPr>
        <w:t xml:space="preserve">yārāh </w:t>
      </w:r>
      <w:r>
        <w:t xml:space="preserve">meaning “throw,” but in the context </w:t>
      </w:r>
      <w:r>
        <w:rPr>
          <w:i/>
        </w:rPr>
        <w:t>yārāh</w:t>
      </w:r>
      <w:r>
        <w:t xml:space="preserve"> might be understood as a byform of </w:t>
      </w:r>
      <w:r>
        <w:rPr>
          <w:i/>
        </w:rPr>
        <w:t>rāwāh</w:t>
      </w:r>
      <w:r>
        <w:t xml:space="preserve">, whose hiphil here would meaning “saturate”—an understanding which would be encouraged by the fact that </w:t>
      </w:r>
      <w:r w:rsidRPr="005466AC">
        <w:rPr>
          <w:i/>
        </w:rPr>
        <w:t>yôreh</w:t>
      </w:r>
      <w:r>
        <w:t xml:space="preserve"> itself can also be a noun for autumn rain.</w:t>
      </w:r>
    </w:p>
  </w:footnote>
  <w:footnote w:id="268">
    <w:p w:rsidR="00C5566B" w:rsidRPr="00F90B25" w:rsidRDefault="00C5566B">
      <w:pPr>
        <w:pStyle w:val="FootnoteText"/>
      </w:pPr>
      <w:r>
        <w:rPr>
          <w:rStyle w:val="FootnoteReference"/>
        </w:rPr>
        <w:footnoteRef/>
      </w:r>
      <w:r>
        <w:t xml:space="preserve"> Davies, </w:t>
      </w:r>
      <w:r>
        <w:rPr>
          <w:i/>
        </w:rPr>
        <w:t>Hosea</w:t>
      </w:r>
      <w:r>
        <w:t>, 145-46.</w:t>
      </w:r>
    </w:p>
  </w:footnote>
  <w:footnote w:id="269">
    <w:p w:rsidR="00C5566B" w:rsidRPr="00115A26" w:rsidRDefault="00C5566B" w:rsidP="0019601D">
      <w:pPr>
        <w:pStyle w:val="FootnoteText"/>
      </w:pPr>
      <w:r>
        <w:rPr>
          <w:rStyle w:val="FootnoteReference"/>
        </w:rPr>
        <w:footnoteRef/>
      </w:r>
      <w:r>
        <w:t xml:space="preserve"> Weiser, </w:t>
      </w:r>
      <w:r>
        <w:rPr>
          <w:i/>
        </w:rPr>
        <w:t xml:space="preserve">Das Buch der zwölf Kleinen Propheten </w:t>
      </w:r>
      <w:r>
        <w:t>1:40.</w:t>
      </w:r>
    </w:p>
  </w:footnote>
  <w:footnote w:id="270">
    <w:p w:rsidR="00C5566B" w:rsidRPr="00391D78" w:rsidRDefault="00C5566B" w:rsidP="00BA116B">
      <w:pPr>
        <w:pStyle w:val="FootnoteText"/>
      </w:pPr>
      <w:r>
        <w:rPr>
          <w:rStyle w:val="FootnoteReference"/>
        </w:rPr>
        <w:footnoteRef/>
      </w:r>
      <w:r>
        <w:t xml:space="preserve"> See especially Albrecht Alt, “Hosea 5, 8-9—6, 6,” in Alt, </w:t>
      </w:r>
      <w:r>
        <w:rPr>
          <w:i/>
        </w:rPr>
        <w:t>Kleine Schriften zur Geschichte des Volkes Israel</w:t>
      </w:r>
      <w:r>
        <w:t xml:space="preserve"> (2</w:t>
      </w:r>
      <w:r w:rsidRPr="00391D78">
        <w:rPr>
          <w:vertAlign w:val="superscript"/>
        </w:rPr>
        <w:t>nd</w:t>
      </w:r>
      <w:r>
        <w:t xml:space="preserve"> ed.; München:: Beck, 1959) 2:163-87.</w:t>
      </w:r>
    </w:p>
  </w:footnote>
  <w:footnote w:id="271">
    <w:p w:rsidR="00C5566B" w:rsidRPr="00835C77" w:rsidRDefault="00C5566B" w:rsidP="00BA116B">
      <w:pPr>
        <w:pStyle w:val="FootnoteText"/>
      </w:pPr>
      <w:r>
        <w:rPr>
          <w:rStyle w:val="FootnoteReference"/>
        </w:rPr>
        <w:footnoteRef/>
      </w:r>
      <w:r>
        <w:t xml:space="preserve"> See e.g., Dearman, </w:t>
      </w:r>
      <w:r>
        <w:rPr>
          <w:i/>
        </w:rPr>
        <w:t>Hosea</w:t>
      </w:r>
      <w:r>
        <w:t>, 179, 182.</w:t>
      </w:r>
    </w:p>
  </w:footnote>
  <w:footnote w:id="272">
    <w:p w:rsidR="00C5566B" w:rsidRPr="00240EDF" w:rsidRDefault="00C5566B" w:rsidP="00DA034A">
      <w:pPr>
        <w:pStyle w:val="FootnoteText"/>
      </w:pPr>
      <w:r>
        <w:rPr>
          <w:rStyle w:val="FootnoteReference"/>
        </w:rPr>
        <w:footnoteRef/>
      </w:r>
      <w:r>
        <w:t xml:space="preserve"> Cf. Sweeney, </w:t>
      </w:r>
      <w:r>
        <w:rPr>
          <w:i/>
        </w:rPr>
        <w:t>Twelve Prophets</w:t>
      </w:r>
      <w:r>
        <w:t>, 1:60-61; Sweeney proposes an earlier political situation in Hosea’s day.</w:t>
      </w:r>
    </w:p>
  </w:footnote>
  <w:footnote w:id="273">
    <w:p w:rsidR="00C5566B" w:rsidRDefault="00C5566B" w:rsidP="00B042B8">
      <w:pPr>
        <w:ind w:left="720" w:hanging="720"/>
      </w:pPr>
      <w:r>
        <w:tab/>
      </w:r>
      <w:r>
        <w:rPr>
          <w:rStyle w:val="FootnoteReference"/>
        </w:rPr>
        <w:footnoteRef/>
      </w:r>
      <w:r>
        <w:t xml:space="preserve"> </w:t>
      </w:r>
      <w:r w:rsidRPr="00E5419C">
        <w:rPr>
          <w:sz w:val="20"/>
          <w:szCs w:val="20"/>
        </w:rPr>
        <w:t>See e.g., Helmut Utzsch</w:t>
      </w:r>
      <w:r>
        <w:rPr>
          <w:sz w:val="20"/>
          <w:szCs w:val="20"/>
        </w:rPr>
        <w:t xml:space="preserve">neider, “Situation und Szene,” </w:t>
      </w:r>
      <w:r w:rsidRPr="00E5419C">
        <w:rPr>
          <w:i/>
          <w:sz w:val="20"/>
          <w:szCs w:val="20"/>
        </w:rPr>
        <w:t>ZAW</w:t>
      </w:r>
      <w:r w:rsidRPr="00E5419C">
        <w:rPr>
          <w:sz w:val="20"/>
          <w:szCs w:val="20"/>
        </w:rPr>
        <w:t xml:space="preserve"> 114 (2002): 80-105.</w:t>
      </w:r>
      <w:r>
        <w:t xml:space="preserve">   </w:t>
      </w:r>
    </w:p>
  </w:footnote>
  <w:footnote w:id="274">
    <w:p w:rsidR="00C5566B" w:rsidRPr="00B45779" w:rsidRDefault="00C5566B" w:rsidP="00BD039D">
      <w:pPr>
        <w:pStyle w:val="FootnoteText"/>
      </w:pPr>
      <w:r>
        <w:rPr>
          <w:rStyle w:val="FootnoteReference"/>
        </w:rPr>
        <w:footnoteRef/>
      </w:r>
      <w:r>
        <w:t xml:space="preserve"> Cf. Wolff, </w:t>
      </w:r>
      <w:r>
        <w:rPr>
          <w:i/>
        </w:rPr>
        <w:t>Hosea</w:t>
      </w:r>
      <w:r>
        <w:t>, 114.</w:t>
      </w:r>
    </w:p>
  </w:footnote>
  <w:footnote w:id="275">
    <w:p w:rsidR="00C5566B" w:rsidRPr="00DC4C10" w:rsidRDefault="00C5566B">
      <w:pPr>
        <w:pStyle w:val="FootnoteText"/>
      </w:pPr>
      <w:r>
        <w:rPr>
          <w:rStyle w:val="FootnoteReference"/>
        </w:rPr>
        <w:footnoteRef/>
      </w:r>
      <w:r>
        <w:t xml:space="preserve"> </w:t>
      </w:r>
      <w:r>
        <w:rPr>
          <w:i/>
        </w:rPr>
        <w:t>TTH</w:t>
      </w:r>
      <w:r>
        <w:t xml:space="preserve"> 14(8) (though not giving this as an example).</w:t>
      </w:r>
    </w:p>
  </w:footnote>
  <w:footnote w:id="276">
    <w:p w:rsidR="00C5566B" w:rsidRPr="009024D6" w:rsidRDefault="00C5566B">
      <w:pPr>
        <w:pStyle w:val="FootnoteText"/>
      </w:pPr>
      <w:r>
        <w:rPr>
          <w:rStyle w:val="FootnoteReference"/>
        </w:rPr>
        <w:footnoteRef/>
      </w:r>
      <w:r>
        <w:t xml:space="preserve"> Mays, </w:t>
      </w:r>
      <w:r>
        <w:rPr>
          <w:i/>
        </w:rPr>
        <w:t>Hosea</w:t>
      </w:r>
      <w:r>
        <w:t>, 91.</w:t>
      </w:r>
    </w:p>
  </w:footnote>
  <w:footnote w:id="277">
    <w:p w:rsidR="00C5566B" w:rsidRPr="001921E3" w:rsidRDefault="00C5566B">
      <w:pPr>
        <w:pStyle w:val="FootnoteText"/>
      </w:pPr>
      <w:r>
        <w:rPr>
          <w:rStyle w:val="FootnoteReference"/>
        </w:rPr>
        <w:footnoteRef/>
      </w:r>
      <w:r>
        <w:t xml:space="preserve"> See </w:t>
      </w:r>
      <w:r>
        <w:rPr>
          <w:i/>
        </w:rPr>
        <w:t>ANET</w:t>
      </w:r>
      <w:r>
        <w:t>, 280, 281.</w:t>
      </w:r>
    </w:p>
  </w:footnote>
  <w:footnote w:id="278">
    <w:p w:rsidR="00C5566B" w:rsidRPr="00497C44" w:rsidRDefault="00C5566B">
      <w:pPr>
        <w:pStyle w:val="FootnoteText"/>
      </w:pPr>
      <w:r>
        <w:rPr>
          <w:rStyle w:val="FootnoteReference"/>
        </w:rPr>
        <w:footnoteRef/>
      </w:r>
      <w:r>
        <w:t xml:space="preserve"> Landy, </w:t>
      </w:r>
      <w:r>
        <w:rPr>
          <w:i/>
        </w:rPr>
        <w:t>Hosea</w:t>
      </w:r>
      <w:r>
        <w:t>, 78.</w:t>
      </w:r>
    </w:p>
  </w:footnote>
  <w:footnote w:id="279">
    <w:p w:rsidR="00C5566B" w:rsidRPr="006F3887" w:rsidRDefault="00C5566B">
      <w:pPr>
        <w:pStyle w:val="FootnoteText"/>
      </w:pPr>
      <w:r>
        <w:rPr>
          <w:rStyle w:val="FootnoteReference"/>
        </w:rPr>
        <w:footnoteRef/>
      </w:r>
      <w:r>
        <w:t xml:space="preserve"> Fretheim, </w:t>
      </w:r>
      <w:r>
        <w:rPr>
          <w:i/>
        </w:rPr>
        <w:t>Reading Hosea-Micah</w:t>
      </w:r>
      <w:r>
        <w:t>, 46.</w:t>
      </w:r>
    </w:p>
  </w:footnote>
  <w:footnote w:id="280">
    <w:p w:rsidR="00C5566B" w:rsidRDefault="00C5566B">
      <w:pPr>
        <w:pStyle w:val="FootnoteText"/>
      </w:pPr>
      <w:r>
        <w:rPr>
          <w:rStyle w:val="FootnoteReference"/>
        </w:rPr>
        <w:footnoteRef/>
      </w:r>
      <w:r>
        <w:t xml:space="preserve"> Cf. DG 46.</w:t>
      </w:r>
    </w:p>
  </w:footnote>
  <w:footnote w:id="281">
    <w:p w:rsidR="00C5566B" w:rsidRDefault="00C5566B">
      <w:pPr>
        <w:pStyle w:val="FootnoteText"/>
      </w:pPr>
      <w:r>
        <w:rPr>
          <w:rStyle w:val="FootnoteReference"/>
        </w:rPr>
        <w:footnoteRef/>
      </w:r>
      <w:r>
        <w:t xml:space="preserve"> Cf. Gunther H. Wittenberg, “Prophecy for a Time of Global Crisis,</w:t>
      </w:r>
      <w:r>
        <w:rPr>
          <w:i/>
        </w:rPr>
        <w:t>”</w:t>
      </w:r>
      <w:r w:rsidRPr="00635F87">
        <w:rPr>
          <w:i/>
        </w:rPr>
        <w:t xml:space="preserve"> Journal </w:t>
      </w:r>
      <w:r>
        <w:rPr>
          <w:i/>
        </w:rPr>
        <w:t>of Theology for Southern Africa</w:t>
      </w:r>
      <w:r>
        <w:t xml:space="preserve"> 146 (2013): 139-169.</w:t>
      </w:r>
    </w:p>
  </w:footnote>
  <w:footnote w:id="282">
    <w:p w:rsidR="00C5566B" w:rsidRPr="00CC1A47" w:rsidRDefault="00C5566B">
      <w:pPr>
        <w:pStyle w:val="FootnoteText"/>
      </w:pPr>
      <w:r>
        <w:rPr>
          <w:rStyle w:val="FootnoteReference"/>
        </w:rPr>
        <w:footnoteRef/>
      </w:r>
      <w:r>
        <w:t xml:space="preserve"> T. C. Vriezen, </w:t>
      </w:r>
      <w:r>
        <w:rPr>
          <w:i/>
        </w:rPr>
        <w:t>An Outline of Old Testament Theology</w:t>
      </w:r>
      <w:r>
        <w:t xml:space="preserve"> (Oxford: Blackwell, 1958), 138 (cf. Wolff, </w:t>
      </w:r>
      <w:r>
        <w:rPr>
          <w:i/>
        </w:rPr>
        <w:t>Hosea</w:t>
      </w:r>
      <w:r>
        <w:t>, 129.</w:t>
      </w:r>
    </w:p>
  </w:footnote>
  <w:footnote w:id="283">
    <w:p w:rsidR="00C5566B" w:rsidRPr="00A27847" w:rsidRDefault="00C5566B" w:rsidP="002A49CF">
      <w:pPr>
        <w:pStyle w:val="FootnoteText"/>
      </w:pPr>
      <w:r>
        <w:rPr>
          <w:rStyle w:val="FootnoteReference"/>
        </w:rPr>
        <w:footnoteRef/>
      </w:r>
      <w:r>
        <w:t xml:space="preserve"> Fisch, </w:t>
      </w:r>
      <w:r>
        <w:rPr>
          <w:i/>
        </w:rPr>
        <w:t>Poetry with a Purpose</w:t>
      </w:r>
      <w:r>
        <w:t>, 142.</w:t>
      </w:r>
    </w:p>
  </w:footnote>
  <w:footnote w:id="284">
    <w:p w:rsidR="00C5566B" w:rsidRPr="001741C1" w:rsidRDefault="00C5566B">
      <w:pPr>
        <w:pStyle w:val="FootnoteText"/>
      </w:pPr>
      <w:r>
        <w:rPr>
          <w:rStyle w:val="FootnoteReference"/>
        </w:rPr>
        <w:footnoteRef/>
      </w:r>
      <w:r>
        <w:t xml:space="preserve"> </w:t>
      </w:r>
      <w:r>
        <w:rPr>
          <w:i/>
        </w:rPr>
        <w:t>The Lion, the Witch and the Wardrobe</w:t>
      </w:r>
      <w:r>
        <w:t xml:space="preserve"> (reprinted New York: HarperCollins [2005]), 80-81.</w:t>
      </w:r>
    </w:p>
  </w:footnote>
  <w:footnote w:id="285">
    <w:p w:rsidR="00C5566B" w:rsidRDefault="00C5566B" w:rsidP="00C36D73">
      <w:pPr>
        <w:pStyle w:val="FootnoteText"/>
      </w:pPr>
      <w:r>
        <w:rPr>
          <w:rStyle w:val="FootnoteReference"/>
        </w:rPr>
        <w:footnoteRef/>
      </w:r>
      <w:r>
        <w:t xml:space="preserve"> </w:t>
      </w:r>
      <w:r w:rsidRPr="000C22EC">
        <w:t xml:space="preserve">Calvin, </w:t>
      </w:r>
      <w:r w:rsidRPr="009C2C74">
        <w:rPr>
          <w:i/>
        </w:rPr>
        <w:t>Minor Prophets</w:t>
      </w:r>
      <w:r w:rsidRPr="009C2C74">
        <w:t xml:space="preserve"> 1:</w:t>
      </w:r>
      <w:r>
        <w:t>21</w:t>
      </w:r>
      <w:r w:rsidRPr="000C22EC">
        <w:t>7.</w:t>
      </w:r>
    </w:p>
  </w:footnote>
  <w:footnote w:id="286">
    <w:p w:rsidR="00C5566B" w:rsidRPr="005E1174" w:rsidRDefault="00C5566B" w:rsidP="005E1174">
      <w:pPr>
        <w:pStyle w:val="FootnoteText"/>
      </w:pPr>
      <w:r>
        <w:rPr>
          <w:rStyle w:val="FootnoteReference"/>
        </w:rPr>
        <w:footnoteRef/>
      </w:r>
      <w:r>
        <w:t xml:space="preserve"> Alice A. Keefe, </w:t>
      </w:r>
      <w:r>
        <w:rPr>
          <w:i/>
        </w:rPr>
        <w:t>Woman’s Body and the Social Body in Hosea</w:t>
      </w:r>
      <w:r>
        <w:t xml:space="preserve"> (London/New York: Sheffield Academic Press, 2001), 103.</w:t>
      </w:r>
    </w:p>
  </w:footnote>
  <w:footnote w:id="287">
    <w:p w:rsidR="00C5566B" w:rsidRDefault="00C5566B">
      <w:pPr>
        <w:pStyle w:val="FootnoteText"/>
      </w:pPr>
      <w:r>
        <w:rPr>
          <w:rStyle w:val="FootnoteReference"/>
        </w:rPr>
        <w:footnoteRef/>
      </w:r>
      <w:r>
        <w:t xml:space="preserve"> Sebastian Grätz,</w:t>
      </w:r>
      <w:r w:rsidRPr="006849EF">
        <w:t xml:space="preserve"> “Di</w:t>
      </w:r>
      <w:r>
        <w:t>e vergebliche Suche nach Gott,</w:t>
      </w:r>
      <w:r w:rsidRPr="006849EF">
        <w:t xml:space="preserve">” </w:t>
      </w:r>
      <w:r>
        <w:rPr>
          <w:i/>
        </w:rPr>
        <w:t>VT</w:t>
      </w:r>
      <w:r w:rsidRPr="006849EF">
        <w:t xml:space="preserve"> 50 (2000): 200-217</w:t>
      </w:r>
      <w:r>
        <w:t>.</w:t>
      </w:r>
    </w:p>
  </w:footnote>
  <w:footnote w:id="288">
    <w:p w:rsidR="00C5566B" w:rsidRDefault="00C5566B">
      <w:pPr>
        <w:pStyle w:val="FootnoteText"/>
      </w:pPr>
      <w:r>
        <w:rPr>
          <w:rStyle w:val="FootnoteReference"/>
        </w:rPr>
        <w:footnoteRef/>
      </w:r>
      <w:r>
        <w:t xml:space="preserve"> </w:t>
      </w:r>
      <w:r w:rsidRPr="00C36D73">
        <w:rPr>
          <w:i/>
        </w:rPr>
        <w:t>Against Marcion</w:t>
      </w:r>
      <w:r>
        <w:t xml:space="preserve"> !V, 43.</w:t>
      </w:r>
    </w:p>
  </w:footnote>
  <w:footnote w:id="289">
    <w:p w:rsidR="00C5566B" w:rsidRDefault="00C5566B">
      <w:pPr>
        <w:pStyle w:val="FootnoteText"/>
      </w:pPr>
      <w:r>
        <w:rPr>
          <w:rStyle w:val="FootnoteReference"/>
        </w:rPr>
        <w:footnoteRef/>
      </w:r>
      <w:r>
        <w:t xml:space="preserve"> </w:t>
      </w:r>
      <w:r w:rsidRPr="00C36D73">
        <w:rPr>
          <w:i/>
        </w:rPr>
        <w:t>Against the Jews</w:t>
      </w:r>
      <w:r>
        <w:t xml:space="preserve"> 13.</w:t>
      </w:r>
    </w:p>
  </w:footnote>
  <w:footnote w:id="290">
    <w:p w:rsidR="00C5566B" w:rsidRDefault="00C5566B">
      <w:pPr>
        <w:pStyle w:val="FootnoteText"/>
      </w:pPr>
      <w:r>
        <w:rPr>
          <w:rStyle w:val="FootnoteReference"/>
        </w:rPr>
        <w:footnoteRef/>
      </w:r>
      <w:r>
        <w:t xml:space="preserve"> See the comments on the theological implications of 1:1.</w:t>
      </w:r>
    </w:p>
  </w:footnote>
  <w:footnote w:id="291">
    <w:p w:rsidR="00C5566B" w:rsidRPr="00C51467" w:rsidRDefault="00C5566B" w:rsidP="00567D4D">
      <w:pPr>
        <w:pStyle w:val="FootnoteText"/>
      </w:pPr>
      <w:r>
        <w:rPr>
          <w:rStyle w:val="FootnoteReference"/>
        </w:rPr>
        <w:footnoteRef/>
      </w:r>
      <w:r>
        <w:t xml:space="preserve"> On the circumstantial clause, see </w:t>
      </w:r>
      <w:r>
        <w:rPr>
          <w:i/>
        </w:rPr>
        <w:t>TTH</w:t>
      </w:r>
      <w:r>
        <w:t xml:space="preserve"> 159. </w:t>
      </w:r>
    </w:p>
  </w:footnote>
  <w:footnote w:id="292">
    <w:p w:rsidR="00C5566B" w:rsidRDefault="00C5566B" w:rsidP="00567D4D">
      <w:pPr>
        <w:pStyle w:val="FootnoteText"/>
      </w:pPr>
      <w:r>
        <w:rPr>
          <w:rStyle w:val="FootnoteReference"/>
        </w:rPr>
        <w:footnoteRef/>
      </w:r>
      <w:r>
        <w:t xml:space="preserve"> Two asyndetic participles, the first functioning adverbially: “that is, in being early, going” (cf. GK 120g).</w:t>
      </w:r>
    </w:p>
  </w:footnote>
  <w:footnote w:id="293">
    <w:p w:rsidR="00C5566B" w:rsidRDefault="00C5566B" w:rsidP="00C602C8">
      <w:pPr>
        <w:pStyle w:val="FootnoteText"/>
      </w:pPr>
      <w:r>
        <w:rPr>
          <w:rStyle w:val="FootnoteReference"/>
        </w:rPr>
        <w:footnoteRef/>
      </w:r>
      <w:r>
        <w:t xml:space="preserve"> I infer the object from the parallel colon (cf. Vg, Tg);</w:t>
      </w:r>
      <w:r w:rsidRPr="0018300D">
        <w:t xml:space="preserve"> </w:t>
      </w:r>
      <w:r>
        <w:t>LXX</w:t>
      </w:r>
      <w:r w:rsidRPr="003B1E1A">
        <w:t xml:space="preserve"> “cut down the prophets”</w:t>
      </w:r>
      <w:r>
        <w:t xml:space="preserve"> ignores the parallel </w:t>
      </w:r>
      <w:r>
        <w:rPr>
          <w:i/>
        </w:rPr>
        <w:t xml:space="preserve">b </w:t>
      </w:r>
      <w:r>
        <w:t>expressions. TNIV “you” assimilates to the context.</w:t>
      </w:r>
    </w:p>
  </w:footnote>
  <w:footnote w:id="294">
    <w:p w:rsidR="00C5566B" w:rsidRPr="0011518A" w:rsidRDefault="00C5566B" w:rsidP="002933F8">
      <w:pPr>
        <w:pStyle w:val="FootnoteText"/>
      </w:pPr>
      <w:r>
        <w:rPr>
          <w:rStyle w:val="FootnoteReference"/>
        </w:rPr>
        <w:footnoteRef/>
      </w:r>
      <w:r>
        <w:t xml:space="preserve"> Literally “your decisions”; LXX, Tg “my decision” suggests </w:t>
      </w:r>
      <w:r>
        <w:rPr>
          <w:i/>
        </w:rPr>
        <w:t xml:space="preserve">mišpāṭî kə’ôr </w:t>
      </w:r>
      <w:r>
        <w:t>for</w:t>
      </w:r>
      <w:r w:rsidRPr="003E55F5">
        <w:t xml:space="preserve"> </w:t>
      </w:r>
      <w:r w:rsidRPr="003E55F5">
        <w:rPr>
          <w:i/>
        </w:rPr>
        <w:t>mišpāṭeykā ’ôr</w:t>
      </w:r>
      <w:r>
        <w:t xml:space="preserve">. </w:t>
      </w:r>
      <w:r w:rsidRPr="00206698">
        <w:t>In v. 4a Yahweh spoke to Ephraim in the second person singular, in v. 4b in second plural,</w:t>
      </w:r>
      <w:r>
        <w:t xml:space="preserve"> in v. 5a</w:t>
      </w:r>
      <w:r w:rsidRPr="00206698">
        <w:t xml:space="preserve"> he speaks about them in the third plural, and </w:t>
      </w:r>
      <w:r>
        <w:t>in MT he here</w:t>
      </w:r>
      <w:r w:rsidRPr="00206698">
        <w:t xml:space="preserve"> revert</w:t>
      </w:r>
      <w:r>
        <w:t>s</w:t>
      </w:r>
      <w:r w:rsidRPr="00206698">
        <w:t xml:space="preserve"> to direct address in </w:t>
      </w:r>
      <w:r>
        <w:t>second singular.</w:t>
      </w:r>
    </w:p>
  </w:footnote>
  <w:footnote w:id="295">
    <w:p w:rsidR="00C5566B" w:rsidRPr="0011518A" w:rsidRDefault="00C5566B" w:rsidP="00A217F5">
      <w:pPr>
        <w:pStyle w:val="FootnoteText"/>
      </w:pPr>
      <w:r>
        <w:rPr>
          <w:rStyle w:val="FootnoteReference"/>
        </w:rPr>
        <w:footnoteRef/>
      </w:r>
      <w:r>
        <w:t xml:space="preserve"> Initially</w:t>
      </w:r>
      <w:r w:rsidRPr="008A5444">
        <w:t xml:space="preserve"> v. 5b looks like a </w:t>
      </w:r>
      <w:r>
        <w:t>simple declaration, b</w:t>
      </w:r>
      <w:r w:rsidRPr="008A5444">
        <w:t xml:space="preserve">ut while “decision[s]” can be positive or negative, </w:t>
      </w:r>
      <w:r>
        <w:t>“</w:t>
      </w:r>
      <w:r w:rsidRPr="008A5444">
        <w:t>light</w:t>
      </w:r>
      <w:r>
        <w:t xml:space="preserve">” </w:t>
      </w:r>
      <w:r w:rsidRPr="008A5444">
        <w:t>is a positive image (</w:t>
      </w:r>
      <w:r>
        <w:t>a threat would require</w:t>
      </w:r>
      <w:r w:rsidRPr="008A5444">
        <w:t xml:space="preserve"> </w:t>
      </w:r>
      <w:r>
        <w:t>reference to darkness: cf. Amos 5:18, 20) and in</w:t>
      </w:r>
      <w:r w:rsidRPr="008A5444">
        <w:t xml:space="preserve"> this context a positive promise would be odd. So I take </w:t>
      </w:r>
      <w:r>
        <w:t>v. 5b as the beginning of an unmarked question (cf. GK 150a).</w:t>
      </w:r>
    </w:p>
  </w:footnote>
  <w:footnote w:id="296">
    <w:p w:rsidR="00C5566B" w:rsidRDefault="00C5566B">
      <w:pPr>
        <w:pStyle w:val="FootnoteText"/>
      </w:pPr>
      <w:r>
        <w:rPr>
          <w:rStyle w:val="FootnoteReference"/>
        </w:rPr>
        <w:footnoteRef/>
      </w:r>
      <w:r>
        <w:t xml:space="preserve"> LXX takes </w:t>
      </w:r>
      <w:r>
        <w:rPr>
          <w:i/>
        </w:rPr>
        <w:t>’ādām</w:t>
      </w:r>
      <w:r>
        <w:t xml:space="preserve"> to denote a human being, Vg to denote Adam, but “there” in the next colon clarifies the reference. </w:t>
      </w:r>
      <w:r w:rsidRPr="00F276A5">
        <w:t xml:space="preserve">For </w:t>
      </w:r>
      <w:r w:rsidRPr="00F276A5">
        <w:rPr>
          <w:i/>
        </w:rPr>
        <w:t>k</w:t>
      </w:r>
      <w:r>
        <w:rPr>
          <w:i/>
        </w:rPr>
        <w:t>ə</w:t>
      </w:r>
      <w:r w:rsidRPr="00F276A5">
        <w:rPr>
          <w:i/>
        </w:rPr>
        <w:t xml:space="preserve"> </w:t>
      </w:r>
      <w:r w:rsidRPr="00F276A5">
        <w:t>meaning “as in</w:t>
      </w:r>
      <w:r>
        <w:t>/at</w:t>
      </w:r>
      <w:r w:rsidRPr="00F276A5">
        <w:t>,” see GK 118t</w:t>
      </w:r>
      <w:r>
        <w:t>.</w:t>
      </w:r>
    </w:p>
  </w:footnote>
  <w:footnote w:id="297">
    <w:p w:rsidR="00C5566B" w:rsidRPr="00C060CF" w:rsidRDefault="00C5566B">
      <w:pPr>
        <w:pStyle w:val="FootnoteText"/>
      </w:pPr>
      <w:r>
        <w:rPr>
          <w:rStyle w:val="FootnoteReference"/>
        </w:rPr>
        <w:footnoteRef/>
      </w:r>
      <w:r>
        <w:t xml:space="preserve"> Tg neatly includes a reference to cunning, making a link with that significance of words such as </w:t>
      </w:r>
      <w:r>
        <w:rPr>
          <w:i/>
        </w:rPr>
        <w:t>‘āqēb</w:t>
      </w:r>
      <w:r>
        <w:t xml:space="preserve"> and the Jacob story (cf. Cathcart/</w:t>
      </w:r>
      <w:r w:rsidRPr="00C060CF">
        <w:t xml:space="preserve">Gordon, </w:t>
      </w:r>
      <w:r w:rsidRPr="00C060CF">
        <w:rPr>
          <w:i/>
        </w:rPr>
        <w:t>Targum of the Minor Prophets</w:t>
      </w:r>
      <w:r>
        <w:t>, 42). The related verb will come with such implications in 12:3 [4].</w:t>
      </w:r>
    </w:p>
  </w:footnote>
  <w:footnote w:id="298">
    <w:p w:rsidR="00C5566B" w:rsidRPr="00A957AD" w:rsidRDefault="00C5566B">
      <w:pPr>
        <w:pStyle w:val="FootnoteText"/>
      </w:pPr>
      <w:r>
        <w:rPr>
          <w:rStyle w:val="FootnoteReference"/>
        </w:rPr>
        <w:footnoteRef/>
      </w:r>
      <w:r>
        <w:t xml:space="preserve"> Taking </w:t>
      </w:r>
      <w:r>
        <w:rPr>
          <w:i/>
        </w:rPr>
        <w:t>ḥakkȇ</w:t>
      </w:r>
      <w:r>
        <w:t xml:space="preserve"> as a mixed reading, combining piel participle (which would require an initial </w:t>
      </w:r>
      <w:r>
        <w:rPr>
          <w:i/>
        </w:rPr>
        <w:t>m</w:t>
      </w:r>
      <w:r>
        <w:t xml:space="preserve">) and piel infinitive construct (which would require a final </w:t>
      </w:r>
      <w:r>
        <w:rPr>
          <w:i/>
        </w:rPr>
        <w:t>h</w:t>
      </w:r>
      <w:r>
        <w:t>). GK75aa takes it as simply an odd (Ephraimite?) spelling of the latter.</w:t>
      </w:r>
    </w:p>
  </w:footnote>
  <w:footnote w:id="299">
    <w:p w:rsidR="00C5566B" w:rsidRPr="00EE7E1E" w:rsidRDefault="00C5566B" w:rsidP="00567D4D">
      <w:pPr>
        <w:pStyle w:val="FootnoteText"/>
      </w:pPr>
      <w:r>
        <w:rPr>
          <w:rStyle w:val="FootnoteReference"/>
        </w:rPr>
        <w:footnoteRef/>
      </w:r>
      <w:r>
        <w:t xml:space="preserve"> </w:t>
      </w:r>
      <w:r w:rsidRPr="00A905C6">
        <w:t>Šekem</w:t>
      </w:r>
      <w:r>
        <w:t xml:space="preserve"> can mean shoulder, but</w:t>
      </w:r>
      <w:r w:rsidRPr="00A905C6">
        <w:t xml:space="preserve"> </w:t>
      </w:r>
      <w:r>
        <w:t>Tg “with one consent” (lit. “with one shoulder”) would require “one” to be expressed, as in Zeph. 3:9 (</w:t>
      </w:r>
      <w:r>
        <w:rPr>
          <w:i/>
        </w:rPr>
        <w:t>TTH</w:t>
      </w:r>
      <w:r>
        <w:t xml:space="preserve"> 190).</w:t>
      </w:r>
    </w:p>
  </w:footnote>
  <w:footnote w:id="300">
    <w:p w:rsidR="00C5566B" w:rsidRPr="008C52AB" w:rsidRDefault="00C5566B">
      <w:pPr>
        <w:pStyle w:val="FootnoteText"/>
      </w:pPr>
      <w:r>
        <w:rPr>
          <w:rStyle w:val="FootnoteReference"/>
        </w:rPr>
        <w:footnoteRef/>
      </w:r>
      <w:r>
        <w:t xml:space="preserve"> </w:t>
      </w:r>
      <w:r>
        <w:rPr>
          <w:i/>
        </w:rPr>
        <w:t xml:space="preserve">Ša‘ărûriyyāh </w:t>
      </w:r>
      <w:r>
        <w:t>Q</w:t>
      </w:r>
      <w:r>
        <w:rPr>
          <w:i/>
        </w:rPr>
        <w:t>, ša‘ărîrît</w:t>
      </w:r>
      <w:r>
        <w:t xml:space="preserve"> K, two of the three forms from this root, both occurring only here, both reduplicated forms that underline the horrifying nature of the horror.</w:t>
      </w:r>
    </w:p>
  </w:footnote>
  <w:footnote w:id="301">
    <w:p w:rsidR="00C5566B" w:rsidRDefault="00C5566B" w:rsidP="00856C80">
      <w:pPr>
        <w:pStyle w:val="FootnoteText"/>
      </w:pPr>
      <w:r>
        <w:rPr>
          <w:rStyle w:val="FootnoteReference"/>
        </w:rPr>
        <w:footnoteRef/>
      </w:r>
      <w:r>
        <w:t xml:space="preserve"> If some references to Judah come from Hosea’s later inspiration or from that of his </w:t>
      </w:r>
      <w:r w:rsidRPr="00913CBD">
        <w:t>disciples</w:t>
      </w:r>
      <w:r>
        <w:t>, “Judah</w:t>
      </w:r>
      <w:r w:rsidRPr="00F6128B">
        <w:t xml:space="preserve"> too</w:t>
      </w:r>
      <w:r>
        <w:t>” could be an example; the colon works without it.</w:t>
      </w:r>
    </w:p>
  </w:footnote>
  <w:footnote w:id="302">
    <w:p w:rsidR="00C5566B" w:rsidRDefault="00C5566B" w:rsidP="00856C80">
      <w:pPr>
        <w:pStyle w:val="FootnoteText"/>
      </w:pPr>
      <w:r>
        <w:rPr>
          <w:rStyle w:val="FootnoteReference"/>
        </w:rPr>
        <w:footnoteRef/>
      </w:r>
      <w:r>
        <w:t xml:space="preserve"> MT’s verse division implies that harvest is a positive image, a first way of describing the restoration of fortunes for Judah (cf. Vg, and Jeremias, </w:t>
      </w:r>
      <w:r>
        <w:rPr>
          <w:i/>
        </w:rPr>
        <w:t>Hosea</w:t>
      </w:r>
      <w:r>
        <w:t>, 94). LXX also associates this colon with what follows. But MT’s petuhah after v. 11 associates v. 11 as a whole with what precedes and implies that harvest is a negative image (cf. Tg). Dividing v. 11 between the subsections works well for the prosody, the parallelism in 6:11b—7:1a, and the sense.</w:t>
      </w:r>
    </w:p>
  </w:footnote>
  <w:footnote w:id="303">
    <w:p w:rsidR="00C5566B" w:rsidRDefault="00C5566B">
      <w:pPr>
        <w:pStyle w:val="FootnoteText"/>
      </w:pPr>
      <w:r>
        <w:rPr>
          <w:rStyle w:val="FootnoteReference"/>
        </w:rPr>
        <w:footnoteRef/>
      </w:r>
      <w:r>
        <w:t xml:space="preserve"> T</w:t>
      </w:r>
      <w:r w:rsidRPr="00186107">
        <w:t>he ten</w:t>
      </w:r>
      <w:r>
        <w:t xml:space="preserve">se reference </w:t>
      </w:r>
      <w:r w:rsidRPr="00186107">
        <w:t xml:space="preserve">is determined by the </w:t>
      </w:r>
      <w:r>
        <w:rPr>
          <w:i/>
        </w:rPr>
        <w:t>waw-</w:t>
      </w:r>
      <w:r>
        <w:t>consecutive plus qatal in 7:</w:t>
      </w:r>
      <w:r w:rsidRPr="00186107">
        <w:t>1aβ</w:t>
      </w:r>
      <w:r>
        <w:t xml:space="preserve"> (contrast Vg’s future and subjunctive, “when I will restore… when I wish to heal.”</w:t>
      </w:r>
    </w:p>
  </w:footnote>
  <w:footnote w:id="304">
    <w:p w:rsidR="00C5566B" w:rsidRPr="008B79CE" w:rsidRDefault="00C5566B">
      <w:pPr>
        <w:pStyle w:val="FootnoteText"/>
      </w:pPr>
      <w:r>
        <w:rPr>
          <w:rStyle w:val="FootnoteReference"/>
        </w:rPr>
        <w:footnoteRef/>
      </w:r>
      <w:r>
        <w:t xml:space="preserve"> LXX, Vg, Tg derive the noun </w:t>
      </w:r>
      <w:r>
        <w:rPr>
          <w:i/>
        </w:rPr>
        <w:t>šəbût</w:t>
      </w:r>
      <w:r>
        <w:t xml:space="preserve"> from </w:t>
      </w:r>
      <w:r>
        <w:rPr>
          <w:i/>
        </w:rPr>
        <w:t>šābāh</w:t>
      </w:r>
      <w:r>
        <w:t xml:space="preserve"> and thus take the phrase to denote return from exile, but this meaning doesn’t fit all the phrase’s occurrences; more likely the noun derives from </w:t>
      </w:r>
      <w:r>
        <w:rPr>
          <w:i/>
        </w:rPr>
        <w:t>šûb</w:t>
      </w:r>
      <w:r>
        <w:t xml:space="preserve"> and the phrase literalistically means “restore the restoring” (see </w:t>
      </w:r>
      <w:r>
        <w:rPr>
          <w:i/>
        </w:rPr>
        <w:t>HALOT</w:t>
      </w:r>
      <w:r>
        <w:t>).</w:t>
      </w:r>
    </w:p>
  </w:footnote>
  <w:footnote w:id="305">
    <w:p w:rsidR="00C5566B" w:rsidRPr="00265B17" w:rsidRDefault="00C5566B">
      <w:pPr>
        <w:pStyle w:val="FootnoteText"/>
      </w:pPr>
      <w:r>
        <w:rPr>
          <w:rStyle w:val="FootnoteReference"/>
        </w:rPr>
        <w:footnoteRef/>
      </w:r>
      <w:r>
        <w:t xml:space="preserve"> Taking the </w:t>
      </w:r>
      <w:r>
        <w:rPr>
          <w:i/>
        </w:rPr>
        <w:t>waw-</w:t>
      </w:r>
      <w:r>
        <w:t>consecutive plus qatal to signify present reference (see GK 112m).</w:t>
      </w:r>
    </w:p>
  </w:footnote>
  <w:footnote w:id="306">
    <w:p w:rsidR="00C5566B" w:rsidRPr="00EE7E1E" w:rsidRDefault="00C5566B">
      <w:pPr>
        <w:pStyle w:val="FootnoteText"/>
      </w:pPr>
      <w:r>
        <w:rPr>
          <w:rStyle w:val="FootnoteReference"/>
        </w:rPr>
        <w:footnoteRef/>
      </w:r>
      <w:r>
        <w:t xml:space="preserve"> On the alternating of yiqtol and qatal, see </w:t>
      </w:r>
      <w:r>
        <w:rPr>
          <w:i/>
        </w:rPr>
        <w:t xml:space="preserve">TTH </w:t>
      </w:r>
      <w:r>
        <w:t>35.</w:t>
      </w:r>
    </w:p>
  </w:footnote>
  <w:footnote w:id="307">
    <w:p w:rsidR="00C5566B" w:rsidRPr="00EE2DD4" w:rsidRDefault="00C5566B">
      <w:pPr>
        <w:pStyle w:val="FootnoteText"/>
      </w:pPr>
      <w:r>
        <w:rPr>
          <w:rStyle w:val="FootnoteReference"/>
        </w:rPr>
        <w:footnoteRef/>
      </w:r>
      <w:r>
        <w:t xml:space="preserve"> The unusual poetic negative </w:t>
      </w:r>
      <w:r>
        <w:rPr>
          <w:i/>
        </w:rPr>
        <w:t>bal</w:t>
      </w:r>
      <w:r>
        <w:t xml:space="preserve"> (cf. 9:16).</w:t>
      </w:r>
    </w:p>
  </w:footnote>
  <w:footnote w:id="308">
    <w:p w:rsidR="00C5566B" w:rsidRDefault="00C5566B">
      <w:pPr>
        <w:pStyle w:val="FootnoteText"/>
      </w:pPr>
      <w:r>
        <w:rPr>
          <w:rStyle w:val="FootnoteReference"/>
        </w:rPr>
        <w:footnoteRef/>
      </w:r>
      <w:r>
        <w:t xml:space="preserve"> Literally, “to their heart/mind.”</w:t>
      </w:r>
    </w:p>
  </w:footnote>
  <w:footnote w:id="309">
    <w:p w:rsidR="00C5566B" w:rsidRDefault="00C5566B">
      <w:pPr>
        <w:pStyle w:val="FootnoteText"/>
      </w:pPr>
      <w:r>
        <w:rPr>
          <w:rStyle w:val="FootnoteReference"/>
        </w:rPr>
        <w:footnoteRef/>
      </w:r>
      <w:r>
        <w:t xml:space="preserve"> The object clause is dependent on “say” (GK 157a).</w:t>
      </w:r>
    </w:p>
  </w:footnote>
  <w:footnote w:id="310">
    <w:p w:rsidR="00C5566B" w:rsidRPr="00C66B4C" w:rsidRDefault="00C5566B">
      <w:pPr>
        <w:pStyle w:val="FootnoteText"/>
      </w:pPr>
      <w:r>
        <w:rPr>
          <w:rStyle w:val="FootnoteReference"/>
        </w:rPr>
        <w:footnoteRef/>
      </w:r>
      <w:r>
        <w:t xml:space="preserve"> For </w:t>
      </w:r>
      <w:r>
        <w:rPr>
          <w:i/>
        </w:rPr>
        <w:t xml:space="preserve">min </w:t>
      </w:r>
      <w:r>
        <w:t xml:space="preserve">LXX, Vg have “by,” but this is difficult after the active participle “burning.” As well as the oddness of the preposition there is the oddness that the participle is feminine, which prompts a redividing and repointing of the words such as </w:t>
      </w:r>
      <w:r>
        <w:rPr>
          <w:i/>
        </w:rPr>
        <w:t>tannûr bō’ēr hēm ’ōpeh</w:t>
      </w:r>
      <w:r>
        <w:t xml:space="preserve">, “they are a burning oven./ A baker stops…” (e.g., Andersen/Freedman, </w:t>
      </w:r>
      <w:r>
        <w:rPr>
          <w:i/>
        </w:rPr>
        <w:t>Hosea</w:t>
      </w:r>
      <w:r>
        <w:t xml:space="preserve">, 455-56). But in MT </w:t>
      </w:r>
      <w:r w:rsidRPr="00F45F54">
        <w:t>“without a baker” (</w:t>
      </w:r>
      <w:r w:rsidRPr="00F45F54">
        <w:rPr>
          <w:i/>
        </w:rPr>
        <w:t>mē’ōpeh</w:t>
      </w:r>
      <w:r w:rsidRPr="00F45F54">
        <w:t>)</w:t>
      </w:r>
      <w:r w:rsidRPr="00F45F54">
        <w:rPr>
          <w:i/>
        </w:rPr>
        <w:t xml:space="preserve"> </w:t>
      </w:r>
      <w:r w:rsidRPr="00F45F54">
        <w:t xml:space="preserve">makes for paronomasia with </w:t>
      </w:r>
      <w:r>
        <w:t>“a</w:t>
      </w:r>
      <w:r w:rsidRPr="00F45F54">
        <w:t>dulterers” (</w:t>
      </w:r>
      <w:r w:rsidRPr="00F45F54">
        <w:rPr>
          <w:i/>
        </w:rPr>
        <w:t>mənā’ăpîm</w:t>
      </w:r>
      <w:r w:rsidRPr="00F45F54">
        <w:t>)</w:t>
      </w:r>
      <w:r w:rsidRPr="00F45F54">
        <w:rPr>
          <w:i/>
        </w:rPr>
        <w:t xml:space="preserve"> </w:t>
      </w:r>
      <w:r w:rsidRPr="00F45F54">
        <w:t xml:space="preserve">in the </w:t>
      </w:r>
      <w:r>
        <w:t xml:space="preserve">same position in the </w:t>
      </w:r>
      <w:r w:rsidRPr="00F45F54">
        <w:t xml:space="preserve">parallel colon (the two expressions might also remind people of </w:t>
      </w:r>
      <w:r w:rsidRPr="00DB0A12">
        <w:t xml:space="preserve">the noun </w:t>
      </w:r>
      <w:r w:rsidRPr="00DB0A12">
        <w:rPr>
          <w:i/>
        </w:rPr>
        <w:t xml:space="preserve">’ap </w:t>
      </w:r>
      <w:r w:rsidRPr="00DB0A12">
        <w:t>“anger”</w:t>
      </w:r>
      <w:r>
        <w:t xml:space="preserve"> and </w:t>
      </w:r>
      <w:r w:rsidRPr="00F45F54">
        <w:t xml:space="preserve">the verb </w:t>
      </w:r>
      <w:r w:rsidRPr="00F45F54">
        <w:rPr>
          <w:i/>
        </w:rPr>
        <w:t>’ānap</w:t>
      </w:r>
      <w:r>
        <w:t xml:space="preserve"> “burn with anger</w:t>
      </w:r>
      <w:r w:rsidRPr="00F45F54">
        <w:t>”</w:t>
      </w:r>
      <w:r>
        <w:t xml:space="preserve">). </w:t>
      </w:r>
    </w:p>
  </w:footnote>
  <w:footnote w:id="311">
    <w:p w:rsidR="00C5566B" w:rsidRPr="00E4272E" w:rsidRDefault="00C5566B">
      <w:pPr>
        <w:pStyle w:val="FootnoteText"/>
      </w:pPr>
      <w:r>
        <w:rPr>
          <w:rStyle w:val="FootnoteReference"/>
        </w:rPr>
        <w:footnoteRef/>
      </w:r>
      <w:r>
        <w:t xml:space="preserve"> LXX, Vg, Tg derive the verb from </w:t>
      </w:r>
      <w:r>
        <w:rPr>
          <w:i/>
        </w:rPr>
        <w:t xml:space="preserve">ḥālal </w:t>
      </w:r>
      <w:r>
        <w:t xml:space="preserve">“begin,” but it looks more like a form from </w:t>
      </w:r>
      <w:r>
        <w:rPr>
          <w:i/>
        </w:rPr>
        <w:t xml:space="preserve">ḥālāh; </w:t>
      </w:r>
      <w:r w:rsidRPr="00EC3903">
        <w:t>I take it as</w:t>
      </w:r>
      <w:r>
        <w:t xml:space="preserve"> having regular hiphil meaning rather than being the only example of the verb’s internal hiphil (“the officials made themselves sick”).</w:t>
      </w:r>
    </w:p>
  </w:footnote>
  <w:footnote w:id="312">
    <w:p w:rsidR="00C5566B" w:rsidRPr="00A67788" w:rsidRDefault="00C5566B">
      <w:pPr>
        <w:pStyle w:val="FootnoteText"/>
      </w:pPr>
      <w:r>
        <w:rPr>
          <w:rStyle w:val="FootnoteReference"/>
        </w:rPr>
        <w:footnoteRef/>
      </w:r>
      <w:r>
        <w:t xml:space="preserve"> It’s not clear why </w:t>
      </w:r>
      <w:r>
        <w:rPr>
          <w:i/>
        </w:rPr>
        <w:t>qērəbû</w:t>
      </w:r>
      <w:r>
        <w:t xml:space="preserve"> is piel rather than qal (see Andersen/Freedman, </w:t>
      </w:r>
      <w:r>
        <w:rPr>
          <w:i/>
        </w:rPr>
        <w:t>Hosea</w:t>
      </w:r>
      <w:r>
        <w:t>, p. 459). Grammatically, “their mind” should be its object, but that makes poor sense.</w:t>
      </w:r>
    </w:p>
  </w:footnote>
  <w:footnote w:id="313">
    <w:p w:rsidR="00C5566B" w:rsidRPr="00CD2063" w:rsidRDefault="00C5566B">
      <w:pPr>
        <w:pStyle w:val="FootnoteText"/>
      </w:pPr>
      <w:r>
        <w:rPr>
          <w:rStyle w:val="FootnoteReference"/>
        </w:rPr>
        <w:footnoteRef/>
      </w:r>
      <w:r>
        <w:t xml:space="preserve"> Tg “their anger” (cf. TNIV “their passion”) implies </w:t>
      </w:r>
      <w:r>
        <w:rPr>
          <w:i/>
        </w:rPr>
        <w:t>’appēhem</w:t>
      </w:r>
      <w:r>
        <w:t xml:space="preserve"> for </w:t>
      </w:r>
      <w:r>
        <w:rPr>
          <w:i/>
        </w:rPr>
        <w:t>’ōpēhem</w:t>
      </w:r>
      <w:r>
        <w:t>.</w:t>
      </w:r>
    </w:p>
  </w:footnote>
  <w:footnote w:id="314">
    <w:p w:rsidR="00C5566B" w:rsidRDefault="00C5566B">
      <w:pPr>
        <w:pStyle w:val="FootnoteText"/>
      </w:pPr>
      <w:r>
        <w:rPr>
          <w:rStyle w:val="FootnoteReference"/>
        </w:rPr>
        <w:footnoteRef/>
      </w:r>
      <w:r>
        <w:t xml:space="preserve"> V. 7 combines yiqtol and qatal, like v. 1.</w:t>
      </w:r>
    </w:p>
  </w:footnote>
  <w:footnote w:id="315">
    <w:p w:rsidR="00C5566B" w:rsidRDefault="00C5566B">
      <w:pPr>
        <w:pStyle w:val="FootnoteText"/>
      </w:pPr>
      <w:r>
        <w:rPr>
          <w:rStyle w:val="FootnoteReference"/>
        </w:rPr>
        <w:footnoteRef/>
      </w:r>
      <w:r>
        <w:t xml:space="preserve"> Taking the first three words of v. 8 as a regular noun clause.</w:t>
      </w:r>
    </w:p>
  </w:footnote>
  <w:footnote w:id="316">
    <w:p w:rsidR="00C5566B" w:rsidRDefault="00C5566B">
      <w:pPr>
        <w:pStyle w:val="FootnoteText"/>
      </w:pPr>
      <w:r>
        <w:rPr>
          <w:rStyle w:val="FootnoteReference"/>
        </w:rPr>
        <w:footnoteRef/>
      </w:r>
      <w:r>
        <w:t xml:space="preserve"> Against MT, I take the second </w:t>
      </w:r>
      <w:r w:rsidRPr="00FA4878">
        <w:t>’Eprayim</w:t>
      </w:r>
      <w:r>
        <w:t xml:space="preserve"> as the subject of the verb it follows (in accordance with the usual rule) not of the succeeding one.</w:t>
      </w:r>
    </w:p>
  </w:footnote>
  <w:footnote w:id="317">
    <w:p w:rsidR="00C5566B" w:rsidRPr="00ED6C54" w:rsidRDefault="00C5566B" w:rsidP="00EA7D4E">
      <w:pPr>
        <w:pStyle w:val="FootnoteText"/>
      </w:pPr>
      <w:r>
        <w:rPr>
          <w:rStyle w:val="FootnoteReference"/>
        </w:rPr>
        <w:footnoteRef/>
      </w:r>
      <w:r>
        <w:t xml:space="preserve"> Does</w:t>
      </w:r>
      <w:r w:rsidRPr="00EA7D4E">
        <w:t xml:space="preserve"> </w:t>
      </w:r>
      <w:r w:rsidRPr="00EA7D4E">
        <w:rPr>
          <w:i/>
        </w:rPr>
        <w:t xml:space="preserve">‘ānāh </w:t>
      </w:r>
      <w:r>
        <w:t>denote averring or being humbled? I</w:t>
      </w:r>
      <w:r w:rsidRPr="00EA7D4E">
        <w:t>n 5:5</w:t>
      </w:r>
      <w:r>
        <w:t>, “collapse” in v. 5b resolved</w:t>
      </w:r>
      <w:r w:rsidRPr="00EA7D4E">
        <w:t xml:space="preserve"> the ambiguity.</w:t>
      </w:r>
      <w:r>
        <w:t xml:space="preserve"> Here b</w:t>
      </w:r>
      <w:r w:rsidRPr="00EA7D4E">
        <w:t>oth ideas are appropriate</w:t>
      </w:r>
      <w:r>
        <w:t xml:space="preserve"> (cf. Calvin, </w:t>
      </w:r>
      <w:r w:rsidRPr="009C2C74">
        <w:rPr>
          <w:i/>
        </w:rPr>
        <w:t>Minor Prophets</w:t>
      </w:r>
      <w:r w:rsidRPr="009C2C74">
        <w:t xml:space="preserve"> 1:</w:t>
      </w:r>
      <w:r>
        <w:t>260).</w:t>
      </w:r>
    </w:p>
  </w:footnote>
  <w:footnote w:id="318">
    <w:p w:rsidR="00C5566B" w:rsidRDefault="00C5566B">
      <w:pPr>
        <w:pStyle w:val="FootnoteText"/>
      </w:pPr>
      <w:r>
        <w:rPr>
          <w:rStyle w:val="FootnoteReference"/>
        </w:rPr>
        <w:footnoteRef/>
      </w:r>
      <w:r>
        <w:t xml:space="preserve"> Tg “because they listened to their counsel.”</w:t>
      </w:r>
    </w:p>
  </w:footnote>
  <w:footnote w:id="319">
    <w:p w:rsidR="00C5566B" w:rsidRPr="003C53C5" w:rsidRDefault="00C5566B">
      <w:pPr>
        <w:pStyle w:val="FootnoteText"/>
      </w:pPr>
      <w:r>
        <w:rPr>
          <w:rStyle w:val="FootnoteReference"/>
        </w:rPr>
        <w:footnoteRef/>
      </w:r>
      <w:r>
        <w:t xml:space="preserve"> LXX “gash themselves” implies a form of the verb </w:t>
      </w:r>
      <w:r>
        <w:rPr>
          <w:i/>
        </w:rPr>
        <w:t>gādad</w:t>
      </w:r>
      <w:r>
        <w:t xml:space="preserve"> (cf. 1 Kings 18:28); some mss have </w:t>
      </w:r>
      <w:r>
        <w:rPr>
          <w:i/>
        </w:rPr>
        <w:t xml:space="preserve">yitgôdādû </w:t>
      </w:r>
      <w:r>
        <w:t xml:space="preserve">for </w:t>
      </w:r>
      <w:r w:rsidRPr="00F33342">
        <w:rPr>
          <w:i/>
        </w:rPr>
        <w:t>yitgô</w:t>
      </w:r>
      <w:r>
        <w:rPr>
          <w:i/>
        </w:rPr>
        <w:t>r</w:t>
      </w:r>
      <w:r w:rsidRPr="00F33342">
        <w:rPr>
          <w:i/>
        </w:rPr>
        <w:t>ā</w:t>
      </w:r>
      <w:r>
        <w:rPr>
          <w:i/>
        </w:rPr>
        <w:t>r</w:t>
      </w:r>
      <w:r w:rsidRPr="00F33342">
        <w:rPr>
          <w:i/>
        </w:rPr>
        <w:t>û</w:t>
      </w:r>
      <w:r>
        <w:t xml:space="preserve"> from </w:t>
      </w:r>
      <w:r w:rsidRPr="00F33342">
        <w:rPr>
          <w:i/>
        </w:rPr>
        <w:t>gûr</w:t>
      </w:r>
      <w:r w:rsidRPr="00F33342">
        <w:t xml:space="preserve"> (see BDB).</w:t>
      </w:r>
      <w:r>
        <w:t xml:space="preserve"> Tg derives from </w:t>
      </w:r>
      <w:r>
        <w:rPr>
          <w:i/>
        </w:rPr>
        <w:t>’āgar</w:t>
      </w:r>
      <w:r>
        <w:t xml:space="preserve"> “gather” (Cathcart/</w:t>
      </w:r>
      <w:r w:rsidRPr="003C53C5">
        <w:t xml:space="preserve">Gordon, </w:t>
      </w:r>
      <w:r w:rsidRPr="003C53C5">
        <w:rPr>
          <w:i/>
        </w:rPr>
        <w:t>Targum of the Minor Prophets</w:t>
      </w:r>
      <w:r>
        <w:t>, 45).</w:t>
      </w:r>
    </w:p>
  </w:footnote>
  <w:footnote w:id="320">
    <w:p w:rsidR="00C5566B" w:rsidRPr="006D7A33" w:rsidRDefault="00C5566B">
      <w:pPr>
        <w:pStyle w:val="FootnoteText"/>
      </w:pPr>
      <w:r>
        <w:rPr>
          <w:rStyle w:val="FootnoteReference"/>
        </w:rPr>
        <w:footnoteRef/>
      </w:r>
      <w:r>
        <w:t xml:space="preserve"> MT’s </w:t>
      </w:r>
      <w:r>
        <w:rPr>
          <w:i/>
        </w:rPr>
        <w:t>yāsûrû</w:t>
      </w:r>
      <w:r>
        <w:t xml:space="preserve"> is pointed as from </w:t>
      </w:r>
      <w:r>
        <w:rPr>
          <w:i/>
        </w:rPr>
        <w:t>sûr</w:t>
      </w:r>
      <w:r>
        <w:t xml:space="preserve"> (cf. Sym, Vg) though the preposition </w:t>
      </w:r>
      <w:r>
        <w:rPr>
          <w:i/>
        </w:rPr>
        <w:t>bə</w:t>
      </w:r>
      <w:r>
        <w:t xml:space="preserve"> implies </w:t>
      </w:r>
      <w:r>
        <w:rPr>
          <w:i/>
        </w:rPr>
        <w:t>sārar</w:t>
      </w:r>
      <w:r>
        <w:t xml:space="preserve"> “run amok/rebel” (cf. Tg). LXX conflates with the form from </w:t>
      </w:r>
      <w:r>
        <w:rPr>
          <w:i/>
        </w:rPr>
        <w:t>yāsar</w:t>
      </w:r>
      <w:r>
        <w:t xml:space="preserve"> “discipline” in the next line; the similarity between the words makes vv. 14b-15</w:t>
      </w:r>
      <w:r w:rsidRPr="00964952">
        <w:t xml:space="preserve"> the</w:t>
      </w:r>
      <w:r>
        <w:t xml:space="preserve"> more poignant. Cf. 4:16 and the note. </w:t>
      </w:r>
    </w:p>
  </w:footnote>
  <w:footnote w:id="321">
    <w:p w:rsidR="00C5566B" w:rsidRPr="003707D6" w:rsidRDefault="00C5566B">
      <w:pPr>
        <w:pStyle w:val="FootnoteText"/>
      </w:pPr>
      <w:r>
        <w:rPr>
          <w:rStyle w:val="FootnoteReference"/>
        </w:rPr>
        <w:footnoteRef/>
      </w:r>
      <w:r>
        <w:t xml:space="preserve"> Or </w:t>
      </w:r>
      <w:r w:rsidRPr="0082784B">
        <w:t>“not [to the one] on high</w:t>
      </w:r>
      <w:r>
        <w:t xml:space="preserve">”; </w:t>
      </w:r>
      <w:r>
        <w:rPr>
          <w:i/>
        </w:rPr>
        <w:t xml:space="preserve">lō’ ‘āl </w:t>
      </w:r>
      <w:r>
        <w:t>(“[to one] not on high”) is enigmatic. Sym, Vg suggestively have “yoke” (</w:t>
      </w:r>
      <w:r>
        <w:rPr>
          <w:i/>
        </w:rPr>
        <w:t>‘ōl</w:t>
      </w:r>
      <w:r>
        <w:t xml:space="preserve">): “they turn back, not to a yoke.” </w:t>
      </w:r>
    </w:p>
  </w:footnote>
  <w:footnote w:id="322">
    <w:p w:rsidR="00C5566B" w:rsidRPr="00B740D4" w:rsidRDefault="00C5566B">
      <w:pPr>
        <w:pStyle w:val="FootnoteText"/>
      </w:pPr>
      <w:r>
        <w:rPr>
          <w:rStyle w:val="FootnoteReference"/>
        </w:rPr>
        <w:footnoteRef/>
      </w:r>
      <w:r>
        <w:t xml:space="preserve"> A triple paronomasia: there are three verbs </w:t>
      </w:r>
      <w:r>
        <w:rPr>
          <w:i/>
        </w:rPr>
        <w:t>rāmāh</w:t>
      </w:r>
      <w:r>
        <w:t>, meaning “shoot an arrow,” deceive,” and “be slack.”</w:t>
      </w:r>
    </w:p>
  </w:footnote>
  <w:footnote w:id="323">
    <w:p w:rsidR="00C5566B" w:rsidRPr="00046023" w:rsidRDefault="00C5566B">
      <w:pPr>
        <w:pStyle w:val="FootnoteText"/>
      </w:pPr>
      <w:r>
        <w:rPr>
          <w:rStyle w:val="FootnoteReference"/>
        </w:rPr>
        <w:footnoteRef/>
      </w:r>
      <w:r>
        <w:t xml:space="preserve"> Cf. Glenny, </w:t>
      </w:r>
      <w:r>
        <w:rPr>
          <w:i/>
        </w:rPr>
        <w:t>Hosea</w:t>
      </w:r>
      <w:r>
        <w:t>, 26.</w:t>
      </w:r>
    </w:p>
  </w:footnote>
  <w:footnote w:id="324">
    <w:p w:rsidR="00C5566B" w:rsidRPr="00ED71F6" w:rsidRDefault="00C5566B" w:rsidP="00F859C7">
      <w:pPr>
        <w:pStyle w:val="FootnoteText"/>
      </w:pPr>
      <w:r>
        <w:rPr>
          <w:rStyle w:val="FootnoteReference"/>
        </w:rPr>
        <w:footnoteRef/>
      </w:r>
      <w:r>
        <w:t xml:space="preserve"> Luther, </w:t>
      </w:r>
      <w:r>
        <w:rPr>
          <w:i/>
        </w:rPr>
        <w:t xml:space="preserve">Minor Prophets </w:t>
      </w:r>
      <w:r>
        <w:t>1:35.</w:t>
      </w:r>
    </w:p>
  </w:footnote>
  <w:footnote w:id="325">
    <w:p w:rsidR="00C5566B" w:rsidRDefault="00C5566B">
      <w:pPr>
        <w:pStyle w:val="FootnoteText"/>
      </w:pPr>
      <w:r>
        <w:rPr>
          <w:rStyle w:val="FootnoteReference"/>
        </w:rPr>
        <w:footnoteRef/>
      </w:r>
      <w:r>
        <w:t xml:space="preserve"> Jer. 2:2 is the only clear example in the First Testament; plural “acts of commitment [to God]” appears in 2 Chron. 32:32; 35:26; Neh. 13:14.</w:t>
      </w:r>
    </w:p>
  </w:footnote>
  <w:footnote w:id="326">
    <w:p w:rsidR="00C5566B" w:rsidRPr="00DA6D56" w:rsidRDefault="00C5566B" w:rsidP="001A304D">
      <w:pPr>
        <w:pStyle w:val="FootnoteText"/>
      </w:pPr>
      <w:r>
        <w:rPr>
          <w:rStyle w:val="FootnoteReference"/>
        </w:rPr>
        <w:footnoteRef/>
      </w:r>
      <w:r>
        <w:t xml:space="preserve"> Landy, </w:t>
      </w:r>
      <w:r>
        <w:rPr>
          <w:i/>
        </w:rPr>
        <w:t>Hosea</w:t>
      </w:r>
      <w:r>
        <w:t>, 152.</w:t>
      </w:r>
    </w:p>
  </w:footnote>
  <w:footnote w:id="327">
    <w:p w:rsidR="00C5566B" w:rsidRDefault="00C5566B">
      <w:pPr>
        <w:pStyle w:val="FootnoteText"/>
      </w:pPr>
      <w:r>
        <w:rPr>
          <w:rStyle w:val="FootnoteReference"/>
        </w:rPr>
        <w:footnoteRef/>
      </w:r>
      <w:r>
        <w:t xml:space="preserve"> Calvin, </w:t>
      </w:r>
      <w:r w:rsidRPr="009C2C74">
        <w:rPr>
          <w:i/>
        </w:rPr>
        <w:t>Minor Prophets</w:t>
      </w:r>
      <w:r w:rsidRPr="009C2C74">
        <w:t xml:space="preserve"> 1:</w:t>
      </w:r>
      <w:r>
        <w:t>237.</w:t>
      </w:r>
    </w:p>
  </w:footnote>
  <w:footnote w:id="328">
    <w:p w:rsidR="00C5566B" w:rsidRPr="00A942EB" w:rsidRDefault="00C5566B">
      <w:pPr>
        <w:pStyle w:val="FootnoteText"/>
      </w:pPr>
      <w:r>
        <w:rPr>
          <w:rStyle w:val="FootnoteReference"/>
        </w:rPr>
        <w:footnoteRef/>
      </w:r>
      <w:r>
        <w:t xml:space="preserve"> See Macintosh, </w:t>
      </w:r>
      <w:r>
        <w:rPr>
          <w:i/>
        </w:rPr>
        <w:t>Hosea</w:t>
      </w:r>
      <w:r>
        <w:t xml:space="preserve">, 239-41; Davies, </w:t>
      </w:r>
      <w:r>
        <w:rPr>
          <w:i/>
        </w:rPr>
        <w:t>Hosea</w:t>
      </w:r>
      <w:r>
        <w:t>, 173.</w:t>
      </w:r>
    </w:p>
  </w:footnote>
  <w:footnote w:id="329">
    <w:p w:rsidR="00C5566B" w:rsidRPr="00610424" w:rsidRDefault="00C5566B" w:rsidP="00610424">
      <w:pPr>
        <w:pStyle w:val="FootnoteText"/>
      </w:pPr>
      <w:r>
        <w:rPr>
          <w:rStyle w:val="FootnoteReference"/>
        </w:rPr>
        <w:footnoteRef/>
      </w:r>
      <w:r>
        <w:t xml:space="preserve"> See Andersen/Freedman, </w:t>
      </w:r>
      <w:r>
        <w:rPr>
          <w:i/>
        </w:rPr>
        <w:t>Hosea</w:t>
      </w:r>
      <w:r>
        <w:t>, 434-35.</w:t>
      </w:r>
    </w:p>
  </w:footnote>
  <w:footnote w:id="330">
    <w:p w:rsidR="00C5566B" w:rsidRPr="009A4580" w:rsidRDefault="00C5566B" w:rsidP="00E57482">
      <w:pPr>
        <w:pStyle w:val="FootnoteText"/>
      </w:pPr>
      <w:r>
        <w:rPr>
          <w:rStyle w:val="FootnoteReference"/>
        </w:rPr>
        <w:footnoteRef/>
      </w:r>
      <w:r>
        <w:t xml:space="preserve"> Shalom Paul, “The Image of the Oven and the Cake in Hosea vii 4-10,” </w:t>
      </w:r>
      <w:r>
        <w:rPr>
          <w:i/>
        </w:rPr>
        <w:t>VT</w:t>
      </w:r>
      <w:r>
        <w:t xml:space="preserve"> 18 (1968): 114-120 (117).</w:t>
      </w:r>
    </w:p>
  </w:footnote>
  <w:footnote w:id="331">
    <w:p w:rsidR="00C5566B" w:rsidRPr="009A3D56" w:rsidRDefault="00C5566B">
      <w:pPr>
        <w:pStyle w:val="FootnoteText"/>
      </w:pPr>
      <w:r>
        <w:rPr>
          <w:rStyle w:val="FootnoteReference"/>
        </w:rPr>
        <w:footnoteRef/>
      </w:r>
      <w:r>
        <w:t xml:space="preserve"> Cf. Macintosh, </w:t>
      </w:r>
      <w:r>
        <w:rPr>
          <w:i/>
        </w:rPr>
        <w:t>Hosea</w:t>
      </w:r>
      <w:r>
        <w:t>, 274.</w:t>
      </w:r>
    </w:p>
  </w:footnote>
  <w:footnote w:id="332">
    <w:p w:rsidR="00C5566B" w:rsidRPr="00043006" w:rsidRDefault="00C5566B" w:rsidP="00BF0657">
      <w:pPr>
        <w:pStyle w:val="FootnoteText"/>
      </w:pPr>
      <w:r>
        <w:rPr>
          <w:rStyle w:val="FootnoteReference"/>
        </w:rPr>
        <w:footnoteRef/>
      </w:r>
      <w:r>
        <w:t xml:space="preserve"> Calvin, </w:t>
      </w:r>
      <w:r w:rsidRPr="009C2C74">
        <w:rPr>
          <w:i/>
        </w:rPr>
        <w:t>Minor Prophets</w:t>
      </w:r>
      <w:r w:rsidRPr="009C2C74">
        <w:t xml:space="preserve"> 1:</w:t>
      </w:r>
      <w:r>
        <w:t xml:space="preserve">265. See further Paul A. Kruger, “The Divine Net in Hosea 7,12,” </w:t>
      </w:r>
      <w:r w:rsidRPr="00043006">
        <w:rPr>
          <w:i/>
        </w:rPr>
        <w:t xml:space="preserve">Ephemerides theologicae Lovanienses </w:t>
      </w:r>
      <w:r w:rsidRPr="00043006">
        <w:t>68 (1992):</w:t>
      </w:r>
      <w:r w:rsidRPr="00043006">
        <w:rPr>
          <w:i/>
        </w:rPr>
        <w:t xml:space="preserve"> </w:t>
      </w:r>
      <w:r>
        <w:t>132-36.</w:t>
      </w:r>
    </w:p>
  </w:footnote>
  <w:footnote w:id="333">
    <w:p w:rsidR="00C5566B" w:rsidRPr="00ED71F6" w:rsidRDefault="00C5566B">
      <w:pPr>
        <w:pStyle w:val="FootnoteText"/>
      </w:pPr>
      <w:r>
        <w:rPr>
          <w:rStyle w:val="FootnoteReference"/>
        </w:rPr>
        <w:footnoteRef/>
      </w:r>
      <w:r>
        <w:t xml:space="preserve"> Cf. the use of </w:t>
      </w:r>
      <w:r>
        <w:rPr>
          <w:i/>
        </w:rPr>
        <w:t xml:space="preserve">šēma‘ </w:t>
      </w:r>
      <w:r>
        <w:t xml:space="preserve">of a word that comes to a prophet in Hab. 3:2; and Luther, </w:t>
      </w:r>
      <w:r>
        <w:rPr>
          <w:i/>
        </w:rPr>
        <w:t>Minor Prophets</w:t>
      </w:r>
      <w:r>
        <w:t xml:space="preserve"> 1:39.</w:t>
      </w:r>
    </w:p>
  </w:footnote>
  <w:footnote w:id="334">
    <w:p w:rsidR="00C5566B" w:rsidRPr="00E328F9" w:rsidRDefault="00C5566B">
      <w:pPr>
        <w:pStyle w:val="FootnoteText"/>
      </w:pPr>
      <w:r>
        <w:rPr>
          <w:rStyle w:val="FootnoteReference"/>
        </w:rPr>
        <w:footnoteRef/>
      </w:r>
      <w:r>
        <w:t xml:space="preserve"> Michael L. Barré, “Hearts, Beds, and Repentance,” </w:t>
      </w:r>
      <w:r>
        <w:rPr>
          <w:i/>
        </w:rPr>
        <w:t xml:space="preserve">Biblica </w:t>
      </w:r>
      <w:r>
        <w:t>76 (1995): 53-62 (57).</w:t>
      </w:r>
    </w:p>
  </w:footnote>
  <w:footnote w:id="335">
    <w:p w:rsidR="00C5566B" w:rsidRPr="00C602C8" w:rsidRDefault="00C5566B">
      <w:pPr>
        <w:pStyle w:val="FootnoteText"/>
      </w:pPr>
      <w:r>
        <w:rPr>
          <w:rStyle w:val="FootnoteReference"/>
        </w:rPr>
        <w:footnoteRef/>
      </w:r>
      <w:r>
        <w:t xml:space="preserve"> Cf. Wolff, </w:t>
      </w:r>
      <w:r>
        <w:rPr>
          <w:i/>
        </w:rPr>
        <w:t>Hosea</w:t>
      </w:r>
      <w:r>
        <w:t>, 128.</w:t>
      </w:r>
    </w:p>
  </w:footnote>
  <w:footnote w:id="336">
    <w:p w:rsidR="00C5566B" w:rsidRPr="00921358" w:rsidRDefault="00C5566B" w:rsidP="00F672E2">
      <w:pPr>
        <w:pStyle w:val="FootnoteText"/>
      </w:pPr>
      <w:r>
        <w:rPr>
          <w:rStyle w:val="FootnoteReference"/>
        </w:rPr>
        <w:footnoteRef/>
      </w:r>
      <w:r>
        <w:t xml:space="preserve"> Ben Zvi, </w:t>
      </w:r>
      <w:r>
        <w:rPr>
          <w:i/>
        </w:rPr>
        <w:t>Hosea</w:t>
      </w:r>
      <w:r>
        <w:t>, 145.</w:t>
      </w:r>
    </w:p>
  </w:footnote>
  <w:footnote w:id="337">
    <w:p w:rsidR="00C5566B" w:rsidRPr="00306676" w:rsidRDefault="00C5566B" w:rsidP="00603CC3">
      <w:pPr>
        <w:pStyle w:val="FootnoteText"/>
        <w:rPr>
          <w:i/>
        </w:rPr>
      </w:pPr>
      <w:r>
        <w:rPr>
          <w:rStyle w:val="FootnoteReference"/>
        </w:rPr>
        <w:footnoteRef/>
      </w:r>
      <w:r>
        <w:t xml:space="preserve"> Calvin, </w:t>
      </w:r>
      <w:r w:rsidRPr="009C2C74">
        <w:rPr>
          <w:i/>
        </w:rPr>
        <w:t>Minor Prophets</w:t>
      </w:r>
      <w:r w:rsidRPr="009C2C74">
        <w:t xml:space="preserve"> 1:</w:t>
      </w:r>
      <w:r>
        <w:t>231.</w:t>
      </w:r>
    </w:p>
  </w:footnote>
  <w:footnote w:id="338">
    <w:p w:rsidR="00C5566B" w:rsidRPr="00D45EE7" w:rsidRDefault="00C5566B" w:rsidP="005C6415">
      <w:pPr>
        <w:pStyle w:val="FootnoteText"/>
      </w:pPr>
      <w:r>
        <w:rPr>
          <w:rStyle w:val="FootnoteReference"/>
        </w:rPr>
        <w:footnoteRef/>
      </w:r>
      <w:r>
        <w:t xml:space="preserve"> Lim/Castelo, </w:t>
      </w:r>
      <w:r>
        <w:rPr>
          <w:i/>
        </w:rPr>
        <w:t>Hosea</w:t>
      </w:r>
      <w:r>
        <w:t>, 144.</w:t>
      </w:r>
    </w:p>
  </w:footnote>
  <w:footnote w:id="339">
    <w:p w:rsidR="00C5566B" w:rsidRPr="000051D1" w:rsidRDefault="00C5566B" w:rsidP="00BD4225">
      <w:pPr>
        <w:pStyle w:val="FootnoteText"/>
      </w:pPr>
      <w:r>
        <w:rPr>
          <w:rStyle w:val="FootnoteReference"/>
        </w:rPr>
        <w:footnoteRef/>
      </w:r>
      <w:r>
        <w:t xml:space="preserve"> Calvin, </w:t>
      </w:r>
      <w:r w:rsidRPr="009C2C74">
        <w:rPr>
          <w:i/>
        </w:rPr>
        <w:t>Minor Prophets</w:t>
      </w:r>
      <w:r w:rsidRPr="009C2C74">
        <w:t xml:space="preserve"> 1:</w:t>
      </w:r>
      <w:r>
        <w:t>244.</w:t>
      </w:r>
    </w:p>
  </w:footnote>
  <w:footnote w:id="340">
    <w:p w:rsidR="00C5566B" w:rsidRDefault="00C5566B">
      <w:pPr>
        <w:pStyle w:val="FootnoteText"/>
      </w:pPr>
      <w:r>
        <w:rPr>
          <w:rStyle w:val="FootnoteReference"/>
        </w:rPr>
        <w:footnoteRef/>
      </w:r>
      <w:r>
        <w:t xml:space="preserve"> Wolff, </w:t>
      </w:r>
      <w:r>
        <w:rPr>
          <w:i/>
        </w:rPr>
        <w:t>Hosea</w:t>
      </w:r>
      <w:r>
        <w:t>,</w:t>
      </w:r>
      <w:r>
        <w:rPr>
          <w:i/>
        </w:rPr>
        <w:t xml:space="preserve"> </w:t>
      </w:r>
      <w:r>
        <w:t>129.</w:t>
      </w:r>
    </w:p>
  </w:footnote>
  <w:footnote w:id="341">
    <w:p w:rsidR="00C5566B" w:rsidRPr="00294B86" w:rsidRDefault="00C5566B" w:rsidP="00D92E4B">
      <w:pPr>
        <w:pStyle w:val="FootnoteText"/>
      </w:pPr>
      <w:r>
        <w:rPr>
          <w:rStyle w:val="FootnoteReference"/>
        </w:rPr>
        <w:footnoteRef/>
      </w:r>
      <w:r>
        <w:t xml:space="preserve"> Landy, </w:t>
      </w:r>
      <w:r>
        <w:rPr>
          <w:i/>
        </w:rPr>
        <w:t>Hosea</w:t>
      </w:r>
      <w:r>
        <w:t>, 80.</w:t>
      </w:r>
    </w:p>
  </w:footnote>
  <w:footnote w:id="342">
    <w:p w:rsidR="00C5566B" w:rsidRPr="00690CE8" w:rsidRDefault="00C5566B" w:rsidP="000E30F7">
      <w:pPr>
        <w:pStyle w:val="FootnoteText"/>
      </w:pPr>
      <w:r>
        <w:rPr>
          <w:rStyle w:val="FootnoteReference"/>
        </w:rPr>
        <w:footnoteRef/>
      </w:r>
      <w:r>
        <w:t xml:space="preserve"> See Dearman, </w:t>
      </w:r>
      <w:r>
        <w:rPr>
          <w:i/>
        </w:rPr>
        <w:t>Hosea</w:t>
      </w:r>
      <w:r>
        <w:t>, 196-97.</w:t>
      </w:r>
    </w:p>
  </w:footnote>
  <w:footnote w:id="343">
    <w:p w:rsidR="00C5566B" w:rsidRPr="007B48C4" w:rsidRDefault="00C5566B" w:rsidP="000E30F7">
      <w:pPr>
        <w:pStyle w:val="FootnoteText"/>
      </w:pPr>
      <w:r>
        <w:rPr>
          <w:rStyle w:val="FootnoteReference"/>
        </w:rPr>
        <w:footnoteRef/>
      </w:r>
      <w:r>
        <w:t xml:space="preserve"> </w:t>
      </w:r>
      <w:r>
        <w:rPr>
          <w:i/>
        </w:rPr>
        <w:t>ANET</w:t>
      </w:r>
      <w:r>
        <w:t xml:space="preserve">, 417; cf. Wolff, </w:t>
      </w:r>
      <w:r>
        <w:rPr>
          <w:i/>
        </w:rPr>
        <w:t>Hosea</w:t>
      </w:r>
      <w:r>
        <w:t>, 121.</w:t>
      </w:r>
    </w:p>
  </w:footnote>
  <w:footnote w:id="344">
    <w:p w:rsidR="00C5566B" w:rsidRPr="00336ADC" w:rsidRDefault="00C5566B">
      <w:pPr>
        <w:pStyle w:val="FootnoteText"/>
        <w:rPr>
          <w:i/>
        </w:rPr>
      </w:pPr>
      <w:r>
        <w:rPr>
          <w:rStyle w:val="FootnoteReference"/>
        </w:rPr>
        <w:footnoteRef/>
      </w:r>
      <w:r>
        <w:t xml:space="preserve"> See Eberhard Bons, “Osée 6:6 dans le Texte Massorétique,” in Bons (ed.), </w:t>
      </w:r>
      <w:r>
        <w:rPr>
          <w:i/>
        </w:rPr>
        <w:t>“Car c’est l’amour qui me plaît, non le sacrifice…”</w:t>
      </w:r>
      <w:r>
        <w:t xml:space="preserve"> (Leiden: Brill, 2004), 9-24, and other papers in this volume.</w:t>
      </w:r>
      <w:r>
        <w:rPr>
          <w:i/>
        </w:rPr>
        <w:t xml:space="preserve"> </w:t>
      </w:r>
    </w:p>
  </w:footnote>
  <w:footnote w:id="345">
    <w:p w:rsidR="00C5566B" w:rsidRPr="00246DEE" w:rsidRDefault="00C5566B" w:rsidP="00246DEE">
      <w:pPr>
        <w:pStyle w:val="FootnoteText"/>
        <w:rPr>
          <w:rFonts w:eastAsiaTheme="minorHAnsi" w:cs="AGaramondPro-Bold"/>
          <w:bCs/>
        </w:rPr>
      </w:pPr>
      <w:r>
        <w:rPr>
          <w:rStyle w:val="FootnoteReference"/>
        </w:rPr>
        <w:footnoteRef/>
      </w:r>
      <w:r>
        <w:t xml:space="preserve"> See </w:t>
      </w:r>
      <w:r w:rsidRPr="00246DEE">
        <w:rPr>
          <w:rFonts w:eastAsiaTheme="minorHAnsi" w:cs="AGaramondPro-Bold"/>
          <w:bCs/>
        </w:rPr>
        <w:t>Eric Ottenheijm</w:t>
      </w:r>
      <w:r>
        <w:rPr>
          <w:rFonts w:eastAsiaTheme="minorHAnsi" w:cs="AGaramondPro-Bold"/>
          <w:bCs/>
        </w:rPr>
        <w:t>,</w:t>
      </w:r>
      <w:r w:rsidRPr="00246DEE">
        <w:rPr>
          <w:rFonts w:eastAsiaTheme="minorHAnsi" w:cs="AGaramondPro-Bold"/>
          <w:bCs/>
        </w:rPr>
        <w:t xml:space="preserve"> </w:t>
      </w:r>
      <w:r>
        <w:rPr>
          <w:rFonts w:eastAsiaTheme="minorHAnsi" w:cs="AGaramondPro-Bold"/>
          <w:bCs/>
        </w:rPr>
        <w:t>“</w:t>
      </w:r>
      <w:r w:rsidRPr="00246DEE">
        <w:rPr>
          <w:rFonts w:eastAsiaTheme="minorHAnsi" w:cs="AGaramondPro-Bold"/>
          <w:bCs/>
        </w:rPr>
        <w:t>The Shared Meal</w:t>
      </w:r>
      <w:r>
        <w:rPr>
          <w:rFonts w:eastAsiaTheme="minorHAnsi" w:cs="AGaramondPro-Bold"/>
          <w:bCs/>
        </w:rPr>
        <w:t xml:space="preserve">,” </w:t>
      </w:r>
      <w:r>
        <w:rPr>
          <w:rFonts w:eastAsiaTheme="minorHAnsi" w:cs="AGaramondPro-Bold"/>
          <w:bCs/>
          <w:i/>
        </w:rPr>
        <w:t>Novum Testamentum</w:t>
      </w:r>
      <w:r>
        <w:rPr>
          <w:rFonts w:eastAsiaTheme="minorHAnsi" w:cs="AGaramondPro-Bold"/>
          <w:bCs/>
        </w:rPr>
        <w:t xml:space="preserve"> 53 (2011): 1-21(16-17).</w:t>
      </w:r>
    </w:p>
  </w:footnote>
  <w:footnote w:id="346">
    <w:p w:rsidR="00C5566B" w:rsidRPr="001E7437" w:rsidRDefault="00C5566B" w:rsidP="008A0CC1">
      <w:pPr>
        <w:pStyle w:val="FootnoteText"/>
      </w:pPr>
      <w:r>
        <w:rPr>
          <w:rStyle w:val="FootnoteReference"/>
        </w:rPr>
        <w:footnoteRef/>
      </w:r>
      <w:r>
        <w:t xml:space="preserve"> Not merely “like”: see the note on 5:10. </w:t>
      </w:r>
    </w:p>
  </w:footnote>
  <w:footnote w:id="347">
    <w:p w:rsidR="00C5566B" w:rsidRPr="00422C9D" w:rsidRDefault="00C5566B">
      <w:pPr>
        <w:pStyle w:val="FootnoteText"/>
      </w:pPr>
      <w:r>
        <w:rPr>
          <w:rStyle w:val="FootnoteReference"/>
        </w:rPr>
        <w:footnoteRef/>
      </w:r>
      <w:r>
        <w:t xml:space="preserve"> While </w:t>
      </w:r>
      <w:r>
        <w:rPr>
          <w:i/>
        </w:rPr>
        <w:t xml:space="preserve">bȇt yhwh </w:t>
      </w:r>
      <w:r>
        <w:t xml:space="preserve">usually refers to the Jerusalem temple (cf. Tg), that understanding makes poor sense here. If there was a temple in Samaria, Ephraimites would no doubt refer to it as </w:t>
      </w:r>
      <w:r w:rsidRPr="005D68F1">
        <w:rPr>
          <w:i/>
        </w:rPr>
        <w:t>bȇt yhwh</w:t>
      </w:r>
      <w:r>
        <w:t xml:space="preserve">, but we do not know of one, and Hosea would be unlikely to do so without qualification or irony. In fact </w:t>
      </w:r>
      <w:r w:rsidRPr="00422C9D">
        <w:rPr>
          <w:i/>
        </w:rPr>
        <w:t>bȇt</w:t>
      </w:r>
      <w:r>
        <w:t xml:space="preserve"> always denotes “household” in Hosea (see especially 9:4, 8, 15 and the comments).</w:t>
      </w:r>
    </w:p>
  </w:footnote>
  <w:footnote w:id="348">
    <w:p w:rsidR="00C5566B" w:rsidRDefault="00C5566B">
      <w:pPr>
        <w:pStyle w:val="FootnoteText"/>
      </w:pPr>
      <w:r>
        <w:rPr>
          <w:rStyle w:val="FootnoteReference"/>
        </w:rPr>
        <w:footnoteRef/>
      </w:r>
      <w:r>
        <w:t xml:space="preserve"> LXX has simply “God, we acknowledge you,” an easier reading.</w:t>
      </w:r>
    </w:p>
  </w:footnote>
  <w:footnote w:id="349">
    <w:p w:rsidR="00C5566B" w:rsidRPr="00396759" w:rsidRDefault="00C5566B">
      <w:pPr>
        <w:pStyle w:val="FootnoteText"/>
      </w:pPr>
      <w:r>
        <w:rPr>
          <w:rStyle w:val="FootnoteReference"/>
        </w:rPr>
        <w:footnoteRef/>
      </w:r>
      <w:r>
        <w:t xml:space="preserve"> The lack of </w:t>
      </w:r>
      <w:r>
        <w:rPr>
          <w:i/>
        </w:rPr>
        <w:t>wə</w:t>
      </w:r>
      <w:r>
        <w:t xml:space="preserve"> and the subject’s position before the verb suggests a concessive or circumstantial clause. </w:t>
      </w:r>
    </w:p>
  </w:footnote>
  <w:footnote w:id="350">
    <w:p w:rsidR="00C5566B" w:rsidRPr="00F54A7D" w:rsidRDefault="00C5566B">
      <w:pPr>
        <w:pStyle w:val="FootnoteText"/>
      </w:pPr>
      <w:r>
        <w:rPr>
          <w:rStyle w:val="FootnoteReference"/>
        </w:rPr>
        <w:footnoteRef/>
      </w:r>
      <w:r>
        <w:t xml:space="preserve"> </w:t>
      </w:r>
      <w:r>
        <w:rPr>
          <w:i/>
        </w:rPr>
        <w:t>Hēśîrû</w:t>
      </w:r>
      <w:r>
        <w:t xml:space="preserve"> is the only hiphil occurrence of the denominative </w:t>
      </w:r>
      <w:r>
        <w:rPr>
          <w:i/>
        </w:rPr>
        <w:t>śārar</w:t>
      </w:r>
      <w:r>
        <w:t xml:space="preserve"> from </w:t>
      </w:r>
      <w:r>
        <w:rPr>
          <w:i/>
        </w:rPr>
        <w:t>śîr</w:t>
      </w:r>
      <w:r>
        <w:t xml:space="preserve">, though it might also be taken as an alternative spelling of a form from </w:t>
      </w:r>
      <w:r>
        <w:rPr>
          <w:i/>
        </w:rPr>
        <w:t>sûr</w:t>
      </w:r>
      <w:r>
        <w:t xml:space="preserve"> which would mean “they removed [a king]” (so e.g., Rashi in </w:t>
      </w:r>
      <w:r w:rsidRPr="00DB677F">
        <w:rPr>
          <w:i/>
        </w:rPr>
        <w:t>miqrā’ôt gədôlôt</w:t>
      </w:r>
      <w:r>
        <w:t xml:space="preserve"> on the passage), suggesting a paronomasia: they have appoint/removed officials.</w:t>
      </w:r>
    </w:p>
  </w:footnote>
  <w:footnote w:id="351">
    <w:p w:rsidR="00C5566B" w:rsidRDefault="00C5566B">
      <w:pPr>
        <w:pStyle w:val="FootnoteText"/>
      </w:pPr>
      <w:r>
        <w:rPr>
          <w:rStyle w:val="FootnoteReference"/>
        </w:rPr>
        <w:footnoteRef/>
      </w:r>
      <w:r>
        <w:t xml:space="preserve"> The move to third person singular for v. 4bγ-5aα (the lines on either side being third plural) suggests that these two cola form a bicolon, like the rest of vv. 4-6. Placing the purpose clause first with the subject explicit only in the second colon makes the line elliptical, but not as elliptical as they are in MT’s verse division. A similar structure recurs in v. 6. “Cut down” may imply that </w:t>
      </w:r>
      <w:r w:rsidRPr="000A503E">
        <w:t>the silver and gold we</w:t>
      </w:r>
      <w:r>
        <w:t>re plating over a wooden figure (cf. v. 6b); cf. the hiphil in Mic. 5:13 [12], or may imply a metonymy: the bullock will be</w:t>
      </w:r>
      <w:r w:rsidRPr="0096598B">
        <w:t xml:space="preserve"> </w:t>
      </w:r>
      <w:r>
        <w:t>“</w:t>
      </w:r>
      <w:r w:rsidRPr="0096598B">
        <w:t>cut down</w:t>
      </w:r>
      <w:r>
        <w:t>”</w:t>
      </w:r>
      <w:r w:rsidRPr="0096598B">
        <w:t xml:space="preserve"> like an Asherah column</w:t>
      </w:r>
      <w:r>
        <w:t xml:space="preserve">. </w:t>
      </w:r>
    </w:p>
  </w:footnote>
  <w:footnote w:id="352">
    <w:p w:rsidR="00C5566B" w:rsidRDefault="00C5566B">
      <w:pPr>
        <w:pStyle w:val="FootnoteText"/>
      </w:pPr>
      <w:r>
        <w:rPr>
          <w:rStyle w:val="FootnoteReference"/>
        </w:rPr>
        <w:footnoteRef/>
      </w:r>
      <w:r>
        <w:t xml:space="preserve"> LXX implies imperative </w:t>
      </w:r>
      <w:r w:rsidRPr="00FF4619">
        <w:rPr>
          <w:i/>
        </w:rPr>
        <w:t>zənaḥ</w:t>
      </w:r>
      <w:r>
        <w:rPr>
          <w:i/>
        </w:rPr>
        <w:t xml:space="preserve"> </w:t>
      </w:r>
      <w:r>
        <w:t xml:space="preserve">for </w:t>
      </w:r>
      <w:r w:rsidRPr="00FF4619">
        <w:rPr>
          <w:i/>
        </w:rPr>
        <w:t>zānaḥ</w:t>
      </w:r>
      <w:r>
        <w:t>, avoiding the change from Yahweh’s speaking to</w:t>
      </w:r>
      <w:r>
        <w:rPr>
          <w:i/>
        </w:rPr>
        <w:t xml:space="preserve"> </w:t>
      </w:r>
      <w:r>
        <w:t>Hosea’s speaking about Yahweh. But Hosea often makes such transitions (see 1:2b and the comments); he moves back in the next line.</w:t>
      </w:r>
    </w:p>
  </w:footnote>
  <w:footnote w:id="353">
    <w:p w:rsidR="00C5566B" w:rsidRDefault="00C5566B">
      <w:pPr>
        <w:pStyle w:val="FootnoteText"/>
      </w:pPr>
      <w:r>
        <w:rPr>
          <w:rStyle w:val="FootnoteReference"/>
        </w:rPr>
        <w:footnoteRef/>
      </w:r>
      <w:r>
        <w:t xml:space="preserve"> BDB takes the noun to denote being free of punishment.</w:t>
      </w:r>
    </w:p>
  </w:footnote>
  <w:footnote w:id="354">
    <w:p w:rsidR="00C5566B" w:rsidRPr="00112174" w:rsidRDefault="00C5566B">
      <w:pPr>
        <w:pStyle w:val="FootnoteText"/>
      </w:pPr>
      <w:r>
        <w:rPr>
          <w:rStyle w:val="FootnoteReference"/>
        </w:rPr>
        <w:footnoteRef/>
      </w:r>
      <w:r>
        <w:t xml:space="preserve"> Linking </w:t>
      </w:r>
      <w:r>
        <w:rPr>
          <w:i/>
        </w:rPr>
        <w:t xml:space="preserve">šəbābîm </w:t>
      </w:r>
      <w:r>
        <w:t xml:space="preserve">with BDB’s </w:t>
      </w:r>
      <w:r>
        <w:rPr>
          <w:i/>
        </w:rPr>
        <w:t xml:space="preserve">šābab </w:t>
      </w:r>
      <w:r>
        <w:t xml:space="preserve">I rather than </w:t>
      </w:r>
      <w:r>
        <w:rPr>
          <w:i/>
        </w:rPr>
        <w:t xml:space="preserve">šābab </w:t>
      </w:r>
      <w:r>
        <w:t xml:space="preserve">II. LXX links it with </w:t>
      </w:r>
      <w:r>
        <w:rPr>
          <w:i/>
        </w:rPr>
        <w:t>šûb</w:t>
      </w:r>
      <w:r>
        <w:t>, inferring the meaning “things that turn people away [from Yahweh].”</w:t>
      </w:r>
    </w:p>
  </w:footnote>
  <w:footnote w:id="355">
    <w:p w:rsidR="00C5566B" w:rsidRPr="007F3C67" w:rsidRDefault="00C5566B" w:rsidP="00055D90">
      <w:pPr>
        <w:pStyle w:val="Default"/>
        <w:ind w:firstLine="720"/>
        <w:rPr>
          <w:rFonts w:asciiTheme="minorHAnsi" w:hAnsiTheme="minorHAnsi" w:cs="WSBOS E+ Times"/>
          <w:sz w:val="20"/>
          <w:szCs w:val="20"/>
        </w:rPr>
      </w:pPr>
      <w:r w:rsidRPr="00055D90">
        <w:rPr>
          <w:rStyle w:val="FootnoteReference"/>
          <w:rFonts w:asciiTheme="minorHAnsi" w:hAnsiTheme="minorHAnsi"/>
          <w:sz w:val="20"/>
          <w:szCs w:val="20"/>
        </w:rPr>
        <w:footnoteRef/>
      </w:r>
      <w:r>
        <w:t xml:space="preserve"> </w:t>
      </w:r>
      <w:r w:rsidRPr="007F3C67">
        <w:rPr>
          <w:rFonts w:asciiTheme="minorHAnsi" w:hAnsiTheme="minorHAnsi"/>
          <w:sz w:val="20"/>
          <w:szCs w:val="20"/>
        </w:rPr>
        <w:t xml:space="preserve">Nicely in light of the word’s adoption into English, LXX has </w:t>
      </w:r>
      <w:r w:rsidRPr="007F3C67">
        <w:rPr>
          <w:rFonts w:asciiTheme="minorHAnsi" w:hAnsiTheme="minorHAnsi"/>
          <w:i/>
          <w:sz w:val="20"/>
          <w:szCs w:val="20"/>
        </w:rPr>
        <w:t>katastrophē</w:t>
      </w:r>
      <w:r w:rsidRPr="007F3C67">
        <w:rPr>
          <w:rFonts w:asciiTheme="minorHAnsi" w:hAnsiTheme="minorHAnsi"/>
          <w:sz w:val="20"/>
          <w:szCs w:val="20"/>
        </w:rPr>
        <w:t>; but see T. J. Meadowcroft, “καταστροφή: A Puzzling LXX Translation Choice in Hosea viii 7a,”</w:t>
      </w:r>
      <w:r>
        <w:rPr>
          <w:rFonts w:asciiTheme="minorHAnsi" w:hAnsiTheme="minorHAnsi"/>
          <w:sz w:val="20"/>
          <w:szCs w:val="20"/>
        </w:rPr>
        <w:t xml:space="preserve"> </w:t>
      </w:r>
      <w:r>
        <w:rPr>
          <w:rFonts w:asciiTheme="minorHAnsi" w:hAnsiTheme="minorHAnsi"/>
          <w:i/>
          <w:sz w:val="20"/>
          <w:szCs w:val="20"/>
        </w:rPr>
        <w:t xml:space="preserve">VT </w:t>
      </w:r>
      <w:r>
        <w:rPr>
          <w:rFonts w:asciiTheme="minorHAnsi" w:hAnsiTheme="minorHAnsi"/>
          <w:sz w:val="20"/>
          <w:szCs w:val="20"/>
        </w:rPr>
        <w:t>46 (1996): 539-43.</w:t>
      </w:r>
    </w:p>
  </w:footnote>
  <w:footnote w:id="356">
    <w:p w:rsidR="00C5566B" w:rsidRPr="009E569D" w:rsidRDefault="00C5566B">
      <w:pPr>
        <w:pStyle w:val="FootnoteText"/>
      </w:pPr>
      <w:r>
        <w:rPr>
          <w:rStyle w:val="FootnoteReference"/>
        </w:rPr>
        <w:footnoteRef/>
      </w:r>
      <w:r>
        <w:t xml:space="preserve"> The unusual poetic negative </w:t>
      </w:r>
      <w:r>
        <w:rPr>
          <w:i/>
        </w:rPr>
        <w:t>bəlî</w:t>
      </w:r>
      <w:r>
        <w:t xml:space="preserve"> (cf. 9:16).</w:t>
      </w:r>
    </w:p>
  </w:footnote>
  <w:footnote w:id="357">
    <w:p w:rsidR="00C5566B" w:rsidRDefault="00C5566B">
      <w:pPr>
        <w:pStyle w:val="FootnoteText"/>
      </w:pPr>
      <w:r>
        <w:rPr>
          <w:rStyle w:val="FootnoteReference"/>
        </w:rPr>
        <w:footnoteRef/>
      </w:r>
      <w:r>
        <w:t xml:space="preserve"> MT’s verse division invites us to take this colon as itself a 2-2 bicolon, but the verbal link with v. 8a suggests taking vv. </w:t>
      </w:r>
      <w:r w:rsidRPr="004C00E3">
        <w:t>7bγ-8a</w:t>
      </w:r>
      <w:r>
        <w:t xml:space="preserve"> as a 4-2 bicolon; v. 8b is then a 3-3 bicolon.</w:t>
      </w:r>
    </w:p>
  </w:footnote>
  <w:footnote w:id="358">
    <w:p w:rsidR="00C5566B" w:rsidRPr="00FD453E" w:rsidRDefault="00C5566B">
      <w:pPr>
        <w:pStyle w:val="FootnoteText"/>
      </w:pPr>
      <w:r>
        <w:rPr>
          <w:rStyle w:val="FootnoteReference"/>
        </w:rPr>
        <w:footnoteRef/>
      </w:r>
      <w:r>
        <w:t xml:space="preserve"> One would not “go up” from Israel to Assyria; perhaps </w:t>
      </w:r>
      <w:r>
        <w:rPr>
          <w:i/>
        </w:rPr>
        <w:t>‘ālāh</w:t>
      </w:r>
      <w:r>
        <w:t xml:space="preserve"> can mean “go up country” (as we put it), “go north” (see G. R. Driver, “</w:t>
      </w:r>
      <w:r w:rsidRPr="004660E1">
        <w:rPr>
          <w:rFonts w:eastAsiaTheme="minorHAnsi" w:cs="TimesNewRomanPS-BoldMT"/>
          <w:bCs/>
        </w:rPr>
        <w:t xml:space="preserve">On </w:t>
      </w:r>
      <w:r w:rsidRPr="004660E1">
        <w:rPr>
          <w:rFonts w:eastAsiaTheme="minorHAnsi" w:cs="Arial"/>
          <w:bCs/>
          <w:i/>
        </w:rPr>
        <w:t>‘lh</w:t>
      </w:r>
      <w:r w:rsidRPr="004660E1">
        <w:rPr>
          <w:rFonts w:eastAsiaTheme="minorHAnsi" w:cs="TimesNewRomanPS-BoldMT"/>
          <w:bCs/>
        </w:rPr>
        <w:t xml:space="preserve"> ‘went up</w:t>
      </w:r>
      <w:r>
        <w:rPr>
          <w:rFonts w:eastAsiaTheme="minorHAnsi" w:cs="TimesNewRomanPS-BoldMT"/>
          <w:bCs/>
        </w:rPr>
        <w:t xml:space="preserve"> co</w:t>
      </w:r>
      <w:r w:rsidRPr="00FD453E">
        <w:rPr>
          <w:rFonts w:eastAsiaTheme="minorHAnsi" w:cs="TimesNewRomanPS-BoldMT"/>
          <w:bCs/>
        </w:rPr>
        <w:t>untry</w:t>
      </w:r>
      <w:r>
        <w:rPr>
          <w:rFonts w:eastAsiaTheme="minorHAnsi" w:cs="TimesNewRomanPS-BoldMT"/>
          <w:bCs/>
        </w:rPr>
        <w:t xml:space="preserve">’ and </w:t>
      </w:r>
      <w:r>
        <w:rPr>
          <w:rFonts w:eastAsiaTheme="minorHAnsi" w:cs="TimesNewRomanPS-BoldMT"/>
          <w:bCs/>
          <w:i/>
        </w:rPr>
        <w:t>yrd</w:t>
      </w:r>
      <w:r w:rsidRPr="00FD453E">
        <w:rPr>
          <w:rFonts w:eastAsiaTheme="minorHAnsi" w:cs="TimesNewRomanPS-BoldMT"/>
          <w:bCs/>
        </w:rPr>
        <w:t xml:space="preserve"> </w:t>
      </w:r>
      <w:r>
        <w:rPr>
          <w:rFonts w:eastAsiaTheme="minorHAnsi" w:cs="TimesNewRomanPS-BoldMT"/>
          <w:bCs/>
        </w:rPr>
        <w:t>‘went down</w:t>
      </w:r>
      <w:r w:rsidRPr="00FD453E">
        <w:rPr>
          <w:rFonts w:eastAsiaTheme="minorHAnsi" w:cs="TimesNewRomanPS-BoldMT"/>
          <w:bCs/>
        </w:rPr>
        <w:t xml:space="preserve"> country</w:t>
      </w:r>
      <w:r>
        <w:rPr>
          <w:rFonts w:eastAsiaTheme="minorHAnsi" w:cs="TimesNewRomanPS-BoldMT"/>
          <w:bCs/>
        </w:rPr>
        <w:t xml:space="preserve">,’ </w:t>
      </w:r>
      <w:r>
        <w:rPr>
          <w:rFonts w:eastAsiaTheme="minorHAnsi" w:cs="TimesNewRomanPS-BoldMT"/>
          <w:bCs/>
          <w:i/>
        </w:rPr>
        <w:t>ZAW</w:t>
      </w:r>
      <w:r>
        <w:rPr>
          <w:rFonts w:eastAsiaTheme="minorHAnsi" w:cs="TimesNewRomanPS-BoldMT"/>
          <w:bCs/>
        </w:rPr>
        <w:t xml:space="preserve"> 69 [1957]: 74-77; taken up by </w:t>
      </w:r>
      <w:r w:rsidRPr="00286813">
        <w:rPr>
          <w:rFonts w:eastAsiaTheme="minorHAnsi" w:cs="TimesNewRomanPS-BoldMT"/>
          <w:bCs/>
        </w:rPr>
        <w:t xml:space="preserve">Rudolph, </w:t>
      </w:r>
      <w:r w:rsidRPr="00286813">
        <w:rPr>
          <w:rFonts w:eastAsiaTheme="minorHAnsi" w:cs="TimesNewRomanPS-BoldMT"/>
          <w:bCs/>
          <w:i/>
        </w:rPr>
        <w:t>Hosea</w:t>
      </w:r>
      <w:r w:rsidRPr="00286813">
        <w:rPr>
          <w:rFonts w:eastAsiaTheme="minorHAnsi" w:cs="TimesNewRomanPS-BoldMT"/>
          <w:bCs/>
        </w:rPr>
        <w:t xml:space="preserve">, </w:t>
      </w:r>
      <w:r>
        <w:rPr>
          <w:rFonts w:eastAsiaTheme="minorHAnsi" w:cs="TimesNewRomanPS-BoldMT"/>
          <w:bCs/>
        </w:rPr>
        <w:t>159).</w:t>
      </w:r>
    </w:p>
  </w:footnote>
  <w:footnote w:id="359">
    <w:p w:rsidR="00C5566B" w:rsidRPr="002C3BEC" w:rsidRDefault="00C5566B" w:rsidP="004660E1">
      <w:pPr>
        <w:pStyle w:val="FootnoteText"/>
      </w:pPr>
      <w:r>
        <w:rPr>
          <w:rStyle w:val="FootnoteReference"/>
        </w:rPr>
        <w:footnoteRef/>
      </w:r>
      <w:r>
        <w:rPr>
          <w:i/>
        </w:rPr>
        <w:t xml:space="preserve"> </w:t>
      </w:r>
      <w:r>
        <w:t xml:space="preserve">MT links </w:t>
      </w:r>
      <w:r w:rsidRPr="002C3BEC">
        <w:rPr>
          <w:i/>
        </w:rPr>
        <w:t>’Eprayim</w:t>
      </w:r>
      <w:r>
        <w:t xml:space="preserve"> with the next line, but the singular noun reads better here and the paronomasia with </w:t>
      </w:r>
      <w:r>
        <w:rPr>
          <w:i/>
        </w:rPr>
        <w:t xml:space="preserve">pere’ </w:t>
      </w:r>
      <w:r>
        <w:t>is tighter.</w:t>
      </w:r>
    </w:p>
  </w:footnote>
  <w:footnote w:id="360">
    <w:p w:rsidR="00C5566B" w:rsidRDefault="00C5566B" w:rsidP="002C3BEC">
      <w:pPr>
        <w:pStyle w:val="FootnoteText"/>
      </w:pPr>
      <w:r>
        <w:rPr>
          <w:rStyle w:val="FootnoteReference"/>
        </w:rPr>
        <w:footnoteRef/>
      </w:r>
      <w:r>
        <w:t xml:space="preserve"> Literally, “loves.”</w:t>
      </w:r>
    </w:p>
  </w:footnote>
  <w:footnote w:id="361">
    <w:p w:rsidR="00C5566B" w:rsidRPr="002C3BEC" w:rsidRDefault="00C5566B">
      <w:pPr>
        <w:pStyle w:val="FootnoteText"/>
      </w:pPr>
      <w:r>
        <w:rPr>
          <w:rStyle w:val="FootnoteReference"/>
        </w:rPr>
        <w:footnoteRef/>
      </w:r>
      <w:r>
        <w:t xml:space="preserve"> See the note on “gift” at 2:12 [14]. </w:t>
      </w:r>
      <w:r>
        <w:rPr>
          <w:i/>
        </w:rPr>
        <w:t>Tānāh</w:t>
      </w:r>
      <w:r>
        <w:t xml:space="preserve"> is hiphil, in the next colon qal, with the regular difference between hiphil (</w:t>
      </w:r>
      <w:r w:rsidRPr="00D26F0E">
        <w:t>what the nations made Ephraim do</w:t>
      </w:r>
      <w:r>
        <w:t>)</w:t>
      </w:r>
      <w:r w:rsidRPr="00D26F0E">
        <w:t xml:space="preserve"> </w:t>
      </w:r>
      <w:r>
        <w:t>and qal (what Ephraim therefore did).</w:t>
      </w:r>
    </w:p>
  </w:footnote>
  <w:footnote w:id="362">
    <w:p w:rsidR="00C5566B" w:rsidRPr="00CA3BFE" w:rsidRDefault="00C5566B">
      <w:pPr>
        <w:pStyle w:val="FootnoteText"/>
      </w:pPr>
      <w:r>
        <w:rPr>
          <w:rStyle w:val="FootnoteReference"/>
        </w:rPr>
        <w:footnoteRef/>
      </w:r>
      <w:r>
        <w:t xml:space="preserve"> Taking the verb as from </w:t>
      </w:r>
      <w:r>
        <w:rPr>
          <w:i/>
        </w:rPr>
        <w:t>ḥîl</w:t>
      </w:r>
      <w:r>
        <w:t xml:space="preserve"> or perhaps rather from a byform </w:t>
      </w:r>
      <w:r>
        <w:rPr>
          <w:i/>
        </w:rPr>
        <w:t>ḥālal</w:t>
      </w:r>
      <w:r>
        <w:t xml:space="preserve">. BDB’s </w:t>
      </w:r>
      <w:r w:rsidRPr="005A00CB">
        <w:rPr>
          <w:i/>
        </w:rPr>
        <w:t>ḥālal</w:t>
      </w:r>
      <w:r>
        <w:rPr>
          <w:i/>
        </w:rPr>
        <w:t xml:space="preserve"> </w:t>
      </w:r>
      <w:r>
        <w:t xml:space="preserve">III usually means “begin,” which is possible if we take </w:t>
      </w:r>
      <w:r>
        <w:rPr>
          <w:i/>
        </w:rPr>
        <w:t>mə‘aṭ</w:t>
      </w:r>
      <w:r>
        <w:t xml:space="preserve"> as an infinitive; but “begin to become small” does not follow “collect up” as naturally. LXX “cease,” Vg “be quiet” might suggest </w:t>
      </w:r>
      <w:r>
        <w:rPr>
          <w:i/>
        </w:rPr>
        <w:t>ḥālāh</w:t>
      </w:r>
      <w:r>
        <w:t xml:space="preserve"> I “be weak” or </w:t>
      </w:r>
      <w:r>
        <w:rPr>
          <w:i/>
        </w:rPr>
        <w:t>ḥādal</w:t>
      </w:r>
      <w:r>
        <w:t xml:space="preserve"> “cease.” Aq “entreat” suggests </w:t>
      </w:r>
      <w:r w:rsidRPr="00CA3BFE">
        <w:rPr>
          <w:i/>
        </w:rPr>
        <w:t>ḥālāh</w:t>
      </w:r>
      <w:r w:rsidRPr="00CA3BFE">
        <w:t xml:space="preserve"> I</w:t>
      </w:r>
      <w:r>
        <w:t xml:space="preserve">I “entreat the favor of.” Sym “remain” suggests </w:t>
      </w:r>
      <w:r>
        <w:rPr>
          <w:i/>
        </w:rPr>
        <w:t>yāḥal</w:t>
      </w:r>
      <w:r>
        <w:t xml:space="preserve"> “wait.” For the </w:t>
      </w:r>
      <w:r w:rsidRPr="00D26F0E">
        <w:rPr>
          <w:i/>
        </w:rPr>
        <w:t>wayyiqtol</w:t>
      </w:r>
      <w:r>
        <w:t xml:space="preserve"> with future reference following a yiqtol, cf. Ps. 49:14 [15] (GK111w); one could understand it as equivalent to a perfect of certainty (prophetic perfect).</w:t>
      </w:r>
    </w:p>
  </w:footnote>
  <w:footnote w:id="363">
    <w:p w:rsidR="00C5566B" w:rsidRPr="005A00CB" w:rsidRDefault="00C5566B">
      <w:pPr>
        <w:pStyle w:val="FootnoteText"/>
      </w:pPr>
      <w:r>
        <w:rPr>
          <w:rStyle w:val="FootnoteReference"/>
        </w:rPr>
        <w:footnoteRef/>
      </w:r>
      <w:r>
        <w:t xml:space="preserve"> For this meaning of </w:t>
      </w:r>
      <w:r>
        <w:rPr>
          <w:i/>
        </w:rPr>
        <w:t>mə‘aṭ</w:t>
      </w:r>
      <w:r>
        <w:t xml:space="preserve"> cf. 1:4.</w:t>
      </w:r>
    </w:p>
  </w:footnote>
  <w:footnote w:id="364">
    <w:p w:rsidR="00C5566B" w:rsidRPr="004B1F25" w:rsidRDefault="00C5566B">
      <w:pPr>
        <w:pStyle w:val="FootnoteText"/>
      </w:pPr>
      <w:r>
        <w:rPr>
          <w:rStyle w:val="FootnoteReference"/>
        </w:rPr>
        <w:footnoteRef/>
      </w:r>
      <w:r>
        <w:t xml:space="preserve"> For </w:t>
      </w:r>
      <w:r>
        <w:rPr>
          <w:i/>
        </w:rPr>
        <w:t>mimmaśśā’</w:t>
      </w:r>
      <w:r>
        <w:t xml:space="preserve"> LXX implies </w:t>
      </w:r>
      <w:r w:rsidRPr="004B1F25">
        <w:rPr>
          <w:i/>
        </w:rPr>
        <w:t>mimməšōaḥ</w:t>
      </w:r>
      <w:r>
        <w:rPr>
          <w:i/>
        </w:rPr>
        <w:t xml:space="preserve"> </w:t>
      </w:r>
      <w:r>
        <w:t>“because of the anointing.”</w:t>
      </w:r>
    </w:p>
  </w:footnote>
  <w:footnote w:id="365">
    <w:p w:rsidR="00C5566B" w:rsidRDefault="00C5566B">
      <w:pPr>
        <w:pStyle w:val="FootnoteText"/>
      </w:pPr>
      <w:r>
        <w:rPr>
          <w:rStyle w:val="FootnoteReference"/>
        </w:rPr>
        <w:footnoteRef/>
      </w:r>
      <w:r>
        <w:t xml:space="preserve"> </w:t>
      </w:r>
      <w:r>
        <w:rPr>
          <w:i/>
        </w:rPr>
        <w:t>M</w:t>
      </w:r>
      <w:r w:rsidRPr="00F973C2">
        <w:rPr>
          <w:i/>
        </w:rPr>
        <w:t xml:space="preserve">elek šārîm </w:t>
      </w:r>
      <w:r w:rsidRPr="00F973C2">
        <w:t xml:space="preserve">recalls the Assyrian titles </w:t>
      </w:r>
      <w:r w:rsidRPr="00F973C2">
        <w:rPr>
          <w:i/>
          <w:iCs/>
        </w:rPr>
        <w:t>šar šarrâni</w:t>
      </w:r>
      <w:r w:rsidRPr="00F973C2">
        <w:t xml:space="preserve">  and</w:t>
      </w:r>
      <w:r w:rsidRPr="00F973C2">
        <w:rPr>
          <w:i/>
        </w:rPr>
        <w:t xml:space="preserve"> šar malkē</w:t>
      </w:r>
      <w:r w:rsidRPr="00F973C2">
        <w:t xml:space="preserve">, </w:t>
      </w:r>
      <w:r>
        <w:t xml:space="preserve">designating the </w:t>
      </w:r>
      <w:r w:rsidRPr="00F973C2">
        <w:t xml:space="preserve">emperor as supreme over the rulers of the countries within the empire (cf. Wolff, </w:t>
      </w:r>
      <w:r w:rsidRPr="00F973C2">
        <w:rPr>
          <w:i/>
        </w:rPr>
        <w:t>Hosea</w:t>
      </w:r>
      <w:r w:rsidRPr="00F973C2">
        <w:t xml:space="preserve">, 144). </w:t>
      </w:r>
      <w:r>
        <w:rPr>
          <w:i/>
        </w:rPr>
        <w:t>M</w:t>
      </w:r>
      <w:r w:rsidRPr="00F973C2">
        <w:rPr>
          <w:i/>
        </w:rPr>
        <w:t>elek məlākîm</w:t>
      </w:r>
      <w:r w:rsidRPr="00F973C2">
        <w:t xml:space="preserve"> </w:t>
      </w:r>
      <w:r>
        <w:t>is the usual Hebrew equivalent</w:t>
      </w:r>
      <w:r w:rsidRPr="00F973C2">
        <w:t xml:space="preserve">; </w:t>
      </w:r>
      <w:r w:rsidRPr="00A1511A">
        <w:t xml:space="preserve">Hosea’s alternative expression </w:t>
      </w:r>
      <w:r>
        <w:t>seems to have the same significance. LXX, Vg, Tg, make the reading easier by reading “king and officials.”</w:t>
      </w:r>
    </w:p>
  </w:footnote>
  <w:footnote w:id="366">
    <w:p w:rsidR="00C5566B" w:rsidRDefault="00C5566B">
      <w:pPr>
        <w:pStyle w:val="FootnoteText"/>
      </w:pPr>
      <w:r>
        <w:rPr>
          <w:rStyle w:val="FootnoteReference"/>
        </w:rPr>
        <w:footnoteRef/>
      </w:r>
      <w:r>
        <w:t xml:space="preserve"> Tg has “I wrote,” but the verb is yiqtol.</w:t>
      </w:r>
    </w:p>
  </w:footnote>
  <w:footnote w:id="367">
    <w:p w:rsidR="00C5566B" w:rsidRPr="00C80D4F" w:rsidRDefault="00C5566B">
      <w:pPr>
        <w:pStyle w:val="FootnoteText"/>
      </w:pPr>
      <w:r>
        <w:rPr>
          <w:rStyle w:val="FootnoteReference"/>
        </w:rPr>
        <w:footnoteRef/>
      </w:r>
      <w:r>
        <w:t xml:space="preserve"> So Q </w:t>
      </w:r>
      <w:r>
        <w:rPr>
          <w:i/>
        </w:rPr>
        <w:t>rubbȇ</w:t>
      </w:r>
      <w:r>
        <w:t xml:space="preserve">; K implies </w:t>
      </w:r>
      <w:r>
        <w:rPr>
          <w:i/>
        </w:rPr>
        <w:t>ribbô</w:t>
      </w:r>
      <w:r>
        <w:t xml:space="preserve"> “a myriad.”</w:t>
      </w:r>
    </w:p>
  </w:footnote>
  <w:footnote w:id="368">
    <w:p w:rsidR="00C5566B" w:rsidRPr="00C62423" w:rsidRDefault="00C5566B">
      <w:pPr>
        <w:pStyle w:val="FootnoteText"/>
        <w:rPr>
          <w:i/>
        </w:rPr>
      </w:pPr>
      <w:r>
        <w:rPr>
          <w:rStyle w:val="FootnoteReference"/>
        </w:rPr>
        <w:footnoteRef/>
      </w:r>
      <w:r>
        <w:t xml:space="preserve"> T</w:t>
      </w:r>
      <w:r w:rsidRPr="00E11A02">
        <w:t>he plural of a construct can c</w:t>
      </w:r>
      <w:r>
        <w:t>arry over to the absolute noun, and LXX and Vg have plural, but more likely the much more common singular meaning applies, as in v. 1 (and cf. 4:6).</w:t>
      </w:r>
    </w:p>
  </w:footnote>
  <w:footnote w:id="369">
    <w:p w:rsidR="00C5566B" w:rsidRPr="00A54BA2" w:rsidRDefault="00C5566B">
      <w:pPr>
        <w:pStyle w:val="FootnoteText"/>
      </w:pPr>
      <w:r>
        <w:rPr>
          <w:rStyle w:val="FootnoteReference"/>
        </w:rPr>
        <w:footnoteRef/>
      </w:r>
      <w:r>
        <w:t xml:space="preserve"> Literally “sacrifices of my roasted things”—in other words, burnt offerings. The hapax </w:t>
      </w:r>
      <w:r w:rsidRPr="00F57FC5">
        <w:rPr>
          <w:i/>
        </w:rPr>
        <w:t>habəhābay</w:t>
      </w:r>
      <w:r>
        <w:t xml:space="preserve"> recalls both </w:t>
      </w:r>
      <w:r w:rsidRPr="00A54BA2">
        <w:rPr>
          <w:i/>
        </w:rPr>
        <w:t>’āhēb</w:t>
      </w:r>
      <w:r>
        <w:t xml:space="preserve"> (love, be loyal: cf. LXX) and </w:t>
      </w:r>
      <w:r>
        <w:rPr>
          <w:i/>
        </w:rPr>
        <w:t>yāhab</w:t>
      </w:r>
      <w:r>
        <w:t xml:space="preserve"> (give: cf. Aq), but Rashi (</w:t>
      </w:r>
      <w:r w:rsidRPr="00D27206">
        <w:t xml:space="preserve">in </w:t>
      </w:r>
      <w:r w:rsidRPr="00D27206">
        <w:rPr>
          <w:i/>
        </w:rPr>
        <w:t>miqrā’ôt gədôlôt</w:t>
      </w:r>
      <w:r w:rsidRPr="00D27206">
        <w:t xml:space="preserve"> on the passage</w:t>
      </w:r>
      <w:r>
        <w:t xml:space="preserve">) </w:t>
      </w:r>
      <w:r w:rsidRPr="00F57FC5">
        <w:t>makes a link with Aramaic</w:t>
      </w:r>
      <w:r>
        <w:t xml:space="preserve"> </w:t>
      </w:r>
      <w:r>
        <w:rPr>
          <w:i/>
        </w:rPr>
        <w:t>habhēb</w:t>
      </w:r>
      <w:r>
        <w:t xml:space="preserve"> “roast” (cf. </w:t>
      </w:r>
      <w:r>
        <w:rPr>
          <w:i/>
        </w:rPr>
        <w:t>HALOT</w:t>
      </w:r>
      <w:r>
        <w:t xml:space="preserve">; </w:t>
      </w:r>
      <w:r w:rsidRPr="00F57FC5">
        <w:t>Barthélemy</w:t>
      </w:r>
      <w:r w:rsidRPr="00F57FC5">
        <w:rPr>
          <w:i/>
        </w:rPr>
        <w:t>, Critique Textuelle</w:t>
      </w:r>
      <w:r>
        <w:t xml:space="preserve"> 3:556-57)</w:t>
      </w:r>
      <w:r w:rsidRPr="00D27206">
        <w:t>.</w:t>
      </w:r>
    </w:p>
  </w:footnote>
  <w:footnote w:id="370">
    <w:p w:rsidR="00C5566B" w:rsidRPr="00C069F7" w:rsidRDefault="00C5566B">
      <w:pPr>
        <w:pStyle w:val="FootnoteText"/>
      </w:pPr>
      <w:r>
        <w:rPr>
          <w:rStyle w:val="FootnoteReference"/>
        </w:rPr>
        <w:footnoteRef/>
      </w:r>
      <w:r>
        <w:t xml:space="preserve"> The object is extrapolated (casus pendens) and followed by resumptive </w:t>
      </w:r>
      <w:r>
        <w:rPr>
          <w:i/>
        </w:rPr>
        <w:t>waw</w:t>
      </w:r>
      <w:r>
        <w:t xml:space="preserve">: cf. Andersen/ Freedman, </w:t>
      </w:r>
      <w:r>
        <w:rPr>
          <w:i/>
        </w:rPr>
        <w:t>Hosea</w:t>
      </w:r>
      <w:r>
        <w:t>, p. 510; JM 156.</w:t>
      </w:r>
    </w:p>
  </w:footnote>
  <w:footnote w:id="371">
    <w:p w:rsidR="00C5566B" w:rsidRDefault="00C5566B">
      <w:pPr>
        <w:pStyle w:val="FootnoteText"/>
      </w:pPr>
      <w:r>
        <w:rPr>
          <w:rStyle w:val="FootnoteReference"/>
        </w:rPr>
        <w:footnoteRef/>
      </w:r>
      <w:r>
        <w:t xml:space="preserve"> Yet again Hosea moves from speaking as Yahweh to speaking about Yahweh (see the note on v. 5).</w:t>
      </w:r>
    </w:p>
  </w:footnote>
  <w:footnote w:id="372">
    <w:p w:rsidR="00C5566B" w:rsidRPr="00B873EA" w:rsidRDefault="00C5566B">
      <w:pPr>
        <w:pStyle w:val="FootnoteText"/>
      </w:pPr>
      <w:r>
        <w:rPr>
          <w:rStyle w:val="FootnoteReference"/>
        </w:rPr>
        <w:footnoteRef/>
      </w:r>
      <w:r>
        <w:t xml:space="preserve"> See the note on 1:4. I take the simple </w:t>
      </w:r>
      <w:r>
        <w:rPr>
          <w:i/>
        </w:rPr>
        <w:t>waw</w:t>
      </w:r>
      <w:r>
        <w:t xml:space="preserve"> plus yiqtol as indicating purpose.</w:t>
      </w:r>
    </w:p>
  </w:footnote>
  <w:footnote w:id="373">
    <w:p w:rsidR="00C5566B" w:rsidRDefault="00C5566B">
      <w:pPr>
        <w:pStyle w:val="FootnoteText"/>
      </w:pPr>
      <w:r>
        <w:rPr>
          <w:rStyle w:val="FootnoteReference"/>
        </w:rPr>
        <w:footnoteRef/>
      </w:r>
      <w:r>
        <w:t xml:space="preserve"> LXX adds “and will eat unclean things in Assyria,” from 9:3 where it parallels reference to Ephraim going back to Egypt.</w:t>
      </w:r>
    </w:p>
  </w:footnote>
  <w:footnote w:id="374">
    <w:p w:rsidR="00C5566B" w:rsidRPr="009A4580" w:rsidRDefault="00C5566B">
      <w:pPr>
        <w:pStyle w:val="FootnoteText"/>
      </w:pPr>
      <w:r>
        <w:rPr>
          <w:rStyle w:val="FootnoteReference"/>
        </w:rPr>
        <w:footnoteRef/>
      </w:r>
      <w:r>
        <w:t xml:space="preserve"> Cf. </w:t>
      </w:r>
      <w:r w:rsidRPr="009A4580">
        <w:t>Emmanuel O. Nwaoru</w:t>
      </w:r>
      <w:r>
        <w:t xml:space="preserve">, “The Role of Images in the Literary Structure of Hosea vii 8—viii 14,” </w:t>
      </w:r>
      <w:r>
        <w:rPr>
          <w:i/>
        </w:rPr>
        <w:t xml:space="preserve">VT </w:t>
      </w:r>
      <w:r>
        <w:t>54 (2014): 216-22.</w:t>
      </w:r>
    </w:p>
  </w:footnote>
  <w:footnote w:id="375">
    <w:p w:rsidR="00C5566B" w:rsidRPr="00422C9D" w:rsidRDefault="00C5566B">
      <w:pPr>
        <w:pStyle w:val="FootnoteText"/>
      </w:pPr>
      <w:r>
        <w:rPr>
          <w:rStyle w:val="FootnoteReference"/>
        </w:rPr>
        <w:footnoteRef/>
      </w:r>
      <w:r>
        <w:t xml:space="preserve"> Landy, </w:t>
      </w:r>
      <w:r>
        <w:rPr>
          <w:i/>
        </w:rPr>
        <w:t>Hosea</w:t>
      </w:r>
      <w:r>
        <w:t>, 102.</w:t>
      </w:r>
    </w:p>
  </w:footnote>
  <w:footnote w:id="376">
    <w:p w:rsidR="00C5566B" w:rsidRDefault="00C5566B" w:rsidP="009F6D0E">
      <w:pPr>
        <w:pStyle w:val="FootnoteText"/>
      </w:pPr>
      <w:r>
        <w:rPr>
          <w:rStyle w:val="FootnoteReference"/>
        </w:rPr>
        <w:footnoteRef/>
      </w:r>
      <w:r>
        <w:t xml:space="preserve"> So e.g., Jerome, </w:t>
      </w:r>
      <w:r>
        <w:rPr>
          <w:i/>
        </w:rPr>
        <w:t>In Osee prophetam</w:t>
      </w:r>
      <w:r>
        <w:t xml:space="preserve"> on 8:4 (PL 25, column 883d)</w:t>
      </w:r>
      <w:r w:rsidRPr="00A87B5F">
        <w:t>.</w:t>
      </w:r>
    </w:p>
  </w:footnote>
  <w:footnote w:id="377">
    <w:p w:rsidR="00C5566B" w:rsidRPr="00A13E6B" w:rsidRDefault="00C5566B" w:rsidP="00570AD6">
      <w:pPr>
        <w:pStyle w:val="FootnoteText"/>
      </w:pPr>
      <w:r>
        <w:rPr>
          <w:rStyle w:val="FootnoteReference"/>
        </w:rPr>
        <w:footnoteRef/>
      </w:r>
      <w:r>
        <w:t xml:space="preserve"> Cf. Dearman, </w:t>
      </w:r>
      <w:r>
        <w:rPr>
          <w:i/>
        </w:rPr>
        <w:t>Hosea</w:t>
      </w:r>
      <w:r>
        <w:t>, 227.</w:t>
      </w:r>
    </w:p>
  </w:footnote>
  <w:footnote w:id="378">
    <w:p w:rsidR="00C5566B" w:rsidRPr="00CC7A34" w:rsidRDefault="00C5566B">
      <w:pPr>
        <w:pStyle w:val="FootnoteText"/>
      </w:pPr>
      <w:r>
        <w:rPr>
          <w:rStyle w:val="FootnoteReference"/>
        </w:rPr>
        <w:footnoteRef/>
      </w:r>
      <w:r>
        <w:t xml:space="preserve"> Ben Zvi, </w:t>
      </w:r>
      <w:r>
        <w:rPr>
          <w:i/>
        </w:rPr>
        <w:t>Hosea</w:t>
      </w:r>
      <w:r>
        <w:t>, 166.</w:t>
      </w:r>
    </w:p>
  </w:footnote>
  <w:footnote w:id="379">
    <w:p w:rsidR="00C5566B" w:rsidRPr="004F4589" w:rsidRDefault="00C5566B">
      <w:pPr>
        <w:pStyle w:val="FootnoteText"/>
      </w:pPr>
      <w:r>
        <w:rPr>
          <w:rStyle w:val="FootnoteReference"/>
        </w:rPr>
        <w:footnoteRef/>
      </w:r>
      <w:r>
        <w:t xml:space="preserve"> The flower-flour translation comes from Landy, </w:t>
      </w:r>
      <w:r>
        <w:rPr>
          <w:i/>
        </w:rPr>
        <w:t>Hosea</w:t>
      </w:r>
      <w:r>
        <w:t>, 106.</w:t>
      </w:r>
    </w:p>
  </w:footnote>
  <w:footnote w:id="380">
    <w:p w:rsidR="00C5566B" w:rsidRPr="00B66BE8" w:rsidRDefault="00C5566B">
      <w:pPr>
        <w:pStyle w:val="FootnoteText"/>
      </w:pPr>
      <w:r>
        <w:rPr>
          <w:rStyle w:val="FootnoteReference"/>
        </w:rPr>
        <w:footnoteRef/>
      </w:r>
      <w:r>
        <w:t xml:space="preserve"> Cf. Wolff, </w:t>
      </w:r>
      <w:r>
        <w:rPr>
          <w:i/>
        </w:rPr>
        <w:t>Hosea</w:t>
      </w:r>
      <w:r>
        <w:t>, 135.</w:t>
      </w:r>
    </w:p>
  </w:footnote>
  <w:footnote w:id="381">
    <w:p w:rsidR="00C5566B" w:rsidRPr="00020000" w:rsidRDefault="00C5566B">
      <w:pPr>
        <w:pStyle w:val="FootnoteText"/>
      </w:pPr>
      <w:r>
        <w:rPr>
          <w:rStyle w:val="FootnoteReference"/>
        </w:rPr>
        <w:footnoteRef/>
      </w:r>
      <w:r>
        <w:t xml:space="preserve"> Cf, Landy, </w:t>
      </w:r>
      <w:r>
        <w:rPr>
          <w:i/>
        </w:rPr>
        <w:t xml:space="preserve">Hosea, </w:t>
      </w:r>
      <w:r>
        <w:t>109.</w:t>
      </w:r>
    </w:p>
  </w:footnote>
  <w:footnote w:id="382">
    <w:p w:rsidR="00C5566B" w:rsidRPr="006242B1" w:rsidRDefault="00C5566B">
      <w:pPr>
        <w:pStyle w:val="FootnoteText"/>
      </w:pPr>
      <w:r>
        <w:rPr>
          <w:rStyle w:val="FootnoteReference"/>
        </w:rPr>
        <w:footnoteRef/>
      </w:r>
      <w:r>
        <w:t xml:space="preserve"> See the discussion in Hamborg, </w:t>
      </w:r>
      <w:r>
        <w:rPr>
          <w:i/>
        </w:rPr>
        <w:t>Still Selling the Righteous</w:t>
      </w:r>
      <w:r>
        <w:t>, 131-50.</w:t>
      </w:r>
    </w:p>
  </w:footnote>
  <w:footnote w:id="383">
    <w:p w:rsidR="00C5566B" w:rsidRPr="00155022" w:rsidRDefault="00C5566B">
      <w:pPr>
        <w:pStyle w:val="FootnoteText"/>
      </w:pPr>
      <w:r>
        <w:rPr>
          <w:rStyle w:val="FootnoteReference"/>
        </w:rPr>
        <w:footnoteRef/>
      </w:r>
      <w:r>
        <w:t xml:space="preserve"> Cf. Dearman, </w:t>
      </w:r>
      <w:r>
        <w:rPr>
          <w:i/>
        </w:rPr>
        <w:t>Hosea</w:t>
      </w:r>
      <w:r>
        <w:t>, 232.</w:t>
      </w:r>
    </w:p>
  </w:footnote>
  <w:footnote w:id="384">
    <w:p w:rsidR="00C5566B" w:rsidRPr="00336ADC" w:rsidRDefault="00C5566B" w:rsidP="005C7AE2">
      <w:pPr>
        <w:pStyle w:val="FootnoteText"/>
      </w:pPr>
      <w:r>
        <w:rPr>
          <w:rStyle w:val="FootnoteReference"/>
        </w:rPr>
        <w:footnoteRef/>
      </w:r>
      <w:r>
        <w:t xml:space="preserve"> Sweeney, </w:t>
      </w:r>
      <w:r>
        <w:rPr>
          <w:i/>
        </w:rPr>
        <w:t>Twelve Prophets</w:t>
      </w:r>
      <w:r>
        <w:t xml:space="preserve"> 1:84; cf. </w:t>
      </w:r>
      <w:r w:rsidRPr="001D0B4C">
        <w:t xml:space="preserve">Weiser, </w:t>
      </w:r>
      <w:r w:rsidRPr="001D0B4C">
        <w:rPr>
          <w:i/>
        </w:rPr>
        <w:t>Das Buch der zwölf Kleinen Propheten</w:t>
      </w:r>
      <w:r>
        <w:t xml:space="preserve"> 1:53</w:t>
      </w:r>
      <w:r w:rsidRPr="001D0B4C">
        <w:t>.</w:t>
      </w:r>
    </w:p>
  </w:footnote>
  <w:footnote w:id="385">
    <w:p w:rsidR="00C5566B" w:rsidRPr="001E1FA0" w:rsidRDefault="00C5566B">
      <w:pPr>
        <w:pStyle w:val="FootnoteText"/>
      </w:pPr>
      <w:r>
        <w:rPr>
          <w:rStyle w:val="FootnoteReference"/>
        </w:rPr>
        <w:footnoteRef/>
      </w:r>
      <w:r>
        <w:t xml:space="preserve"> </w:t>
      </w:r>
      <w:r w:rsidRPr="007652CA">
        <w:t xml:space="preserve">LXX, Vg, Tg suggest </w:t>
      </w:r>
      <w:r w:rsidRPr="007652CA">
        <w:rPr>
          <w:i/>
        </w:rPr>
        <w:t xml:space="preserve">’al tāgēl </w:t>
      </w:r>
      <w:r>
        <w:t>“don’t rejoice</w:t>
      </w:r>
      <w:r w:rsidRPr="007652CA">
        <w:t>”</w:t>
      </w:r>
      <w:r>
        <w:t xml:space="preserve"> for the unusual expression </w:t>
      </w:r>
      <w:r>
        <w:rPr>
          <w:i/>
        </w:rPr>
        <w:t>’el-gîl</w:t>
      </w:r>
      <w:r>
        <w:t xml:space="preserve"> (with which compare Job 3:22).</w:t>
      </w:r>
    </w:p>
  </w:footnote>
  <w:footnote w:id="386">
    <w:p w:rsidR="00C5566B" w:rsidRDefault="00C5566B">
      <w:pPr>
        <w:pStyle w:val="FootnoteText"/>
      </w:pPr>
      <w:r>
        <w:rPr>
          <w:rStyle w:val="FootnoteReference"/>
        </w:rPr>
        <w:footnoteRef/>
      </w:r>
      <w:r>
        <w:t xml:space="preserve"> The asyndesis with the subject preceding the verb suggests this is a subordinate clause.</w:t>
      </w:r>
    </w:p>
  </w:footnote>
  <w:footnote w:id="387">
    <w:p w:rsidR="00C5566B" w:rsidRDefault="00C5566B">
      <w:pPr>
        <w:pStyle w:val="FootnoteText"/>
      </w:pPr>
      <w:r>
        <w:rPr>
          <w:rStyle w:val="FootnoteReference"/>
        </w:rPr>
        <w:footnoteRef/>
      </w:r>
      <w:r>
        <w:t xml:space="preserve"> That is, the gift (v. 1). It seems less likely that the two nouns are treated as one idea and thus govern a singular verb (against JM 150p); contrast 4:11; 10:8.</w:t>
      </w:r>
    </w:p>
  </w:footnote>
  <w:footnote w:id="388">
    <w:p w:rsidR="00C5566B" w:rsidRPr="00FF6A58" w:rsidRDefault="00C5566B">
      <w:pPr>
        <w:pStyle w:val="FootnoteText"/>
      </w:pPr>
      <w:r>
        <w:rPr>
          <w:rStyle w:val="FootnoteReference"/>
        </w:rPr>
        <w:footnoteRef/>
      </w:r>
      <w:r>
        <w:t xml:space="preserve"> The use of </w:t>
      </w:r>
      <w:r>
        <w:rPr>
          <w:i/>
        </w:rPr>
        <w:t xml:space="preserve">rā‘āh </w:t>
      </w:r>
      <w:r>
        <w:t xml:space="preserve">is idiosyncratic and/or involves a metonymy; more directly, the giver will (not) pasture them. “Befriend” (Wolff, </w:t>
      </w:r>
      <w:r>
        <w:rPr>
          <w:i/>
        </w:rPr>
        <w:t>Hosea</w:t>
      </w:r>
      <w:r>
        <w:t xml:space="preserve">, 149; BDB’s </w:t>
      </w:r>
      <w:r w:rsidRPr="00AE0C15">
        <w:rPr>
          <w:i/>
        </w:rPr>
        <w:t>rā‘āh</w:t>
      </w:r>
      <w:r>
        <w:rPr>
          <w:i/>
        </w:rPr>
        <w:t xml:space="preserve"> </w:t>
      </w:r>
      <w:r>
        <w:t xml:space="preserve">II) and “attend to” (cf. Macintosh, </w:t>
      </w:r>
      <w:r>
        <w:rPr>
          <w:i/>
        </w:rPr>
        <w:t>Hosea</w:t>
      </w:r>
      <w:r>
        <w:t>,</w:t>
      </w:r>
      <w:r>
        <w:rPr>
          <w:i/>
        </w:rPr>
        <w:t xml:space="preserve"> </w:t>
      </w:r>
      <w:r>
        <w:t xml:space="preserve">339-40; BDB’s </w:t>
      </w:r>
      <w:r w:rsidRPr="00AE0C15">
        <w:rPr>
          <w:i/>
        </w:rPr>
        <w:t xml:space="preserve">rā‘āh </w:t>
      </w:r>
      <w:r>
        <w:t xml:space="preserve">III) both require unique usages of </w:t>
      </w:r>
      <w:r w:rsidRPr="00C45EA9">
        <w:rPr>
          <w:i/>
        </w:rPr>
        <w:t>rā‘āh</w:t>
      </w:r>
      <w:r>
        <w:t xml:space="preserve"> and</w:t>
      </w:r>
      <w:r w:rsidRPr="00C45EA9">
        <w:t xml:space="preserve"> </w:t>
      </w:r>
      <w:r>
        <w:t>are also allusive.</w:t>
      </w:r>
      <w:r>
        <w:rPr>
          <w:i/>
        </w:rPr>
        <w:t xml:space="preserve"> </w:t>
      </w:r>
      <w:r>
        <w:t xml:space="preserve">LXX may imply a form from </w:t>
      </w:r>
      <w:r>
        <w:rPr>
          <w:i/>
        </w:rPr>
        <w:t>yāda‘</w:t>
      </w:r>
      <w:r>
        <w:t xml:space="preserve">, but in view of the importance of know/acknowledge in MT and in LXX (cf. Glenny, </w:t>
      </w:r>
      <w:r>
        <w:rPr>
          <w:i/>
        </w:rPr>
        <w:t>Hosea</w:t>
      </w:r>
      <w:r>
        <w:t xml:space="preserve">, 134), it may be translating loosely. </w:t>
      </w:r>
    </w:p>
  </w:footnote>
  <w:footnote w:id="389">
    <w:p w:rsidR="00C5566B" w:rsidRDefault="00C5566B">
      <w:pPr>
        <w:pStyle w:val="FootnoteText"/>
      </w:pPr>
      <w:r>
        <w:rPr>
          <w:rStyle w:val="FootnoteReference"/>
        </w:rPr>
        <w:footnoteRef/>
      </w:r>
      <w:r>
        <w:t xml:space="preserve"> Ephraim was second singular masculine in v. 1, became third masculine plural in v. 2a (cf. vv. 3a and 4) is here third feminine singular, as the “woman” whoring, and in v. 3b will be third masculine singular. </w:t>
      </w:r>
    </w:p>
  </w:footnote>
  <w:footnote w:id="390">
    <w:p w:rsidR="00C5566B" w:rsidRPr="003D2BD5" w:rsidRDefault="00C5566B">
      <w:pPr>
        <w:pStyle w:val="FootnoteText"/>
      </w:pPr>
      <w:r>
        <w:rPr>
          <w:rStyle w:val="FootnoteReference"/>
        </w:rPr>
        <w:footnoteRef/>
      </w:r>
      <w:r>
        <w:t xml:space="preserve"> “They will… live” was </w:t>
      </w:r>
      <w:r>
        <w:rPr>
          <w:i/>
        </w:rPr>
        <w:t>yēšəbû</w:t>
      </w:r>
      <w:r>
        <w:t xml:space="preserve">; “but it will go back” is </w:t>
      </w:r>
      <w:r>
        <w:rPr>
          <w:i/>
        </w:rPr>
        <w:t>wəšāb</w:t>
      </w:r>
      <w:r>
        <w:t xml:space="preserve">. The “elegant” paronomasia (Calvin, </w:t>
      </w:r>
      <w:r w:rsidRPr="009C2C74">
        <w:rPr>
          <w:i/>
        </w:rPr>
        <w:t>Minor Prophets</w:t>
      </w:r>
      <w:r w:rsidRPr="009C2C74">
        <w:t xml:space="preserve"> 1:</w:t>
      </w:r>
      <w:r>
        <w:t xml:space="preserve">313) draws attention to the difference between the verbs’ meaning. LXX repeats </w:t>
      </w:r>
      <w:r w:rsidRPr="005B7BE1">
        <w:rPr>
          <w:i/>
        </w:rPr>
        <w:t>yēšəbû</w:t>
      </w:r>
      <w:r>
        <w:t>.</w:t>
      </w:r>
    </w:p>
  </w:footnote>
  <w:footnote w:id="391">
    <w:p w:rsidR="00C5566B" w:rsidRPr="00FF4A45" w:rsidRDefault="00C5566B">
      <w:pPr>
        <w:pStyle w:val="FootnoteText"/>
      </w:pPr>
      <w:r>
        <w:rPr>
          <w:rStyle w:val="FootnoteReference"/>
        </w:rPr>
        <w:footnoteRef/>
      </w:r>
      <w:r>
        <w:t xml:space="preserve"> Or “mourning” (</w:t>
      </w:r>
      <w:r>
        <w:rPr>
          <w:i/>
        </w:rPr>
        <w:t>HALOT</w:t>
      </w:r>
      <w:r>
        <w:t xml:space="preserve">). One would expect the spelling </w:t>
      </w:r>
      <w:r w:rsidRPr="00FF4A45">
        <w:rPr>
          <w:i/>
        </w:rPr>
        <w:t>’ōnîm</w:t>
      </w:r>
      <w:r>
        <w:t xml:space="preserve"> not </w:t>
      </w:r>
      <w:r w:rsidRPr="003C76F5">
        <w:rPr>
          <w:i/>
        </w:rPr>
        <w:t>’</w:t>
      </w:r>
      <w:r>
        <w:rPr>
          <w:i/>
        </w:rPr>
        <w:t>ô</w:t>
      </w:r>
      <w:r w:rsidRPr="003C76F5">
        <w:rPr>
          <w:i/>
        </w:rPr>
        <w:t>nîm</w:t>
      </w:r>
      <w:r>
        <w:t xml:space="preserve">, which looks like the plural of </w:t>
      </w:r>
      <w:r w:rsidRPr="00FF4A45">
        <w:rPr>
          <w:i/>
        </w:rPr>
        <w:t>’āwen</w:t>
      </w:r>
      <w:r>
        <w:rPr>
          <w:i/>
        </w:rPr>
        <w:t xml:space="preserve"> </w:t>
      </w:r>
      <w:r>
        <w:t xml:space="preserve">“wickedness” (see 4:15 and the comments); aurally, too, people might be invited to hear its </w:t>
      </w:r>
      <w:r w:rsidRPr="003C76F5">
        <w:t>resonance</w:t>
      </w:r>
      <w:r>
        <w:t>.</w:t>
      </w:r>
    </w:p>
  </w:footnote>
  <w:footnote w:id="392">
    <w:p w:rsidR="00C5566B" w:rsidRPr="00BC6D4A" w:rsidRDefault="00C5566B">
      <w:pPr>
        <w:pStyle w:val="FootnoteText"/>
      </w:pPr>
      <w:r>
        <w:rPr>
          <w:rStyle w:val="FootnoteReference"/>
        </w:rPr>
        <w:footnoteRef/>
      </w:r>
      <w:r>
        <w:t xml:space="preserve"> That is, it is given for dead people: see Matthew J. Suriano, “</w:t>
      </w:r>
      <w:r w:rsidRPr="00C67BBC">
        <w:rPr>
          <w:rFonts w:eastAsiaTheme="minorHAnsi" w:cs="Times New Roman"/>
        </w:rPr>
        <w:t>Breaking Bread with the Dead</w:t>
      </w:r>
      <w:r>
        <w:rPr>
          <w:rFonts w:eastAsiaTheme="minorHAnsi" w:cs="Times New Roman"/>
        </w:rPr>
        <w:t xml:space="preserve">,” </w:t>
      </w:r>
      <w:r w:rsidRPr="00C67BBC">
        <w:rPr>
          <w:rFonts w:eastAsiaTheme="minorHAnsi" w:cs="Times New Roman"/>
          <w:i/>
          <w:iCs/>
        </w:rPr>
        <w:t xml:space="preserve">Journal of the American Oriental Society </w:t>
      </w:r>
      <w:r w:rsidRPr="00C67BBC">
        <w:rPr>
          <w:rFonts w:eastAsiaTheme="minorHAnsi" w:cs="Times New Roman"/>
        </w:rPr>
        <w:t>134 (2014): 385-405.</w:t>
      </w:r>
      <w:r>
        <w:rPr>
          <w:rFonts w:eastAsiaTheme="minorHAnsi" w:cs="Times New Roman"/>
        </w:rPr>
        <w:t xml:space="preserve"> NRSV “for their hunger only” takes </w:t>
      </w:r>
      <w:r>
        <w:rPr>
          <w:rFonts w:eastAsiaTheme="minorHAnsi" w:cs="Times New Roman"/>
          <w:i/>
        </w:rPr>
        <w:t>nepeš</w:t>
      </w:r>
      <w:r>
        <w:rPr>
          <w:rFonts w:eastAsiaTheme="minorHAnsi" w:cs="Times New Roman"/>
        </w:rPr>
        <w:t xml:space="preserve"> to refer to appetite (cf. 4:8).</w:t>
      </w:r>
    </w:p>
  </w:footnote>
  <w:footnote w:id="393">
    <w:p w:rsidR="00C5566B" w:rsidRPr="00940023" w:rsidRDefault="00C5566B">
      <w:pPr>
        <w:pStyle w:val="FootnoteText"/>
      </w:pPr>
      <w:r>
        <w:rPr>
          <w:rStyle w:val="FootnoteReference"/>
        </w:rPr>
        <w:footnoteRef/>
      </w:r>
      <w:r>
        <w:t xml:space="preserve"> A conditional clause introduced by </w:t>
      </w:r>
      <w:r>
        <w:rPr>
          <w:i/>
        </w:rPr>
        <w:t>hinnēh</w:t>
      </w:r>
      <w:r>
        <w:t xml:space="preserve"> (DG 123 remark 2). NRSV “to Assyria” presupposes emending </w:t>
      </w:r>
      <w:r>
        <w:rPr>
          <w:i/>
        </w:rPr>
        <w:t xml:space="preserve">miššōd </w:t>
      </w:r>
      <w:r>
        <w:t xml:space="preserve">to </w:t>
      </w:r>
      <w:r>
        <w:rPr>
          <w:i/>
        </w:rPr>
        <w:t>’aššûr</w:t>
      </w:r>
      <w:r>
        <w:t>.</w:t>
      </w:r>
      <w:r>
        <w:rPr>
          <w:i/>
        </w:rPr>
        <w:t xml:space="preserve"> </w:t>
      </w:r>
    </w:p>
  </w:footnote>
  <w:footnote w:id="394">
    <w:p w:rsidR="00C5566B" w:rsidRPr="002B2998" w:rsidRDefault="00C5566B">
      <w:pPr>
        <w:pStyle w:val="FootnoteText"/>
      </w:pPr>
      <w:r>
        <w:rPr>
          <w:rStyle w:val="FootnoteReference"/>
        </w:rPr>
        <w:footnoteRef/>
      </w:r>
      <w:r>
        <w:t xml:space="preserve"> “Will collect them” is </w:t>
      </w:r>
      <w:r>
        <w:rPr>
          <w:i/>
        </w:rPr>
        <w:t>təqabbəșām</w:t>
      </w:r>
      <w:r>
        <w:t xml:space="preserve">, “will bury them” </w:t>
      </w:r>
      <w:r w:rsidRPr="003749C0">
        <w:rPr>
          <w:i/>
        </w:rPr>
        <w:t>təqabbə</w:t>
      </w:r>
      <w:r>
        <w:rPr>
          <w:i/>
        </w:rPr>
        <w:t>r</w:t>
      </w:r>
      <w:r w:rsidRPr="003749C0">
        <w:rPr>
          <w:i/>
        </w:rPr>
        <w:t>ām</w:t>
      </w:r>
      <w:r>
        <w:t xml:space="preserve">: whereas the first piel is common, the second is unusual, but the similarity in the words suggests the relationship of the actions (cf. Davies, </w:t>
      </w:r>
      <w:r>
        <w:rPr>
          <w:i/>
        </w:rPr>
        <w:t>Hosea</w:t>
      </w:r>
      <w:r>
        <w:t>, 219).</w:t>
      </w:r>
    </w:p>
  </w:footnote>
  <w:footnote w:id="395">
    <w:p w:rsidR="00C5566B" w:rsidRDefault="00C5566B">
      <w:pPr>
        <w:pStyle w:val="FootnoteText"/>
      </w:pPr>
      <w:r>
        <w:rPr>
          <w:rStyle w:val="FootnoteReference"/>
        </w:rPr>
        <w:footnoteRef/>
      </w:r>
      <w:r>
        <w:t xml:space="preserve"> See the note on </w:t>
      </w:r>
      <w:r w:rsidRPr="00D548DB">
        <w:t>1</w:t>
      </w:r>
      <w:r>
        <w:t>:4.</w:t>
      </w:r>
    </w:p>
  </w:footnote>
  <w:footnote w:id="396">
    <w:p w:rsidR="00C5566B" w:rsidRPr="00774F4C" w:rsidRDefault="00C5566B">
      <w:pPr>
        <w:pStyle w:val="FootnoteText"/>
      </w:pPr>
      <w:r>
        <w:rPr>
          <w:rStyle w:val="FootnoteReference"/>
        </w:rPr>
        <w:footnoteRef/>
      </w:r>
      <w:r>
        <w:t xml:space="preserve"> MT associates “Israel will acknowledge” with the previous two cola, but this leaves the expression isolated. D. Qimchi (</w:t>
      </w:r>
      <w:r w:rsidRPr="00221ACA">
        <w:t xml:space="preserve">in </w:t>
      </w:r>
      <w:r w:rsidRPr="00221ACA">
        <w:rPr>
          <w:i/>
        </w:rPr>
        <w:t>miqrā’ôt gədôlôt</w:t>
      </w:r>
      <w:r w:rsidRPr="00221ACA">
        <w:t>, on the passage</w:t>
      </w:r>
      <w:r>
        <w:t>) rather associates the phrase with what follows, though he refers it to recognizing that the false prophet is a fool; Ibn Ezra (</w:t>
      </w:r>
      <w:r>
        <w:rPr>
          <w:i/>
        </w:rPr>
        <w:t>Hosea</w:t>
      </w:r>
      <w:r>
        <w:t>, 87) assumes that it refers to calling the true prophet a fool</w:t>
      </w:r>
      <w:r w:rsidRPr="00221ACA">
        <w:t>.</w:t>
      </w:r>
      <w:r>
        <w:t xml:space="preserve"> Rather the object of the acknowledgment is that his madness is a (quite reasonable) reaction to their waywardness and animosity. While </w:t>
      </w:r>
      <w:r>
        <w:rPr>
          <w:i/>
        </w:rPr>
        <w:t xml:space="preserve">yāda‘ </w:t>
      </w:r>
      <w:r>
        <w:t>is occasionally used with an object clause (see Job 32:22) like the English word, I have assumed an asyndesis.</w:t>
      </w:r>
    </w:p>
  </w:footnote>
  <w:footnote w:id="397">
    <w:p w:rsidR="00C5566B" w:rsidRDefault="00C5566B">
      <w:pPr>
        <w:pStyle w:val="FootnoteText"/>
      </w:pPr>
      <w:r>
        <w:rPr>
          <w:rStyle w:val="FootnoteReference"/>
        </w:rPr>
        <w:footnoteRef/>
      </w:r>
      <w:r>
        <w:t xml:space="preserve"> The suffix carries over from the parallel colon.</w:t>
      </w:r>
    </w:p>
  </w:footnote>
  <w:footnote w:id="398">
    <w:p w:rsidR="00C5566B" w:rsidRPr="000E6002" w:rsidRDefault="00C5566B">
      <w:pPr>
        <w:pStyle w:val="FootnoteText"/>
      </w:pPr>
      <w:r>
        <w:rPr>
          <w:rStyle w:val="FootnoteReference"/>
        </w:rPr>
        <w:footnoteRef/>
      </w:r>
      <w:r>
        <w:t xml:space="preserve"> Cf. the use of </w:t>
      </w:r>
      <w:r>
        <w:rPr>
          <w:i/>
        </w:rPr>
        <w:t>‘im</w:t>
      </w:r>
      <w:r>
        <w:t xml:space="preserve"> in 11:12 [12:1].</w:t>
      </w:r>
    </w:p>
  </w:footnote>
  <w:footnote w:id="399">
    <w:p w:rsidR="00C5566B" w:rsidRDefault="00C5566B">
      <w:pPr>
        <w:pStyle w:val="FootnoteText"/>
      </w:pPr>
      <w:r>
        <w:rPr>
          <w:rStyle w:val="FootnoteReference"/>
        </w:rPr>
        <w:footnoteRef/>
      </w:r>
      <w:r>
        <w:t xml:space="preserve"> Literally, “they have gone deep, they have become corrupt”: see e.g., GK 120gh.</w:t>
      </w:r>
    </w:p>
  </w:footnote>
  <w:footnote w:id="400">
    <w:p w:rsidR="00C5566B" w:rsidRDefault="00C5566B">
      <w:pPr>
        <w:pStyle w:val="FootnoteText"/>
      </w:pPr>
      <w:r>
        <w:rPr>
          <w:rStyle w:val="FootnoteReference"/>
        </w:rPr>
        <w:footnoteRef/>
      </w:r>
      <w:r>
        <w:t xml:space="preserve"> </w:t>
      </w:r>
      <w:r w:rsidRPr="005D66A1">
        <w:rPr>
          <w:i/>
        </w:rPr>
        <w:t>Haggib‘āh</w:t>
      </w:r>
      <w:r w:rsidRPr="005D66A1">
        <w:t xml:space="preserve">, </w:t>
      </w:r>
      <w:r>
        <w:t xml:space="preserve">The </w:t>
      </w:r>
      <w:r w:rsidRPr="005D66A1">
        <w:t>Gibeah</w:t>
      </w:r>
      <w:r>
        <w:t>.</w:t>
      </w:r>
    </w:p>
  </w:footnote>
  <w:footnote w:id="401">
    <w:p w:rsidR="00C5566B" w:rsidRDefault="00C5566B">
      <w:pPr>
        <w:pStyle w:val="FootnoteText"/>
      </w:pPr>
      <w:r>
        <w:rPr>
          <w:rStyle w:val="FootnoteReference"/>
        </w:rPr>
        <w:footnoteRef/>
      </w:r>
      <w:r>
        <w:t xml:space="preserve"> See the note on 1:4.</w:t>
      </w:r>
    </w:p>
  </w:footnote>
  <w:footnote w:id="402">
    <w:p w:rsidR="00C5566B" w:rsidRPr="00D40376" w:rsidRDefault="00C5566B">
      <w:pPr>
        <w:pStyle w:val="FootnoteText"/>
      </w:pPr>
      <w:r>
        <w:rPr>
          <w:rStyle w:val="FootnoteReference"/>
        </w:rPr>
        <w:footnoteRef/>
      </w:r>
      <w:r>
        <w:t xml:space="preserve"> So e.g., </w:t>
      </w:r>
      <w:r w:rsidRPr="00863FFE">
        <w:t>Barthélemy</w:t>
      </w:r>
      <w:r w:rsidRPr="00863FFE">
        <w:rPr>
          <w:i/>
        </w:rPr>
        <w:t>, Critique Textuelle</w:t>
      </w:r>
      <w:r>
        <w:t xml:space="preserve"> 3:559; but see C. Barth, </w:t>
      </w:r>
      <w:r>
        <w:rPr>
          <w:i/>
        </w:rPr>
        <w:t>TDOT</w:t>
      </w:r>
      <w:r>
        <w:t xml:space="preserve"> 2:469-75.</w:t>
      </w:r>
    </w:p>
  </w:footnote>
  <w:footnote w:id="403">
    <w:p w:rsidR="00C5566B" w:rsidRPr="00BD1F13" w:rsidRDefault="00C5566B">
      <w:pPr>
        <w:pStyle w:val="FootnoteText"/>
      </w:pPr>
      <w:r>
        <w:rPr>
          <w:rStyle w:val="FootnoteReference"/>
        </w:rPr>
        <w:footnoteRef/>
      </w:r>
      <w:r>
        <w:t xml:space="preserve"> Davies, </w:t>
      </w:r>
      <w:r>
        <w:rPr>
          <w:i/>
        </w:rPr>
        <w:t>Hosea</w:t>
      </w:r>
      <w:r>
        <w:t>, 216.</w:t>
      </w:r>
    </w:p>
  </w:footnote>
  <w:footnote w:id="404">
    <w:p w:rsidR="00C5566B" w:rsidRDefault="00C5566B">
      <w:pPr>
        <w:pStyle w:val="FootnoteText"/>
      </w:pPr>
      <w:r>
        <w:rPr>
          <w:rStyle w:val="FootnoteReference"/>
        </w:rPr>
        <w:footnoteRef/>
      </w:r>
      <w:r>
        <w:t xml:space="preserve"> </w:t>
      </w:r>
      <w:r w:rsidRPr="00F54AE8">
        <w:t xml:space="preserve">Stuart, </w:t>
      </w:r>
      <w:r w:rsidRPr="00F54AE8">
        <w:rPr>
          <w:i/>
        </w:rPr>
        <w:t>Hosea-Jonah</w:t>
      </w:r>
      <w:r>
        <w:t>, 138.</w:t>
      </w:r>
    </w:p>
  </w:footnote>
  <w:footnote w:id="405">
    <w:p w:rsidR="00C5566B" w:rsidRPr="00C6020B" w:rsidRDefault="00C5566B" w:rsidP="001C5305">
      <w:pPr>
        <w:pStyle w:val="FootnoteText"/>
      </w:pPr>
      <w:r>
        <w:rPr>
          <w:rStyle w:val="FootnoteReference"/>
        </w:rPr>
        <w:footnoteRef/>
      </w:r>
      <w:r>
        <w:t xml:space="preserve"> Wolff, </w:t>
      </w:r>
      <w:r>
        <w:rPr>
          <w:i/>
        </w:rPr>
        <w:t>Hosea</w:t>
      </w:r>
      <w:r>
        <w:t>, 156.</w:t>
      </w:r>
    </w:p>
  </w:footnote>
  <w:footnote w:id="406">
    <w:p w:rsidR="00C5566B" w:rsidRDefault="00C5566B">
      <w:pPr>
        <w:pStyle w:val="FootnoteText"/>
      </w:pPr>
      <w:r>
        <w:rPr>
          <w:rStyle w:val="FootnoteReference"/>
        </w:rPr>
        <w:footnoteRef/>
      </w:r>
      <w:r>
        <w:t xml:space="preserve"> </w:t>
      </w:r>
      <w:r w:rsidRPr="00367F16">
        <w:t xml:space="preserve">Luther, </w:t>
      </w:r>
      <w:r w:rsidRPr="00367F16">
        <w:rPr>
          <w:i/>
        </w:rPr>
        <w:t>Minor Prophets</w:t>
      </w:r>
      <w:r w:rsidRPr="00367F16">
        <w:t xml:space="preserve"> 1:4</w:t>
      </w:r>
      <w:r>
        <w:t>9.</w:t>
      </w:r>
    </w:p>
  </w:footnote>
  <w:footnote w:id="407">
    <w:p w:rsidR="00C5566B" w:rsidRDefault="00C5566B">
      <w:pPr>
        <w:pStyle w:val="FootnoteText"/>
      </w:pPr>
      <w:r>
        <w:rPr>
          <w:rStyle w:val="FootnoteReference"/>
        </w:rPr>
        <w:footnoteRef/>
      </w:r>
      <w:r>
        <w:t xml:space="preserve"> Mays, </w:t>
      </w:r>
      <w:r>
        <w:rPr>
          <w:i/>
        </w:rPr>
        <w:t>Hosea</w:t>
      </w:r>
      <w:r>
        <w:t>,</w:t>
      </w:r>
      <w:r>
        <w:rPr>
          <w:i/>
        </w:rPr>
        <w:t xml:space="preserve"> </w:t>
      </w:r>
      <w:r>
        <w:t>128.</w:t>
      </w:r>
    </w:p>
  </w:footnote>
  <w:footnote w:id="408">
    <w:p w:rsidR="00C5566B" w:rsidRDefault="00C5566B">
      <w:pPr>
        <w:pStyle w:val="FootnoteText"/>
      </w:pPr>
      <w:r>
        <w:rPr>
          <w:rStyle w:val="FootnoteReference"/>
        </w:rPr>
        <w:footnoteRef/>
      </w:r>
      <w:r>
        <w:t xml:space="preserve"> Weiser, </w:t>
      </w:r>
      <w:r w:rsidRPr="00D17F09">
        <w:rPr>
          <w:i/>
        </w:rPr>
        <w:t>Das Buch der zwölf Kleinen Propheten</w:t>
      </w:r>
      <w:r>
        <w:t xml:space="preserve"> 1:58</w:t>
      </w:r>
      <w:r w:rsidRPr="00D17F09">
        <w:t>.</w:t>
      </w:r>
    </w:p>
  </w:footnote>
  <w:footnote w:id="409">
    <w:p w:rsidR="00C5566B" w:rsidRDefault="00C5566B">
      <w:pPr>
        <w:pStyle w:val="FootnoteText"/>
      </w:pPr>
      <w:r>
        <w:rPr>
          <w:rStyle w:val="FootnoteReference"/>
        </w:rPr>
        <w:footnoteRef/>
      </w:r>
      <w:r>
        <w:t xml:space="preserve"> D. Qimchi </w:t>
      </w:r>
      <w:r w:rsidRPr="00E551FB">
        <w:t xml:space="preserve">in </w:t>
      </w:r>
      <w:r w:rsidRPr="00E551FB">
        <w:rPr>
          <w:i/>
        </w:rPr>
        <w:t>miqrā’ôt gədôlôt</w:t>
      </w:r>
      <w:r>
        <w:t>, on 9:1; Rashi speaks similarly there on the verse.</w:t>
      </w:r>
    </w:p>
  </w:footnote>
  <w:footnote w:id="410">
    <w:p w:rsidR="00C5566B" w:rsidRDefault="00C5566B">
      <w:pPr>
        <w:pStyle w:val="FootnoteText"/>
      </w:pPr>
      <w:r>
        <w:rPr>
          <w:rStyle w:val="FootnoteReference"/>
        </w:rPr>
        <w:footnoteRef/>
      </w:r>
      <w:r>
        <w:t xml:space="preserve"> Calvin, </w:t>
      </w:r>
      <w:r w:rsidRPr="009C2C74">
        <w:rPr>
          <w:i/>
        </w:rPr>
        <w:t>Minor Prophets</w:t>
      </w:r>
      <w:r w:rsidRPr="009C2C74">
        <w:t xml:space="preserve"> 1:</w:t>
      </w:r>
      <w:r>
        <w:t>313.</w:t>
      </w:r>
    </w:p>
  </w:footnote>
  <w:footnote w:id="411">
    <w:p w:rsidR="00C5566B" w:rsidRPr="008A765C" w:rsidRDefault="00C5566B" w:rsidP="008D4D72">
      <w:pPr>
        <w:pStyle w:val="FootnoteText"/>
      </w:pPr>
      <w:r>
        <w:rPr>
          <w:rStyle w:val="FootnoteReference"/>
        </w:rPr>
        <w:footnoteRef/>
      </w:r>
      <w:r>
        <w:t xml:space="preserve"> Hubbard, </w:t>
      </w:r>
      <w:r>
        <w:rPr>
          <w:i/>
        </w:rPr>
        <w:t>Hosea</w:t>
      </w:r>
      <w:r>
        <w:t>, 161.</w:t>
      </w:r>
    </w:p>
  </w:footnote>
  <w:footnote w:id="412">
    <w:p w:rsidR="00C5566B" w:rsidRDefault="00C5566B" w:rsidP="002F7216">
      <w:pPr>
        <w:pStyle w:val="FootnoteText"/>
      </w:pPr>
      <w:r>
        <w:rPr>
          <w:rStyle w:val="FootnoteReference"/>
        </w:rPr>
        <w:footnoteRef/>
      </w:r>
      <w:r>
        <w:t xml:space="preserve"> Tg reads the line as “Like grapes, in the wilderness I found Israel,” w</w:t>
      </w:r>
      <w:r w:rsidRPr="007670B4">
        <w:t>hereas MT’s accent connects “Like grapes” with “in the wilder</w:t>
      </w:r>
      <w:r>
        <w:t>ness.</w:t>
      </w:r>
      <w:r w:rsidRPr="007670B4">
        <w:t xml:space="preserve">” </w:t>
      </w:r>
      <w:r>
        <w:t>Tg’s understanding also doesn’t match the prosody if the line is 2-2, though it makes for an interesting link with the idea that Yahweh initiated the relationship in the wilderness (cf. Deut. 32:10;  Jer. 2:2).</w:t>
      </w:r>
    </w:p>
  </w:footnote>
  <w:footnote w:id="413">
    <w:p w:rsidR="00C5566B" w:rsidRDefault="00C5566B" w:rsidP="002F7216">
      <w:pPr>
        <w:pStyle w:val="FootnoteText"/>
      </w:pPr>
      <w:r>
        <w:rPr>
          <w:rStyle w:val="FootnoteReference"/>
        </w:rPr>
        <w:footnoteRef/>
      </w:r>
      <w:r>
        <w:t xml:space="preserve"> Intensive plural (cf. GK 124e).</w:t>
      </w:r>
    </w:p>
  </w:footnote>
  <w:footnote w:id="414">
    <w:p w:rsidR="00C5566B" w:rsidRDefault="00C5566B" w:rsidP="002F7216">
      <w:pPr>
        <w:pStyle w:val="FootnoteText"/>
      </w:pPr>
      <w:r>
        <w:rPr>
          <w:rStyle w:val="FootnoteReference"/>
        </w:rPr>
        <w:footnoteRef/>
      </w:r>
      <w:r>
        <w:t xml:space="preserve"> The past time reference of the noun clause (cf. LXX, Vg, Tg) is suggested by the parallelism.</w:t>
      </w:r>
    </w:p>
  </w:footnote>
  <w:footnote w:id="415">
    <w:p w:rsidR="00C5566B" w:rsidRDefault="00C5566B">
      <w:pPr>
        <w:pStyle w:val="FootnoteText"/>
      </w:pPr>
      <w:r>
        <w:rPr>
          <w:rStyle w:val="FootnoteReference"/>
        </w:rPr>
        <w:footnoteRef/>
      </w:r>
      <w:r>
        <w:t xml:space="preserve"> NRSV’s “</w:t>
      </w:r>
      <w:r w:rsidRPr="008D08AD">
        <w:t>no bir</w:t>
      </w:r>
      <w:r>
        <w:t>th, no pregnancy, no conception” is a way of making sense of the colon on the basis of MT’s division of verses, but associating v. 11b with v. 12aα makes better sense.</w:t>
      </w:r>
    </w:p>
  </w:footnote>
  <w:footnote w:id="416">
    <w:p w:rsidR="00C5566B" w:rsidRPr="00F657DA" w:rsidRDefault="00C5566B" w:rsidP="002F7216">
      <w:pPr>
        <w:pStyle w:val="FootnoteText"/>
        <w:ind w:left="720" w:firstLine="0"/>
      </w:pPr>
      <w:r>
        <w:rPr>
          <w:rStyle w:val="FootnoteReference"/>
        </w:rPr>
        <w:footnoteRef/>
      </w:r>
      <w:r>
        <w:t xml:space="preserve"> </w:t>
      </w:r>
      <w:r>
        <w:rPr>
          <w:i/>
        </w:rPr>
        <w:t>Śûr</w:t>
      </w:r>
      <w:r>
        <w:t xml:space="preserve">, an alternative spelling of </w:t>
      </w:r>
      <w:r>
        <w:rPr>
          <w:i/>
        </w:rPr>
        <w:t>sûr</w:t>
      </w:r>
      <w:r>
        <w:t xml:space="preserve"> (which appears elsewhere in Hosea); it comes only here.</w:t>
      </w:r>
    </w:p>
  </w:footnote>
  <w:footnote w:id="417">
    <w:p w:rsidR="00C5566B" w:rsidRPr="00637147" w:rsidRDefault="00C5566B" w:rsidP="002F7216">
      <w:pPr>
        <w:pStyle w:val="FootnoteText"/>
      </w:pPr>
      <w:r>
        <w:rPr>
          <w:rStyle w:val="FootnoteReference"/>
        </w:rPr>
        <w:footnoteRef/>
      </w:r>
      <w:r>
        <w:t xml:space="preserve"> See </w:t>
      </w:r>
      <w:r w:rsidRPr="00F54AE8">
        <w:t>Barthélemy</w:t>
      </w:r>
      <w:r w:rsidRPr="00F54AE8">
        <w:rPr>
          <w:i/>
        </w:rPr>
        <w:t>, Critique Textuelle</w:t>
      </w:r>
      <w:r>
        <w:t xml:space="preserve"> 3:568-69; </w:t>
      </w:r>
      <w:r>
        <w:rPr>
          <w:i/>
        </w:rPr>
        <w:t>DCH</w:t>
      </w:r>
      <w:r>
        <w:t xml:space="preserve">. </w:t>
      </w:r>
      <w:r>
        <w:rPr>
          <w:i/>
        </w:rPr>
        <w:t>Ṣôr</w:t>
      </w:r>
      <w:r>
        <w:t xml:space="preserve"> usually denotes Tyre (Vg, Tg; though the more common spelling is </w:t>
      </w:r>
      <w:r w:rsidRPr="00637147">
        <w:rPr>
          <w:i/>
        </w:rPr>
        <w:t>șōr</w:t>
      </w:r>
      <w:r>
        <w:t xml:space="preserve">); Aq, Th, Sym imply </w:t>
      </w:r>
      <w:r>
        <w:rPr>
          <w:i/>
        </w:rPr>
        <w:t xml:space="preserve">șûr </w:t>
      </w:r>
      <w:r>
        <w:t xml:space="preserve">“rock”; LXX implies </w:t>
      </w:r>
      <w:r>
        <w:rPr>
          <w:i/>
        </w:rPr>
        <w:t>șayid</w:t>
      </w:r>
      <w:r>
        <w:t xml:space="preserve"> “prey”; none fits well.</w:t>
      </w:r>
    </w:p>
  </w:footnote>
  <w:footnote w:id="418">
    <w:p w:rsidR="00C5566B" w:rsidRPr="006C6970" w:rsidRDefault="00C5566B" w:rsidP="002F7216">
      <w:pPr>
        <w:pStyle w:val="FootnoteText"/>
      </w:pPr>
      <w:r>
        <w:rPr>
          <w:rStyle w:val="FootnoteReference"/>
        </w:rPr>
        <w:footnoteRef/>
      </w:r>
      <w:r>
        <w:t xml:space="preserve"> “Meadow,” the last word in v. 13a, is </w:t>
      </w:r>
      <w:r>
        <w:rPr>
          <w:i/>
        </w:rPr>
        <w:t>bənāweh</w:t>
      </w:r>
      <w:r>
        <w:t xml:space="preserve">; “its children,” the last word in v. 13b, is </w:t>
      </w:r>
      <w:r>
        <w:rPr>
          <w:i/>
        </w:rPr>
        <w:t>bānāyw</w:t>
      </w:r>
      <w:r>
        <w:t>, which underlines the link between the metaphor and the referent and thus underlines the horrifying intervening reference to the slayer.</w:t>
      </w:r>
    </w:p>
  </w:footnote>
  <w:footnote w:id="419">
    <w:p w:rsidR="00C5566B" w:rsidRDefault="00C5566B" w:rsidP="002F7216">
      <w:pPr>
        <w:pStyle w:val="FootnoteText"/>
      </w:pPr>
      <w:r>
        <w:rPr>
          <w:rStyle w:val="FootnoteReference"/>
        </w:rPr>
        <w:footnoteRef/>
      </w:r>
      <w:r>
        <w:t xml:space="preserve"> Tg interestingly takes this colon to refer to the sacrifice of children.</w:t>
      </w:r>
    </w:p>
  </w:footnote>
  <w:footnote w:id="420">
    <w:p w:rsidR="00C5566B" w:rsidRDefault="00C5566B">
      <w:pPr>
        <w:pStyle w:val="FootnoteText"/>
      </w:pPr>
      <w:r>
        <w:rPr>
          <w:rStyle w:val="FootnoteReference"/>
        </w:rPr>
        <w:footnoteRef/>
      </w:r>
      <w:r>
        <w:t xml:space="preserve"> In the order of sections in the scroll, mentioning Gilgal</w:t>
      </w:r>
      <w:r w:rsidRPr="006A3634">
        <w:t xml:space="preserve"> </w:t>
      </w:r>
      <w:r>
        <w:t>mak</w:t>
      </w:r>
      <w:r w:rsidRPr="006A3634">
        <w:t>es a link with the ban on “rejoicing” (</w:t>
      </w:r>
      <w:r w:rsidRPr="006A3634">
        <w:rPr>
          <w:i/>
        </w:rPr>
        <w:t>gîl</w:t>
      </w:r>
      <w:r>
        <w:t>) in 9:1</w:t>
      </w:r>
      <w:r w:rsidRPr="006A3634">
        <w:t>.</w:t>
      </w:r>
    </w:p>
  </w:footnote>
  <w:footnote w:id="421">
    <w:p w:rsidR="00C5566B" w:rsidRPr="00CC5B59" w:rsidRDefault="00C5566B" w:rsidP="002F7216">
      <w:pPr>
        <w:pStyle w:val="FootnoteText"/>
      </w:pPr>
      <w:r>
        <w:rPr>
          <w:rStyle w:val="FootnoteReference"/>
        </w:rPr>
        <w:footnoteRef/>
      </w:r>
      <w:r>
        <w:t xml:space="preserve"> Although </w:t>
      </w:r>
      <w:r>
        <w:rPr>
          <w:i/>
        </w:rPr>
        <w:t xml:space="preserve">śānē’ </w:t>
      </w:r>
      <w:r>
        <w:t>is stative (and v. 15a is a noun clause), I follow LXX, Vg in translating the line as having past reference.</w:t>
      </w:r>
    </w:p>
  </w:footnote>
  <w:footnote w:id="422">
    <w:p w:rsidR="00C5566B" w:rsidRPr="00E43A1B" w:rsidRDefault="00C5566B" w:rsidP="002F7216">
      <w:pPr>
        <w:pStyle w:val="FootnoteText"/>
      </w:pPr>
      <w:r>
        <w:rPr>
          <w:rStyle w:val="FootnoteReference"/>
        </w:rPr>
        <w:footnoteRef/>
      </w:r>
      <w:r>
        <w:t xml:space="preserve"> </w:t>
      </w:r>
      <w:r w:rsidRPr="00E43A1B">
        <w:rPr>
          <w:i/>
        </w:rPr>
        <w:t>Śārȇhem</w:t>
      </w:r>
      <w:r>
        <w:t xml:space="preserve"> </w:t>
      </w:r>
      <w:r w:rsidRPr="00E43A1B">
        <w:rPr>
          <w:i/>
        </w:rPr>
        <w:t>sōrərîm</w:t>
      </w:r>
      <w:r>
        <w:t>: the paronomasia draws attention to a reality that belies what should be the case.</w:t>
      </w:r>
    </w:p>
  </w:footnote>
  <w:footnote w:id="423">
    <w:p w:rsidR="00C5566B" w:rsidRDefault="00C5566B" w:rsidP="002F7216">
      <w:pPr>
        <w:pStyle w:val="FootnoteText"/>
      </w:pPr>
      <w:r>
        <w:rPr>
          <w:rStyle w:val="FootnoteReference"/>
        </w:rPr>
        <w:footnoteRef/>
      </w:r>
      <w:r>
        <w:t xml:space="preserve"> The asyndesis with noun preceding verb suggests that the clause depends on the preceding one.</w:t>
      </w:r>
    </w:p>
  </w:footnote>
  <w:footnote w:id="424">
    <w:p w:rsidR="00C5566B" w:rsidRPr="001711A0" w:rsidRDefault="00C5566B" w:rsidP="002F7216">
      <w:pPr>
        <w:pStyle w:val="FootnoteText"/>
      </w:pPr>
      <w:r>
        <w:rPr>
          <w:rStyle w:val="FootnoteReference"/>
        </w:rPr>
        <w:footnoteRef/>
      </w:r>
      <w:r>
        <w:t xml:space="preserve"> Either </w:t>
      </w:r>
      <w:r>
        <w:rPr>
          <w:i/>
        </w:rPr>
        <w:t xml:space="preserve">bəlî </w:t>
      </w:r>
      <w:r>
        <w:t xml:space="preserve">(K) or </w:t>
      </w:r>
      <w:r>
        <w:rPr>
          <w:i/>
        </w:rPr>
        <w:t>bal</w:t>
      </w:r>
      <w:r>
        <w:t xml:space="preserve"> (Q) is an unusual poetic negative (cf. 7:2; 8:7).</w:t>
      </w:r>
    </w:p>
  </w:footnote>
  <w:footnote w:id="425">
    <w:p w:rsidR="00C5566B" w:rsidRDefault="00C5566B">
      <w:pPr>
        <w:pStyle w:val="FootnoteText"/>
      </w:pPr>
      <w:r>
        <w:rPr>
          <w:rStyle w:val="FootnoteReference"/>
        </w:rPr>
        <w:footnoteRef/>
      </w:r>
      <w:r>
        <w:t xml:space="preserve"> I</w:t>
      </w:r>
      <w:r w:rsidRPr="005A6E10">
        <w:t xml:space="preserve">t will have no </w:t>
      </w:r>
      <w:r w:rsidRPr="005A6E10">
        <w:rPr>
          <w:i/>
        </w:rPr>
        <w:t>pərî</w:t>
      </w:r>
      <w:r>
        <w:t xml:space="preserve">: </w:t>
      </w:r>
      <w:r w:rsidRPr="005A6E10">
        <w:t xml:space="preserve">Ephraim will </w:t>
      </w:r>
      <w:r>
        <w:t>belie its name.</w:t>
      </w:r>
    </w:p>
  </w:footnote>
  <w:footnote w:id="426">
    <w:p w:rsidR="00C5566B" w:rsidRDefault="00C5566B">
      <w:pPr>
        <w:pStyle w:val="FootnoteText"/>
      </w:pPr>
      <w:r>
        <w:rPr>
          <w:rStyle w:val="FootnoteReference"/>
        </w:rPr>
        <w:footnoteRef/>
      </w:r>
      <w:r>
        <w:t xml:space="preserve"> Here, i</w:t>
      </w:r>
      <w:r w:rsidRPr="00DD1382">
        <w:t>n the order of sections in the scroll</w:t>
      </w:r>
      <w:r>
        <w:t>, Yahweh picks</w:t>
      </w:r>
      <w:r w:rsidRPr="00DD1382">
        <w:t xml:space="preserve"> up with irony th</w:t>
      </w:r>
      <w:r>
        <w:t xml:space="preserve">e unusual word </w:t>
      </w:r>
      <w:r>
        <w:rPr>
          <w:i/>
        </w:rPr>
        <w:t>maḥmad</w:t>
      </w:r>
      <w:r>
        <w:t xml:space="preserve"> from v. 6.</w:t>
      </w:r>
    </w:p>
  </w:footnote>
  <w:footnote w:id="427">
    <w:p w:rsidR="00C5566B" w:rsidRPr="00044378" w:rsidRDefault="00C5566B" w:rsidP="002F7216">
      <w:pPr>
        <w:pStyle w:val="FootnoteText"/>
      </w:pPr>
      <w:r>
        <w:rPr>
          <w:rStyle w:val="FootnoteReference"/>
        </w:rPr>
        <w:footnoteRef/>
      </w:r>
      <w:r>
        <w:t xml:space="preserve"> While in isolation the words might signify “My God will reject them” or “My God must reject them” or “My God rejects them,” v. 17 parallels v. 14 as words of Hosea that follow on Yahweh’s words, so a quasi-prayer is more likely (cf. Wolff, </w:t>
      </w:r>
      <w:r>
        <w:rPr>
          <w:i/>
        </w:rPr>
        <w:t>Hosea</w:t>
      </w:r>
      <w:r>
        <w:t>, 162).</w:t>
      </w:r>
    </w:p>
  </w:footnote>
  <w:footnote w:id="428">
    <w:p w:rsidR="00C5566B" w:rsidRPr="00724E41" w:rsidRDefault="00C5566B" w:rsidP="002F7216">
      <w:pPr>
        <w:pStyle w:val="FootnoteText"/>
      </w:pPr>
      <w:r>
        <w:rPr>
          <w:rStyle w:val="FootnoteReference"/>
        </w:rPr>
        <w:footnoteRef/>
      </w:r>
      <w:r>
        <w:t xml:space="preserve"> Macintosh, </w:t>
      </w:r>
      <w:r>
        <w:rPr>
          <w:i/>
        </w:rPr>
        <w:t>Hosea</w:t>
      </w:r>
      <w:r>
        <w:t>, 360.</w:t>
      </w:r>
    </w:p>
  </w:footnote>
  <w:footnote w:id="429">
    <w:p w:rsidR="00C5566B" w:rsidRPr="00E94F9C" w:rsidRDefault="00C5566B" w:rsidP="002F7216">
      <w:pPr>
        <w:pStyle w:val="FootnoteText"/>
      </w:pPr>
      <w:r>
        <w:rPr>
          <w:rStyle w:val="FootnoteReference"/>
        </w:rPr>
        <w:footnoteRef/>
      </w:r>
      <w:r>
        <w:t xml:space="preserve"> Landy, </w:t>
      </w:r>
      <w:r>
        <w:rPr>
          <w:i/>
        </w:rPr>
        <w:t>Hosea</w:t>
      </w:r>
      <w:r>
        <w:t>, 118.</w:t>
      </w:r>
    </w:p>
  </w:footnote>
  <w:footnote w:id="430">
    <w:p w:rsidR="00C5566B" w:rsidRPr="0067355E" w:rsidRDefault="00C5566B" w:rsidP="002F7216">
      <w:pPr>
        <w:pStyle w:val="FootnoteText"/>
      </w:pPr>
      <w:r>
        <w:rPr>
          <w:rStyle w:val="FootnoteReference"/>
        </w:rPr>
        <w:footnoteRef/>
      </w:r>
      <w:r>
        <w:t xml:space="preserve"> Cf. Landy, </w:t>
      </w:r>
      <w:r>
        <w:rPr>
          <w:i/>
        </w:rPr>
        <w:t>Hosea</w:t>
      </w:r>
      <w:r>
        <w:t>, 122.</w:t>
      </w:r>
    </w:p>
  </w:footnote>
  <w:footnote w:id="431">
    <w:p w:rsidR="00C5566B" w:rsidRPr="00BA1181" w:rsidRDefault="00C5566B" w:rsidP="002F7216">
      <w:pPr>
        <w:pStyle w:val="FootnoteText"/>
      </w:pPr>
      <w:r>
        <w:rPr>
          <w:rStyle w:val="FootnoteReference"/>
        </w:rPr>
        <w:footnoteRef/>
      </w:r>
      <w:r>
        <w:t xml:space="preserve"> Cf. Wolff, </w:t>
      </w:r>
      <w:r>
        <w:rPr>
          <w:i/>
        </w:rPr>
        <w:t>Hosea</w:t>
      </w:r>
      <w:r>
        <w:t>, 167.</w:t>
      </w:r>
    </w:p>
  </w:footnote>
  <w:footnote w:id="432">
    <w:p w:rsidR="00C5566B" w:rsidRDefault="00C5566B" w:rsidP="002F7216">
      <w:pPr>
        <w:pStyle w:val="FootnoteText"/>
      </w:pPr>
      <w:r>
        <w:rPr>
          <w:rStyle w:val="FootnoteReference"/>
        </w:rPr>
        <w:footnoteRef/>
      </w:r>
      <w:r>
        <w:t xml:space="preserve"> Cf. Calvin, </w:t>
      </w:r>
      <w:r w:rsidRPr="009C2C74">
        <w:rPr>
          <w:i/>
        </w:rPr>
        <w:t>Minor Prophets</w:t>
      </w:r>
      <w:r w:rsidRPr="009C2C74">
        <w:t xml:space="preserve"> 1:</w:t>
      </w:r>
      <w:r>
        <w:rPr>
          <w:i/>
        </w:rPr>
        <w:t>3</w:t>
      </w:r>
      <w:r>
        <w:t>42.</w:t>
      </w:r>
    </w:p>
  </w:footnote>
  <w:footnote w:id="433">
    <w:p w:rsidR="00C5566B" w:rsidRPr="00F035B9" w:rsidRDefault="00C5566B" w:rsidP="002F7216">
      <w:pPr>
        <w:pStyle w:val="FootnoteText"/>
      </w:pPr>
      <w:r>
        <w:rPr>
          <w:rStyle w:val="FootnoteReference"/>
        </w:rPr>
        <w:footnoteRef/>
      </w:r>
      <w:r>
        <w:t xml:space="preserve"> Dearman, </w:t>
      </w:r>
      <w:r>
        <w:rPr>
          <w:i/>
        </w:rPr>
        <w:t>Hosea</w:t>
      </w:r>
      <w:r>
        <w:t>, 257.</w:t>
      </w:r>
    </w:p>
  </w:footnote>
  <w:footnote w:id="434">
    <w:p w:rsidR="00C5566B" w:rsidRPr="00722FD8" w:rsidRDefault="00C5566B" w:rsidP="002F7216">
      <w:pPr>
        <w:pStyle w:val="FootnoteText"/>
      </w:pPr>
      <w:r>
        <w:rPr>
          <w:rStyle w:val="FootnoteReference"/>
        </w:rPr>
        <w:footnoteRef/>
      </w:r>
      <w:r>
        <w:t xml:space="preserve"> Cf. Wolff, </w:t>
      </w:r>
      <w:r>
        <w:rPr>
          <w:i/>
        </w:rPr>
        <w:t>Hosea</w:t>
      </w:r>
      <w:r>
        <w:t>, 168.</w:t>
      </w:r>
    </w:p>
  </w:footnote>
  <w:footnote w:id="435">
    <w:p w:rsidR="00C5566B" w:rsidRPr="00367F16" w:rsidRDefault="00C5566B" w:rsidP="002F7216">
      <w:pPr>
        <w:pStyle w:val="FootnoteText"/>
        <w:rPr>
          <w:i/>
        </w:rPr>
      </w:pPr>
      <w:r>
        <w:rPr>
          <w:rStyle w:val="FootnoteReference"/>
        </w:rPr>
        <w:footnoteRef/>
      </w:r>
      <w:r>
        <w:t xml:space="preserve"> Cf. Sweeney, </w:t>
      </w:r>
      <w:r w:rsidRPr="00367F16">
        <w:rPr>
          <w:i/>
        </w:rPr>
        <w:t>Twelve Prophets</w:t>
      </w:r>
      <w:r>
        <w:t xml:space="preserve"> 1:102; cf. </w:t>
      </w:r>
      <w:r w:rsidRPr="00B64C0F">
        <w:t xml:space="preserve">Luther, </w:t>
      </w:r>
      <w:r w:rsidRPr="00B64C0F">
        <w:rPr>
          <w:i/>
        </w:rPr>
        <w:t>Minor Prophets</w:t>
      </w:r>
      <w:r>
        <w:t xml:space="preserve"> 1:51, 52.</w:t>
      </w:r>
    </w:p>
  </w:footnote>
  <w:footnote w:id="436">
    <w:p w:rsidR="00C5566B" w:rsidRPr="00F634FD" w:rsidRDefault="00C5566B">
      <w:pPr>
        <w:pStyle w:val="FootnoteText"/>
      </w:pPr>
      <w:r>
        <w:rPr>
          <w:rStyle w:val="FootnoteReference"/>
        </w:rPr>
        <w:footnoteRef/>
      </w:r>
      <w:r>
        <w:t xml:space="preserve"> Cf. Tg, and BDB’s</w:t>
      </w:r>
      <w:r w:rsidRPr="00B306F6">
        <w:t xml:space="preserve"> </w:t>
      </w:r>
      <w:r w:rsidRPr="00B306F6">
        <w:rPr>
          <w:i/>
        </w:rPr>
        <w:t>bāqaq</w:t>
      </w:r>
      <w:r w:rsidRPr="00B306F6">
        <w:t xml:space="preserve"> I</w:t>
      </w:r>
      <w:r>
        <w:t xml:space="preserve">I, </w:t>
      </w:r>
      <w:r>
        <w:rPr>
          <w:i/>
        </w:rPr>
        <w:t>HALOT</w:t>
      </w:r>
      <w:r>
        <w:t xml:space="preserve">’s </w:t>
      </w:r>
      <w:r w:rsidRPr="00B306F6">
        <w:rPr>
          <w:i/>
        </w:rPr>
        <w:t>bāqaq</w:t>
      </w:r>
      <w:r>
        <w:t xml:space="preserve"> I</w:t>
      </w:r>
      <w:r w:rsidRPr="00B306F6">
        <w:t>.</w:t>
      </w:r>
      <w:r>
        <w:t xml:space="preserve"> LXX, Vg have words suggesting “flourishing”; cf. BDB’s </w:t>
      </w:r>
      <w:r w:rsidRPr="00302B86">
        <w:rPr>
          <w:i/>
        </w:rPr>
        <w:t>bāqaq</w:t>
      </w:r>
      <w:r w:rsidRPr="00302B86">
        <w:t xml:space="preserve"> I</w:t>
      </w:r>
      <w:r>
        <w:t xml:space="preserve"> and </w:t>
      </w:r>
      <w:r>
        <w:rPr>
          <w:i/>
        </w:rPr>
        <w:t>HALOT</w:t>
      </w:r>
      <w:r>
        <w:t xml:space="preserve">’s </w:t>
      </w:r>
      <w:r w:rsidRPr="00302B86">
        <w:rPr>
          <w:i/>
        </w:rPr>
        <w:t>bāqaq</w:t>
      </w:r>
      <w:r w:rsidRPr="00302B86">
        <w:t xml:space="preserve"> I</w:t>
      </w:r>
      <w:r>
        <w:t>I (the sole occurrence), but the argument for its existence is thin.</w:t>
      </w:r>
    </w:p>
  </w:footnote>
  <w:footnote w:id="437">
    <w:p w:rsidR="00C5566B" w:rsidRPr="00DD2AFD" w:rsidRDefault="00C5566B">
      <w:pPr>
        <w:pStyle w:val="FootnoteText"/>
      </w:pPr>
      <w:r>
        <w:rPr>
          <w:rStyle w:val="FootnoteReference"/>
        </w:rPr>
        <w:footnoteRef/>
      </w:r>
      <w:r>
        <w:t xml:space="preserve"> Present tense translation is more likely than past for an opening line that combines a participle and a yiqtol verb. I take this verb as BDB’s </w:t>
      </w:r>
      <w:r>
        <w:rPr>
          <w:i/>
        </w:rPr>
        <w:t xml:space="preserve">šāwāh </w:t>
      </w:r>
      <w:r>
        <w:t xml:space="preserve">I not as a unique example of </w:t>
      </w:r>
      <w:r>
        <w:rPr>
          <w:i/>
        </w:rPr>
        <w:t xml:space="preserve">šāwāh </w:t>
      </w:r>
      <w:r>
        <w:t>II meaning “produce.”</w:t>
      </w:r>
    </w:p>
  </w:footnote>
  <w:footnote w:id="438">
    <w:p w:rsidR="00C5566B" w:rsidRDefault="00C5566B">
      <w:pPr>
        <w:pStyle w:val="FootnoteText"/>
      </w:pPr>
      <w:r>
        <w:rPr>
          <w:rStyle w:val="FootnoteReference"/>
        </w:rPr>
        <w:footnoteRef/>
      </w:r>
      <w:r>
        <w:t xml:space="preserve"> Literally, “in accordance with its fruit being manifold”—Infinitive construct; so also v. 1bγ “in accordance with its land being good.”.</w:t>
      </w:r>
    </w:p>
  </w:footnote>
  <w:footnote w:id="439">
    <w:p w:rsidR="00C5566B" w:rsidRPr="00955304" w:rsidRDefault="00C5566B">
      <w:pPr>
        <w:pStyle w:val="FootnoteText"/>
      </w:pPr>
      <w:r>
        <w:rPr>
          <w:rStyle w:val="FootnoteReference"/>
        </w:rPr>
        <w:footnoteRef/>
      </w:r>
      <w:r>
        <w:t xml:space="preserve"> Hardly a use of </w:t>
      </w:r>
      <w:r>
        <w:rPr>
          <w:i/>
        </w:rPr>
        <w:t>lə</w:t>
      </w:r>
      <w:r>
        <w:t xml:space="preserve"> as object marker (BDB, cf. TNIV); rather cf. 8:11 for the construction.</w:t>
      </w:r>
    </w:p>
  </w:footnote>
  <w:footnote w:id="440">
    <w:p w:rsidR="00C5566B" w:rsidRPr="00315B65" w:rsidRDefault="00C5566B">
      <w:pPr>
        <w:pStyle w:val="FootnoteText"/>
      </w:pPr>
      <w:r>
        <w:rPr>
          <w:rStyle w:val="FootnoteReference"/>
        </w:rPr>
        <w:footnoteRef/>
      </w:r>
      <w:r>
        <w:t xml:space="preserve"> </w:t>
      </w:r>
      <w:r>
        <w:rPr>
          <w:i/>
        </w:rPr>
        <w:t>Lēb</w:t>
      </w:r>
      <w:r>
        <w:t>; see 2:14 [16] and the comments; 4:11; 7:6, 11.</w:t>
      </w:r>
    </w:p>
  </w:footnote>
  <w:footnote w:id="441">
    <w:p w:rsidR="00C5566B" w:rsidRPr="00F826D8" w:rsidRDefault="00C5566B">
      <w:pPr>
        <w:pStyle w:val="FootnoteText"/>
      </w:pPr>
      <w:r>
        <w:rPr>
          <w:rStyle w:val="FootnoteReference"/>
        </w:rPr>
        <w:footnoteRef/>
      </w:r>
      <w:r>
        <w:t xml:space="preserve"> </w:t>
      </w:r>
      <w:r>
        <w:rPr>
          <w:i/>
        </w:rPr>
        <w:t xml:space="preserve">Ḥālaq </w:t>
      </w:r>
      <w:r>
        <w:t xml:space="preserve">II; LXX, Vg, Tg assume </w:t>
      </w:r>
      <w:r w:rsidRPr="00ED364B">
        <w:rPr>
          <w:i/>
        </w:rPr>
        <w:t xml:space="preserve">ḥālaq </w:t>
      </w:r>
      <w:r>
        <w:t>I “divide,” which requires repointing the word.</w:t>
      </w:r>
    </w:p>
  </w:footnote>
  <w:footnote w:id="442">
    <w:p w:rsidR="00C5566B" w:rsidRDefault="00C5566B">
      <w:pPr>
        <w:pStyle w:val="FootnoteText"/>
      </w:pPr>
      <w:r>
        <w:rPr>
          <w:rStyle w:val="FootnoteReference"/>
        </w:rPr>
        <w:footnoteRef/>
      </w:r>
      <w:r>
        <w:t xml:space="preserve"> As at 5:15 (see the note), </w:t>
      </w:r>
      <w:r w:rsidRPr="007A0599">
        <w:t xml:space="preserve">LXX, Vg understand </w:t>
      </w:r>
      <w:r>
        <w:t xml:space="preserve">the verb </w:t>
      </w:r>
      <w:r w:rsidRPr="007A0599">
        <w:t xml:space="preserve">as from </w:t>
      </w:r>
      <w:r w:rsidRPr="007A0599">
        <w:rPr>
          <w:i/>
        </w:rPr>
        <w:t xml:space="preserve">šāmēm </w:t>
      </w:r>
      <w:r>
        <w:t>“be desolate,” and the similarity between the verbs in this context is fortuitous.</w:t>
      </w:r>
    </w:p>
  </w:footnote>
  <w:footnote w:id="443">
    <w:p w:rsidR="00C5566B" w:rsidRDefault="00C5566B">
      <w:pPr>
        <w:pStyle w:val="FootnoteText"/>
      </w:pPr>
      <w:r>
        <w:rPr>
          <w:rStyle w:val="FootnoteReference"/>
        </w:rPr>
        <w:footnoteRef/>
      </w:r>
      <w:r>
        <w:t xml:space="preserve"> Hebrew lacks a word for “promise” and “word” can have this implication.</w:t>
      </w:r>
    </w:p>
  </w:footnote>
  <w:footnote w:id="444">
    <w:p w:rsidR="00C5566B" w:rsidRPr="00F21C76" w:rsidRDefault="00C5566B">
      <w:pPr>
        <w:pStyle w:val="FootnoteText"/>
        <w:rPr>
          <w:i/>
        </w:rPr>
      </w:pPr>
      <w:r>
        <w:rPr>
          <w:rStyle w:val="FootnoteReference"/>
        </w:rPr>
        <w:footnoteRef/>
      </w:r>
      <w:r>
        <w:t xml:space="preserve"> </w:t>
      </w:r>
      <w:r>
        <w:rPr>
          <w:i/>
        </w:rPr>
        <w:t>M</w:t>
      </w:r>
      <w:r w:rsidRPr="00F21C76">
        <w:rPr>
          <w:i/>
        </w:rPr>
        <w:t>išpāṭ</w:t>
      </w:r>
      <w:r>
        <w:rPr>
          <w:i/>
        </w:rPr>
        <w:t xml:space="preserve">: </w:t>
      </w:r>
      <w:r w:rsidRPr="00F21C76">
        <w:t>a convenient example</w:t>
      </w:r>
      <w:r>
        <w:t xml:space="preserve"> showing that it is an action word more than a word denoting “justice.”</w:t>
      </w:r>
    </w:p>
  </w:footnote>
  <w:footnote w:id="445">
    <w:p w:rsidR="00C5566B" w:rsidRPr="00783255" w:rsidRDefault="00C5566B">
      <w:pPr>
        <w:pStyle w:val="FootnoteText"/>
      </w:pPr>
      <w:r>
        <w:rPr>
          <w:rStyle w:val="FootnoteReference"/>
        </w:rPr>
        <w:footnoteRef/>
      </w:r>
      <w:r>
        <w:t xml:space="preserve"> Honorific or intensive plural (cf. GK 124).</w:t>
      </w:r>
    </w:p>
  </w:footnote>
  <w:footnote w:id="446">
    <w:p w:rsidR="00C5566B" w:rsidRPr="00A92DE1" w:rsidRDefault="00C5566B">
      <w:pPr>
        <w:pStyle w:val="FootnoteText"/>
      </w:pPr>
      <w:r>
        <w:rPr>
          <w:rStyle w:val="FootnoteReference"/>
        </w:rPr>
        <w:footnoteRef/>
      </w:r>
      <w:r>
        <w:t xml:space="preserve"> </w:t>
      </w:r>
      <w:r>
        <w:rPr>
          <w:i/>
        </w:rPr>
        <w:t xml:space="preserve">Gûr </w:t>
      </w:r>
      <w:r>
        <w:t xml:space="preserve">III; LXX derives the verb from the more common </w:t>
      </w:r>
      <w:r>
        <w:rPr>
          <w:i/>
        </w:rPr>
        <w:t>gûr</w:t>
      </w:r>
      <w:r>
        <w:t xml:space="preserve"> I “sojourn,” which does not fit the context.</w:t>
      </w:r>
    </w:p>
  </w:footnote>
  <w:footnote w:id="447">
    <w:p w:rsidR="00C5566B" w:rsidRDefault="00C5566B">
      <w:pPr>
        <w:pStyle w:val="FootnoteText"/>
      </w:pPr>
      <w:r>
        <w:rPr>
          <w:rStyle w:val="FootnoteReference"/>
        </w:rPr>
        <w:footnoteRef/>
      </w:r>
      <w:r>
        <w:t xml:space="preserve"> </w:t>
      </w:r>
      <w:r w:rsidRPr="00364EFE">
        <w:t>Taking the qatal as stative (see e.</w:t>
      </w:r>
      <w:r>
        <w:t>g., JM 111h) in light of the yiqtol with present reference in v. 5a.</w:t>
      </w:r>
    </w:p>
  </w:footnote>
  <w:footnote w:id="448">
    <w:p w:rsidR="00C5566B" w:rsidRDefault="00C5566B">
      <w:pPr>
        <w:pStyle w:val="FootnoteText"/>
      </w:pPr>
      <w:r>
        <w:rPr>
          <w:rStyle w:val="FootnoteReference"/>
        </w:rPr>
        <w:footnoteRef/>
      </w:r>
      <w:r>
        <w:t xml:space="preserve"> Taking</w:t>
      </w:r>
      <w:r w:rsidRPr="00364EFE">
        <w:t xml:space="preserve"> the yiqtol </w:t>
      </w:r>
      <w:r>
        <w:t xml:space="preserve">as past imperfect; giving </w:t>
      </w:r>
      <w:r>
        <w:rPr>
          <w:i/>
        </w:rPr>
        <w:t>yāgîlû</w:t>
      </w:r>
      <w:r>
        <w:t xml:space="preserve"> present references doesn’t make sense in the context (thus NRSV emends to </w:t>
      </w:r>
      <w:r w:rsidRPr="00A32850">
        <w:rPr>
          <w:i/>
        </w:rPr>
        <w:t>yā</w:t>
      </w:r>
      <w:r>
        <w:rPr>
          <w:i/>
        </w:rPr>
        <w:t>l</w:t>
      </w:r>
      <w:r w:rsidRPr="00A32850">
        <w:rPr>
          <w:i/>
        </w:rPr>
        <w:t>îlû</w:t>
      </w:r>
      <w:r>
        <w:t xml:space="preserve"> “wail”).</w:t>
      </w:r>
    </w:p>
  </w:footnote>
  <w:footnote w:id="449">
    <w:p w:rsidR="00C5566B" w:rsidRPr="007128CB" w:rsidRDefault="00C5566B">
      <w:pPr>
        <w:pStyle w:val="FootnoteText"/>
      </w:pPr>
      <w:r>
        <w:rPr>
          <w:rStyle w:val="FootnoteReference"/>
        </w:rPr>
        <w:footnoteRef/>
      </w:r>
      <w:r>
        <w:t xml:space="preserve"> Rejoicing (</w:t>
      </w:r>
      <w:r w:rsidRPr="007128CB">
        <w:rPr>
          <w:i/>
        </w:rPr>
        <w:t>gîl</w:t>
      </w:r>
      <w:r>
        <w:t>) is replaced by exile (</w:t>
      </w:r>
      <w:r>
        <w:rPr>
          <w:i/>
        </w:rPr>
        <w:t>gālāh</w:t>
      </w:r>
      <w:r>
        <w:t>).</w:t>
      </w:r>
    </w:p>
  </w:footnote>
  <w:footnote w:id="450">
    <w:p w:rsidR="00C5566B" w:rsidRDefault="00C5566B">
      <w:pPr>
        <w:pStyle w:val="FootnoteText"/>
      </w:pPr>
      <w:r>
        <w:rPr>
          <w:rStyle w:val="FootnoteReference"/>
        </w:rPr>
        <w:footnoteRef/>
      </w:r>
      <w:r>
        <w:t xml:space="preserve"> The object marker with a suffix appears as if the verb were active (see GK 121b).</w:t>
      </w:r>
    </w:p>
  </w:footnote>
  <w:footnote w:id="451">
    <w:p w:rsidR="00C5566B" w:rsidRDefault="00C5566B">
      <w:pPr>
        <w:pStyle w:val="FootnoteText"/>
      </w:pPr>
      <w:r>
        <w:rPr>
          <w:rStyle w:val="FootnoteReference"/>
        </w:rPr>
        <w:footnoteRef/>
      </w:r>
      <w:r>
        <w:t xml:space="preserve"> Cf. 5:13; see the note.</w:t>
      </w:r>
    </w:p>
  </w:footnote>
  <w:footnote w:id="452">
    <w:p w:rsidR="00C5566B" w:rsidRDefault="00C5566B">
      <w:pPr>
        <w:pStyle w:val="FootnoteText"/>
      </w:pPr>
      <w:r>
        <w:rPr>
          <w:rStyle w:val="FootnoteReference"/>
        </w:rPr>
        <w:footnoteRef/>
      </w:r>
      <w:r>
        <w:t xml:space="preserve"> Vg has “shame will take Ephraim”; but for the construction, cf. Ezek. 36:30; Prov. 9:7.</w:t>
      </w:r>
    </w:p>
  </w:footnote>
  <w:footnote w:id="453">
    <w:p w:rsidR="00C5566B" w:rsidRPr="007128CB" w:rsidRDefault="00C5566B">
      <w:pPr>
        <w:pStyle w:val="FootnoteText"/>
      </w:pPr>
      <w:r>
        <w:rPr>
          <w:rStyle w:val="FootnoteReference"/>
        </w:rPr>
        <w:footnoteRef/>
      </w:r>
      <w:r>
        <w:t xml:space="preserve"> NRSV emends </w:t>
      </w:r>
      <w:r>
        <w:rPr>
          <w:i/>
        </w:rPr>
        <w:t>mē‘ășātô</w:t>
      </w:r>
      <w:r>
        <w:t xml:space="preserve"> to </w:t>
      </w:r>
      <w:r w:rsidRPr="007128CB">
        <w:rPr>
          <w:i/>
        </w:rPr>
        <w:t>mē‘ășā</w:t>
      </w:r>
      <w:r>
        <w:rPr>
          <w:i/>
        </w:rPr>
        <w:t>b</w:t>
      </w:r>
      <w:r w:rsidRPr="007128CB">
        <w:rPr>
          <w:i/>
        </w:rPr>
        <w:t>ô</w:t>
      </w:r>
      <w:r>
        <w:rPr>
          <w:i/>
        </w:rPr>
        <w:t xml:space="preserve"> </w:t>
      </w:r>
      <w:r>
        <w:t>“its idol.”</w:t>
      </w:r>
    </w:p>
  </w:footnote>
  <w:footnote w:id="454">
    <w:p w:rsidR="00C5566B" w:rsidRDefault="00C5566B">
      <w:pPr>
        <w:pStyle w:val="FootnoteText"/>
      </w:pPr>
      <w:r>
        <w:rPr>
          <w:rStyle w:val="FootnoteReference"/>
        </w:rPr>
        <w:footnoteRef/>
      </w:r>
      <w:r>
        <w:t xml:space="preserve"> MT links “its king” with the first colon, suggesting “</w:t>
      </w:r>
      <w:r w:rsidRPr="00011439">
        <w:t>Shōmərôn</w:t>
      </w:r>
      <w:r>
        <w:t>, its king is cut off” (the participle is masculine), an indirect way of saying “</w:t>
      </w:r>
      <w:r w:rsidRPr="00011439">
        <w:t>Shōmərôn</w:t>
      </w:r>
      <w:r>
        <w:t>’s king is cut off.”</w:t>
      </w:r>
    </w:p>
  </w:footnote>
  <w:footnote w:id="455">
    <w:p w:rsidR="00C5566B" w:rsidRPr="00D5138D" w:rsidRDefault="00C5566B">
      <w:pPr>
        <w:pStyle w:val="FootnoteText"/>
      </w:pPr>
      <w:r>
        <w:rPr>
          <w:rStyle w:val="FootnoteReference"/>
        </w:rPr>
        <w:footnoteRef/>
      </w:r>
      <w:r>
        <w:t xml:space="preserve"> Vg “froth” (cf. Aq, Sym) perhaps derives </w:t>
      </w:r>
      <w:r>
        <w:rPr>
          <w:i/>
        </w:rPr>
        <w:t xml:space="preserve">qeșep </w:t>
      </w:r>
      <w:r>
        <w:t xml:space="preserve">from the more familiar </w:t>
      </w:r>
      <w:r>
        <w:rPr>
          <w:i/>
        </w:rPr>
        <w:t>qāșap</w:t>
      </w:r>
      <w:r>
        <w:t xml:space="preserve"> I “be angry.”</w:t>
      </w:r>
    </w:p>
  </w:footnote>
  <w:footnote w:id="456">
    <w:p w:rsidR="00C5566B" w:rsidRDefault="00C5566B" w:rsidP="0062561A">
      <w:pPr>
        <w:pStyle w:val="FootnoteText"/>
      </w:pPr>
      <w:r>
        <w:rPr>
          <w:rStyle w:val="FootnoteReference"/>
        </w:rPr>
        <w:footnoteRef/>
      </w:r>
      <w:r>
        <w:t xml:space="preserve"> “The </w:t>
      </w:r>
      <w:r w:rsidRPr="0062561A">
        <w:t>great shrine of ’Āwen</w:t>
      </w:r>
      <w:r>
        <w:t xml:space="preserve">” denotes Bȇt </w:t>
      </w:r>
      <w:r w:rsidRPr="002E74FD">
        <w:t>’Āwen</w:t>
      </w:r>
      <w:r>
        <w:t>, that is Beth-el</w:t>
      </w:r>
      <w:r w:rsidRPr="002E74FD">
        <w:t xml:space="preserve"> </w:t>
      </w:r>
      <w:r>
        <w:t>(cf. Tg); It would be odd to speak of a multiplicity of shrines there, but honorific or intensive plural follows nicely on the one in v. 5.</w:t>
      </w:r>
    </w:p>
  </w:footnote>
  <w:footnote w:id="457">
    <w:p w:rsidR="00C5566B" w:rsidRDefault="00C5566B">
      <w:pPr>
        <w:pStyle w:val="FootnoteText"/>
      </w:pPr>
      <w:r>
        <w:rPr>
          <w:rStyle w:val="FootnoteReference"/>
        </w:rPr>
        <w:footnoteRef/>
      </w:r>
      <w:r>
        <w:t xml:space="preserve"> Even a non-numerical plural can govern a plural verb (e.g. Exod. 33:14-15, 23); cf. the plural suffix on “its altars.”</w:t>
      </w:r>
    </w:p>
  </w:footnote>
  <w:footnote w:id="458">
    <w:p w:rsidR="00C5566B" w:rsidRDefault="00C5566B" w:rsidP="00A432C3">
      <w:pPr>
        <w:pStyle w:val="FootnoteText"/>
      </w:pPr>
      <w:r>
        <w:rPr>
          <w:rStyle w:val="FootnoteReference"/>
        </w:rPr>
        <w:footnoteRef/>
      </w:r>
      <w:r>
        <w:t xml:space="preserve"> Thorn and thistle are treated as one thing governing a singular verb (see the note on 4:11).</w:t>
      </w:r>
    </w:p>
  </w:footnote>
  <w:footnote w:id="459">
    <w:p w:rsidR="00C5566B" w:rsidRPr="00585FFA" w:rsidRDefault="00C5566B">
      <w:pPr>
        <w:pStyle w:val="FootnoteText"/>
      </w:pPr>
      <w:r>
        <w:rPr>
          <w:rStyle w:val="FootnoteReference"/>
        </w:rPr>
        <w:footnoteRef/>
      </w:r>
      <w:r>
        <w:t xml:space="preserve"> Cornelis van Leeuwen sees vv. 1-8 as a chiasm (</w:t>
      </w:r>
      <w:r w:rsidRPr="00585FFA">
        <w:rPr>
          <w:rFonts w:ascii="Calibri" w:eastAsia="Calibri" w:hAnsi="Calibri" w:cs="Times New Roman"/>
        </w:rPr>
        <w:t>“Meani</w:t>
      </w:r>
      <w:r>
        <w:rPr>
          <w:rFonts w:ascii="Calibri" w:eastAsia="Calibri" w:hAnsi="Calibri" w:cs="Times New Roman"/>
        </w:rPr>
        <w:t>ng and Structure of Hosea x 1-8,</w:t>
      </w:r>
      <w:r w:rsidRPr="00585FFA">
        <w:rPr>
          <w:rFonts w:ascii="Calibri" w:eastAsia="Calibri" w:hAnsi="Calibri" w:cs="Times New Roman"/>
        </w:rPr>
        <w:t xml:space="preserve">” </w:t>
      </w:r>
      <w:r w:rsidRPr="00585FFA">
        <w:rPr>
          <w:rFonts w:ascii="Calibri" w:eastAsia="Calibri" w:hAnsi="Calibri" w:cs="Times New Roman"/>
          <w:i/>
        </w:rPr>
        <w:t>VT</w:t>
      </w:r>
      <w:r>
        <w:rPr>
          <w:rFonts w:ascii="Calibri" w:eastAsia="Calibri" w:hAnsi="Calibri" w:cs="Times New Roman"/>
        </w:rPr>
        <w:t xml:space="preserve"> 53 [2003]</w:t>
      </w:r>
      <w:r w:rsidRPr="00585FFA">
        <w:rPr>
          <w:rFonts w:ascii="Calibri" w:eastAsia="Calibri" w:hAnsi="Calibri" w:cs="Times New Roman"/>
        </w:rPr>
        <w:t>: 367-378</w:t>
      </w:r>
      <w:r>
        <w:rPr>
          <w:rFonts w:ascii="Calibri" w:eastAsia="Calibri" w:hAnsi="Calibri" w:cs="Times New Roman"/>
        </w:rPr>
        <w:t>)</w:t>
      </w:r>
      <w:r w:rsidRPr="00585FFA">
        <w:rPr>
          <w:rFonts w:ascii="Calibri" w:eastAsia="Calibri" w:hAnsi="Calibri" w:cs="Times New Roman"/>
        </w:rPr>
        <w:t>.</w:t>
      </w:r>
      <w:r w:rsidRPr="00585FFA">
        <w:rPr>
          <w:rFonts w:ascii="Calibri" w:eastAsia="Calibri" w:hAnsi="Calibri" w:cs="Times New Roman"/>
          <w:sz w:val="22"/>
          <w:szCs w:val="22"/>
        </w:rPr>
        <w:t xml:space="preserve">  </w:t>
      </w:r>
    </w:p>
  </w:footnote>
  <w:footnote w:id="460">
    <w:p w:rsidR="00C5566B" w:rsidRDefault="00C5566B">
      <w:pPr>
        <w:pStyle w:val="FootnoteText"/>
      </w:pPr>
      <w:r>
        <w:rPr>
          <w:rStyle w:val="FootnoteReference"/>
        </w:rPr>
        <w:footnoteRef/>
      </w:r>
      <w:r>
        <w:t xml:space="preserve"> </w:t>
      </w:r>
      <w:r>
        <w:rPr>
          <w:i/>
        </w:rPr>
        <w:t>H</w:t>
      </w:r>
      <w:r w:rsidRPr="00457336">
        <w:rPr>
          <w:i/>
        </w:rPr>
        <w:t>aggib‘āh</w:t>
      </w:r>
      <w:r w:rsidRPr="00457336">
        <w:t>,</w:t>
      </w:r>
      <w:r>
        <w:t xml:space="preserve"> The </w:t>
      </w:r>
      <w:r w:rsidRPr="00457336">
        <w:t>Gibeah</w:t>
      </w:r>
      <w:r>
        <w:t>.</w:t>
      </w:r>
    </w:p>
  </w:footnote>
  <w:footnote w:id="461">
    <w:p w:rsidR="00C5566B" w:rsidRDefault="00C5566B">
      <w:pPr>
        <w:pStyle w:val="FootnoteText"/>
      </w:pPr>
      <w:r>
        <w:rPr>
          <w:rStyle w:val="FootnoteReference"/>
        </w:rPr>
        <w:footnoteRef/>
      </w:r>
      <w:r>
        <w:t xml:space="preserve"> </w:t>
      </w:r>
      <w:r w:rsidRPr="00364EFE">
        <w:t>Taking the yiqto</w:t>
      </w:r>
      <w:r>
        <w:t xml:space="preserve">l verb as referring to the past; NRSV, TNIV understand v. 9b as a question, but there’s no indication in that direction. </w:t>
      </w:r>
    </w:p>
  </w:footnote>
  <w:footnote w:id="462">
    <w:p w:rsidR="00C5566B" w:rsidRPr="007515AF" w:rsidRDefault="00C5566B">
      <w:pPr>
        <w:pStyle w:val="FootnoteText"/>
      </w:pPr>
      <w:r>
        <w:rPr>
          <w:rStyle w:val="FootnoteReference"/>
        </w:rPr>
        <w:footnoteRef/>
      </w:r>
      <w:r>
        <w:t xml:space="preserve"> </w:t>
      </w:r>
      <w:r>
        <w:rPr>
          <w:i/>
        </w:rPr>
        <w:t>‘Alwāh</w:t>
      </w:r>
      <w:r>
        <w:t xml:space="preserve">, an alternative spelling of </w:t>
      </w:r>
      <w:r>
        <w:rPr>
          <w:i/>
        </w:rPr>
        <w:t>‘awlāh</w:t>
      </w:r>
      <w:r>
        <w:t xml:space="preserve"> (v. 13).</w:t>
      </w:r>
    </w:p>
  </w:footnote>
  <w:footnote w:id="463">
    <w:p w:rsidR="00C5566B" w:rsidRPr="00457336" w:rsidRDefault="00C5566B">
      <w:pPr>
        <w:pStyle w:val="FootnoteText"/>
      </w:pPr>
      <w:r>
        <w:rPr>
          <w:rStyle w:val="FootnoteReference"/>
        </w:rPr>
        <w:footnoteRef/>
      </w:r>
      <w:r>
        <w:t xml:space="preserve"> LXX “I have come” implies </w:t>
      </w:r>
      <w:r>
        <w:rPr>
          <w:i/>
        </w:rPr>
        <w:t xml:space="preserve">bā’tî </w:t>
      </w:r>
      <w:r>
        <w:t xml:space="preserve">for MT </w:t>
      </w:r>
      <w:r>
        <w:rPr>
          <w:i/>
        </w:rPr>
        <w:t>bə’awwātî</w:t>
      </w:r>
      <w:r>
        <w:t>.</w:t>
      </w:r>
    </w:p>
  </w:footnote>
  <w:footnote w:id="464">
    <w:p w:rsidR="00C5566B" w:rsidRPr="004A7AA2" w:rsidRDefault="00C5566B">
      <w:pPr>
        <w:pStyle w:val="FootnoteText"/>
        <w:rPr>
          <w:i/>
        </w:rPr>
      </w:pPr>
      <w:r>
        <w:rPr>
          <w:rStyle w:val="FootnoteReference"/>
        </w:rPr>
        <w:footnoteRef/>
      </w:r>
      <w:r>
        <w:t xml:space="preserve"> Following </w:t>
      </w:r>
      <w:r>
        <w:rPr>
          <w:i/>
        </w:rPr>
        <w:t>’essŏrēm</w:t>
      </w:r>
      <w:r>
        <w:t xml:space="preserve"> from </w:t>
      </w:r>
      <w:r>
        <w:rPr>
          <w:i/>
        </w:rPr>
        <w:t xml:space="preserve">yāsar </w:t>
      </w:r>
      <w:r>
        <w:t xml:space="preserve">(“I should discipline them”) with </w:t>
      </w:r>
      <w:r>
        <w:rPr>
          <w:i/>
        </w:rPr>
        <w:t>’osrām</w:t>
      </w:r>
      <w:r>
        <w:t xml:space="preserve"> from </w:t>
      </w:r>
      <w:r>
        <w:rPr>
          <w:i/>
        </w:rPr>
        <w:t>’āsar</w:t>
      </w:r>
      <w:r>
        <w:t xml:space="preserve"> (“their being bound”) generates a paronomasia: Yahweh’s disciplining responds to the peoples’ being bound. The effect is further enhanced by the interposition of </w:t>
      </w:r>
      <w:r>
        <w:rPr>
          <w:i/>
        </w:rPr>
        <w:t>’essəpû</w:t>
      </w:r>
      <w:r>
        <w:t xml:space="preserve"> “are gathered.” LXX, Vg, parse </w:t>
      </w:r>
      <w:r w:rsidRPr="00D0402B">
        <w:rPr>
          <w:i/>
        </w:rPr>
        <w:t>’osrām</w:t>
      </w:r>
      <w:r>
        <w:t xml:space="preserve"> as another form from </w:t>
      </w:r>
      <w:r>
        <w:rPr>
          <w:i/>
        </w:rPr>
        <w:t>yāsar.</w:t>
      </w:r>
    </w:p>
  </w:footnote>
  <w:footnote w:id="465">
    <w:p w:rsidR="00C5566B" w:rsidRDefault="00C5566B">
      <w:pPr>
        <w:pStyle w:val="FootnoteText"/>
      </w:pPr>
      <w:r>
        <w:rPr>
          <w:rStyle w:val="FootnoteReference"/>
        </w:rPr>
        <w:footnoteRef/>
      </w:r>
      <w:r>
        <w:t xml:space="preserve"> Vg implies “for.”</w:t>
      </w:r>
    </w:p>
  </w:footnote>
  <w:footnote w:id="466">
    <w:p w:rsidR="00C5566B" w:rsidRDefault="00C5566B">
      <w:pPr>
        <w:pStyle w:val="FootnoteText"/>
      </w:pPr>
      <w:r>
        <w:rPr>
          <w:rStyle w:val="FootnoteReference"/>
        </w:rPr>
        <w:footnoteRef/>
      </w:r>
      <w:r>
        <w:t xml:space="preserve"> So Q, </w:t>
      </w:r>
      <w:r>
        <w:rPr>
          <w:i/>
        </w:rPr>
        <w:t>‘ônōtām</w:t>
      </w:r>
      <w:r>
        <w:t xml:space="preserve">; K has </w:t>
      </w:r>
      <w:r>
        <w:rPr>
          <w:i/>
        </w:rPr>
        <w:t>‘yntm</w:t>
      </w:r>
      <w:r>
        <w:t xml:space="preserve">. “their eyes,” which Tg takes to denote the heifer’s eyes or the “eyes” (i.e., rings) of the yoke (cf. Rashi </w:t>
      </w:r>
      <w:r w:rsidRPr="008E44D5">
        <w:t xml:space="preserve">in </w:t>
      </w:r>
      <w:r w:rsidRPr="008E44D5">
        <w:rPr>
          <w:i/>
        </w:rPr>
        <w:t>miqrā’ôt gədôlôt</w:t>
      </w:r>
      <w:r w:rsidRPr="008E44D5">
        <w:t xml:space="preserve"> on the passage</w:t>
      </w:r>
      <w:r>
        <w:t xml:space="preserve">; and </w:t>
      </w:r>
      <w:r w:rsidRPr="006053E6">
        <w:t>Barthélemy</w:t>
      </w:r>
      <w:r w:rsidRPr="006053E6">
        <w:rPr>
          <w:i/>
        </w:rPr>
        <w:t>, Critique Textuelle</w:t>
      </w:r>
      <w:r>
        <w:t xml:space="preserve"> 3:580-81</w:t>
      </w:r>
      <w:r w:rsidRPr="006053E6">
        <w:t>).</w:t>
      </w:r>
    </w:p>
  </w:footnote>
  <w:footnote w:id="467">
    <w:p w:rsidR="00C5566B" w:rsidRDefault="00C5566B">
      <w:pPr>
        <w:pStyle w:val="FootnoteText"/>
      </w:pPr>
      <w:r>
        <w:rPr>
          <w:rStyle w:val="FootnoteReference"/>
        </w:rPr>
        <w:footnoteRef/>
      </w:r>
      <w:r>
        <w:t xml:space="preserve"> </w:t>
      </w:r>
      <w:r w:rsidRPr="00A11D51">
        <w:t xml:space="preserve">Luther, </w:t>
      </w:r>
      <w:r w:rsidRPr="00A11D51">
        <w:rPr>
          <w:i/>
        </w:rPr>
        <w:t>Minor Prophets</w:t>
      </w:r>
      <w:r>
        <w:t xml:space="preserve"> 1:53.</w:t>
      </w:r>
    </w:p>
  </w:footnote>
  <w:footnote w:id="468">
    <w:p w:rsidR="00C5566B" w:rsidRPr="00F42FF9" w:rsidRDefault="00C5566B" w:rsidP="00061A1A">
      <w:pPr>
        <w:pStyle w:val="FootnoteText"/>
      </w:pPr>
      <w:r>
        <w:rPr>
          <w:rStyle w:val="FootnoteReference"/>
        </w:rPr>
        <w:footnoteRef/>
      </w:r>
      <w:r>
        <w:t xml:space="preserve"> Cf. Wolff, </w:t>
      </w:r>
      <w:r>
        <w:rPr>
          <w:i/>
        </w:rPr>
        <w:t>Hosea</w:t>
      </w:r>
      <w:r>
        <w:t>, 173.</w:t>
      </w:r>
    </w:p>
  </w:footnote>
  <w:footnote w:id="469">
    <w:p w:rsidR="00C5566B" w:rsidRPr="009E5330" w:rsidRDefault="00C5566B" w:rsidP="002F4EAB">
      <w:pPr>
        <w:pStyle w:val="FootnoteText"/>
      </w:pPr>
      <w:r>
        <w:rPr>
          <w:rStyle w:val="FootnoteReference"/>
        </w:rPr>
        <w:footnoteRef/>
      </w:r>
      <w:r>
        <w:t xml:space="preserve"> While niphal participles are more commonly gerundive, pual can be used thus (GK 116e). Gerundive is needed </w:t>
      </w:r>
      <w:r w:rsidRPr="00445217">
        <w:t xml:space="preserve">here </w:t>
      </w:r>
      <w:r>
        <w:t xml:space="preserve">and pual is used because niphal would mean “learnable.” The time reference of v. 11aαβ is established by that of the circumstantial clause in v. 11aγ (cf. Holt, </w:t>
      </w:r>
      <w:r w:rsidRPr="009E5330">
        <w:rPr>
          <w:i/>
          <w:iCs/>
        </w:rPr>
        <w:t>Prophesying</w:t>
      </w:r>
      <w:r w:rsidRPr="009E5330">
        <w:t xml:space="preserve"> </w:t>
      </w:r>
      <w:r w:rsidRPr="009E5330">
        <w:rPr>
          <w:i/>
        </w:rPr>
        <w:t>the</w:t>
      </w:r>
      <w:r w:rsidRPr="009E5330">
        <w:t xml:space="preserve"> </w:t>
      </w:r>
      <w:r w:rsidRPr="009E5330">
        <w:rPr>
          <w:i/>
        </w:rPr>
        <w:t>Past</w:t>
      </w:r>
      <w:r>
        <w:t>, 79-80).</w:t>
      </w:r>
    </w:p>
  </w:footnote>
  <w:footnote w:id="470">
    <w:p w:rsidR="00C5566B" w:rsidRDefault="00C5566B" w:rsidP="002F4EAB">
      <w:pPr>
        <w:pStyle w:val="FootnoteText"/>
      </w:pPr>
      <w:r>
        <w:rPr>
          <w:rStyle w:val="FootnoteReference"/>
        </w:rPr>
        <w:footnoteRef/>
      </w:r>
      <w:r>
        <w:t xml:space="preserve"> Literally, “the goodness of its neck.”</w:t>
      </w:r>
    </w:p>
  </w:footnote>
  <w:footnote w:id="471">
    <w:p w:rsidR="00C5566B" w:rsidRDefault="00C5566B" w:rsidP="002F4EAB">
      <w:pPr>
        <w:pStyle w:val="FootnoteText"/>
      </w:pPr>
      <w:r>
        <w:rPr>
          <w:rStyle w:val="FootnoteReference"/>
        </w:rPr>
        <w:footnoteRef/>
      </w:r>
      <w:r>
        <w:t xml:space="preserve"> The parallelism suggests that the yiqtol verb has past reference (Stuart, </w:t>
      </w:r>
      <w:r w:rsidRPr="00B65CCD">
        <w:rPr>
          <w:i/>
        </w:rPr>
        <w:t>Hosea-Jonah</w:t>
      </w:r>
      <w:r>
        <w:t xml:space="preserve">, 166). Literally, “I have made </w:t>
      </w:r>
      <w:r w:rsidRPr="00EE0899">
        <w:t xml:space="preserve">’Eprayim </w:t>
      </w:r>
      <w:r>
        <w:t>ride”: the verb involve involves a hypallege or transferred epithet as it’s literally the rider who rides, not the heifer.</w:t>
      </w:r>
    </w:p>
  </w:footnote>
  <w:footnote w:id="472">
    <w:p w:rsidR="00C5566B" w:rsidRDefault="00C5566B" w:rsidP="002F4EAB">
      <w:pPr>
        <w:pStyle w:val="FootnoteText"/>
      </w:pPr>
      <w:r>
        <w:rPr>
          <w:rStyle w:val="FootnoteReference"/>
        </w:rPr>
        <w:footnoteRef/>
      </w:r>
      <w:r>
        <w:t xml:space="preserve"> Literally, “harrow for himself,” and in the next verse, “sow/till for yourselves.”</w:t>
      </w:r>
    </w:p>
  </w:footnote>
  <w:footnote w:id="473">
    <w:p w:rsidR="00C5566B" w:rsidRPr="00485ACF" w:rsidRDefault="00C5566B" w:rsidP="002F4EAB">
      <w:pPr>
        <w:pStyle w:val="FootnoteText"/>
      </w:pPr>
      <w:r>
        <w:rPr>
          <w:rStyle w:val="FootnoteReference"/>
        </w:rPr>
        <w:footnoteRef/>
      </w:r>
      <w:r>
        <w:t xml:space="preserve"> For “a time” (</w:t>
      </w:r>
      <w:r>
        <w:rPr>
          <w:i/>
        </w:rPr>
        <w:t>wə‘ēt</w:t>
      </w:r>
      <w:r>
        <w:t xml:space="preserve">) LXX, Tg imply </w:t>
      </w:r>
      <w:r>
        <w:rPr>
          <w:i/>
        </w:rPr>
        <w:t>da‘at</w:t>
      </w:r>
      <w:r>
        <w:t xml:space="preserve"> “acknowledgment</w:t>
      </w:r>
      <w:r w:rsidRPr="000338F4">
        <w:t>”</w:t>
      </w:r>
      <w:r>
        <w:t xml:space="preserve">; the reading follows understanding </w:t>
      </w:r>
      <w:r>
        <w:rPr>
          <w:i/>
        </w:rPr>
        <w:t xml:space="preserve">nîr </w:t>
      </w:r>
      <w:r>
        <w:t>In the previous colon to denote a lamp (from the root</w:t>
      </w:r>
      <w:r>
        <w:rPr>
          <w:i/>
        </w:rPr>
        <w:t xml:space="preserve"> nûr</w:t>
      </w:r>
      <w:r>
        <w:t xml:space="preserve">) and develops Hosea’s emphasis on acknowledgment. </w:t>
      </w:r>
    </w:p>
  </w:footnote>
  <w:footnote w:id="474">
    <w:p w:rsidR="00C5566B" w:rsidRPr="00C14A73" w:rsidRDefault="00C5566B" w:rsidP="002F4EAB">
      <w:pPr>
        <w:pStyle w:val="FootnoteText"/>
      </w:pPr>
      <w:r>
        <w:rPr>
          <w:rStyle w:val="FootnoteReference"/>
        </w:rPr>
        <w:footnoteRef/>
      </w:r>
      <w:r>
        <w:t xml:space="preserve"> Vg has “teaches” (Tg’s extensive elaboration also implies it), the more usual meaning of </w:t>
      </w:r>
      <w:r>
        <w:rPr>
          <w:i/>
        </w:rPr>
        <w:t>yōreh</w:t>
      </w:r>
      <w:r>
        <w:t xml:space="preserve"> (BDB assumes there is one root </w:t>
      </w:r>
      <w:r>
        <w:rPr>
          <w:i/>
        </w:rPr>
        <w:t>yārāh</w:t>
      </w:r>
      <w:r>
        <w:t xml:space="preserve">; </w:t>
      </w:r>
      <w:r>
        <w:rPr>
          <w:i/>
        </w:rPr>
        <w:t>HALOT</w:t>
      </w:r>
      <w:r>
        <w:t xml:space="preserve"> has three). Hosea’s audience might pick up this second possible meaning. With </w:t>
      </w:r>
      <w:r w:rsidRPr="00C14A73">
        <w:rPr>
          <w:i/>
        </w:rPr>
        <w:t>yōreh</w:t>
      </w:r>
      <w:r w:rsidRPr="00C14A73">
        <w:rPr>
          <w:i/>
          <w:sz w:val="22"/>
          <w:szCs w:val="22"/>
        </w:rPr>
        <w:t xml:space="preserve"> </w:t>
      </w:r>
      <w:r w:rsidRPr="00C14A73">
        <w:rPr>
          <w:i/>
        </w:rPr>
        <w:t>ședeq</w:t>
      </w:r>
      <w:r>
        <w:t xml:space="preserve"> compare </w:t>
      </w:r>
      <w:r>
        <w:rPr>
          <w:i/>
        </w:rPr>
        <w:t>m</w:t>
      </w:r>
      <w:r w:rsidRPr="00C14A73">
        <w:rPr>
          <w:i/>
        </w:rPr>
        <w:t xml:space="preserve">ōreh </w:t>
      </w:r>
      <w:r>
        <w:rPr>
          <w:i/>
        </w:rPr>
        <w:t>haș</w:t>
      </w:r>
      <w:r w:rsidRPr="00C14A73">
        <w:rPr>
          <w:i/>
        </w:rPr>
        <w:t>ședeq</w:t>
      </w:r>
      <w:r>
        <w:t xml:space="preserve"> or </w:t>
      </w:r>
      <w:r w:rsidRPr="0085366E">
        <w:rPr>
          <w:i/>
        </w:rPr>
        <w:t>mōreh ședeq</w:t>
      </w:r>
      <w:r w:rsidRPr="0085366E">
        <w:t xml:space="preserve"> </w:t>
      </w:r>
      <w:r>
        <w:t>(conventionally “teacher of righteousness”) in Qumran writings such as the Habakkuk Pesher (e.g., 1QpHab 1:13).</w:t>
      </w:r>
    </w:p>
  </w:footnote>
  <w:footnote w:id="475">
    <w:p w:rsidR="00C5566B" w:rsidRDefault="00C5566B" w:rsidP="002F4EAB">
      <w:pPr>
        <w:pStyle w:val="FootnoteText"/>
      </w:pPr>
      <w:r>
        <w:rPr>
          <w:rStyle w:val="FootnoteReference"/>
        </w:rPr>
        <w:footnoteRef/>
      </w:r>
      <w:r>
        <w:t xml:space="preserve"> Hosea reverts to second-person singular; within v. 9 he had moved from singular to plural.</w:t>
      </w:r>
    </w:p>
  </w:footnote>
  <w:footnote w:id="476">
    <w:p w:rsidR="00C5566B" w:rsidRPr="002B694B" w:rsidRDefault="00C5566B" w:rsidP="002F4EAB">
      <w:pPr>
        <w:pStyle w:val="FootnoteText"/>
      </w:pPr>
      <w:r>
        <w:rPr>
          <w:rStyle w:val="FootnoteReference"/>
        </w:rPr>
        <w:footnoteRef/>
      </w:r>
      <w:r>
        <w:t xml:space="preserve"> For </w:t>
      </w:r>
      <w:r>
        <w:rPr>
          <w:i/>
        </w:rPr>
        <w:t>bədarkəkā</w:t>
      </w:r>
      <w:r>
        <w:t xml:space="preserve">, LXX implies </w:t>
      </w:r>
      <w:r>
        <w:rPr>
          <w:i/>
        </w:rPr>
        <w:t>bərikbəkā</w:t>
      </w:r>
      <w:r>
        <w:t xml:space="preserve"> “on your chariotry.”</w:t>
      </w:r>
    </w:p>
  </w:footnote>
  <w:footnote w:id="477">
    <w:p w:rsidR="00C5566B" w:rsidRDefault="00C5566B" w:rsidP="002F4EAB">
      <w:pPr>
        <w:pStyle w:val="FootnoteText"/>
      </w:pPr>
      <w:r>
        <w:rPr>
          <w:rStyle w:val="FootnoteReference"/>
        </w:rPr>
        <w:footnoteRef/>
      </w:r>
      <w:r>
        <w:t xml:space="preserve"> Not merely “like”: see the note on 5:10.</w:t>
      </w:r>
    </w:p>
  </w:footnote>
  <w:footnote w:id="478">
    <w:p w:rsidR="00C5566B" w:rsidRDefault="00C5566B" w:rsidP="002F4EAB">
      <w:pPr>
        <w:pStyle w:val="FootnoteText"/>
      </w:pPr>
      <w:r>
        <w:rPr>
          <w:rStyle w:val="FootnoteReference"/>
        </w:rPr>
        <w:footnoteRef/>
      </w:r>
      <w:r>
        <w:t xml:space="preserve"> Tg takes </w:t>
      </w:r>
      <w:r w:rsidRPr="00CB5D2F">
        <w:t>Bȇt-’ēl</w:t>
      </w:r>
      <w:r>
        <w:t xml:space="preserve"> as the verb’s subject, but it’s hard to parallel a place being the subject of such a verb, and hard to see how Beth-el can be distinguished from “you” as the agents of bad dealing.</w:t>
      </w:r>
    </w:p>
  </w:footnote>
  <w:footnote w:id="479">
    <w:p w:rsidR="00C5566B" w:rsidRDefault="00C5566B" w:rsidP="002F4EAB">
      <w:pPr>
        <w:pStyle w:val="FootnoteText"/>
      </w:pPr>
      <w:r>
        <w:rPr>
          <w:rStyle w:val="FootnoteReference"/>
        </w:rPr>
        <w:footnoteRef/>
      </w:r>
      <w:r>
        <w:t xml:space="preserve"> More literally “your bad dealing of bad dealing,” a way of expressing the superlative (GK 113i).</w:t>
      </w:r>
    </w:p>
  </w:footnote>
  <w:footnote w:id="480">
    <w:p w:rsidR="00C5566B" w:rsidRDefault="00C5566B">
      <w:pPr>
        <w:pStyle w:val="FootnoteText"/>
      </w:pPr>
      <w:r>
        <w:rPr>
          <w:rStyle w:val="FootnoteReference"/>
        </w:rPr>
        <w:footnoteRef/>
      </w:r>
      <w:r>
        <w:t xml:space="preserve"> Cyril, </w:t>
      </w:r>
      <w:r w:rsidRPr="009E1D64">
        <w:rPr>
          <w:i/>
        </w:rPr>
        <w:t>Twelve Prophets</w:t>
      </w:r>
      <w:r w:rsidRPr="009E1D64">
        <w:t xml:space="preserve"> 1</w:t>
      </w:r>
      <w:r>
        <w:t>:205.</w:t>
      </w:r>
    </w:p>
  </w:footnote>
  <w:footnote w:id="481">
    <w:p w:rsidR="00C5566B" w:rsidRPr="007A0599" w:rsidRDefault="00C5566B" w:rsidP="002F4EAB">
      <w:pPr>
        <w:pStyle w:val="FootnoteText"/>
      </w:pPr>
      <w:r>
        <w:rPr>
          <w:rStyle w:val="FootnoteReference"/>
        </w:rPr>
        <w:footnoteRef/>
      </w:r>
      <w:r>
        <w:t xml:space="preserve"> See </w:t>
      </w:r>
      <w:r w:rsidRPr="007A0599">
        <w:rPr>
          <w:i/>
        </w:rPr>
        <w:t>Lectures</w:t>
      </w:r>
      <w:r>
        <w:rPr>
          <w:i/>
        </w:rPr>
        <w:t xml:space="preserve"> on Revivals of Religion</w:t>
      </w:r>
      <w:r w:rsidRPr="007A0599">
        <w:t xml:space="preserve"> (</w:t>
      </w:r>
      <w:r>
        <w:t>2</w:t>
      </w:r>
      <w:r w:rsidRPr="00BC5830">
        <w:rPr>
          <w:vertAlign w:val="superscript"/>
        </w:rPr>
        <w:t>nd</w:t>
      </w:r>
      <w:r>
        <w:t xml:space="preserve"> ed. </w:t>
      </w:r>
      <w:r>
        <w:rPr>
          <w:rFonts w:eastAsiaTheme="minorHAnsi" w:cs="Times-Roman"/>
        </w:rPr>
        <w:t>New York: Leavitt, 1835), 33-44.</w:t>
      </w:r>
    </w:p>
  </w:footnote>
  <w:footnote w:id="482">
    <w:p w:rsidR="00C5566B" w:rsidRDefault="00C5566B" w:rsidP="002F4EAB">
      <w:pPr>
        <w:pStyle w:val="FootnoteText"/>
      </w:pPr>
      <w:r>
        <w:rPr>
          <w:rStyle w:val="FootnoteReference"/>
        </w:rPr>
        <w:footnoteRef/>
      </w:r>
      <w:r>
        <w:t xml:space="preserve"> </w:t>
      </w:r>
      <w:r>
        <w:rPr>
          <w:i/>
        </w:rPr>
        <w:t>In Osee prophetam</w:t>
      </w:r>
      <w:r>
        <w:t>, on 10:12 (PL 25, column 911a</w:t>
      </w:r>
      <w:r w:rsidRPr="002B694B">
        <w:t>).</w:t>
      </w:r>
    </w:p>
  </w:footnote>
  <w:footnote w:id="483">
    <w:p w:rsidR="00C5566B" w:rsidRPr="00626910" w:rsidRDefault="00C5566B">
      <w:pPr>
        <w:pStyle w:val="FootnoteText"/>
      </w:pPr>
      <w:r>
        <w:rPr>
          <w:rStyle w:val="FootnoteReference"/>
        </w:rPr>
        <w:footnoteRef/>
      </w:r>
      <w:r>
        <w:t xml:space="preserve"> LXX, Vg “because” suggests that the catastrophe (10:15b) happens because Israel was only a child (see Glenny, </w:t>
      </w:r>
      <w:r>
        <w:rPr>
          <w:i/>
        </w:rPr>
        <w:t>Hosea</w:t>
      </w:r>
      <w:r>
        <w:t xml:space="preserve">, 152-53); </w:t>
      </w:r>
      <w:r w:rsidRPr="00626910">
        <w:rPr>
          <w:rFonts w:eastAsiaTheme="minorHAnsi" w:cs="TimesNewRomanPSMT"/>
          <w:lang w:bidi="he-IL"/>
        </w:rPr>
        <w:t>Mark S. Gignilliat</w:t>
      </w:r>
      <w:r>
        <w:rPr>
          <w:rFonts w:eastAsiaTheme="minorHAnsi" w:cs="TimesNewRomanPSMT"/>
          <w:lang w:bidi="he-IL"/>
        </w:rPr>
        <w:t xml:space="preserve"> thinks</w:t>
      </w:r>
      <w:r w:rsidRPr="00626910">
        <w:rPr>
          <w:rFonts w:eastAsiaTheme="minorHAnsi" w:cs="TimesNewRomanPSMT"/>
          <w:lang w:bidi="he-IL"/>
        </w:rPr>
        <w:t xml:space="preserve"> they may be right (“For Israel Was a Child,” </w:t>
      </w:r>
      <w:r w:rsidRPr="00626910">
        <w:rPr>
          <w:rFonts w:eastAsiaTheme="minorHAnsi" w:cs="TimesNewRomanPSMT"/>
          <w:i/>
          <w:lang w:bidi="he-IL"/>
        </w:rPr>
        <w:t>ZAW</w:t>
      </w:r>
      <w:r>
        <w:rPr>
          <w:rFonts w:eastAsiaTheme="minorHAnsi" w:cs="TimesNewRomanPSMT"/>
          <w:lang w:bidi="he-IL"/>
        </w:rPr>
        <w:t xml:space="preserve"> [2009]</w:t>
      </w:r>
      <w:r w:rsidRPr="00626910">
        <w:rPr>
          <w:rFonts w:eastAsiaTheme="minorHAnsi" w:cs="TimesNewRomanPSMT"/>
          <w:lang w:bidi="he-IL"/>
        </w:rPr>
        <w:t>: 277-80</w:t>
      </w:r>
      <w:r>
        <w:rPr>
          <w:rFonts w:eastAsiaTheme="minorHAnsi" w:cs="TimesNewRomanPSMT"/>
          <w:lang w:bidi="he-IL"/>
        </w:rPr>
        <w:t>)</w:t>
      </w:r>
      <w:r w:rsidRPr="00626910">
        <w:rPr>
          <w:rFonts w:eastAsiaTheme="minorHAnsi" w:cs="TimesNewRomanPSMT"/>
          <w:lang w:bidi="he-IL"/>
        </w:rPr>
        <w:t>.</w:t>
      </w:r>
    </w:p>
  </w:footnote>
  <w:footnote w:id="484">
    <w:p w:rsidR="00C5566B" w:rsidRPr="00364626" w:rsidRDefault="00C5566B">
      <w:pPr>
        <w:pStyle w:val="FootnoteText"/>
      </w:pPr>
      <w:r>
        <w:rPr>
          <w:rStyle w:val="FootnoteReference"/>
        </w:rPr>
        <w:footnoteRef/>
      </w:r>
      <w:r>
        <w:t xml:space="preserve"> The </w:t>
      </w:r>
      <w:r>
        <w:rPr>
          <w:i/>
        </w:rPr>
        <w:t>waw</w:t>
      </w:r>
      <w:r>
        <w:t xml:space="preserve">-consecutive picks up from the </w:t>
      </w:r>
      <w:r>
        <w:rPr>
          <w:i/>
        </w:rPr>
        <w:t>kî-</w:t>
      </w:r>
      <w:r>
        <w:t>clause (</w:t>
      </w:r>
      <w:r>
        <w:rPr>
          <w:i/>
        </w:rPr>
        <w:t xml:space="preserve">TTH </w:t>
      </w:r>
      <w:r w:rsidRPr="00FA21F3">
        <w:t>127β</w:t>
      </w:r>
      <w:r>
        <w:t xml:space="preserve">). LXX, Vg (see previous note) are able to take the </w:t>
      </w:r>
      <w:r w:rsidRPr="00047D2E">
        <w:rPr>
          <w:i/>
        </w:rPr>
        <w:t>waw</w:t>
      </w:r>
      <w:r w:rsidRPr="00047D2E">
        <w:t>-consecutive</w:t>
      </w:r>
      <w:r>
        <w:t xml:space="preserve"> more straightforwardly.</w:t>
      </w:r>
    </w:p>
  </w:footnote>
  <w:footnote w:id="485">
    <w:p w:rsidR="00C5566B" w:rsidRDefault="00C5566B">
      <w:pPr>
        <w:pStyle w:val="FootnoteText"/>
      </w:pPr>
      <w:r>
        <w:rPr>
          <w:rStyle w:val="FootnoteReference"/>
        </w:rPr>
        <w:footnoteRef/>
      </w:r>
      <w:r>
        <w:t xml:space="preserve"> Yahweh called </w:t>
      </w:r>
      <w:r>
        <w:rPr>
          <w:i/>
        </w:rPr>
        <w:t xml:space="preserve">to </w:t>
      </w:r>
      <w:r>
        <w:t>them (not simply called them; see next note), and “from” has the temporal sense, “since” (so Tg): cf. 12:9 [10]; 13:4; 1 Sam 12:2; Ps. 22:11.</w:t>
      </w:r>
    </w:p>
  </w:footnote>
  <w:footnote w:id="486">
    <w:p w:rsidR="00C5566B" w:rsidRPr="001348C3" w:rsidRDefault="00C5566B" w:rsidP="00F63C17">
      <w:pPr>
        <w:pStyle w:val="FootnoteText"/>
      </w:pPr>
      <w:r>
        <w:rPr>
          <w:rStyle w:val="FootnoteReference"/>
        </w:rPr>
        <w:footnoteRef/>
      </w:r>
      <w:r>
        <w:t xml:space="preserve"> To judge from the word order, the parallelism, and the use of the preposition </w:t>
      </w:r>
      <w:r>
        <w:rPr>
          <w:i/>
        </w:rPr>
        <w:t>lə</w:t>
      </w:r>
      <w:r>
        <w:t xml:space="preserve">, Yahweh is not saying “I called my son out of Egypt”; likewise “call to” is not a normal way to refer to naming (see </w:t>
      </w:r>
      <w:r>
        <w:rPr>
          <w:i/>
        </w:rPr>
        <w:t>DCH</w:t>
      </w:r>
      <w:r>
        <w:t>). LXX has “recalled,” interestingly connecting this call in v. 1 with the return in vv. 10-11 and with its linking of v. 1 to 10:15b—the catastrophe happened because Israel was a child, but he then recalls Israel from Egypt.</w:t>
      </w:r>
    </w:p>
  </w:footnote>
  <w:footnote w:id="487">
    <w:p w:rsidR="00C5566B" w:rsidRDefault="00C5566B">
      <w:pPr>
        <w:pStyle w:val="FootnoteText"/>
      </w:pPr>
      <w:r>
        <w:rPr>
          <w:rStyle w:val="FootnoteReference"/>
        </w:rPr>
        <w:footnoteRef/>
      </w:r>
      <w:r>
        <w:t xml:space="preserve"> Vg has “sons,” assimilating to v. 2 and the more common way of describing Israel.</w:t>
      </w:r>
    </w:p>
  </w:footnote>
  <w:footnote w:id="488">
    <w:p w:rsidR="00C5566B" w:rsidRDefault="00C5566B" w:rsidP="00A12FB6">
      <w:pPr>
        <w:pStyle w:val="FootnoteText"/>
      </w:pPr>
      <w:r>
        <w:rPr>
          <w:rStyle w:val="FootnoteReference"/>
        </w:rPr>
        <w:footnoteRef/>
      </w:r>
      <w:r>
        <w:t xml:space="preserve"> Tg refers “they” to prophets. LXX has “I called” (and in the next colon “from before me”), simplifying the allusiveness by assimilating to v. 1. </w:t>
      </w:r>
    </w:p>
  </w:footnote>
  <w:footnote w:id="489">
    <w:p w:rsidR="00C5566B" w:rsidRDefault="00C5566B" w:rsidP="00883FAF">
      <w:pPr>
        <w:pStyle w:val="FootnoteText"/>
      </w:pPr>
      <w:r>
        <w:rPr>
          <w:rStyle w:val="FootnoteReference"/>
        </w:rPr>
        <w:footnoteRef/>
      </w:r>
      <w:r>
        <w:t xml:space="preserve"> I.e. divine images like the heifer image at Beth-el (cf. Rudolph, </w:t>
      </w:r>
      <w:r>
        <w:rPr>
          <w:i/>
        </w:rPr>
        <w:t>Hosea</w:t>
      </w:r>
      <w:r>
        <w:t>, 215)</w:t>
      </w:r>
      <w:r>
        <w:rPr>
          <w:i/>
        </w:rPr>
        <w:t xml:space="preserve">. </w:t>
      </w:r>
      <w:r>
        <w:t>But etymologically they’re simply carved objects; the term implies a slur.</w:t>
      </w:r>
    </w:p>
  </w:footnote>
  <w:footnote w:id="490">
    <w:p w:rsidR="00C5566B" w:rsidRPr="00CD62D1" w:rsidRDefault="00C5566B" w:rsidP="00CD62D1">
      <w:pPr>
        <w:autoSpaceDE w:val="0"/>
        <w:autoSpaceDN w:val="0"/>
        <w:adjustRightInd w:val="0"/>
        <w:rPr>
          <w:sz w:val="20"/>
          <w:szCs w:val="20"/>
        </w:rPr>
      </w:pPr>
      <w:r w:rsidRPr="00CD62D1">
        <w:rPr>
          <w:rStyle w:val="FootnoteReference"/>
          <w:sz w:val="20"/>
          <w:szCs w:val="20"/>
        </w:rPr>
        <w:footnoteRef/>
      </w:r>
      <w:r w:rsidRPr="00CD62D1">
        <w:rPr>
          <w:sz w:val="20"/>
          <w:szCs w:val="20"/>
        </w:rPr>
        <w:t xml:space="preserve"> </w:t>
      </w:r>
      <w:r w:rsidRPr="00CD62D1">
        <w:rPr>
          <w:i/>
          <w:sz w:val="20"/>
          <w:szCs w:val="20"/>
        </w:rPr>
        <w:t>Tirgaltî</w:t>
      </w:r>
      <w:r w:rsidRPr="00CD62D1">
        <w:rPr>
          <w:sz w:val="20"/>
          <w:szCs w:val="20"/>
        </w:rPr>
        <w:t xml:space="preserve"> is conventionally parsed as an instance of the very rare tiphel, an alternative to hiphil (GK 55h), from a denominative verb derived from </w:t>
      </w:r>
      <w:r w:rsidRPr="00CD62D1">
        <w:rPr>
          <w:i/>
          <w:sz w:val="20"/>
          <w:szCs w:val="20"/>
        </w:rPr>
        <w:t>regel</w:t>
      </w:r>
      <w:r w:rsidRPr="00CD62D1">
        <w:rPr>
          <w:sz w:val="20"/>
          <w:szCs w:val="20"/>
        </w:rPr>
        <w:t xml:space="preserve"> “foot”; but see </w:t>
      </w:r>
      <w:r w:rsidRPr="00CD62D1">
        <w:rPr>
          <w:rFonts w:eastAsiaTheme="minorHAnsi" w:cs="Garamond-Bold"/>
          <w:bCs/>
          <w:sz w:val="20"/>
          <w:szCs w:val="20"/>
        </w:rPr>
        <w:t>Jeremy M. Hutton and Safwat Marzouk, “</w:t>
      </w:r>
      <w:r w:rsidRPr="00CD62D1">
        <w:rPr>
          <w:rFonts w:eastAsiaTheme="minorHAnsi" w:cs="BaskOldFace"/>
          <w:sz w:val="20"/>
          <w:szCs w:val="20"/>
        </w:rPr>
        <w:t>The Morphology of the tG</w:t>
      </w:r>
      <w:r>
        <w:rPr>
          <w:rFonts w:eastAsiaTheme="minorHAnsi" w:cs="BaskOldFace"/>
          <w:sz w:val="20"/>
          <w:szCs w:val="20"/>
        </w:rPr>
        <w:t xml:space="preserve"> </w:t>
      </w:r>
      <w:r w:rsidRPr="00CD62D1">
        <w:rPr>
          <w:rFonts w:eastAsiaTheme="minorHAnsi" w:cs="BaskOldFace"/>
          <w:sz w:val="20"/>
          <w:szCs w:val="20"/>
        </w:rPr>
        <w:t xml:space="preserve">Stem in Hebrew and </w:t>
      </w:r>
      <w:r w:rsidRPr="00B44960">
        <w:rPr>
          <w:rFonts w:eastAsiaTheme="minorHAnsi" w:cs="BaskOldFace"/>
          <w:sz w:val="20"/>
          <w:szCs w:val="20"/>
        </w:rPr>
        <w:t xml:space="preserve">Tirgaltî in Hos 11:3,” </w:t>
      </w:r>
      <w:r w:rsidRPr="00B44960">
        <w:rPr>
          <w:rFonts w:eastAsiaTheme="minorHAnsi" w:cs="BaskOldFace"/>
          <w:i/>
          <w:sz w:val="20"/>
          <w:szCs w:val="20"/>
        </w:rPr>
        <w:t xml:space="preserve">JHS </w:t>
      </w:r>
      <w:r w:rsidRPr="00B44960">
        <w:rPr>
          <w:rFonts w:eastAsiaTheme="minorHAnsi" w:cs="BaskOldFace"/>
          <w:sz w:val="20"/>
          <w:szCs w:val="20"/>
        </w:rPr>
        <w:t>12/9 (2012).</w:t>
      </w:r>
      <w:r w:rsidRPr="00B44960">
        <w:rPr>
          <w:rFonts w:ascii="BaskOldFace" w:eastAsiaTheme="minorHAnsi" w:hAnsi="BaskOldFace" w:cs="BaskOldFace"/>
          <w:sz w:val="20"/>
          <w:szCs w:val="20"/>
        </w:rPr>
        <w:t xml:space="preserve"> </w:t>
      </w:r>
      <w:r w:rsidRPr="00B44960">
        <w:rPr>
          <w:sz w:val="20"/>
          <w:szCs w:val="20"/>
        </w:rPr>
        <w:t xml:space="preserve">LXX </w:t>
      </w:r>
      <w:r w:rsidRPr="00CD62D1">
        <w:rPr>
          <w:sz w:val="20"/>
          <w:szCs w:val="20"/>
        </w:rPr>
        <w:t xml:space="preserve">has “bound his feet together”—apparently to restrain (see Glenny, </w:t>
      </w:r>
      <w:r w:rsidRPr="00CD62D1">
        <w:rPr>
          <w:i/>
          <w:sz w:val="20"/>
          <w:szCs w:val="20"/>
        </w:rPr>
        <w:t>Hosea</w:t>
      </w:r>
      <w:r w:rsidRPr="00CD62D1">
        <w:rPr>
          <w:sz w:val="20"/>
          <w:szCs w:val="20"/>
        </w:rPr>
        <w:t>, 154). Sym has “educate.”</w:t>
      </w:r>
    </w:p>
  </w:footnote>
  <w:footnote w:id="491">
    <w:p w:rsidR="00C5566B" w:rsidRDefault="00C5566B">
      <w:pPr>
        <w:pStyle w:val="FootnoteText"/>
      </w:pPr>
      <w:r>
        <w:rPr>
          <w:rStyle w:val="FootnoteReference"/>
        </w:rPr>
        <w:footnoteRef/>
      </w:r>
      <w:r>
        <w:t xml:space="preserve"> MT makes one of its common switches from first person to third person, in speaking of God; LXX, Vg, have “my arm[s],” which is easier after “taking them” and before “I healed” in the next line. The expression “upon” someone’s arms comes only here, except with more literal reference to something such as a rope or a bracelet.</w:t>
      </w:r>
    </w:p>
  </w:footnote>
  <w:footnote w:id="492">
    <w:p w:rsidR="00C5566B" w:rsidRPr="00744602" w:rsidRDefault="00C5566B">
      <w:pPr>
        <w:pStyle w:val="FootnoteText"/>
      </w:pPr>
      <w:r>
        <w:rPr>
          <w:rStyle w:val="FootnoteReference"/>
        </w:rPr>
        <w:footnoteRef/>
      </w:r>
      <w:r>
        <w:t xml:space="preserve"> </w:t>
      </w:r>
      <w:r w:rsidRPr="006C1C82">
        <w:rPr>
          <w:i/>
        </w:rPr>
        <w:t>’Eprayim</w:t>
      </w:r>
      <w:r>
        <w:t xml:space="preserve"> did not acknowledge that </w:t>
      </w:r>
      <w:r>
        <w:rPr>
          <w:i/>
        </w:rPr>
        <w:t>rəpātîm</w:t>
      </w:r>
      <w:r>
        <w:t>: Ephraim’s very name hints that it should have done so.</w:t>
      </w:r>
    </w:p>
  </w:footnote>
  <w:footnote w:id="493">
    <w:p w:rsidR="00C5566B" w:rsidRPr="00CB27B1" w:rsidRDefault="00C5566B">
      <w:pPr>
        <w:pStyle w:val="FootnoteText"/>
      </w:pPr>
      <w:r>
        <w:rPr>
          <w:rStyle w:val="FootnoteReference"/>
        </w:rPr>
        <w:footnoteRef/>
      </w:r>
      <w:r>
        <w:t xml:space="preserve"> LXX “ruin” takes the word as </w:t>
      </w:r>
      <w:r>
        <w:rPr>
          <w:i/>
        </w:rPr>
        <w:t xml:space="preserve">ḥebel </w:t>
      </w:r>
      <w:r>
        <w:t xml:space="preserve">II rather than </w:t>
      </w:r>
      <w:r w:rsidRPr="000F4A69">
        <w:rPr>
          <w:i/>
        </w:rPr>
        <w:t xml:space="preserve">ḥebel </w:t>
      </w:r>
      <w:r>
        <w:t>I. I</w:t>
      </w:r>
      <w:r w:rsidRPr="00744602">
        <w:t>n 13:13</w:t>
      </w:r>
      <w:r>
        <w:t xml:space="preserve"> </w:t>
      </w:r>
      <w:r>
        <w:rPr>
          <w:i/>
        </w:rPr>
        <w:t>ḥeblȇ</w:t>
      </w:r>
      <w:r>
        <w:t xml:space="preserve"> denotes labor pains, and the context here might also recall that connotation (Sweeney, </w:t>
      </w:r>
      <w:r>
        <w:rPr>
          <w:i/>
        </w:rPr>
        <w:t>Twelve Prophets</w:t>
      </w:r>
      <w:r>
        <w:t>, 1:114).</w:t>
      </w:r>
    </w:p>
  </w:footnote>
  <w:footnote w:id="494">
    <w:p w:rsidR="00C5566B" w:rsidRDefault="00C5566B">
      <w:pPr>
        <w:pStyle w:val="FootnoteText"/>
      </w:pPr>
      <w:r>
        <w:rPr>
          <w:rStyle w:val="FootnoteReference"/>
        </w:rPr>
        <w:footnoteRef/>
      </w:r>
      <w:r>
        <w:t xml:space="preserve"> Sym assumes he is lifting on; Aq that he is lifting off (cf. Tg).</w:t>
      </w:r>
    </w:p>
  </w:footnote>
  <w:footnote w:id="495">
    <w:p w:rsidR="00C5566B" w:rsidRPr="000F4A69" w:rsidRDefault="00C5566B">
      <w:pPr>
        <w:pStyle w:val="FootnoteText"/>
      </w:pPr>
      <w:r>
        <w:rPr>
          <w:rStyle w:val="FootnoteReference"/>
        </w:rPr>
        <w:footnoteRef/>
      </w:r>
      <w:r>
        <w:t xml:space="preserve"> NRSV, TNIV emend </w:t>
      </w:r>
      <w:r w:rsidRPr="009011E1">
        <w:rPr>
          <w:i/>
        </w:rPr>
        <w:t>‘ōl</w:t>
      </w:r>
      <w:r>
        <w:t xml:space="preserve"> to </w:t>
      </w:r>
      <w:r>
        <w:rPr>
          <w:i/>
        </w:rPr>
        <w:t xml:space="preserve">‘ûl </w:t>
      </w:r>
      <w:r>
        <w:t>“infant.”</w:t>
      </w:r>
    </w:p>
  </w:footnote>
  <w:footnote w:id="496">
    <w:p w:rsidR="00C5566B" w:rsidRPr="001E5631" w:rsidRDefault="00C5566B">
      <w:pPr>
        <w:pStyle w:val="FootnoteText"/>
      </w:pPr>
      <w:r>
        <w:rPr>
          <w:rStyle w:val="FootnoteReference"/>
        </w:rPr>
        <w:footnoteRef/>
      </w:r>
      <w:r>
        <w:t xml:space="preserve"> </w:t>
      </w:r>
      <w:r>
        <w:rPr>
          <w:i/>
        </w:rPr>
        <w:t>Wə’aṭ</w:t>
      </w:r>
      <w:r>
        <w:t>,</w:t>
      </w:r>
      <w:r>
        <w:rPr>
          <w:i/>
        </w:rPr>
        <w:t xml:space="preserve"> </w:t>
      </w:r>
      <w:r>
        <w:t xml:space="preserve">simple </w:t>
      </w:r>
      <w:r w:rsidRPr="001E5631">
        <w:rPr>
          <w:i/>
        </w:rPr>
        <w:t>waw</w:t>
      </w:r>
      <w:r>
        <w:t xml:space="preserve"> followed by apocopated first-person singular hiphil yiqtol from </w:t>
      </w:r>
      <w:r>
        <w:rPr>
          <w:i/>
        </w:rPr>
        <w:t>nāṭāh</w:t>
      </w:r>
      <w:r>
        <w:t>, here uniquely intransitive (inwardly transitive: GK 53d) or involving the ellipse of a noun such as “hand” (cf. JM 55e).</w:t>
      </w:r>
    </w:p>
  </w:footnote>
  <w:footnote w:id="497">
    <w:p w:rsidR="00C5566B" w:rsidRPr="006750D7" w:rsidRDefault="00C5566B">
      <w:pPr>
        <w:pStyle w:val="FootnoteText"/>
      </w:pPr>
      <w:r>
        <w:rPr>
          <w:rStyle w:val="FootnoteReference"/>
        </w:rPr>
        <w:footnoteRef/>
      </w:r>
      <w:r>
        <w:t xml:space="preserve"> LXX lacks </w:t>
      </w:r>
      <w:r>
        <w:rPr>
          <w:i/>
        </w:rPr>
        <w:t>lō’</w:t>
      </w:r>
      <w:r>
        <w:t xml:space="preserve"> (the first word in the verse) and implies </w:t>
      </w:r>
      <w:r>
        <w:rPr>
          <w:i/>
        </w:rPr>
        <w:t xml:space="preserve">lô </w:t>
      </w:r>
      <w:r>
        <w:t>at the end of v. 4; it also has “live” for “turn back” and it adds “Ephraim,” in all three ways assimilating its version to 9:3 (as it rendered it): Ephraim will turn back to Egypt and Assyria will be his king.</w:t>
      </w:r>
    </w:p>
  </w:footnote>
  <w:footnote w:id="498">
    <w:p w:rsidR="00C5566B" w:rsidRDefault="00C5566B">
      <w:pPr>
        <w:pStyle w:val="FootnoteText"/>
      </w:pPr>
      <w:r>
        <w:rPr>
          <w:rStyle w:val="FootnoteReference"/>
        </w:rPr>
        <w:footnoteRef/>
      </w:r>
      <w:r>
        <w:t xml:space="preserve"> There is no indication that the two cola are a question (TNIV, which also has the “not” carrying over into the second colon).</w:t>
      </w:r>
    </w:p>
  </w:footnote>
  <w:footnote w:id="499">
    <w:p w:rsidR="00C5566B" w:rsidRPr="00456584" w:rsidRDefault="00C5566B">
      <w:pPr>
        <w:pStyle w:val="FootnoteText"/>
      </w:pPr>
      <w:r>
        <w:rPr>
          <w:rStyle w:val="FootnoteReference"/>
        </w:rPr>
        <w:footnoteRef/>
      </w:r>
      <w:r>
        <w:t xml:space="preserve"> </w:t>
      </w:r>
      <w:r w:rsidRPr="00251452">
        <w:rPr>
          <w:i/>
        </w:rPr>
        <w:t>Ḥālāh</w:t>
      </w:r>
      <w:r>
        <w:t xml:space="preserve"> from </w:t>
      </w:r>
      <w:r>
        <w:rPr>
          <w:i/>
        </w:rPr>
        <w:t>ḥûl</w:t>
      </w:r>
      <w:r>
        <w:t xml:space="preserve"> I. LXX derives from </w:t>
      </w:r>
      <w:r w:rsidRPr="00456584">
        <w:rPr>
          <w:i/>
        </w:rPr>
        <w:t>ḥālāh</w:t>
      </w:r>
      <w:r>
        <w:t xml:space="preserve"> “be sick,” thus “make sick”; Sym from </w:t>
      </w:r>
      <w:r w:rsidRPr="00456584">
        <w:rPr>
          <w:i/>
        </w:rPr>
        <w:t>ḥ</w:t>
      </w:r>
      <w:r>
        <w:rPr>
          <w:i/>
        </w:rPr>
        <w:t xml:space="preserve">ālal </w:t>
      </w:r>
      <w:r>
        <w:t xml:space="preserve">I “pierce”; Vg from </w:t>
      </w:r>
      <w:r w:rsidRPr="00456584">
        <w:rPr>
          <w:i/>
        </w:rPr>
        <w:t>ḥ</w:t>
      </w:r>
      <w:r>
        <w:rPr>
          <w:i/>
        </w:rPr>
        <w:t xml:space="preserve">ālal </w:t>
      </w:r>
      <w:r>
        <w:t xml:space="preserve">III “begin.” </w:t>
      </w:r>
    </w:p>
  </w:footnote>
  <w:footnote w:id="500">
    <w:p w:rsidR="00C5566B" w:rsidRPr="000347AE" w:rsidRDefault="00C5566B">
      <w:pPr>
        <w:pStyle w:val="FootnoteText"/>
      </w:pPr>
      <w:r>
        <w:rPr>
          <w:rStyle w:val="FootnoteReference"/>
        </w:rPr>
        <w:footnoteRef/>
      </w:r>
      <w:r>
        <w:t xml:space="preserve"> </w:t>
      </w:r>
      <w:r w:rsidRPr="000347AE">
        <w:rPr>
          <w:i/>
        </w:rPr>
        <w:t>Baddîm</w:t>
      </w:r>
      <w:r>
        <w:rPr>
          <w:i/>
        </w:rPr>
        <w:t xml:space="preserve"> </w:t>
      </w:r>
      <w:r>
        <w:t xml:space="preserve">most commonly denotes carrying poles, but gate bars in Job 17:16 (see BDB). Derived from </w:t>
      </w:r>
      <w:r>
        <w:rPr>
          <w:i/>
        </w:rPr>
        <w:t xml:space="preserve">bdd </w:t>
      </w:r>
      <w:r>
        <w:t>II it can denote “oracle priests” (NRSV), but this rare usage fits the parallelism less well.</w:t>
      </w:r>
    </w:p>
  </w:footnote>
  <w:footnote w:id="501">
    <w:p w:rsidR="00C5566B" w:rsidRPr="002D57B9" w:rsidRDefault="00C5566B">
      <w:pPr>
        <w:pStyle w:val="FootnoteText"/>
      </w:pPr>
      <w:r>
        <w:rPr>
          <w:rStyle w:val="FootnoteReference"/>
        </w:rPr>
        <w:footnoteRef/>
      </w:r>
      <w:r>
        <w:t xml:space="preserve"> The passive participle of </w:t>
      </w:r>
      <w:r>
        <w:rPr>
          <w:i/>
        </w:rPr>
        <w:t>tālā’</w:t>
      </w:r>
      <w:r>
        <w:t>, a byform of</w:t>
      </w:r>
      <w:r>
        <w:rPr>
          <w:i/>
        </w:rPr>
        <w:t xml:space="preserve"> tālāh</w:t>
      </w:r>
      <w:r>
        <w:t xml:space="preserve">, “hang.” </w:t>
      </w:r>
    </w:p>
  </w:footnote>
  <w:footnote w:id="502">
    <w:p w:rsidR="00C5566B" w:rsidRDefault="00C5566B">
      <w:pPr>
        <w:pStyle w:val="FootnoteText"/>
      </w:pPr>
      <w:r>
        <w:rPr>
          <w:rStyle w:val="FootnoteReference"/>
        </w:rPr>
        <w:footnoteRef/>
      </w:r>
      <w:r>
        <w:t xml:space="preserve"> The suffix hardly has either of the two regular significances, subjective (“my turning back”) or objective (“turning me back”), which is not the question here. Rather it has the “pregnant” significance (GK 135m), “turning back in respect of me”; cf. 2:6 [8]. “Back to me” (cf. Tg) then fits the context better than “back from me.”</w:t>
      </w:r>
    </w:p>
  </w:footnote>
  <w:footnote w:id="503">
    <w:p w:rsidR="00C5566B" w:rsidRPr="006262AB" w:rsidRDefault="00C5566B">
      <w:pPr>
        <w:pStyle w:val="FootnoteText"/>
      </w:pPr>
      <w:r>
        <w:rPr>
          <w:rStyle w:val="FootnoteReference"/>
        </w:rPr>
        <w:footnoteRef/>
      </w:r>
      <w:r>
        <w:t xml:space="preserve"> Taking </w:t>
      </w:r>
      <w:r>
        <w:rPr>
          <w:i/>
        </w:rPr>
        <w:t>‘al</w:t>
      </w:r>
      <w:r>
        <w:t xml:space="preserve"> as a title for Yahweh, comparable to </w:t>
      </w:r>
      <w:r>
        <w:rPr>
          <w:i/>
        </w:rPr>
        <w:t>‘elyôn</w:t>
      </w:r>
      <w:r>
        <w:t xml:space="preserve"> (cf. D. Qimchi </w:t>
      </w:r>
      <w:r w:rsidRPr="00780AF7">
        <w:t xml:space="preserve">in </w:t>
      </w:r>
      <w:r w:rsidRPr="00780AF7">
        <w:rPr>
          <w:i/>
        </w:rPr>
        <w:t>miqrā’ôt gədôlôt</w:t>
      </w:r>
      <w:r w:rsidRPr="00780AF7">
        <w:t>, on the passage</w:t>
      </w:r>
      <w:r>
        <w:t xml:space="preserve">). In other contexts, </w:t>
      </w:r>
      <w:r>
        <w:rPr>
          <w:i/>
        </w:rPr>
        <w:t>’ēl ‘al</w:t>
      </w:r>
      <w:r>
        <w:t xml:space="preserve"> might be a compound comparable to </w:t>
      </w:r>
      <w:r w:rsidRPr="007C668D">
        <w:rPr>
          <w:i/>
        </w:rPr>
        <w:t>’ēl</w:t>
      </w:r>
      <w:r>
        <w:rPr>
          <w:i/>
        </w:rPr>
        <w:t xml:space="preserve"> </w:t>
      </w:r>
      <w:r w:rsidRPr="007C668D">
        <w:rPr>
          <w:i/>
        </w:rPr>
        <w:t>‘elyô</w:t>
      </w:r>
      <w:r>
        <w:rPr>
          <w:i/>
        </w:rPr>
        <w:t>n</w:t>
      </w:r>
      <w:r>
        <w:t xml:space="preserve">, but MT’s reading </w:t>
      </w:r>
      <w:r>
        <w:rPr>
          <w:i/>
        </w:rPr>
        <w:t>’e</w:t>
      </w:r>
      <w:r w:rsidRPr="006D5C30">
        <w:rPr>
          <w:i/>
        </w:rPr>
        <w:t>l</w:t>
      </w:r>
      <w:r>
        <w:t xml:space="preserve">, the preposition, fits with the verb </w:t>
      </w:r>
      <w:r w:rsidRPr="00400934">
        <w:rPr>
          <w:i/>
        </w:rPr>
        <w:t>qārā’</w:t>
      </w:r>
      <w:r>
        <w:t xml:space="preserve"> (see the note on v. 1). Vg, Aq, Theod, Sym imply </w:t>
      </w:r>
      <w:r>
        <w:rPr>
          <w:i/>
        </w:rPr>
        <w:t>‘ōl</w:t>
      </w:r>
      <w:r>
        <w:t xml:space="preserve"> “yoke.”</w:t>
      </w:r>
    </w:p>
  </w:footnote>
  <w:footnote w:id="504">
    <w:p w:rsidR="00C5566B" w:rsidRDefault="00C5566B">
      <w:pPr>
        <w:pStyle w:val="FootnoteText"/>
      </w:pPr>
      <w:r>
        <w:rPr>
          <w:rStyle w:val="FootnoteReference"/>
        </w:rPr>
        <w:footnoteRef/>
      </w:r>
      <w:r>
        <w:t xml:space="preserve"> LXX refers the colon to God not lifting up Ephraim, but “altogether” is then difficult to make sense of.</w:t>
      </w:r>
    </w:p>
  </w:footnote>
  <w:footnote w:id="505">
    <w:p w:rsidR="00C5566B" w:rsidRDefault="00C5566B">
      <w:pPr>
        <w:pStyle w:val="FootnoteText"/>
      </w:pPr>
      <w:r>
        <w:rPr>
          <w:rStyle w:val="FootnoteReference"/>
        </w:rPr>
        <w:footnoteRef/>
      </w:r>
      <w:r>
        <w:t xml:space="preserve"> In other contexts, one would translate “How can I make you,” but the verb form is identical to that in the first colon. Perhaps hearers might first sense the same meaning (cf. Vg), though the more usual one in light of the subsequent parallel colon.</w:t>
      </w:r>
    </w:p>
  </w:footnote>
  <w:footnote w:id="506">
    <w:p w:rsidR="00C5566B" w:rsidRDefault="00C5566B">
      <w:pPr>
        <w:pStyle w:val="FootnoteText"/>
      </w:pPr>
      <w:r>
        <w:rPr>
          <w:rStyle w:val="FootnoteReference"/>
        </w:rPr>
        <w:footnoteRef/>
      </w:r>
      <w:r>
        <w:t xml:space="preserve"> A</w:t>
      </w:r>
      <w:r w:rsidRPr="003B4902">
        <w:t>natom</w:t>
      </w:r>
      <w:r>
        <w:t>ically, “my heart,” suggesting the inner self, commonly the mind; see the note on 2:14 [16].</w:t>
      </w:r>
    </w:p>
  </w:footnote>
  <w:footnote w:id="507">
    <w:p w:rsidR="00C5566B" w:rsidRPr="003B4902" w:rsidRDefault="00C5566B">
      <w:pPr>
        <w:pStyle w:val="FootnoteText"/>
      </w:pPr>
      <w:r>
        <w:rPr>
          <w:rStyle w:val="FootnoteReference"/>
        </w:rPr>
        <w:footnoteRef/>
      </w:r>
      <w:r>
        <w:t xml:space="preserve"> Literally, “upon me”: see the use of ‘</w:t>
      </w:r>
      <w:r w:rsidRPr="003B4902">
        <w:rPr>
          <w:i/>
        </w:rPr>
        <w:t>al</w:t>
      </w:r>
      <w:r>
        <w:t xml:space="preserve"> in Ps. 42:5, 7 6, 8]; 142:3 [4]. It is as if something is acting upon the self from outside (see BDB, 753b).</w:t>
      </w:r>
    </w:p>
  </w:footnote>
  <w:footnote w:id="508">
    <w:p w:rsidR="00C5566B" w:rsidRPr="00B46BCA" w:rsidRDefault="00C5566B">
      <w:pPr>
        <w:pStyle w:val="FootnoteText"/>
      </w:pPr>
      <w:r>
        <w:rPr>
          <w:rStyle w:val="FootnoteReference"/>
        </w:rPr>
        <w:footnoteRef/>
      </w:r>
      <w:r>
        <w:t xml:space="preserve"> </w:t>
      </w:r>
      <w:r>
        <w:rPr>
          <w:i/>
        </w:rPr>
        <w:t>Niḥûmāy</w:t>
      </w:r>
      <w:r>
        <w:t xml:space="preserve">, intensive plural. NRSV, TNIV “compassion” (cf. Aq, Sym, Theod) translates loosely (or presupposes </w:t>
      </w:r>
      <w:r>
        <w:rPr>
          <w:i/>
        </w:rPr>
        <w:t>raḥămāy</w:t>
      </w:r>
      <w:r>
        <w:t xml:space="preserve">). </w:t>
      </w:r>
    </w:p>
  </w:footnote>
  <w:footnote w:id="509">
    <w:p w:rsidR="00C5566B" w:rsidRPr="005570E3" w:rsidRDefault="00C5566B" w:rsidP="00DB3C92">
      <w:pPr>
        <w:pStyle w:val="FootnoteText"/>
      </w:pPr>
      <w:r>
        <w:rPr>
          <w:rStyle w:val="FootnoteReference"/>
        </w:rPr>
        <w:footnoteRef/>
      </w:r>
      <w:r>
        <w:t xml:space="preserve"> </w:t>
      </w:r>
      <w:r>
        <w:rPr>
          <w:i/>
        </w:rPr>
        <w:t>Šûb</w:t>
      </w:r>
      <w:r>
        <w:t xml:space="preserve"> followed by another verb can denote repeating an action (cf. GK 114n, note 2; NRSV, TNIV), “but destroy (</w:t>
      </w:r>
      <w:r w:rsidRPr="005570E3">
        <w:rPr>
          <w:i/>
        </w:rPr>
        <w:t>šiḥēt</w:t>
      </w:r>
      <w:r>
        <w:t xml:space="preserve">) is such a strong word… that repetition seems inconceivable” (Davies, </w:t>
      </w:r>
      <w:r>
        <w:rPr>
          <w:i/>
        </w:rPr>
        <w:t>Hosea</w:t>
      </w:r>
      <w:r>
        <w:t>, 263).</w:t>
      </w:r>
    </w:p>
  </w:footnote>
  <w:footnote w:id="510">
    <w:p w:rsidR="00C5566B" w:rsidRPr="00DF3BF9" w:rsidRDefault="00C5566B">
      <w:pPr>
        <w:pStyle w:val="FootnoteText"/>
      </w:pPr>
      <w:r>
        <w:rPr>
          <w:rStyle w:val="FootnoteReference"/>
        </w:rPr>
        <w:footnoteRef/>
      </w:r>
      <w:r>
        <w:t xml:space="preserve"> NRSV emends </w:t>
      </w:r>
      <w:r>
        <w:rPr>
          <w:i/>
        </w:rPr>
        <w:t>bə‘îr</w:t>
      </w:r>
      <w:r>
        <w:t xml:space="preserve"> to a form of the verb </w:t>
      </w:r>
      <w:r>
        <w:rPr>
          <w:i/>
        </w:rPr>
        <w:t>bā‘ar</w:t>
      </w:r>
      <w:r>
        <w:t xml:space="preserve"> “consume.”</w:t>
      </w:r>
    </w:p>
  </w:footnote>
  <w:footnote w:id="511">
    <w:p w:rsidR="00C5566B" w:rsidRDefault="00C5566B">
      <w:pPr>
        <w:pStyle w:val="FootnoteText"/>
      </w:pPr>
      <w:r>
        <w:rPr>
          <w:rStyle w:val="FootnoteReference"/>
        </w:rPr>
        <w:footnoteRef/>
      </w:r>
      <w:r>
        <w:t xml:space="preserve"> Tg refers these lines to bringing Ephraim back from exile, but the language is not elsewhere used of return from exile, and the references to Egypt and Assyria suggest the context of Ephraim’s present relationship with these powers. </w:t>
      </w:r>
    </w:p>
  </w:footnote>
  <w:footnote w:id="512">
    <w:p w:rsidR="00C5566B" w:rsidRPr="00276469" w:rsidRDefault="00C5566B" w:rsidP="00276469">
      <w:pPr>
        <w:pStyle w:val="FootnoteText"/>
      </w:pPr>
      <w:r>
        <w:rPr>
          <w:rStyle w:val="FootnoteReference"/>
        </w:rPr>
        <w:footnoteRef/>
      </w:r>
      <w:r>
        <w:t xml:space="preserve"> For </w:t>
      </w:r>
      <w:r>
        <w:rPr>
          <w:i/>
        </w:rPr>
        <w:t>hôšabtîm</w:t>
      </w:r>
      <w:r>
        <w:t xml:space="preserve">, LXX, Tg suggest </w:t>
      </w:r>
      <w:r>
        <w:rPr>
          <w:i/>
        </w:rPr>
        <w:t>hăšîbôtām</w:t>
      </w:r>
      <w:r>
        <w:t xml:space="preserve"> “I will take them back,” which fits better with the preposition </w:t>
      </w:r>
      <w:r>
        <w:rPr>
          <w:i/>
        </w:rPr>
        <w:t>‘al</w:t>
      </w:r>
      <w:r>
        <w:t>.</w:t>
      </w:r>
    </w:p>
  </w:footnote>
  <w:footnote w:id="513">
    <w:p w:rsidR="00C5566B" w:rsidRDefault="00C5566B">
      <w:pPr>
        <w:pStyle w:val="FootnoteText"/>
      </w:pPr>
      <w:r>
        <w:rPr>
          <w:rStyle w:val="FootnoteReference"/>
        </w:rPr>
        <w:footnoteRef/>
      </w:r>
      <w:r>
        <w:t xml:space="preserve"> I follow LXX in linking “Judah too” with v. 12a. It is then grammatically ambiguous whether the subject of v. 2b is Judah (as in MT) or Ephraim (as I think). If the Hosea scroll includes glosses noting its application to Judah, then this could be an example.</w:t>
      </w:r>
    </w:p>
  </w:footnote>
  <w:footnote w:id="514">
    <w:p w:rsidR="00C5566B" w:rsidRPr="001F1ACF" w:rsidRDefault="00C5566B">
      <w:pPr>
        <w:pStyle w:val="FootnoteText"/>
      </w:pPr>
      <w:r>
        <w:rPr>
          <w:rStyle w:val="FootnoteReference"/>
        </w:rPr>
        <w:footnoteRef/>
      </w:r>
      <w:r>
        <w:t xml:space="preserve"> For </w:t>
      </w:r>
      <w:r>
        <w:rPr>
          <w:i/>
        </w:rPr>
        <w:t xml:space="preserve">‘ōd </w:t>
      </w:r>
      <w:r>
        <w:t xml:space="preserve">Vg implies </w:t>
      </w:r>
      <w:r>
        <w:rPr>
          <w:i/>
        </w:rPr>
        <w:t>‘</w:t>
      </w:r>
      <w:r w:rsidRPr="001F1ACF">
        <w:rPr>
          <w:i/>
        </w:rPr>
        <w:t>ēd</w:t>
      </w:r>
      <w:r>
        <w:t xml:space="preserve"> “witness.”</w:t>
      </w:r>
    </w:p>
  </w:footnote>
  <w:footnote w:id="515">
    <w:p w:rsidR="00C5566B" w:rsidRPr="001F1ACF" w:rsidRDefault="00C5566B">
      <w:pPr>
        <w:pStyle w:val="FootnoteText"/>
      </w:pPr>
      <w:r>
        <w:rPr>
          <w:rStyle w:val="FootnoteReference"/>
        </w:rPr>
        <w:footnoteRef/>
      </w:r>
      <w:r>
        <w:t xml:space="preserve"> For </w:t>
      </w:r>
      <w:r>
        <w:rPr>
          <w:i/>
        </w:rPr>
        <w:t xml:space="preserve">rād </w:t>
      </w:r>
      <w:r>
        <w:t xml:space="preserve">from the verb </w:t>
      </w:r>
      <w:r>
        <w:rPr>
          <w:i/>
        </w:rPr>
        <w:t xml:space="preserve">rûd </w:t>
      </w:r>
      <w:r>
        <w:t xml:space="preserve">Aq implies a second root </w:t>
      </w:r>
      <w:r>
        <w:rPr>
          <w:i/>
        </w:rPr>
        <w:t>rûd</w:t>
      </w:r>
      <w:r>
        <w:t xml:space="preserve">, a byform of </w:t>
      </w:r>
      <w:r>
        <w:rPr>
          <w:i/>
        </w:rPr>
        <w:t>rādāh</w:t>
      </w:r>
      <w:r>
        <w:t xml:space="preserve"> “rule,” but this make poor sense in the context. Vg has “he went down” implying </w:t>
      </w:r>
      <w:r>
        <w:rPr>
          <w:i/>
        </w:rPr>
        <w:t>yārad</w:t>
      </w:r>
      <w:r>
        <w:t xml:space="preserve"> (cf. Tg). </w:t>
      </w:r>
      <w:r w:rsidRPr="00C024E0">
        <w:t xml:space="preserve">For </w:t>
      </w:r>
      <w:r w:rsidRPr="00C024E0">
        <w:rPr>
          <w:i/>
        </w:rPr>
        <w:t>‘ōd rād</w:t>
      </w:r>
      <w:r w:rsidRPr="00C024E0">
        <w:t xml:space="preserve"> </w:t>
      </w:r>
      <w:r w:rsidRPr="00C024E0">
        <w:rPr>
          <w:i/>
        </w:rPr>
        <w:t xml:space="preserve">‘im </w:t>
      </w:r>
      <w:r w:rsidRPr="00C024E0">
        <w:t xml:space="preserve">LXX implies a form such as </w:t>
      </w:r>
      <w:r w:rsidRPr="00C024E0">
        <w:rPr>
          <w:i/>
        </w:rPr>
        <w:t>yədā‘ām</w:t>
      </w:r>
      <w:r>
        <w:t xml:space="preserve"> “[God] knew them,</w:t>
      </w:r>
      <w:r w:rsidRPr="00C024E0">
        <w:t>”</w:t>
      </w:r>
      <w:r>
        <w:t xml:space="preserve"> once again developing Hosea’s stress on knowing/acknowledging.</w:t>
      </w:r>
    </w:p>
  </w:footnote>
  <w:footnote w:id="516">
    <w:p w:rsidR="00C5566B" w:rsidRPr="00375EE8" w:rsidRDefault="00C5566B">
      <w:pPr>
        <w:pStyle w:val="FootnoteText"/>
      </w:pPr>
      <w:r>
        <w:rPr>
          <w:rStyle w:val="FootnoteReference"/>
        </w:rPr>
        <w:footnoteRef/>
      </w:r>
      <w:r>
        <w:t xml:space="preserve"> For the negative or hostile sense of </w:t>
      </w:r>
      <w:r>
        <w:rPr>
          <w:i/>
        </w:rPr>
        <w:t>‘im</w:t>
      </w:r>
      <w:r>
        <w:t>, see BDB, 767b.</w:t>
      </w:r>
    </w:p>
  </w:footnote>
  <w:footnote w:id="517">
    <w:p w:rsidR="00C5566B" w:rsidRPr="00EE55B2" w:rsidRDefault="00C5566B">
      <w:pPr>
        <w:pStyle w:val="FootnoteText"/>
      </w:pPr>
      <w:r>
        <w:rPr>
          <w:rStyle w:val="FootnoteReference"/>
        </w:rPr>
        <w:footnoteRef/>
      </w:r>
      <w:r>
        <w:t xml:space="preserve"> “T</w:t>
      </w:r>
      <w:r w:rsidRPr="00844FDB">
        <w:t>ruthful with the holy ones</w:t>
      </w:r>
      <w:r>
        <w:t xml:space="preserve">” (cf. Vg) is an easier translation but hard to fit into the context. Rather </w:t>
      </w:r>
      <w:r>
        <w:rPr>
          <w:i/>
        </w:rPr>
        <w:t>qədôšîm</w:t>
      </w:r>
      <w:r>
        <w:t xml:space="preserve"> is plural of majesty (</w:t>
      </w:r>
      <w:r w:rsidRPr="00844FDB">
        <w:t>see GK 124h</w:t>
      </w:r>
      <w:r>
        <w:t xml:space="preserve">). </w:t>
      </w:r>
      <w:r w:rsidRPr="00844FDB">
        <w:t xml:space="preserve">JPSV </w:t>
      </w:r>
      <w:r>
        <w:t xml:space="preserve">thus </w:t>
      </w:r>
      <w:r w:rsidRPr="00844FDB">
        <w:t xml:space="preserve">has “faithful to the </w:t>
      </w:r>
      <w:r>
        <w:t>Holy One</w:t>
      </w:r>
      <w:r w:rsidRPr="00844FDB">
        <w:t>,</w:t>
      </w:r>
      <w:r>
        <w:t>”</w:t>
      </w:r>
      <w:r w:rsidRPr="00844FDB">
        <w:t xml:space="preserve"> but </w:t>
      </w:r>
      <w:r>
        <w:t xml:space="preserve">this is also </w:t>
      </w:r>
      <w:r w:rsidRPr="00844FDB">
        <w:t xml:space="preserve">implausible in the context. </w:t>
      </w:r>
      <w:r>
        <w:t xml:space="preserve"> Rather I take </w:t>
      </w:r>
      <w:r w:rsidRPr="00844FDB">
        <w:rPr>
          <w:i/>
        </w:rPr>
        <w:t>qədôšîm</w:t>
      </w:r>
      <w:r w:rsidRPr="00844FDB">
        <w:t xml:space="preserve"> </w:t>
      </w:r>
      <w:r>
        <w:t>to be qualified by a singular participle (see GK 132h). LXX, Tg imply ‘</w:t>
      </w:r>
      <w:r w:rsidRPr="00EE55B2">
        <w:rPr>
          <w:i/>
        </w:rPr>
        <w:t>am</w:t>
      </w:r>
      <w:r>
        <w:t xml:space="preserve"> for </w:t>
      </w:r>
      <w:r>
        <w:rPr>
          <w:i/>
        </w:rPr>
        <w:t>‘im</w:t>
      </w:r>
      <w:r>
        <w:t>: “the people of the holy ones is faithful.”</w:t>
      </w:r>
    </w:p>
  </w:footnote>
  <w:footnote w:id="518">
    <w:p w:rsidR="00C5566B" w:rsidRDefault="00C5566B">
      <w:pPr>
        <w:pStyle w:val="FootnoteText"/>
      </w:pPr>
      <w:r>
        <w:rPr>
          <w:rStyle w:val="FootnoteReference"/>
        </w:rPr>
        <w:footnoteRef/>
      </w:r>
      <w:r>
        <w:t xml:space="preserve"> See the note on 9:2.</w:t>
      </w:r>
    </w:p>
  </w:footnote>
  <w:footnote w:id="519">
    <w:p w:rsidR="00C5566B" w:rsidRDefault="00C5566B">
      <w:pPr>
        <w:pStyle w:val="FootnoteText"/>
      </w:pPr>
      <w:r>
        <w:rPr>
          <w:rStyle w:val="FootnoteReference"/>
        </w:rPr>
        <w:footnoteRef/>
      </w:r>
      <w:r>
        <w:t xml:space="preserve"> Literally, “cut”: see Gen. 15.</w:t>
      </w:r>
    </w:p>
  </w:footnote>
  <w:footnote w:id="520">
    <w:p w:rsidR="00C5566B" w:rsidRDefault="00C5566B" w:rsidP="007C4A19">
      <w:pPr>
        <w:pStyle w:val="FootnoteText"/>
      </w:pPr>
      <w:r>
        <w:rPr>
          <w:rStyle w:val="FootnoteReference"/>
        </w:rPr>
        <w:footnoteRef/>
      </w:r>
      <w:r>
        <w:t xml:space="preserve"> BDB, 120a.</w:t>
      </w:r>
    </w:p>
  </w:footnote>
  <w:footnote w:id="521">
    <w:p w:rsidR="00C5566B" w:rsidRPr="001348C3" w:rsidRDefault="00C5566B">
      <w:pPr>
        <w:pStyle w:val="FootnoteText"/>
      </w:pPr>
      <w:r>
        <w:rPr>
          <w:rStyle w:val="FootnoteReference"/>
        </w:rPr>
        <w:footnoteRef/>
      </w:r>
      <w:r>
        <w:t xml:space="preserve"> See </w:t>
      </w:r>
      <w:r>
        <w:rPr>
          <w:i/>
        </w:rPr>
        <w:t>DCH</w:t>
      </w:r>
      <w:r>
        <w:t>, 289b.</w:t>
      </w:r>
    </w:p>
  </w:footnote>
  <w:footnote w:id="522">
    <w:p w:rsidR="00C5566B" w:rsidRPr="004E4C97" w:rsidRDefault="00C5566B">
      <w:pPr>
        <w:pStyle w:val="FootnoteText"/>
      </w:pPr>
      <w:r>
        <w:rPr>
          <w:rStyle w:val="FootnoteReference"/>
        </w:rPr>
        <w:footnoteRef/>
      </w:r>
      <w:r>
        <w:t xml:space="preserve"> Cf. Dearman, </w:t>
      </w:r>
      <w:r>
        <w:rPr>
          <w:i/>
        </w:rPr>
        <w:t>Hosea</w:t>
      </w:r>
      <w:r>
        <w:t>, 284.</w:t>
      </w:r>
    </w:p>
  </w:footnote>
  <w:footnote w:id="523">
    <w:p w:rsidR="00C5566B" w:rsidRPr="00C8304A" w:rsidRDefault="00C5566B">
      <w:pPr>
        <w:pStyle w:val="FootnoteText"/>
      </w:pPr>
      <w:r>
        <w:rPr>
          <w:rStyle w:val="FootnoteReference"/>
        </w:rPr>
        <w:footnoteRef/>
      </w:r>
      <w:r>
        <w:t xml:space="preserve"> See Gustaf Dalman, </w:t>
      </w:r>
      <w:r>
        <w:rPr>
          <w:i/>
        </w:rPr>
        <w:t xml:space="preserve">Arbeit und Sitte in Palästina </w:t>
      </w:r>
      <w:r>
        <w:t>(reprinted Hildesheim: Olms, 1964)</w:t>
      </w:r>
      <w:r>
        <w:rPr>
          <w:i/>
        </w:rPr>
        <w:t xml:space="preserve"> </w:t>
      </w:r>
      <w:r>
        <w:t xml:space="preserve">2:99-100 (cf. Wolff, </w:t>
      </w:r>
      <w:r>
        <w:rPr>
          <w:i/>
        </w:rPr>
        <w:t>Hosea</w:t>
      </w:r>
      <w:r>
        <w:t>, 199-200).</w:t>
      </w:r>
    </w:p>
  </w:footnote>
  <w:footnote w:id="524">
    <w:p w:rsidR="00C5566B" w:rsidRPr="00CB27B1" w:rsidRDefault="00C5566B">
      <w:pPr>
        <w:pStyle w:val="FootnoteText"/>
      </w:pPr>
      <w:r>
        <w:rPr>
          <w:rStyle w:val="FootnoteReference"/>
        </w:rPr>
        <w:footnoteRef/>
      </w:r>
      <w:r>
        <w:t xml:space="preserve"> Cf. Sweeney, </w:t>
      </w:r>
      <w:r>
        <w:rPr>
          <w:i/>
        </w:rPr>
        <w:t>Twelve Prophets</w:t>
      </w:r>
      <w:r>
        <w:t>, 1:115.</w:t>
      </w:r>
    </w:p>
  </w:footnote>
  <w:footnote w:id="525">
    <w:p w:rsidR="00C5566B" w:rsidRPr="00B74C13" w:rsidRDefault="00C5566B">
      <w:pPr>
        <w:pStyle w:val="FootnoteText"/>
      </w:pPr>
      <w:r>
        <w:rPr>
          <w:rStyle w:val="FootnoteReference"/>
        </w:rPr>
        <w:footnoteRef/>
      </w:r>
      <w:r>
        <w:t xml:space="preserve"> Wolff, </w:t>
      </w:r>
      <w:r>
        <w:rPr>
          <w:i/>
        </w:rPr>
        <w:t>Hosea</w:t>
      </w:r>
      <w:r>
        <w:t>, 202.</w:t>
      </w:r>
    </w:p>
  </w:footnote>
  <w:footnote w:id="526">
    <w:p w:rsidR="00C5566B" w:rsidRPr="00243856" w:rsidRDefault="00C5566B">
      <w:pPr>
        <w:pStyle w:val="FootnoteText"/>
      </w:pPr>
      <w:r>
        <w:rPr>
          <w:rStyle w:val="FootnoteReference"/>
        </w:rPr>
        <w:footnoteRef/>
      </w:r>
      <w:r>
        <w:t xml:space="preserve"> Macintosh, </w:t>
      </w:r>
      <w:r>
        <w:rPr>
          <w:i/>
        </w:rPr>
        <w:t>Hosea</w:t>
      </w:r>
      <w:r>
        <w:t>, 475.</w:t>
      </w:r>
    </w:p>
  </w:footnote>
  <w:footnote w:id="527">
    <w:p w:rsidR="00C5566B" w:rsidRPr="00542ECE" w:rsidRDefault="00C5566B">
      <w:pPr>
        <w:pStyle w:val="FootnoteText"/>
      </w:pPr>
      <w:r>
        <w:rPr>
          <w:rStyle w:val="FootnoteReference"/>
        </w:rPr>
        <w:footnoteRef/>
      </w:r>
      <w:r>
        <w:t xml:space="preserve"> Stuart, </w:t>
      </w:r>
      <w:r>
        <w:rPr>
          <w:i/>
        </w:rPr>
        <w:t>Hosea-Jonah</w:t>
      </w:r>
      <w:r>
        <w:t>, 189.</w:t>
      </w:r>
    </w:p>
  </w:footnote>
  <w:footnote w:id="528">
    <w:p w:rsidR="00C5566B" w:rsidRPr="002B375B" w:rsidRDefault="00C5566B">
      <w:pPr>
        <w:pStyle w:val="FootnoteText"/>
      </w:pPr>
      <w:r>
        <w:rPr>
          <w:rStyle w:val="FootnoteReference"/>
        </w:rPr>
        <w:footnoteRef/>
      </w:r>
      <w:r>
        <w:t xml:space="preserve"> </w:t>
      </w:r>
      <w:r>
        <w:rPr>
          <w:i/>
        </w:rPr>
        <w:t>Twelve Prophets</w:t>
      </w:r>
      <w:r>
        <w:t>, 86.</w:t>
      </w:r>
    </w:p>
  </w:footnote>
  <w:footnote w:id="529">
    <w:p w:rsidR="00C5566B" w:rsidRDefault="00C5566B">
      <w:pPr>
        <w:pStyle w:val="FootnoteText"/>
      </w:pPr>
      <w:r>
        <w:rPr>
          <w:rStyle w:val="FootnoteReference"/>
        </w:rPr>
        <w:footnoteRef/>
      </w:r>
      <w:r>
        <w:t xml:space="preserve"> </w:t>
      </w:r>
      <w:r>
        <w:rPr>
          <w:i/>
        </w:rPr>
        <w:t>I</w:t>
      </w:r>
      <w:r w:rsidRPr="00C54572">
        <w:rPr>
          <w:i/>
        </w:rPr>
        <w:t>n Osee prophetam</w:t>
      </w:r>
      <w:r>
        <w:t>, on 10:12 (PL 25, columns 915b-916</w:t>
      </w:r>
      <w:r w:rsidRPr="00C54572">
        <w:t>a).</w:t>
      </w:r>
    </w:p>
  </w:footnote>
  <w:footnote w:id="530">
    <w:p w:rsidR="00C5566B" w:rsidRPr="002B72E8" w:rsidRDefault="00C5566B">
      <w:pPr>
        <w:pStyle w:val="FootnoteText"/>
      </w:pPr>
      <w:r>
        <w:rPr>
          <w:rStyle w:val="FootnoteReference"/>
        </w:rPr>
        <w:footnoteRef/>
      </w:r>
      <w:r>
        <w:t xml:space="preserve"> </w:t>
      </w:r>
      <w:r w:rsidRPr="009C2C74">
        <w:rPr>
          <w:i/>
        </w:rPr>
        <w:t>Minor Prophets</w:t>
      </w:r>
      <w:r w:rsidRPr="009C2C74">
        <w:t xml:space="preserve"> </w:t>
      </w:r>
      <w:r>
        <w:t xml:space="preserve">1:387. Cf. G. K. Beale, “The Use of Hosea 11:1 in Matthew 2:15,” </w:t>
      </w:r>
      <w:r>
        <w:rPr>
          <w:i/>
        </w:rPr>
        <w:t>JETS</w:t>
      </w:r>
      <w:r>
        <w:t xml:space="preserve"> 55 (2012): 697-715.</w:t>
      </w:r>
    </w:p>
  </w:footnote>
  <w:footnote w:id="531">
    <w:p w:rsidR="00C5566B" w:rsidRPr="0069537E" w:rsidRDefault="00C5566B" w:rsidP="001F3349">
      <w:pPr>
        <w:pStyle w:val="FootnoteText"/>
      </w:pPr>
      <w:r>
        <w:rPr>
          <w:rStyle w:val="FootnoteReference"/>
        </w:rPr>
        <w:footnoteRef/>
      </w:r>
      <w:r>
        <w:t xml:space="preserve"> Holt, </w:t>
      </w:r>
      <w:r>
        <w:rPr>
          <w:i/>
        </w:rPr>
        <w:t>Prophesying the Past</w:t>
      </w:r>
      <w:r>
        <w:t>, 144.</w:t>
      </w:r>
    </w:p>
  </w:footnote>
  <w:footnote w:id="532">
    <w:p w:rsidR="00C5566B" w:rsidRPr="008E5348" w:rsidRDefault="00C5566B">
      <w:pPr>
        <w:pStyle w:val="FootnoteText"/>
      </w:pPr>
      <w:r>
        <w:rPr>
          <w:rStyle w:val="FootnoteReference"/>
        </w:rPr>
        <w:footnoteRef/>
      </w:r>
      <w:r>
        <w:t xml:space="preserve"> Joy Philip Kakkanattu, </w:t>
      </w:r>
      <w:r>
        <w:rPr>
          <w:i/>
        </w:rPr>
        <w:t>God’s Enduring Love in the Book of Hosea</w:t>
      </w:r>
      <w:r>
        <w:t xml:space="preserve"> (Tübingen: Mohr, 2006), 129.</w:t>
      </w:r>
    </w:p>
  </w:footnote>
  <w:footnote w:id="533">
    <w:p w:rsidR="00C5566B" w:rsidRDefault="00C5566B">
      <w:pPr>
        <w:pStyle w:val="FootnoteText"/>
      </w:pPr>
      <w:r>
        <w:rPr>
          <w:rStyle w:val="FootnoteReference"/>
        </w:rPr>
        <w:footnoteRef/>
      </w:r>
      <w:r>
        <w:t xml:space="preserve"> Calvin, </w:t>
      </w:r>
      <w:r w:rsidRPr="009C2C74">
        <w:rPr>
          <w:i/>
        </w:rPr>
        <w:t>Minor Prophets</w:t>
      </w:r>
      <w:r w:rsidRPr="009C2C74">
        <w:t xml:space="preserve"> 1:</w:t>
      </w:r>
      <w:r>
        <w:t>401-2.</w:t>
      </w:r>
    </w:p>
  </w:footnote>
  <w:footnote w:id="534">
    <w:p w:rsidR="00C5566B" w:rsidRPr="00AA6671" w:rsidRDefault="00C5566B" w:rsidP="009A3CEC">
      <w:pPr>
        <w:pStyle w:val="FootnoteText"/>
      </w:pPr>
      <w:r>
        <w:rPr>
          <w:rStyle w:val="FootnoteReference"/>
        </w:rPr>
        <w:footnoteRef/>
      </w:r>
      <w:r>
        <w:t xml:space="preserve"> </w:t>
      </w:r>
      <w:r w:rsidRPr="00AA6671">
        <w:rPr>
          <w:rFonts w:eastAsiaTheme="minorHAnsi" w:cs="TimesNewRomanPS-BoldMT"/>
          <w:bCs/>
        </w:rPr>
        <w:t>Barbara M. Leung Lai, “</w:t>
      </w:r>
      <w:r>
        <w:rPr>
          <w:rFonts w:eastAsiaTheme="minorHAnsi" w:cs="TimesNewRomanPS-BoldMT"/>
          <w:bCs/>
        </w:rPr>
        <w:t>Hearing G</w:t>
      </w:r>
      <w:r w:rsidRPr="00AA6671">
        <w:rPr>
          <w:rFonts w:eastAsiaTheme="minorHAnsi" w:cs="TimesNewRomanPS-BoldMT"/>
          <w:bCs/>
        </w:rPr>
        <w:t>od’s Bitter Cries (Hosea 11:1-9</w:t>
      </w:r>
      <w:r>
        <w:rPr>
          <w:rFonts w:eastAsiaTheme="minorHAnsi" w:cs="TimesNewRomanPS-BoldMT"/>
          <w:bCs/>
        </w:rPr>
        <w:t>)</w:t>
      </w:r>
      <w:r w:rsidRPr="00AA6671">
        <w:rPr>
          <w:rFonts w:eastAsiaTheme="minorHAnsi" w:cs="TimesNewRomanPS-BoldMT"/>
          <w:bCs/>
        </w:rPr>
        <w:t xml:space="preserve">,” </w:t>
      </w:r>
      <w:r>
        <w:rPr>
          <w:rFonts w:eastAsiaTheme="minorHAnsi" w:cs="TimesNewRomanPS-BoldMT"/>
          <w:bCs/>
          <w:i/>
        </w:rPr>
        <w:t>HBT</w:t>
      </w:r>
      <w:r>
        <w:rPr>
          <w:rFonts w:eastAsiaTheme="minorHAnsi" w:cs="TimesNewRomanPS-BoldMT"/>
          <w:bCs/>
        </w:rPr>
        <w:t xml:space="preserve"> </w:t>
      </w:r>
      <w:r w:rsidRPr="00AA6671">
        <w:rPr>
          <w:rFonts w:eastAsiaTheme="minorHAnsi" w:cs="TimesNewRomanPS-BoldMT"/>
          <w:bCs/>
        </w:rPr>
        <w:t>26 (2004): 24-49</w:t>
      </w:r>
      <w:r>
        <w:rPr>
          <w:rFonts w:eastAsiaTheme="minorHAnsi" w:cs="TimesNewRomanPS-BoldMT"/>
          <w:bCs/>
        </w:rPr>
        <w:t xml:space="preserve"> (48-49).</w:t>
      </w:r>
    </w:p>
  </w:footnote>
  <w:footnote w:id="535">
    <w:p w:rsidR="00C5566B" w:rsidRPr="00EE703D" w:rsidRDefault="00C5566B" w:rsidP="003A7486">
      <w:pPr>
        <w:pStyle w:val="FootnoteText"/>
      </w:pPr>
      <w:r>
        <w:rPr>
          <w:rStyle w:val="FootnoteReference"/>
        </w:rPr>
        <w:footnoteRef/>
      </w:r>
      <w:r>
        <w:t xml:space="preserve"> Fishbane, </w:t>
      </w:r>
      <w:r>
        <w:rPr>
          <w:i/>
        </w:rPr>
        <w:t>Haftarot</w:t>
      </w:r>
      <w:r>
        <w:t>, 35.</w:t>
      </w:r>
    </w:p>
  </w:footnote>
  <w:footnote w:id="536">
    <w:p w:rsidR="00C5566B" w:rsidRPr="00FB1CE7" w:rsidRDefault="00C5566B" w:rsidP="004B793C">
      <w:pPr>
        <w:pStyle w:val="FootnoteText"/>
      </w:pPr>
      <w:r>
        <w:rPr>
          <w:rStyle w:val="FootnoteReference"/>
        </w:rPr>
        <w:footnoteRef/>
      </w:r>
      <w:r>
        <w:t xml:space="preserve"> Andersen/Freedman, </w:t>
      </w:r>
      <w:r>
        <w:rPr>
          <w:i/>
        </w:rPr>
        <w:t>Hosea</w:t>
      </w:r>
      <w:r>
        <w:t>, 588.</w:t>
      </w:r>
    </w:p>
  </w:footnote>
  <w:footnote w:id="537">
    <w:p w:rsidR="00C5566B" w:rsidRPr="00CC0CEE" w:rsidRDefault="00C5566B" w:rsidP="00955F58">
      <w:pPr>
        <w:pStyle w:val="FootnoteText"/>
      </w:pPr>
      <w:r>
        <w:rPr>
          <w:rStyle w:val="FootnoteReference"/>
        </w:rPr>
        <w:footnoteRef/>
      </w:r>
      <w:r>
        <w:t xml:space="preserve"> Davies, </w:t>
      </w:r>
      <w:r>
        <w:rPr>
          <w:i/>
        </w:rPr>
        <w:t>Hosea</w:t>
      </w:r>
      <w:r>
        <w:t>, 264.</w:t>
      </w:r>
    </w:p>
  </w:footnote>
  <w:footnote w:id="538">
    <w:p w:rsidR="00C5566B" w:rsidRDefault="00C5566B">
      <w:pPr>
        <w:pStyle w:val="FootnoteText"/>
      </w:pPr>
      <w:r>
        <w:rPr>
          <w:rStyle w:val="FootnoteReference"/>
        </w:rPr>
        <w:footnoteRef/>
      </w:r>
      <w:r>
        <w:t xml:space="preserve"> </w:t>
      </w:r>
      <w:r w:rsidRPr="00246DFA">
        <w:t xml:space="preserve">Kakkanattu, </w:t>
      </w:r>
      <w:r w:rsidRPr="00246DFA">
        <w:rPr>
          <w:i/>
        </w:rPr>
        <w:t>God’s En</w:t>
      </w:r>
      <w:r>
        <w:rPr>
          <w:i/>
        </w:rPr>
        <w:t>during Love in the Book of Hosea</w:t>
      </w:r>
      <w:r>
        <w:t>, 190.</w:t>
      </w:r>
    </w:p>
  </w:footnote>
  <w:footnote w:id="539">
    <w:p w:rsidR="00C5566B" w:rsidRPr="00011B18" w:rsidRDefault="00C5566B">
      <w:pPr>
        <w:pStyle w:val="FootnoteText"/>
      </w:pPr>
      <w:r>
        <w:rPr>
          <w:rStyle w:val="FootnoteReference"/>
        </w:rPr>
        <w:footnoteRef/>
      </w:r>
      <w:r>
        <w:t xml:space="preserve"> Ben Zvi, </w:t>
      </w:r>
      <w:r>
        <w:rPr>
          <w:i/>
        </w:rPr>
        <w:t xml:space="preserve">Hosea, </w:t>
      </w:r>
      <w:r>
        <w:t>226.</w:t>
      </w:r>
    </w:p>
  </w:footnote>
  <w:footnote w:id="540">
    <w:p w:rsidR="00C5566B" w:rsidRPr="00F958FF" w:rsidRDefault="00C5566B">
      <w:pPr>
        <w:pStyle w:val="FootnoteText"/>
      </w:pPr>
      <w:r>
        <w:rPr>
          <w:rStyle w:val="FootnoteReference"/>
        </w:rPr>
        <w:footnoteRef/>
      </w:r>
      <w:r>
        <w:t xml:space="preserve"> As Wolff says about vv. 1-11 (</w:t>
      </w:r>
      <w:r>
        <w:rPr>
          <w:i/>
        </w:rPr>
        <w:t>Hosea</w:t>
      </w:r>
      <w:r>
        <w:t>, 203).</w:t>
      </w:r>
    </w:p>
  </w:footnote>
  <w:footnote w:id="541">
    <w:p w:rsidR="00C5566B" w:rsidRPr="00CE5128" w:rsidRDefault="00C5566B">
      <w:pPr>
        <w:pStyle w:val="FootnoteText"/>
      </w:pPr>
      <w:r>
        <w:rPr>
          <w:rStyle w:val="FootnoteReference"/>
        </w:rPr>
        <w:footnoteRef/>
      </w:r>
      <w:r>
        <w:t xml:space="preserve"> As Jeremias says about vv. 1-11 (</w:t>
      </w:r>
      <w:r>
        <w:rPr>
          <w:i/>
        </w:rPr>
        <w:t>Hosea</w:t>
      </w:r>
      <w:r>
        <w:t>, 139).</w:t>
      </w:r>
    </w:p>
  </w:footnote>
  <w:footnote w:id="542">
    <w:p w:rsidR="00C5566B" w:rsidRPr="00282E3E" w:rsidRDefault="00C5566B">
      <w:pPr>
        <w:pStyle w:val="FootnoteText"/>
      </w:pPr>
      <w:r>
        <w:rPr>
          <w:rStyle w:val="FootnoteReference"/>
        </w:rPr>
        <w:footnoteRef/>
      </w:r>
      <w:r>
        <w:t xml:space="preserve"> Landy, </w:t>
      </w:r>
      <w:r>
        <w:rPr>
          <w:i/>
        </w:rPr>
        <w:t>Hosea</w:t>
      </w:r>
      <w:r>
        <w:t>, 139.</w:t>
      </w:r>
    </w:p>
  </w:footnote>
  <w:footnote w:id="543">
    <w:p w:rsidR="00C5566B" w:rsidRDefault="00C5566B" w:rsidP="003A7486">
      <w:pPr>
        <w:pStyle w:val="FootnoteText"/>
      </w:pPr>
      <w:r>
        <w:rPr>
          <w:rStyle w:val="FootnoteReference"/>
        </w:rPr>
        <w:footnoteRef/>
      </w:r>
      <w:r>
        <w:t xml:space="preserve"> Calvin, </w:t>
      </w:r>
      <w:r w:rsidRPr="009C2C74">
        <w:rPr>
          <w:i/>
        </w:rPr>
        <w:t>Minor Prophets</w:t>
      </w:r>
      <w:r w:rsidRPr="009C2C74">
        <w:t xml:space="preserve"> 1:</w:t>
      </w:r>
      <w:r>
        <w:t>402.</w:t>
      </w:r>
    </w:p>
  </w:footnote>
  <w:footnote w:id="544">
    <w:p w:rsidR="00C5566B" w:rsidRPr="00A27847" w:rsidRDefault="00C5566B" w:rsidP="003A7486">
      <w:pPr>
        <w:pStyle w:val="FootnoteText"/>
      </w:pPr>
      <w:r>
        <w:rPr>
          <w:rStyle w:val="FootnoteReference"/>
        </w:rPr>
        <w:footnoteRef/>
      </w:r>
      <w:r>
        <w:t xml:space="preserve"> Fisch, </w:t>
      </w:r>
      <w:r>
        <w:rPr>
          <w:i/>
        </w:rPr>
        <w:t>Poetry with a Purpose</w:t>
      </w:r>
      <w:r>
        <w:t>, 140.</w:t>
      </w:r>
    </w:p>
  </w:footnote>
  <w:footnote w:id="545">
    <w:p w:rsidR="00C5566B" w:rsidRDefault="00C5566B" w:rsidP="00AD50FD">
      <w:pPr>
        <w:pStyle w:val="FootnoteText"/>
      </w:pPr>
      <w:r>
        <w:rPr>
          <w:rStyle w:val="FootnoteReference"/>
        </w:rPr>
        <w:footnoteRef/>
      </w:r>
      <w:r>
        <w:t xml:space="preserve"> The link with what follows indicates that the noun clause has past reference.</w:t>
      </w:r>
    </w:p>
  </w:footnote>
  <w:footnote w:id="546">
    <w:p w:rsidR="00C5566B" w:rsidRDefault="00C5566B">
      <w:pPr>
        <w:pStyle w:val="FootnoteText"/>
      </w:pPr>
      <w:r>
        <w:rPr>
          <w:rStyle w:val="FootnoteReference"/>
        </w:rPr>
        <w:footnoteRef/>
      </w:r>
      <w:r>
        <w:t xml:space="preserve"> The infinitive can function like a finite verb even following a noun clause (JM 124p). On the verb, see the note on 1:4.</w:t>
      </w:r>
    </w:p>
  </w:footnote>
  <w:footnote w:id="547">
    <w:p w:rsidR="00C5566B" w:rsidRDefault="00C5566B" w:rsidP="004D6815">
      <w:pPr>
        <w:pStyle w:val="FootnoteText"/>
      </w:pPr>
      <w:r>
        <w:rPr>
          <w:rStyle w:val="FootnoteReference"/>
        </w:rPr>
        <w:footnoteRef/>
      </w:r>
      <w:r>
        <w:t xml:space="preserve"> The yiqtol verb has past imperfect significance, referring to the more-than-one occasion when these meetings happened; so also several other yiqtols in this section.</w:t>
      </w:r>
    </w:p>
  </w:footnote>
  <w:footnote w:id="548">
    <w:p w:rsidR="00C5566B" w:rsidRPr="00645510" w:rsidRDefault="00C5566B">
      <w:pPr>
        <w:pStyle w:val="FootnoteText"/>
      </w:pPr>
      <w:r>
        <w:rPr>
          <w:rStyle w:val="FootnoteReference"/>
        </w:rPr>
        <w:footnoteRef/>
      </w:r>
      <w:r>
        <w:t xml:space="preserve"> LXX derives </w:t>
      </w:r>
      <w:r>
        <w:rPr>
          <w:i/>
        </w:rPr>
        <w:t>’ônô</w:t>
      </w:r>
      <w:r>
        <w:t xml:space="preserve"> from </w:t>
      </w:r>
      <w:r>
        <w:rPr>
          <w:i/>
        </w:rPr>
        <w:t>’āwen</w:t>
      </w:r>
      <w:r>
        <w:t xml:space="preserve"> “evil, trouble” (cf. v. 11 [12] and the note on v. 8 [9]).</w:t>
      </w:r>
    </w:p>
  </w:footnote>
  <w:footnote w:id="549">
    <w:p w:rsidR="00C5566B" w:rsidRDefault="00C5566B">
      <w:pPr>
        <w:pStyle w:val="FootnoteText"/>
      </w:pPr>
      <w:r>
        <w:rPr>
          <w:rStyle w:val="FootnoteReference"/>
        </w:rPr>
        <w:footnoteRef/>
      </w:r>
      <w:r>
        <w:t xml:space="preserve"> Aq, Vg render </w:t>
      </w:r>
      <w:r>
        <w:rPr>
          <w:i/>
        </w:rPr>
        <w:t xml:space="preserve">’ĕlōhîm </w:t>
      </w:r>
      <w:r>
        <w:t>“an angel” (Vg then uses the same word in the next line).</w:t>
      </w:r>
    </w:p>
  </w:footnote>
  <w:footnote w:id="550">
    <w:p w:rsidR="00C5566B" w:rsidRPr="00C20883" w:rsidRDefault="00C5566B" w:rsidP="008E5973">
      <w:pPr>
        <w:pStyle w:val="FootnoteText"/>
      </w:pPr>
      <w:r>
        <w:rPr>
          <w:rStyle w:val="FootnoteReference"/>
        </w:rPr>
        <w:footnoteRef/>
      </w:r>
      <w:r>
        <w:t xml:space="preserve"> LXX repeats “he exerted himself,” but </w:t>
      </w:r>
      <w:r>
        <w:rPr>
          <w:i/>
        </w:rPr>
        <w:t>wayyāśar</w:t>
      </w:r>
      <w:r>
        <w:t xml:space="preserve"> is from  </w:t>
      </w:r>
      <w:r>
        <w:rPr>
          <w:i/>
        </w:rPr>
        <w:t>śārār</w:t>
      </w:r>
      <w:r>
        <w:t xml:space="preserve"> not </w:t>
      </w:r>
      <w:r>
        <w:rPr>
          <w:i/>
        </w:rPr>
        <w:t>śārāh</w:t>
      </w:r>
      <w:r>
        <w:t xml:space="preserve"> (cf. Vg, Sym).</w:t>
      </w:r>
    </w:p>
  </w:footnote>
  <w:footnote w:id="551">
    <w:p w:rsidR="00C5566B" w:rsidRPr="008E5973" w:rsidRDefault="00C5566B">
      <w:pPr>
        <w:pStyle w:val="FootnoteText"/>
      </w:pPr>
      <w:r>
        <w:rPr>
          <w:rStyle w:val="FootnoteReference"/>
        </w:rPr>
        <w:footnoteRef/>
      </w:r>
      <w:r>
        <w:t xml:space="preserve"> The preposition </w:t>
      </w:r>
      <w:r>
        <w:rPr>
          <w:i/>
        </w:rPr>
        <w:t>’el</w:t>
      </w:r>
      <w:r>
        <w:t xml:space="preserve"> is odd, but it generates a paronomasia between </w:t>
      </w:r>
      <w:r w:rsidRPr="008E5973">
        <w:rPr>
          <w:i/>
        </w:rPr>
        <w:t>wayyāśar</w:t>
      </w:r>
      <w:r>
        <w:rPr>
          <w:i/>
        </w:rPr>
        <w:t xml:space="preserve"> </w:t>
      </w:r>
      <w:r w:rsidRPr="008E5973">
        <w:rPr>
          <w:i/>
        </w:rPr>
        <w:t>’el</w:t>
      </w:r>
      <w:r>
        <w:rPr>
          <w:i/>
        </w:rPr>
        <w:t xml:space="preserve"> </w:t>
      </w:r>
      <w:r>
        <w:t xml:space="preserve">and the name </w:t>
      </w:r>
      <w:r w:rsidRPr="00672004">
        <w:rPr>
          <w:i/>
        </w:rPr>
        <w:t>yiśrā’ēl</w:t>
      </w:r>
      <w:r>
        <w:t xml:space="preserve"> (Dearman, </w:t>
      </w:r>
      <w:r>
        <w:rPr>
          <w:i/>
        </w:rPr>
        <w:t>Hosea</w:t>
      </w:r>
      <w:r>
        <w:t>, 305).</w:t>
      </w:r>
    </w:p>
  </w:footnote>
  <w:footnote w:id="552">
    <w:p w:rsidR="00C5566B" w:rsidRDefault="00C5566B">
      <w:pPr>
        <w:pStyle w:val="FootnoteText"/>
      </w:pPr>
      <w:r>
        <w:rPr>
          <w:rStyle w:val="FootnoteReference"/>
        </w:rPr>
        <w:footnoteRef/>
      </w:r>
      <w:r>
        <w:t xml:space="preserve"> Here Aq, Theod have “God.”</w:t>
      </w:r>
    </w:p>
  </w:footnote>
  <w:footnote w:id="553">
    <w:p w:rsidR="00C5566B" w:rsidRDefault="00C5566B">
      <w:pPr>
        <w:pStyle w:val="FootnoteText"/>
      </w:pPr>
      <w:r>
        <w:rPr>
          <w:rStyle w:val="FootnoteReference"/>
        </w:rPr>
        <w:footnoteRef/>
      </w:r>
      <w:r>
        <w:t xml:space="preserve"> JPSV makes the envoy the subject, but the continuation from the previous colon, the links with the Genesis story, and the reference to God in the previous line suggest that Jacob is the subject. Ben Zvi (</w:t>
      </w:r>
      <w:r>
        <w:rPr>
          <w:i/>
        </w:rPr>
        <w:t>Hosea</w:t>
      </w:r>
      <w:r>
        <w:t>, 249-51) surveys various ways of understanding the third-person references in vv. 4-6 [5-7].</w:t>
      </w:r>
    </w:p>
  </w:footnote>
  <w:footnote w:id="554">
    <w:p w:rsidR="00C5566B" w:rsidRDefault="00C5566B">
      <w:pPr>
        <w:pStyle w:val="FootnoteText"/>
      </w:pPr>
      <w:r>
        <w:rPr>
          <w:rStyle w:val="FootnoteReference"/>
        </w:rPr>
        <w:footnoteRef/>
      </w:r>
      <w:r>
        <w:t xml:space="preserve"> Again the continuation from v. 4a [5a] suggests that “he” is Jacob.</w:t>
      </w:r>
    </w:p>
  </w:footnote>
  <w:footnote w:id="555">
    <w:p w:rsidR="00C5566B" w:rsidRPr="006D0507" w:rsidRDefault="00C5566B">
      <w:pPr>
        <w:pStyle w:val="FootnoteText"/>
      </w:pPr>
      <w:r>
        <w:rPr>
          <w:rStyle w:val="FootnoteReference"/>
        </w:rPr>
        <w:footnoteRef/>
      </w:r>
      <w:r>
        <w:t xml:space="preserve"> </w:t>
      </w:r>
      <w:r>
        <w:rPr>
          <w:i/>
        </w:rPr>
        <w:t>‘Immānû</w:t>
      </w:r>
      <w:r>
        <w:t xml:space="preserve"> is the regular first-person plural form (cf. Tg), though it could possibly be understood as third-person </w:t>
      </w:r>
      <w:r w:rsidRPr="006D0507">
        <w:t xml:space="preserve">(see </w:t>
      </w:r>
      <w:r w:rsidRPr="006D0507">
        <w:rPr>
          <w:rFonts w:eastAsiaTheme="minorHAnsi" w:cs="TimesNewRomanPSMT"/>
          <w:sz w:val="18"/>
          <w:szCs w:val="18"/>
        </w:rPr>
        <w:t xml:space="preserve">William D. Whitt, “The Jacob Traditions in Hosea and their Relation to Genesis,” </w:t>
      </w:r>
      <w:r w:rsidRPr="006D0507">
        <w:rPr>
          <w:rFonts w:eastAsiaTheme="minorHAnsi" w:cs="TimesNewRomanPSMT"/>
          <w:i/>
          <w:sz w:val="18"/>
          <w:szCs w:val="18"/>
        </w:rPr>
        <w:t>ZAW</w:t>
      </w:r>
      <w:r>
        <w:rPr>
          <w:rFonts w:eastAsiaTheme="minorHAnsi" w:cs="TimesNewRomanPSMT"/>
          <w:sz w:val="18"/>
          <w:szCs w:val="18"/>
        </w:rPr>
        <w:t xml:space="preserve"> 103 [1991]: 18-43 [46]</w:t>
      </w:r>
      <w:r w:rsidRPr="006D0507">
        <w:rPr>
          <w:rFonts w:eastAsiaTheme="minorHAnsi" w:cs="TimesNewRomanPSMT"/>
          <w:sz w:val="18"/>
          <w:szCs w:val="18"/>
        </w:rPr>
        <w:t xml:space="preserve">; cf. </w:t>
      </w:r>
      <w:r w:rsidRPr="006D0507">
        <w:rPr>
          <w:rFonts w:eastAsiaTheme="minorHAnsi" w:cs="TimesNewRomanPSMT"/>
          <w:i/>
          <w:sz w:val="18"/>
          <w:szCs w:val="18"/>
        </w:rPr>
        <w:t>DCH</w:t>
      </w:r>
      <w:r w:rsidRPr="006D0507">
        <w:rPr>
          <w:rFonts w:eastAsiaTheme="minorHAnsi" w:cs="TimesNewRomanPSMT"/>
          <w:sz w:val="18"/>
          <w:szCs w:val="18"/>
        </w:rPr>
        <w:t xml:space="preserve">; also GK 103i on </w:t>
      </w:r>
      <w:r w:rsidRPr="006D0507">
        <w:rPr>
          <w:rFonts w:eastAsiaTheme="minorHAnsi" w:cs="TimesNewRomanPSMT"/>
          <w:i/>
          <w:sz w:val="18"/>
          <w:szCs w:val="18"/>
        </w:rPr>
        <w:t>min</w:t>
      </w:r>
      <w:r>
        <w:rPr>
          <w:rFonts w:eastAsiaTheme="minorHAnsi" w:cs="TimesNewRomanPSMT"/>
          <w:sz w:val="18"/>
          <w:szCs w:val="18"/>
        </w:rPr>
        <w:t>; and LXX, though it is likely assimilating to the context).</w:t>
      </w:r>
    </w:p>
  </w:footnote>
  <w:footnote w:id="556">
    <w:p w:rsidR="00C5566B" w:rsidRDefault="00C5566B">
      <w:pPr>
        <w:pStyle w:val="FootnoteText"/>
      </w:pPr>
      <w:r>
        <w:rPr>
          <w:rStyle w:val="FootnoteReference"/>
        </w:rPr>
        <w:footnoteRef/>
      </w:r>
      <w:r>
        <w:t xml:space="preserve"> </w:t>
      </w:r>
      <w:r>
        <w:rPr>
          <w:i/>
        </w:rPr>
        <w:t>Bə</w:t>
      </w:r>
      <w:r>
        <w:t xml:space="preserve">, thus not “to” (Vg). </w:t>
      </w:r>
    </w:p>
  </w:footnote>
  <w:footnote w:id="557">
    <w:p w:rsidR="00C5566B" w:rsidRDefault="00C5566B">
      <w:pPr>
        <w:pStyle w:val="FootnoteText"/>
      </w:pPr>
      <w:r>
        <w:rPr>
          <w:rStyle w:val="FootnoteReference"/>
        </w:rPr>
        <w:footnoteRef/>
      </w:r>
      <w:r>
        <w:t xml:space="preserve"> Literally, “and.”</w:t>
      </w:r>
    </w:p>
  </w:footnote>
  <w:footnote w:id="558">
    <w:p w:rsidR="00C5566B" w:rsidRPr="00FF4AB1" w:rsidRDefault="00C5566B">
      <w:pPr>
        <w:pStyle w:val="FootnoteText"/>
      </w:pPr>
      <w:r>
        <w:rPr>
          <w:rStyle w:val="FootnoteReference"/>
        </w:rPr>
        <w:footnoteRef/>
      </w:r>
      <w:r>
        <w:t xml:space="preserve"> </w:t>
      </w:r>
      <w:r>
        <w:rPr>
          <w:i/>
        </w:rPr>
        <w:t>Kəna‘an</w:t>
      </w:r>
      <w:r>
        <w:t xml:space="preserve"> no longer refers to Canaan but to the people and area northwest of Ephraim, as in Isa. 23:11; Obad. 20. Aq, Tg have “trader[s],” which </w:t>
      </w:r>
      <w:r>
        <w:rPr>
          <w:i/>
        </w:rPr>
        <w:t>k</w:t>
      </w:r>
      <w:r w:rsidRPr="00FF4AB1">
        <w:rPr>
          <w:i/>
        </w:rPr>
        <w:t>ə</w:t>
      </w:r>
      <w:r>
        <w:rPr>
          <w:i/>
        </w:rPr>
        <w:t>na‘ă</w:t>
      </w:r>
      <w:r w:rsidRPr="00FF4AB1">
        <w:rPr>
          <w:i/>
        </w:rPr>
        <w:t>n</w:t>
      </w:r>
      <w:r>
        <w:rPr>
          <w:i/>
        </w:rPr>
        <w:t>î</w:t>
      </w:r>
      <w:r>
        <w:t xml:space="preserve"> can mean, but here Phoenicia is being contrasted with Ephraim.</w:t>
      </w:r>
    </w:p>
  </w:footnote>
  <w:footnote w:id="559">
    <w:p w:rsidR="00C5566B" w:rsidRPr="0094519D" w:rsidRDefault="00C5566B">
      <w:pPr>
        <w:pStyle w:val="FootnoteText"/>
      </w:pPr>
      <w:r>
        <w:rPr>
          <w:rStyle w:val="FootnoteReference"/>
        </w:rPr>
        <w:footnoteRef/>
      </w:r>
      <w:r>
        <w:t xml:space="preserve"> Cf. LXX, Vg; Tg has “wealth,” which </w:t>
      </w:r>
      <w:r>
        <w:rPr>
          <w:i/>
        </w:rPr>
        <w:t>yəgîa‘</w:t>
      </w:r>
      <w:r>
        <w:t xml:space="preserve"> can mean, but the context and the link with Gen. 31:42 suggest labor itself rather than the result of labor. LXX has third person through v. 8b [9b].</w:t>
      </w:r>
    </w:p>
  </w:footnote>
  <w:footnote w:id="560">
    <w:p w:rsidR="00C5566B" w:rsidRPr="006E25FB" w:rsidRDefault="00C5566B" w:rsidP="006E25FB">
      <w:pPr>
        <w:pStyle w:val="FootnoteText"/>
      </w:pPr>
      <w:r>
        <w:rPr>
          <w:rStyle w:val="FootnoteReference"/>
        </w:rPr>
        <w:footnoteRef/>
      </w:r>
      <w:r>
        <w:t xml:space="preserve"> </w:t>
      </w:r>
      <w:r>
        <w:rPr>
          <w:i/>
        </w:rPr>
        <w:t>Y</w:t>
      </w:r>
      <w:r w:rsidRPr="00420A9F">
        <w:rPr>
          <w:i/>
        </w:rPr>
        <w:t>imșə’û lî ‘āwōn</w:t>
      </w:r>
      <w:r>
        <w:rPr>
          <w:i/>
        </w:rPr>
        <w:t xml:space="preserve"> </w:t>
      </w:r>
      <w:r>
        <w:t>“</w:t>
      </w:r>
      <w:r w:rsidRPr="006E25FB">
        <w:t xml:space="preserve">people will not find </w:t>
      </w:r>
      <w:r w:rsidRPr="00420A9F">
        <w:t xml:space="preserve">as </w:t>
      </w:r>
      <w:r>
        <w:t>far as I’</w:t>
      </w:r>
      <w:r w:rsidRPr="00420A9F">
        <w:t xml:space="preserve">m concerned </w:t>
      </w:r>
      <w:r w:rsidRPr="006E25FB">
        <w:t>waywardness</w:t>
      </w:r>
      <w:r>
        <w:t xml:space="preserve">” is thus similar to </w:t>
      </w:r>
      <w:r w:rsidRPr="00420A9F">
        <w:rPr>
          <w:i/>
        </w:rPr>
        <w:t>māșā’tî ’ôn lî</w:t>
      </w:r>
      <w:r w:rsidRPr="00420A9F">
        <w:t xml:space="preserve"> </w:t>
      </w:r>
      <w:r>
        <w:t xml:space="preserve">“I have found vigor </w:t>
      </w:r>
      <w:r w:rsidRPr="00420A9F">
        <w:t xml:space="preserve">as </w:t>
      </w:r>
      <w:r>
        <w:t>far I’</w:t>
      </w:r>
      <w:r w:rsidRPr="00420A9F">
        <w:t>m concerned</w:t>
      </w:r>
      <w:r>
        <w:t>.” Ephraim claims vigor but not waywardness, but the two words are similar (</w:t>
      </w:r>
      <w:r w:rsidRPr="00420A9F">
        <w:t>Vg, Aq derive</w:t>
      </w:r>
      <w:r w:rsidRPr="00420A9F">
        <w:rPr>
          <w:i/>
        </w:rPr>
        <w:t xml:space="preserve"> ’ôn</w:t>
      </w:r>
      <w:r w:rsidRPr="00420A9F">
        <w:t xml:space="preserve"> from </w:t>
      </w:r>
      <w:r w:rsidRPr="00420A9F">
        <w:rPr>
          <w:i/>
        </w:rPr>
        <w:t>’āwen</w:t>
      </w:r>
      <w:r w:rsidRPr="00420A9F">
        <w:t xml:space="preserve"> “</w:t>
      </w:r>
      <w:r>
        <w:t>evil”: see the note on v. 3 [4]) which raises a question about Ephraim’s claim.</w:t>
      </w:r>
    </w:p>
  </w:footnote>
  <w:footnote w:id="561">
    <w:p w:rsidR="00C5566B" w:rsidRPr="00354ED0" w:rsidRDefault="00C5566B">
      <w:pPr>
        <w:pStyle w:val="FootnoteText"/>
      </w:pPr>
      <w:r>
        <w:rPr>
          <w:rStyle w:val="FootnoteReference"/>
        </w:rPr>
        <w:footnoteRef/>
      </w:r>
      <w:r>
        <w:t xml:space="preserve"> Tg “of old” implies </w:t>
      </w:r>
      <w:r>
        <w:rPr>
          <w:i/>
        </w:rPr>
        <w:t>mē</w:t>
      </w:r>
      <w:r w:rsidRPr="00CD2DE9">
        <w:rPr>
          <w:i/>
        </w:rPr>
        <w:t>‘</w:t>
      </w:r>
      <w:r>
        <w:rPr>
          <w:i/>
        </w:rPr>
        <w:t>ā</w:t>
      </w:r>
      <w:r w:rsidRPr="00CD2DE9">
        <w:rPr>
          <w:i/>
        </w:rPr>
        <w:t xml:space="preserve">d </w:t>
      </w:r>
      <w:r>
        <w:t xml:space="preserve">for </w:t>
      </w:r>
      <w:r>
        <w:rPr>
          <w:i/>
        </w:rPr>
        <w:t>mô‘ēd</w:t>
      </w:r>
      <w:r>
        <w:t>.</w:t>
      </w:r>
    </w:p>
  </w:footnote>
  <w:footnote w:id="562">
    <w:p w:rsidR="00C5566B" w:rsidRPr="0094307A" w:rsidRDefault="00C5566B">
      <w:pPr>
        <w:pStyle w:val="FootnoteText"/>
      </w:pPr>
      <w:r>
        <w:rPr>
          <w:rStyle w:val="FootnoteReference"/>
        </w:rPr>
        <w:footnoteRef/>
      </w:r>
      <w:r>
        <w:t xml:space="preserve"> “Urgently to” translates the unusual </w:t>
      </w:r>
      <w:r>
        <w:rPr>
          <w:i/>
        </w:rPr>
        <w:t>‘al</w:t>
      </w:r>
      <w:r>
        <w:t xml:space="preserve"> rather than </w:t>
      </w:r>
      <w:r>
        <w:rPr>
          <w:i/>
        </w:rPr>
        <w:t>lə</w:t>
      </w:r>
      <w:r>
        <w:t xml:space="preserve"> (Wolff, </w:t>
      </w:r>
      <w:r>
        <w:rPr>
          <w:i/>
        </w:rPr>
        <w:t>Hosea</w:t>
      </w:r>
      <w:r>
        <w:t>, 215).</w:t>
      </w:r>
    </w:p>
  </w:footnote>
  <w:footnote w:id="563">
    <w:p w:rsidR="00C5566B" w:rsidRPr="00DA6D56" w:rsidRDefault="00C5566B">
      <w:pPr>
        <w:pStyle w:val="FootnoteText"/>
      </w:pPr>
      <w:r>
        <w:rPr>
          <w:rStyle w:val="FootnoteReference"/>
        </w:rPr>
        <w:footnoteRef/>
      </w:r>
      <w:r>
        <w:t xml:space="preserve"> NRSV understands </w:t>
      </w:r>
      <w:r>
        <w:rPr>
          <w:i/>
        </w:rPr>
        <w:t xml:space="preserve">’ădammāh </w:t>
      </w:r>
      <w:r>
        <w:t xml:space="preserve">as the only piel occurrence of </w:t>
      </w:r>
      <w:r>
        <w:rPr>
          <w:i/>
        </w:rPr>
        <w:t>dāmāh</w:t>
      </w:r>
      <w:r>
        <w:t xml:space="preserve"> II “destroy” and renders it as future, which seems not to follow as well on v. 10a [11a]. </w:t>
      </w:r>
    </w:p>
  </w:footnote>
  <w:footnote w:id="564">
    <w:p w:rsidR="00C5566B" w:rsidRPr="00E1200C" w:rsidRDefault="00C5566B">
      <w:pPr>
        <w:pStyle w:val="FootnoteText"/>
      </w:pPr>
      <w:r>
        <w:rPr>
          <w:rStyle w:val="FootnoteReference"/>
        </w:rPr>
        <w:footnoteRef/>
      </w:r>
      <w:r>
        <w:t xml:space="preserve"> </w:t>
      </w:r>
      <w:r w:rsidRPr="007913C5">
        <w:t>Vg has “to bulls.”</w:t>
      </w:r>
      <w:r>
        <w:t xml:space="preserve"> The pointing of </w:t>
      </w:r>
      <w:r w:rsidRPr="00A21378">
        <w:rPr>
          <w:i/>
        </w:rPr>
        <w:t>šəwārîm</w:t>
      </w:r>
      <w:r>
        <w:t xml:space="preserve"> invites LXX nicely to read the word as </w:t>
      </w:r>
      <w:r>
        <w:rPr>
          <w:i/>
        </w:rPr>
        <w:t>śārîm</w:t>
      </w:r>
      <w:r>
        <w:t xml:space="preserve"> (officials). </w:t>
      </w:r>
    </w:p>
  </w:footnote>
  <w:footnote w:id="565">
    <w:p w:rsidR="00C5566B" w:rsidRDefault="00C5566B">
      <w:pPr>
        <w:pStyle w:val="FootnoteText"/>
      </w:pPr>
      <w:r>
        <w:rPr>
          <w:rStyle w:val="FootnoteReference"/>
        </w:rPr>
        <w:footnoteRef/>
      </w:r>
      <w:r>
        <w:t xml:space="preserve"> I infer the time reference of the noun clause from the context (see the comments).</w:t>
      </w:r>
    </w:p>
  </w:footnote>
  <w:footnote w:id="566">
    <w:p w:rsidR="00C5566B" w:rsidRPr="00C258F8" w:rsidRDefault="00C5566B">
      <w:pPr>
        <w:pStyle w:val="FootnoteText"/>
      </w:pPr>
      <w:r>
        <w:rPr>
          <w:rStyle w:val="FootnoteReference"/>
        </w:rPr>
        <w:footnoteRef/>
      </w:r>
      <w:r>
        <w:t xml:space="preserve"> Jerome interprets LXX’s </w:t>
      </w:r>
      <w:r>
        <w:rPr>
          <w:i/>
        </w:rPr>
        <w:t xml:space="preserve">chelōnai </w:t>
      </w:r>
      <w:r>
        <w:t>to signify “tortoises” (</w:t>
      </w:r>
      <w:r>
        <w:rPr>
          <w:i/>
        </w:rPr>
        <w:t>I</w:t>
      </w:r>
      <w:r w:rsidRPr="00E95072">
        <w:rPr>
          <w:i/>
        </w:rPr>
        <w:t>n Osee propheta</w:t>
      </w:r>
      <w:r>
        <w:rPr>
          <w:i/>
        </w:rPr>
        <w:t>m</w:t>
      </w:r>
      <w:r w:rsidRPr="00E95072">
        <w:t>, column</w:t>
      </w:r>
      <w:r>
        <w:t xml:space="preserve">s 928d-929a; cf. </w:t>
      </w:r>
      <w:r>
        <w:rPr>
          <w:i/>
        </w:rPr>
        <w:t>DTT</w:t>
      </w:r>
      <w:r w:rsidRPr="000E329B">
        <w:t>,</w:t>
      </w:r>
      <w:r>
        <w:t xml:space="preserve"> 243), but alas the Greek word is probably as prosaic in meaning as Hosea’s (cf. Glenny, </w:t>
      </w:r>
      <w:r>
        <w:rPr>
          <w:i/>
        </w:rPr>
        <w:t>Hosea</w:t>
      </w:r>
      <w:r>
        <w:t xml:space="preserve">, 167-68; and the version in Albert Piersma and Benjamin G. Wright [eds.], </w:t>
      </w:r>
      <w:r>
        <w:rPr>
          <w:i/>
        </w:rPr>
        <w:t>A New English Translation of the Septuagint</w:t>
      </w:r>
      <w:r>
        <w:t xml:space="preserve"> [New York/Oxford: OUP, 2007]).</w:t>
      </w:r>
    </w:p>
  </w:footnote>
  <w:footnote w:id="567">
    <w:p w:rsidR="00C5566B" w:rsidRPr="001A2F9B" w:rsidRDefault="00C5566B">
      <w:pPr>
        <w:pStyle w:val="FootnoteText"/>
      </w:pPr>
      <w:r>
        <w:rPr>
          <w:rStyle w:val="FootnoteReference"/>
        </w:rPr>
        <w:footnoteRef/>
      </w:r>
      <w:r>
        <w:t xml:space="preserve"> Landy, </w:t>
      </w:r>
      <w:r>
        <w:rPr>
          <w:i/>
        </w:rPr>
        <w:t>Hosea</w:t>
      </w:r>
      <w:r>
        <w:t>, 147.</w:t>
      </w:r>
    </w:p>
  </w:footnote>
  <w:footnote w:id="568">
    <w:p w:rsidR="00C5566B" w:rsidRDefault="00C5566B">
      <w:pPr>
        <w:pStyle w:val="FootnoteText"/>
      </w:pPr>
      <w:r>
        <w:rPr>
          <w:rStyle w:val="FootnoteReference"/>
        </w:rPr>
        <w:footnoteRef/>
      </w:r>
      <w:r>
        <w:t xml:space="preserve"> See GK110c</w:t>
      </w:r>
    </w:p>
  </w:footnote>
  <w:footnote w:id="569">
    <w:p w:rsidR="00C5566B" w:rsidRPr="008022DB" w:rsidRDefault="00C5566B">
      <w:pPr>
        <w:pStyle w:val="FootnoteText"/>
      </w:pPr>
      <w:r>
        <w:rPr>
          <w:rStyle w:val="FootnoteReference"/>
        </w:rPr>
        <w:footnoteRef/>
      </w:r>
      <w:r>
        <w:t xml:space="preserve"> Wolff, </w:t>
      </w:r>
      <w:r>
        <w:rPr>
          <w:i/>
        </w:rPr>
        <w:t>Hosea</w:t>
      </w:r>
      <w:r>
        <w:t>, 214.</w:t>
      </w:r>
    </w:p>
  </w:footnote>
  <w:footnote w:id="570">
    <w:p w:rsidR="00C5566B" w:rsidRPr="00FE0453" w:rsidRDefault="00C5566B" w:rsidP="00A01883">
      <w:pPr>
        <w:pStyle w:val="FootnoteText"/>
      </w:pPr>
      <w:r>
        <w:rPr>
          <w:rStyle w:val="FootnoteReference"/>
        </w:rPr>
        <w:footnoteRef/>
      </w:r>
      <w:r>
        <w:t xml:space="preserve"> Rashi </w:t>
      </w:r>
      <w:r w:rsidRPr="00FE0453">
        <w:t xml:space="preserve">in </w:t>
      </w:r>
      <w:r w:rsidRPr="00FE0453">
        <w:rPr>
          <w:i/>
        </w:rPr>
        <w:t>miqrā’ôt gədôlôt</w:t>
      </w:r>
      <w:r>
        <w:t xml:space="preserve"> on v. 6 [7], as translated in Rosenberg, </w:t>
      </w:r>
      <w:r>
        <w:rPr>
          <w:i/>
        </w:rPr>
        <w:t>Twelve Prophets</w:t>
      </w:r>
      <w:r>
        <w:t xml:space="preserve"> 1:75.</w:t>
      </w:r>
    </w:p>
  </w:footnote>
  <w:footnote w:id="571">
    <w:p w:rsidR="00C5566B" w:rsidRPr="000B1A0A" w:rsidRDefault="00C5566B">
      <w:pPr>
        <w:pStyle w:val="FootnoteText"/>
      </w:pPr>
      <w:r>
        <w:rPr>
          <w:rStyle w:val="FootnoteReference"/>
        </w:rPr>
        <w:footnoteRef/>
      </w:r>
      <w:r>
        <w:t xml:space="preserve"> Samuel Johnson, as quoted in James </w:t>
      </w:r>
      <w:r w:rsidRPr="000B1A0A">
        <w:t>Boswell</w:t>
      </w:r>
      <w:r>
        <w:t>,</w:t>
      </w:r>
      <w:r>
        <w:rPr>
          <w:i/>
        </w:rPr>
        <w:t xml:space="preserve"> The Life of </w:t>
      </w:r>
      <w:r w:rsidRPr="000B1A0A">
        <w:rPr>
          <w:i/>
        </w:rPr>
        <w:t>Samuel</w:t>
      </w:r>
      <w:r>
        <w:t xml:space="preserve"> </w:t>
      </w:r>
      <w:r>
        <w:rPr>
          <w:i/>
        </w:rPr>
        <w:t xml:space="preserve">Johnson </w:t>
      </w:r>
      <w:r>
        <w:t>(reprinted London: Sands, 1900), 68.</w:t>
      </w:r>
    </w:p>
  </w:footnote>
  <w:footnote w:id="572">
    <w:p w:rsidR="00C5566B" w:rsidRPr="00B72CF2" w:rsidRDefault="00C5566B">
      <w:pPr>
        <w:pStyle w:val="FootnoteText"/>
      </w:pPr>
      <w:r>
        <w:rPr>
          <w:rStyle w:val="FootnoteReference"/>
        </w:rPr>
        <w:footnoteRef/>
      </w:r>
      <w:r>
        <w:t xml:space="preserve"> The expression equivalent to Paddan-aram (Gen. 28), though the Akkadian word doesn’t seem actually to mean “field” (see </w:t>
      </w:r>
      <w:r>
        <w:rPr>
          <w:i/>
        </w:rPr>
        <w:t>HALOT</w:t>
      </w:r>
      <w:r>
        <w:t>).</w:t>
      </w:r>
    </w:p>
  </w:footnote>
  <w:footnote w:id="573">
    <w:p w:rsidR="00C5566B" w:rsidRDefault="00C5566B">
      <w:pPr>
        <w:pStyle w:val="FootnoteText"/>
      </w:pPr>
      <w:r>
        <w:rPr>
          <w:rStyle w:val="FootnoteReference"/>
        </w:rPr>
        <w:footnoteRef/>
      </w:r>
      <w:r>
        <w:t xml:space="preserve"> TNIV has “he cared for him,” but the verb is niphal.</w:t>
      </w:r>
    </w:p>
  </w:footnote>
  <w:footnote w:id="574">
    <w:p w:rsidR="00C5566B" w:rsidRPr="00015DE2" w:rsidRDefault="00C5566B">
      <w:pPr>
        <w:pStyle w:val="FootnoteText"/>
      </w:pPr>
      <w:r>
        <w:rPr>
          <w:rStyle w:val="FootnoteReference"/>
        </w:rPr>
        <w:footnoteRef/>
      </w:r>
      <w:r>
        <w:t xml:space="preserve"> </w:t>
      </w:r>
      <w:r>
        <w:rPr>
          <w:i/>
        </w:rPr>
        <w:t>Tamrûrîm</w:t>
      </w:r>
      <w:r>
        <w:t>, intensive plural.</w:t>
      </w:r>
    </w:p>
  </w:footnote>
  <w:footnote w:id="575">
    <w:p w:rsidR="00C5566B" w:rsidRPr="00893800" w:rsidRDefault="00C5566B">
      <w:pPr>
        <w:pStyle w:val="FootnoteText"/>
      </w:pPr>
      <w:r>
        <w:rPr>
          <w:rStyle w:val="FootnoteReference"/>
        </w:rPr>
        <w:footnoteRef/>
      </w:r>
      <w:r>
        <w:t xml:space="preserve"> LXX, Vg, Tg suggest “his bloodshed comes to rest,” but there are no other instances of </w:t>
      </w:r>
      <w:r>
        <w:rPr>
          <w:i/>
        </w:rPr>
        <w:t>nātaš</w:t>
      </w:r>
      <w:r>
        <w:t xml:space="preserve"> intransitive.</w:t>
      </w:r>
    </w:p>
  </w:footnote>
  <w:footnote w:id="576">
    <w:p w:rsidR="00C5566B" w:rsidRDefault="00C5566B">
      <w:pPr>
        <w:pStyle w:val="FootnoteText"/>
      </w:pPr>
      <w:r>
        <w:rPr>
          <w:rStyle w:val="FootnoteReference"/>
        </w:rPr>
        <w:footnoteRef/>
      </w:r>
      <w:r>
        <w:t xml:space="preserve"> For the absolute use of </w:t>
      </w:r>
      <w:r>
        <w:rPr>
          <w:i/>
        </w:rPr>
        <w:t xml:space="preserve">nāśā’ </w:t>
      </w:r>
      <w:r>
        <w:t>to signify lifted up his voice, cf. Isa. 3:7; 42:2, 11 (BDB, 670b). For “was exalted” (TNIV) one would expect a niphal verb.</w:t>
      </w:r>
    </w:p>
  </w:footnote>
  <w:footnote w:id="577">
    <w:p w:rsidR="00C5566B" w:rsidRPr="007820A1" w:rsidRDefault="00C5566B">
      <w:pPr>
        <w:pStyle w:val="FootnoteText"/>
      </w:pPr>
      <w:r>
        <w:rPr>
          <w:rStyle w:val="FootnoteReference"/>
        </w:rPr>
        <w:footnoteRef/>
      </w:r>
      <w:r>
        <w:t xml:space="preserve"> For </w:t>
      </w:r>
      <w:r w:rsidRPr="00785176">
        <w:rPr>
          <w:i/>
        </w:rPr>
        <w:t>təbûnām</w:t>
      </w:r>
      <w:r>
        <w:t xml:space="preserve"> </w:t>
      </w:r>
      <w:r w:rsidRPr="00785176">
        <w:t>LXX</w:t>
      </w:r>
      <w:r>
        <w:t>, Vg, Tg</w:t>
      </w:r>
      <w:r>
        <w:rPr>
          <w:i/>
        </w:rPr>
        <w:t xml:space="preserve"> </w:t>
      </w:r>
      <w:r>
        <w:t xml:space="preserve">may suggest </w:t>
      </w:r>
      <w:r w:rsidRPr="00785176">
        <w:rPr>
          <w:i/>
        </w:rPr>
        <w:t>tabnît</w:t>
      </w:r>
      <w:r>
        <w:t xml:space="preserve"> “pattern” or may indicate that the unique </w:t>
      </w:r>
      <w:r>
        <w:rPr>
          <w:i/>
        </w:rPr>
        <w:t xml:space="preserve">tābûn </w:t>
      </w:r>
      <w:r>
        <w:t xml:space="preserve">is a variant form for </w:t>
      </w:r>
      <w:r w:rsidRPr="00F02081">
        <w:rPr>
          <w:i/>
        </w:rPr>
        <w:t>tabnît</w:t>
      </w:r>
      <w:r>
        <w:t xml:space="preserve">; on the phrase, see Stuart A. Irvine, “Idols </w:t>
      </w:r>
      <w:r>
        <w:rPr>
          <w:i/>
        </w:rPr>
        <w:t>ktbwnym</w:t>
      </w:r>
      <w:r>
        <w:t xml:space="preserve">,” </w:t>
      </w:r>
      <w:r>
        <w:rPr>
          <w:i/>
        </w:rPr>
        <w:t>JBL</w:t>
      </w:r>
      <w:r>
        <w:t xml:space="preserve"> 133 (2014): 509-17.</w:t>
      </w:r>
    </w:p>
  </w:footnote>
  <w:footnote w:id="578">
    <w:p w:rsidR="00C5566B" w:rsidRPr="00726E48" w:rsidRDefault="00C5566B">
      <w:pPr>
        <w:pStyle w:val="FootnoteText"/>
      </w:pPr>
      <w:r>
        <w:rPr>
          <w:rStyle w:val="FootnoteReference"/>
        </w:rPr>
        <w:footnoteRef/>
      </w:r>
      <w:r>
        <w:t xml:space="preserve"> Taking </w:t>
      </w:r>
      <w:r>
        <w:rPr>
          <w:i/>
        </w:rPr>
        <w:t>zibḥȇ ’ādām</w:t>
      </w:r>
      <w:r>
        <w:t xml:space="preserve"> as subjective genitive, not objective genitive (people who sacrifice a human being); Hosea does not elsewhere refer to human sacrifice, and when the First Testament refers to human sacrifice, this is not an expression it uses. LXX, Vg imply Imperative </w:t>
      </w:r>
      <w:r w:rsidRPr="00726E48">
        <w:rPr>
          <w:i/>
        </w:rPr>
        <w:t>zibḥ</w:t>
      </w:r>
      <w:r>
        <w:rPr>
          <w:i/>
        </w:rPr>
        <w:t xml:space="preserve">û </w:t>
      </w:r>
      <w:r>
        <w:t>“sacrifice a human being.”</w:t>
      </w:r>
    </w:p>
  </w:footnote>
  <w:footnote w:id="579">
    <w:p w:rsidR="00C5566B" w:rsidRPr="005C0990" w:rsidRDefault="00C5566B">
      <w:pPr>
        <w:pStyle w:val="FootnoteText"/>
      </w:pPr>
      <w:r>
        <w:rPr>
          <w:rStyle w:val="FootnoteReference"/>
        </w:rPr>
        <w:footnoteRef/>
      </w:r>
      <w:r>
        <w:t xml:space="preserve"> LXX “tended you” may imply </w:t>
      </w:r>
      <w:r>
        <w:rPr>
          <w:i/>
        </w:rPr>
        <w:t>rə‘îtîkā</w:t>
      </w:r>
      <w:r>
        <w:t xml:space="preserve"> for MT </w:t>
      </w:r>
      <w:r>
        <w:rPr>
          <w:i/>
        </w:rPr>
        <w:t>yəda‘tîkā</w:t>
      </w:r>
      <w:r>
        <w:t>.</w:t>
      </w:r>
    </w:p>
  </w:footnote>
  <w:footnote w:id="580">
    <w:p w:rsidR="00C5566B" w:rsidRDefault="00C5566B">
      <w:pPr>
        <w:pStyle w:val="FootnoteText"/>
      </w:pPr>
      <w:r>
        <w:rPr>
          <w:rStyle w:val="FootnoteReference"/>
        </w:rPr>
        <w:footnoteRef/>
      </w:r>
      <w:r>
        <w:t xml:space="preserve"> TNIV has “proud,” but see BDB, 926b.</w:t>
      </w:r>
    </w:p>
  </w:footnote>
  <w:footnote w:id="581">
    <w:p w:rsidR="00C5566B" w:rsidRPr="00B14698" w:rsidRDefault="00C5566B">
      <w:pPr>
        <w:pStyle w:val="FootnoteText"/>
      </w:pPr>
      <w:r>
        <w:rPr>
          <w:rStyle w:val="FootnoteReference"/>
        </w:rPr>
        <w:footnoteRef/>
      </w:r>
      <w:r>
        <w:t xml:space="preserve"> </w:t>
      </w:r>
      <w:r>
        <w:rPr>
          <w:i/>
        </w:rPr>
        <w:t>’Āšûr;</w:t>
      </w:r>
      <w:r>
        <w:t xml:space="preserve"> Assyria is</w:t>
      </w:r>
      <w:r>
        <w:rPr>
          <w:i/>
        </w:rPr>
        <w:t xml:space="preserve"> ’aššûr</w:t>
      </w:r>
      <w:r>
        <w:t xml:space="preserve"> (so LXX, Vg here).</w:t>
      </w:r>
    </w:p>
  </w:footnote>
  <w:footnote w:id="582">
    <w:p w:rsidR="00C5566B" w:rsidRPr="008A3D18" w:rsidRDefault="00C5566B">
      <w:pPr>
        <w:pStyle w:val="FootnoteText"/>
      </w:pPr>
      <w:r>
        <w:rPr>
          <w:rStyle w:val="FootnoteReference"/>
        </w:rPr>
        <w:footnoteRef/>
      </w:r>
      <w:r>
        <w:t xml:space="preserve"> T</w:t>
      </w:r>
      <w:r w:rsidRPr="00DC2BEE">
        <w:t xml:space="preserve">aking </w:t>
      </w:r>
      <w:r w:rsidRPr="00DC2BEE">
        <w:rPr>
          <w:i/>
        </w:rPr>
        <w:t>šiḥēt</w:t>
      </w:r>
      <w:r>
        <w:t xml:space="preserve"> as a noun, w</w:t>
      </w:r>
      <w:r w:rsidRPr="00DC2BEE">
        <w:t>ith LXX,</w:t>
      </w:r>
      <w:r>
        <w:t xml:space="preserve"> Vg</w:t>
      </w:r>
      <w:r w:rsidRPr="00DC2BEE">
        <w:t xml:space="preserve"> (cf. Macintosh, </w:t>
      </w:r>
      <w:r w:rsidRPr="00DC2BEE">
        <w:rPr>
          <w:i/>
        </w:rPr>
        <w:t>Hosea</w:t>
      </w:r>
      <w:r w:rsidRPr="00DC2BEE">
        <w:t>, 535-36)</w:t>
      </w:r>
      <w:r>
        <w:t xml:space="preserve">. As a verb, </w:t>
      </w:r>
      <w:r>
        <w:rPr>
          <w:i/>
        </w:rPr>
        <w:t>šiḥetkā</w:t>
      </w:r>
      <w:r>
        <w:t xml:space="preserve"> would mean “he has destroyed you,” or “one has destroyed you,” i.e., “you’ve been destroyed,” but these understandings are hard in the context..</w:t>
      </w:r>
    </w:p>
  </w:footnote>
  <w:footnote w:id="583">
    <w:p w:rsidR="00C5566B" w:rsidRPr="005E69E6" w:rsidRDefault="00C5566B">
      <w:pPr>
        <w:pStyle w:val="FootnoteText"/>
      </w:pPr>
      <w:r>
        <w:rPr>
          <w:rStyle w:val="FootnoteReference"/>
        </w:rPr>
        <w:footnoteRef/>
      </w:r>
      <w:r>
        <w:t xml:space="preserve"> LXX implies </w:t>
      </w:r>
      <w:r>
        <w:rPr>
          <w:i/>
        </w:rPr>
        <w:t>mî</w:t>
      </w:r>
      <w:r>
        <w:t xml:space="preserve"> “who?” for MT </w:t>
      </w:r>
      <w:r>
        <w:rPr>
          <w:i/>
        </w:rPr>
        <w:t>kî-bî</w:t>
      </w:r>
      <w:r>
        <w:t>.</w:t>
      </w:r>
    </w:p>
  </w:footnote>
  <w:footnote w:id="584">
    <w:p w:rsidR="00C5566B" w:rsidRPr="00CA66E4" w:rsidRDefault="00C5566B">
      <w:pPr>
        <w:pStyle w:val="FootnoteText"/>
      </w:pPr>
      <w:r>
        <w:rPr>
          <w:rStyle w:val="FootnoteReference"/>
        </w:rPr>
        <w:footnoteRef/>
      </w:r>
      <w:r>
        <w:t xml:space="preserve"> </w:t>
      </w:r>
      <w:r>
        <w:rPr>
          <w:i/>
        </w:rPr>
        <w:t>Bə</w:t>
      </w:r>
      <w:r>
        <w:t xml:space="preserve"> of identity (</w:t>
      </w:r>
      <w:r>
        <w:rPr>
          <w:i/>
        </w:rPr>
        <w:t>beth essentiae</w:t>
      </w:r>
      <w:r>
        <w:t>) (</w:t>
      </w:r>
      <w:r>
        <w:rPr>
          <w:i/>
        </w:rPr>
        <w:t>IBHS</w:t>
      </w:r>
      <w:r>
        <w:t xml:space="preserve"> 11.2.5e).</w:t>
      </w:r>
    </w:p>
  </w:footnote>
  <w:footnote w:id="585">
    <w:p w:rsidR="00C5566B" w:rsidRPr="00A84DBC" w:rsidRDefault="00C5566B">
      <w:pPr>
        <w:pStyle w:val="FootnoteText"/>
      </w:pPr>
      <w:r>
        <w:rPr>
          <w:rStyle w:val="FootnoteReference"/>
        </w:rPr>
        <w:footnoteRef/>
      </w:r>
      <w:r>
        <w:t xml:space="preserve"> Taking</w:t>
      </w:r>
      <w:r w:rsidRPr="00767E9A">
        <w:t xml:space="preserve"> </w:t>
      </w:r>
      <w:r w:rsidRPr="00767E9A">
        <w:rPr>
          <w:i/>
        </w:rPr>
        <w:t>’ehî</w:t>
      </w:r>
      <w:r w:rsidRPr="00767E9A">
        <w:t>, whic</w:t>
      </w:r>
      <w:r>
        <w:t>h comes only here and in v. 14, as</w:t>
      </w:r>
      <w:r w:rsidRPr="00767E9A">
        <w:t xml:space="preserve"> “an interjection of derision” (Macintosh, </w:t>
      </w:r>
      <w:r w:rsidRPr="00767E9A">
        <w:rPr>
          <w:i/>
        </w:rPr>
        <w:t>Hosea</w:t>
      </w:r>
      <w:r w:rsidRPr="00767E9A">
        <w:t>, 537).</w:t>
      </w:r>
      <w:r>
        <w:t xml:space="preserve"> LXX, Vg, Tg have “where,” but a regular word for “where” comes later in the line. </w:t>
      </w:r>
    </w:p>
  </w:footnote>
  <w:footnote w:id="586">
    <w:p w:rsidR="00C5566B" w:rsidRPr="00D641EA" w:rsidRDefault="00C5566B">
      <w:pPr>
        <w:pStyle w:val="FootnoteText"/>
      </w:pPr>
      <w:r>
        <w:rPr>
          <w:rStyle w:val="FootnoteReference"/>
        </w:rPr>
        <w:footnoteRef/>
      </w:r>
      <w:r>
        <w:t xml:space="preserve"> The yiqtols refer to a series of events (cf. </w:t>
      </w:r>
      <w:r>
        <w:rPr>
          <w:i/>
        </w:rPr>
        <w:t>TTH</w:t>
      </w:r>
      <w:r>
        <w:t>, p. xvi).</w:t>
      </w:r>
    </w:p>
  </w:footnote>
  <w:footnote w:id="587">
    <w:p w:rsidR="00C5566B" w:rsidRPr="0092625A" w:rsidRDefault="00C5566B">
      <w:pPr>
        <w:pStyle w:val="FootnoteText"/>
      </w:pPr>
      <w:r>
        <w:rPr>
          <w:rStyle w:val="FootnoteReference"/>
        </w:rPr>
        <w:footnoteRef/>
      </w:r>
      <w:r>
        <w:t xml:space="preserve"> NRSV takes v. 14a as questions, but there’s no interrogative. LXX, Vg, Tg, translate as future, but the last colon in the verse works against this. The eventual implications of interrogative or past imperfect statement are similar; Ben Zvi (</w:t>
      </w:r>
      <w:r>
        <w:rPr>
          <w:i/>
        </w:rPr>
        <w:t>Hosea</w:t>
      </w:r>
      <w:r>
        <w:t>, 274-75) makes the same point about nine possible ways of understanding the line.</w:t>
      </w:r>
    </w:p>
  </w:footnote>
  <w:footnote w:id="588">
    <w:p w:rsidR="00C5566B" w:rsidRDefault="00C5566B">
      <w:pPr>
        <w:pStyle w:val="FootnoteText"/>
      </w:pPr>
      <w:r>
        <w:rPr>
          <w:rStyle w:val="FootnoteReference"/>
        </w:rPr>
        <w:footnoteRef/>
      </w:r>
      <w:r>
        <w:t xml:space="preserve"> LXX again has “where,” Aq, Vg have “I will be.”</w:t>
      </w:r>
    </w:p>
  </w:footnote>
  <w:footnote w:id="589">
    <w:p w:rsidR="00C5566B" w:rsidRDefault="00C5566B">
      <w:pPr>
        <w:pStyle w:val="FootnoteText"/>
      </w:pPr>
      <w:r>
        <w:rPr>
          <w:rStyle w:val="FootnoteReference"/>
        </w:rPr>
        <w:footnoteRef/>
      </w:r>
      <w:r>
        <w:t xml:space="preserve"> Taking the plural (which comes only here) as intensive.</w:t>
      </w:r>
    </w:p>
  </w:footnote>
  <w:footnote w:id="590">
    <w:p w:rsidR="00C5566B" w:rsidRPr="001E6622" w:rsidRDefault="00C5566B">
      <w:pPr>
        <w:pStyle w:val="FootnoteText"/>
      </w:pPr>
      <w:r>
        <w:rPr>
          <w:rStyle w:val="FootnoteReference"/>
        </w:rPr>
        <w:footnoteRef/>
      </w:r>
      <w:r>
        <w:t xml:space="preserve"> BDB treats </w:t>
      </w:r>
      <w:r>
        <w:rPr>
          <w:i/>
        </w:rPr>
        <w:t>yaprî’</w:t>
      </w:r>
      <w:r>
        <w:t xml:space="preserve"> as a unique alternative spelling for </w:t>
      </w:r>
      <w:r>
        <w:rPr>
          <w:i/>
        </w:rPr>
        <w:t>yaprîh</w:t>
      </w:r>
      <w:r>
        <w:t xml:space="preserve"> “be fruitful” (see 9:16 and the comments) but this gives poor sense. More likely it is a denominative from </w:t>
      </w:r>
      <w:r>
        <w:rPr>
          <w:i/>
        </w:rPr>
        <w:t>pere’</w:t>
      </w:r>
      <w:r>
        <w:t xml:space="preserve"> (see 8:9 and the comments); cf. </w:t>
      </w:r>
      <w:r>
        <w:rPr>
          <w:i/>
        </w:rPr>
        <w:t>DCH</w:t>
      </w:r>
      <w:r>
        <w:t xml:space="preserve">. But it would be typical of Hosea to make “an allusion to and a parody of” </w:t>
      </w:r>
      <w:r>
        <w:rPr>
          <w:i/>
        </w:rPr>
        <w:t>pārāh</w:t>
      </w:r>
      <w:r>
        <w:t xml:space="preserve"> (Macintosh, </w:t>
      </w:r>
      <w:r>
        <w:rPr>
          <w:i/>
        </w:rPr>
        <w:t>Hosea</w:t>
      </w:r>
      <w:r>
        <w:t>, 551).</w:t>
      </w:r>
    </w:p>
  </w:footnote>
  <w:footnote w:id="591">
    <w:p w:rsidR="00C5566B" w:rsidRPr="00194EF1" w:rsidRDefault="00C5566B">
      <w:pPr>
        <w:pStyle w:val="FootnoteText"/>
      </w:pPr>
      <w:r>
        <w:rPr>
          <w:rStyle w:val="FootnoteReference"/>
        </w:rPr>
        <w:footnoteRef/>
      </w:r>
      <w:r>
        <w:t xml:space="preserve"> NRSV “reeds” derives</w:t>
      </w:r>
      <w:r w:rsidRPr="00E94BD1">
        <w:t xml:space="preserve"> </w:t>
      </w:r>
      <w:r w:rsidRPr="00E94BD1">
        <w:rPr>
          <w:i/>
        </w:rPr>
        <w:t>’aḥîm</w:t>
      </w:r>
      <w:r w:rsidRPr="00E94BD1">
        <w:t xml:space="preserve"> </w:t>
      </w:r>
      <w:r>
        <w:t xml:space="preserve">from </w:t>
      </w:r>
      <w:r>
        <w:rPr>
          <w:i/>
        </w:rPr>
        <w:t xml:space="preserve">’āḥû </w:t>
      </w:r>
      <w:r>
        <w:t xml:space="preserve">rather than </w:t>
      </w:r>
      <w:r>
        <w:rPr>
          <w:i/>
        </w:rPr>
        <w:t>’aḥ</w:t>
      </w:r>
      <w:r>
        <w:t>.</w:t>
      </w:r>
    </w:p>
  </w:footnote>
  <w:footnote w:id="592">
    <w:p w:rsidR="00C5566B" w:rsidRDefault="00C5566B">
      <w:pPr>
        <w:pStyle w:val="FootnoteText"/>
      </w:pPr>
      <w:r>
        <w:rPr>
          <w:rStyle w:val="FootnoteReference"/>
        </w:rPr>
        <w:footnoteRef/>
      </w:r>
      <w:r>
        <w:t xml:space="preserve"> Taking the expression “a wind of Yahweh” as intensive.</w:t>
      </w:r>
    </w:p>
  </w:footnote>
  <w:footnote w:id="593">
    <w:p w:rsidR="00C5566B" w:rsidRPr="0012093A" w:rsidRDefault="00C5566B">
      <w:pPr>
        <w:pStyle w:val="FootnoteText"/>
      </w:pPr>
      <w:r>
        <w:rPr>
          <w:rStyle w:val="FootnoteReference"/>
        </w:rPr>
        <w:footnoteRef/>
      </w:r>
      <w:r>
        <w:t xml:space="preserve"> </w:t>
      </w:r>
      <w:r>
        <w:rPr>
          <w:i/>
        </w:rPr>
        <w:t>Yēbôš</w:t>
      </w:r>
      <w:r>
        <w:t xml:space="preserve">; “wither” would be </w:t>
      </w:r>
      <w:r>
        <w:rPr>
          <w:i/>
        </w:rPr>
        <w:t>yîbaš</w:t>
      </w:r>
      <w:r>
        <w:t xml:space="preserve">, and since it is withering </w:t>
      </w:r>
      <w:r w:rsidRPr="0012093A">
        <w:t>that will shame the fountain</w:t>
      </w:r>
      <w:r>
        <w:t>, the audience might also sense that idea (cf. Vg) even before they hear the next colon.</w:t>
      </w:r>
    </w:p>
  </w:footnote>
  <w:footnote w:id="594">
    <w:p w:rsidR="00C5566B" w:rsidRPr="00271421" w:rsidRDefault="00C5566B">
      <w:pPr>
        <w:pStyle w:val="FootnoteText"/>
      </w:pPr>
      <w:r>
        <w:rPr>
          <w:rStyle w:val="FootnoteReference"/>
        </w:rPr>
        <w:footnoteRef/>
      </w:r>
      <w:r>
        <w:t xml:space="preserve"> LXX, Vg take the verb as </w:t>
      </w:r>
      <w:r>
        <w:rPr>
          <w:i/>
        </w:rPr>
        <w:t>šāmēm</w:t>
      </w:r>
      <w:r>
        <w:t xml:space="preserve"> (cf. 5:15; 10:2; and the notes); contrast Theod.</w:t>
      </w:r>
    </w:p>
  </w:footnote>
  <w:footnote w:id="595">
    <w:p w:rsidR="00C5566B" w:rsidRPr="00515572" w:rsidRDefault="00C5566B" w:rsidP="00197B98">
      <w:pPr>
        <w:pStyle w:val="FootnoteText"/>
      </w:pPr>
      <w:r>
        <w:rPr>
          <w:rStyle w:val="FootnoteReference"/>
        </w:rPr>
        <w:footnoteRef/>
      </w:r>
      <w:r>
        <w:t xml:space="preserve"> Fuller, “The Twelve,” 248.</w:t>
      </w:r>
    </w:p>
  </w:footnote>
  <w:footnote w:id="596">
    <w:p w:rsidR="00C5566B" w:rsidRPr="00A17678" w:rsidRDefault="00C5566B">
      <w:pPr>
        <w:pStyle w:val="FootnoteText"/>
      </w:pPr>
      <w:r>
        <w:rPr>
          <w:rStyle w:val="FootnoteReference"/>
        </w:rPr>
        <w:footnoteRef/>
      </w:r>
      <w:r>
        <w:t xml:space="preserve"> Theodore, </w:t>
      </w:r>
      <w:r>
        <w:rPr>
          <w:i/>
        </w:rPr>
        <w:t>Twelve Prophets</w:t>
      </w:r>
      <w:r>
        <w:t>, 93.</w:t>
      </w:r>
    </w:p>
  </w:footnote>
  <w:footnote w:id="597">
    <w:p w:rsidR="00C5566B" w:rsidRPr="00EE2BC3" w:rsidRDefault="00C5566B">
      <w:pPr>
        <w:pStyle w:val="FootnoteText"/>
      </w:pPr>
      <w:r>
        <w:rPr>
          <w:rStyle w:val="FootnoteReference"/>
        </w:rPr>
        <w:footnoteRef/>
      </w:r>
      <w:r>
        <w:t xml:space="preserve"> Calvin, </w:t>
      </w:r>
      <w:r w:rsidRPr="009C2C74">
        <w:rPr>
          <w:i/>
        </w:rPr>
        <w:t>Minor Prophets</w:t>
      </w:r>
      <w:r w:rsidRPr="009C2C74">
        <w:t xml:space="preserve"> 1:</w:t>
      </w:r>
      <w:r>
        <w:t>445.</w:t>
      </w:r>
    </w:p>
  </w:footnote>
  <w:footnote w:id="598">
    <w:p w:rsidR="00C5566B" w:rsidRPr="00C518F3" w:rsidRDefault="00C5566B">
      <w:pPr>
        <w:pStyle w:val="FootnoteText"/>
      </w:pPr>
      <w:r>
        <w:rPr>
          <w:rStyle w:val="FootnoteReference"/>
        </w:rPr>
        <w:footnoteRef/>
      </w:r>
      <w:r>
        <w:t xml:space="preserve"> Cf. Rudolph, </w:t>
      </w:r>
      <w:r>
        <w:rPr>
          <w:i/>
        </w:rPr>
        <w:t>Hosea</w:t>
      </w:r>
      <w:r>
        <w:t>, 241.</w:t>
      </w:r>
    </w:p>
  </w:footnote>
  <w:footnote w:id="599">
    <w:p w:rsidR="00C5566B" w:rsidRPr="002E7BFC" w:rsidRDefault="00C5566B">
      <w:pPr>
        <w:pStyle w:val="FootnoteText"/>
      </w:pPr>
      <w:r>
        <w:rPr>
          <w:rStyle w:val="FootnoteReference"/>
        </w:rPr>
        <w:footnoteRef/>
      </w:r>
      <w:r>
        <w:t xml:space="preserve"> Landy, </w:t>
      </w:r>
      <w:r>
        <w:rPr>
          <w:i/>
        </w:rPr>
        <w:t>Hosea</w:t>
      </w:r>
      <w:r>
        <w:t>, 156.</w:t>
      </w:r>
    </w:p>
  </w:footnote>
  <w:footnote w:id="600">
    <w:p w:rsidR="00C5566B" w:rsidRPr="004C045F" w:rsidRDefault="00C5566B">
      <w:pPr>
        <w:pStyle w:val="FootnoteText"/>
      </w:pPr>
      <w:r>
        <w:rPr>
          <w:rStyle w:val="FootnoteReference"/>
        </w:rPr>
        <w:footnoteRef/>
      </w:r>
      <w:r>
        <w:t xml:space="preserve"> Cf. Ibn Ezra, </w:t>
      </w:r>
      <w:r>
        <w:rPr>
          <w:i/>
        </w:rPr>
        <w:t>Hosea</w:t>
      </w:r>
      <w:r>
        <w:t>, 123, assuming that v. 2 refers to human sacrifice.</w:t>
      </w:r>
    </w:p>
  </w:footnote>
  <w:footnote w:id="601">
    <w:p w:rsidR="00C5566B" w:rsidRPr="00642F33" w:rsidRDefault="00C5566B">
      <w:pPr>
        <w:pStyle w:val="FootnoteText"/>
      </w:pPr>
      <w:r>
        <w:rPr>
          <w:rStyle w:val="FootnoteReference"/>
        </w:rPr>
        <w:footnoteRef/>
      </w:r>
      <w:r>
        <w:t xml:space="preserve"> See Chalmers, </w:t>
      </w:r>
      <w:r>
        <w:rPr>
          <w:i/>
        </w:rPr>
        <w:t>The Struggle of Yahweh and El for Hosea’s Israel</w:t>
      </w:r>
      <w:r>
        <w:t>.</w:t>
      </w:r>
    </w:p>
  </w:footnote>
  <w:footnote w:id="602">
    <w:p w:rsidR="00C5566B" w:rsidRDefault="00C5566B">
      <w:pPr>
        <w:pStyle w:val="FootnoteText"/>
      </w:pPr>
      <w:r>
        <w:rPr>
          <w:rStyle w:val="FootnoteReference"/>
        </w:rPr>
        <w:footnoteRef/>
      </w:r>
      <w:r>
        <w:t xml:space="preserve"> </w:t>
      </w:r>
      <w:r w:rsidRPr="004818FA">
        <w:t xml:space="preserve">Cyril, </w:t>
      </w:r>
      <w:r w:rsidRPr="004818FA">
        <w:rPr>
          <w:i/>
        </w:rPr>
        <w:t>Twelve Prophets</w:t>
      </w:r>
      <w:r w:rsidRPr="004818FA">
        <w:t xml:space="preserve"> 1</w:t>
      </w:r>
      <w:r>
        <w:t>:241.</w:t>
      </w:r>
    </w:p>
  </w:footnote>
  <w:footnote w:id="603">
    <w:p w:rsidR="00C5566B" w:rsidRPr="00F618F6" w:rsidRDefault="00C5566B">
      <w:pPr>
        <w:pStyle w:val="FootnoteText"/>
      </w:pPr>
      <w:r>
        <w:rPr>
          <w:rStyle w:val="FootnoteReference"/>
        </w:rPr>
        <w:footnoteRef/>
      </w:r>
      <w:r>
        <w:t xml:space="preserve"> See e.g., Davies, </w:t>
      </w:r>
      <w:r>
        <w:rPr>
          <w:i/>
        </w:rPr>
        <w:t>Hosea</w:t>
      </w:r>
      <w:r>
        <w:t>, 290.</w:t>
      </w:r>
    </w:p>
  </w:footnote>
  <w:footnote w:id="604">
    <w:p w:rsidR="00C5566B" w:rsidRPr="00F7163E" w:rsidRDefault="00C5566B">
      <w:pPr>
        <w:pStyle w:val="FootnoteText"/>
      </w:pPr>
      <w:r>
        <w:rPr>
          <w:rStyle w:val="FootnoteReference"/>
        </w:rPr>
        <w:footnoteRef/>
      </w:r>
      <w:r>
        <w:t xml:space="preserve"> Wolff, </w:t>
      </w:r>
      <w:r>
        <w:rPr>
          <w:i/>
        </w:rPr>
        <w:t>Hosea</w:t>
      </w:r>
      <w:r>
        <w:t>, 227.</w:t>
      </w:r>
    </w:p>
  </w:footnote>
  <w:footnote w:id="605">
    <w:p w:rsidR="00C5566B" w:rsidRPr="00EE2BC3" w:rsidRDefault="00C5566B">
      <w:pPr>
        <w:pStyle w:val="FootnoteText"/>
      </w:pPr>
      <w:r>
        <w:rPr>
          <w:rStyle w:val="FootnoteReference"/>
        </w:rPr>
        <w:footnoteRef/>
      </w:r>
      <w:r>
        <w:t xml:space="preserve"> Stuart, </w:t>
      </w:r>
      <w:r>
        <w:rPr>
          <w:i/>
        </w:rPr>
        <w:t>Hosea-Jonah</w:t>
      </w:r>
      <w:r>
        <w:t>, 209.</w:t>
      </w:r>
    </w:p>
  </w:footnote>
  <w:footnote w:id="606">
    <w:p w:rsidR="00C5566B" w:rsidRPr="008B2B3E" w:rsidRDefault="00C5566B" w:rsidP="00E22A4A">
      <w:pPr>
        <w:pStyle w:val="FootnoteText"/>
      </w:pPr>
      <w:r>
        <w:rPr>
          <w:rStyle w:val="FootnoteReference"/>
        </w:rPr>
        <w:footnoteRef/>
      </w:r>
      <w:r>
        <w:t xml:space="preserve"> Gale A. Yee, “The Book of Hosea,” </w:t>
      </w:r>
      <w:r>
        <w:rPr>
          <w:i/>
        </w:rPr>
        <w:t xml:space="preserve">NIB </w:t>
      </w:r>
      <w:r>
        <w:t>7:293.</w:t>
      </w:r>
    </w:p>
  </w:footnote>
  <w:footnote w:id="607">
    <w:p w:rsidR="00C5566B" w:rsidRPr="007E7072" w:rsidRDefault="00C5566B">
      <w:pPr>
        <w:pStyle w:val="FootnoteText"/>
      </w:pPr>
      <w:r>
        <w:rPr>
          <w:rStyle w:val="FootnoteReference"/>
        </w:rPr>
        <w:footnoteRef/>
      </w:r>
      <w:r>
        <w:t xml:space="preserve"> Calvin, </w:t>
      </w:r>
      <w:r w:rsidRPr="009C2C74">
        <w:rPr>
          <w:i/>
        </w:rPr>
        <w:t>Minor Prophets</w:t>
      </w:r>
      <w:r w:rsidRPr="009C2C74">
        <w:t xml:space="preserve"> 1:</w:t>
      </w:r>
      <w:r>
        <w:t>478-79.</w:t>
      </w:r>
    </w:p>
  </w:footnote>
  <w:footnote w:id="608">
    <w:p w:rsidR="00C5566B" w:rsidRPr="00487BD6" w:rsidRDefault="00C5566B">
      <w:pPr>
        <w:pStyle w:val="FootnoteText"/>
      </w:pPr>
      <w:r>
        <w:rPr>
          <w:rStyle w:val="FootnoteReference"/>
        </w:rPr>
        <w:footnoteRef/>
      </w:r>
      <w:r>
        <w:t xml:space="preserve"> The form of the imperative with the longer –</w:t>
      </w:r>
      <w:r>
        <w:rPr>
          <w:i/>
        </w:rPr>
        <w:t>ah</w:t>
      </w:r>
      <w:r>
        <w:t xml:space="preserve"> ending may convey emphasis and/or suggest the personal involvement of the speaker (see JM 48d; DG 66 remark 1.</w:t>
      </w:r>
    </w:p>
  </w:footnote>
  <w:footnote w:id="609">
    <w:p w:rsidR="00C5566B" w:rsidRPr="0021592F" w:rsidRDefault="00C5566B">
      <w:pPr>
        <w:pStyle w:val="FootnoteText"/>
      </w:pPr>
      <w:r>
        <w:rPr>
          <w:rStyle w:val="FootnoteReference"/>
        </w:rPr>
        <w:footnoteRef/>
      </w:r>
      <w:r>
        <w:t xml:space="preserve"> </w:t>
      </w:r>
      <w:r w:rsidRPr="0021592F">
        <w:rPr>
          <w:i/>
        </w:rPr>
        <w:t>’Ad</w:t>
      </w:r>
      <w:r>
        <w:t xml:space="preserve"> not </w:t>
      </w:r>
      <w:r>
        <w:rPr>
          <w:i/>
        </w:rPr>
        <w:t>’el</w:t>
      </w:r>
      <w:r>
        <w:t>, with a hint of “right to” not merely “toward” (DG 118 remark 1).</w:t>
      </w:r>
    </w:p>
  </w:footnote>
  <w:footnote w:id="610">
    <w:p w:rsidR="00C5566B" w:rsidRPr="00683BA9" w:rsidRDefault="00C5566B">
      <w:pPr>
        <w:pStyle w:val="FootnoteText"/>
      </w:pPr>
      <w:r>
        <w:rPr>
          <w:rStyle w:val="FootnoteReference"/>
        </w:rPr>
        <w:footnoteRef/>
      </w:r>
      <w:r>
        <w:t xml:space="preserve"> Singular reference to each person follows on the move from addressing Israel corporately (v. 1) to addressing people in the plural (v. 2a). But the construct before the verb is odd (see Macintosh, </w:t>
      </w:r>
      <w:r>
        <w:rPr>
          <w:i/>
        </w:rPr>
        <w:t>Hosea</w:t>
      </w:r>
      <w:r>
        <w:t>, 561) and makes unlikely the translation “all waywardness” (</w:t>
      </w:r>
      <w:r w:rsidRPr="00BC78B3">
        <w:t>Barthélemy</w:t>
      </w:r>
      <w:r w:rsidRPr="00BC78B3">
        <w:rPr>
          <w:i/>
        </w:rPr>
        <w:t>, Critique Textuelle</w:t>
      </w:r>
      <w:r>
        <w:t xml:space="preserve"> 3:621). Tg omits “all,” perhaps in the conviction that not all sins can be forgiven (Cathcart/</w:t>
      </w:r>
      <w:r w:rsidRPr="00301C86">
        <w:t xml:space="preserve">Gordon, </w:t>
      </w:r>
      <w:r w:rsidRPr="00301C86">
        <w:rPr>
          <w:i/>
        </w:rPr>
        <w:t>Targum of the Minor Prophets</w:t>
      </w:r>
      <w:r>
        <w:t xml:space="preserve">, 60). LXX implies </w:t>
      </w:r>
      <w:r>
        <w:rPr>
          <w:i/>
        </w:rPr>
        <w:t>bal</w:t>
      </w:r>
      <w:r>
        <w:t xml:space="preserve"> (“[you will] not)” for </w:t>
      </w:r>
      <w:r>
        <w:rPr>
          <w:i/>
        </w:rPr>
        <w:t>kol</w:t>
      </w:r>
      <w:r>
        <w:t>.</w:t>
      </w:r>
    </w:p>
  </w:footnote>
  <w:footnote w:id="611">
    <w:p w:rsidR="00C5566B" w:rsidRDefault="00C5566B">
      <w:pPr>
        <w:pStyle w:val="FootnoteText"/>
      </w:pPr>
      <w:r>
        <w:rPr>
          <w:rStyle w:val="FootnoteReference"/>
        </w:rPr>
        <w:footnoteRef/>
      </w:r>
      <w:r>
        <w:t xml:space="preserve"> I.e., “accept”; LXX has plural, assimilating to the context.</w:t>
      </w:r>
    </w:p>
  </w:footnote>
  <w:footnote w:id="612">
    <w:p w:rsidR="00C5566B" w:rsidRPr="00A2687D" w:rsidRDefault="00C5566B">
      <w:pPr>
        <w:pStyle w:val="FootnoteText"/>
      </w:pPr>
      <w:r>
        <w:rPr>
          <w:rStyle w:val="FootnoteReference"/>
        </w:rPr>
        <w:footnoteRef/>
      </w:r>
      <w:r>
        <w:t xml:space="preserve"> The piel verb </w:t>
      </w:r>
      <w:r>
        <w:rPr>
          <w:i/>
        </w:rPr>
        <w:t>šillēm</w:t>
      </w:r>
      <w:r>
        <w:t xml:space="preserve"> expects an object and the two nouns that follow look as if they provide one. </w:t>
      </w:r>
    </w:p>
  </w:footnote>
  <w:footnote w:id="613">
    <w:p w:rsidR="00C5566B" w:rsidRPr="00883820" w:rsidRDefault="00C5566B">
      <w:pPr>
        <w:pStyle w:val="FootnoteText"/>
      </w:pPr>
      <w:r>
        <w:rPr>
          <w:rStyle w:val="FootnoteReference"/>
        </w:rPr>
        <w:footnoteRef/>
      </w:r>
      <w:r>
        <w:t xml:space="preserve"> Literally, “render bulls </w:t>
      </w:r>
      <w:r w:rsidRPr="00170A4E">
        <w:t>our lips</w:t>
      </w:r>
      <w:r>
        <w:t>.”</w:t>
      </w:r>
      <w:r w:rsidRPr="00170A4E">
        <w:t xml:space="preserve"> </w:t>
      </w:r>
      <w:r>
        <w:t xml:space="preserve">LXX “the fruit of lips” suggests a form of </w:t>
      </w:r>
      <w:r>
        <w:rPr>
          <w:i/>
        </w:rPr>
        <w:t xml:space="preserve">pərî </w:t>
      </w:r>
      <w:r>
        <w:t xml:space="preserve">for </w:t>
      </w:r>
      <w:r>
        <w:rPr>
          <w:i/>
        </w:rPr>
        <w:t>pārîm</w:t>
      </w:r>
      <w:r>
        <w:t>. 1QH IX:28 (</w:t>
      </w:r>
      <w:r>
        <w:rPr>
          <w:i/>
        </w:rPr>
        <w:t>DSS</w:t>
      </w:r>
      <w:r>
        <w:t xml:space="preserve"> 1:160) has the phrase </w:t>
      </w:r>
      <w:r>
        <w:rPr>
          <w:i/>
        </w:rPr>
        <w:t>pry šptym</w:t>
      </w:r>
      <w:r>
        <w:t xml:space="preserve"> in a different connection, while Psalms of Solomon 15:3 has LXX’s phrase in connection with worship, to which Heb. 13:15 is thus close (cf. Radu Gheorghita, “The Minor Prophets in Hebrews,” in Menken and Moyise [eds.]</w:t>
      </w:r>
      <w:r w:rsidRPr="00675645">
        <w:t xml:space="preserve">, </w:t>
      </w:r>
      <w:r w:rsidRPr="00675645">
        <w:rPr>
          <w:i/>
        </w:rPr>
        <w:t>Minor Prophets</w:t>
      </w:r>
      <w:r>
        <w:t>, 115-33 (132).</w:t>
      </w:r>
    </w:p>
  </w:footnote>
  <w:footnote w:id="614">
    <w:p w:rsidR="00C5566B" w:rsidRDefault="00C5566B">
      <w:pPr>
        <w:pStyle w:val="FootnoteText"/>
      </w:pPr>
      <w:r>
        <w:rPr>
          <w:rStyle w:val="FootnoteReference"/>
        </w:rPr>
        <w:footnoteRef/>
      </w:r>
      <w:r>
        <w:t xml:space="preserve"> LXX translates “Our gods.”</w:t>
      </w:r>
    </w:p>
  </w:footnote>
  <w:footnote w:id="615">
    <w:p w:rsidR="00C5566B" w:rsidRDefault="00C5566B">
      <w:pPr>
        <w:pStyle w:val="FootnoteText"/>
      </w:pPr>
      <w:r>
        <w:rPr>
          <w:rStyle w:val="FootnoteReference"/>
        </w:rPr>
        <w:footnoteRef/>
      </w:r>
      <w:r>
        <w:t xml:space="preserve"> LXX, Tg have “them,” assimilating to the context.</w:t>
      </w:r>
    </w:p>
  </w:footnote>
  <w:footnote w:id="616">
    <w:p w:rsidR="00C5566B" w:rsidRPr="00D71B41" w:rsidRDefault="00C5566B">
      <w:pPr>
        <w:pStyle w:val="FootnoteText"/>
      </w:pPr>
      <w:r>
        <w:rPr>
          <w:rStyle w:val="FootnoteReference"/>
        </w:rPr>
        <w:footnoteRef/>
      </w:r>
      <w:r>
        <w:t xml:space="preserve"> On </w:t>
      </w:r>
      <w:r>
        <w:rPr>
          <w:i/>
        </w:rPr>
        <w:t>šôšannāh</w:t>
      </w:r>
      <w:r>
        <w:t xml:space="preserve"> see </w:t>
      </w:r>
      <w:r>
        <w:rPr>
          <w:i/>
        </w:rPr>
        <w:t>HALOT</w:t>
      </w:r>
      <w:r>
        <w:t>.</w:t>
      </w:r>
    </w:p>
  </w:footnote>
  <w:footnote w:id="617">
    <w:p w:rsidR="00C5566B" w:rsidRPr="00D71B41" w:rsidRDefault="00C5566B">
      <w:pPr>
        <w:pStyle w:val="FootnoteText"/>
      </w:pPr>
      <w:r>
        <w:rPr>
          <w:rStyle w:val="FootnoteReference"/>
        </w:rPr>
        <w:footnoteRef/>
      </w:r>
      <w:r>
        <w:t xml:space="preserve"> The simple </w:t>
      </w:r>
      <w:r>
        <w:rPr>
          <w:i/>
        </w:rPr>
        <w:t>waw</w:t>
      </w:r>
      <w:r>
        <w:t xml:space="preserve"> construction continues the purpose clause construction; the same applies to v. 6aβ.</w:t>
      </w:r>
    </w:p>
  </w:footnote>
  <w:footnote w:id="618">
    <w:p w:rsidR="00C5566B" w:rsidRPr="006B5F16" w:rsidRDefault="00C5566B" w:rsidP="00266DFB">
      <w:pPr>
        <w:pStyle w:val="FootnoteText"/>
        <w:tabs>
          <w:tab w:val="left" w:pos="6840"/>
        </w:tabs>
      </w:pPr>
      <w:r>
        <w:rPr>
          <w:rStyle w:val="FootnoteReference"/>
        </w:rPr>
        <w:footnoteRef/>
      </w:r>
      <w:r>
        <w:t xml:space="preserve"> Metonymy for the trees in Lebanon (Macintosh, </w:t>
      </w:r>
      <w:r>
        <w:rPr>
          <w:i/>
        </w:rPr>
        <w:t>Hosea</w:t>
      </w:r>
      <w:r>
        <w:t>, 570).</w:t>
      </w:r>
      <w:r>
        <w:tab/>
      </w:r>
    </w:p>
  </w:footnote>
  <w:footnote w:id="619">
    <w:p w:rsidR="00C5566B" w:rsidRPr="001C094E" w:rsidRDefault="00C5566B">
      <w:pPr>
        <w:pStyle w:val="FootnoteText"/>
      </w:pPr>
      <w:r>
        <w:rPr>
          <w:rStyle w:val="FootnoteReference"/>
        </w:rPr>
        <w:footnoteRef/>
      </w:r>
      <w:r>
        <w:t xml:space="preserve"> LXX, Tg imply </w:t>
      </w:r>
      <w:r>
        <w:rPr>
          <w:i/>
        </w:rPr>
        <w:t>yēšəbû</w:t>
      </w:r>
      <w:r>
        <w:t xml:space="preserve"> “they will sit” for MT </w:t>
      </w:r>
      <w:r>
        <w:rPr>
          <w:i/>
        </w:rPr>
        <w:t>yōšəbȇ</w:t>
      </w:r>
      <w:r>
        <w:t>.</w:t>
      </w:r>
    </w:p>
  </w:footnote>
  <w:footnote w:id="620">
    <w:p w:rsidR="00C5566B" w:rsidRDefault="00C5566B">
      <w:pPr>
        <w:pStyle w:val="FootnoteText"/>
      </w:pPr>
      <w:r>
        <w:rPr>
          <w:rStyle w:val="FootnoteReference"/>
        </w:rPr>
        <w:footnoteRef/>
      </w:r>
      <w:r>
        <w:t xml:space="preserve"> NRSV emends to “my.”</w:t>
      </w:r>
    </w:p>
  </w:footnote>
  <w:footnote w:id="621">
    <w:p w:rsidR="00C5566B" w:rsidRDefault="00C5566B">
      <w:pPr>
        <w:pStyle w:val="FootnoteText"/>
      </w:pPr>
      <w:r>
        <w:rPr>
          <w:rStyle w:val="FootnoteReference"/>
        </w:rPr>
        <w:footnoteRef/>
      </w:r>
      <w:r>
        <w:t xml:space="preserve"> Hosea uses the idiom referred to in the note on 11:9; my translation here reflects the unusual separation of the second verb from the first.</w:t>
      </w:r>
    </w:p>
  </w:footnote>
  <w:footnote w:id="622">
    <w:p w:rsidR="00C5566B" w:rsidRPr="004966CA" w:rsidRDefault="00C5566B">
      <w:pPr>
        <w:pStyle w:val="FootnoteText"/>
      </w:pPr>
      <w:r>
        <w:rPr>
          <w:rStyle w:val="FootnoteReference"/>
        </w:rPr>
        <w:footnoteRef/>
      </w:r>
      <w:r>
        <w:t xml:space="preserve"> NRSV “as a garden” presupposes </w:t>
      </w:r>
      <w:r>
        <w:rPr>
          <w:i/>
        </w:rPr>
        <w:t>kaggān</w:t>
      </w:r>
      <w:r>
        <w:t xml:space="preserve"> for </w:t>
      </w:r>
      <w:r>
        <w:rPr>
          <w:i/>
        </w:rPr>
        <w:t>dāgān</w:t>
      </w:r>
      <w:r>
        <w:t xml:space="preserve">. </w:t>
      </w:r>
    </w:p>
  </w:footnote>
  <w:footnote w:id="623">
    <w:p w:rsidR="00C5566B" w:rsidRPr="004966CA" w:rsidRDefault="00C5566B">
      <w:pPr>
        <w:pStyle w:val="FootnoteText"/>
      </w:pPr>
      <w:r>
        <w:rPr>
          <w:rStyle w:val="FootnoteReference"/>
        </w:rPr>
        <w:footnoteRef/>
      </w:r>
      <w:r>
        <w:t xml:space="preserve"> LXX, Vg, Tg imply </w:t>
      </w:r>
      <w:r>
        <w:rPr>
          <w:i/>
        </w:rPr>
        <w:t>yiḥyû</w:t>
      </w:r>
      <w:r>
        <w:t xml:space="preserve"> “will live” for </w:t>
      </w:r>
      <w:r>
        <w:rPr>
          <w:i/>
        </w:rPr>
        <w:t>yəḥayyû</w:t>
      </w:r>
      <w:r>
        <w:t>.</w:t>
      </w:r>
    </w:p>
  </w:footnote>
  <w:footnote w:id="624">
    <w:p w:rsidR="00C5566B" w:rsidRPr="00A44BF1" w:rsidRDefault="00C5566B">
      <w:pPr>
        <w:pStyle w:val="FootnoteText"/>
      </w:pPr>
      <w:r>
        <w:rPr>
          <w:rStyle w:val="FootnoteReference"/>
        </w:rPr>
        <w:footnoteRef/>
      </w:r>
      <w:r>
        <w:t xml:space="preserve"> “Fragrance” (e.g., NRSV) is a “mistranslation” and “mistake” (Davies, </w:t>
      </w:r>
      <w:r>
        <w:rPr>
          <w:i/>
        </w:rPr>
        <w:t>Hosea</w:t>
      </w:r>
      <w:r>
        <w:t>, 307); dictionaries do not register this possible meaning.</w:t>
      </w:r>
    </w:p>
  </w:footnote>
  <w:footnote w:id="625">
    <w:p w:rsidR="00C5566B" w:rsidRDefault="00C5566B">
      <w:pPr>
        <w:pStyle w:val="FootnoteText"/>
      </w:pPr>
      <w:r>
        <w:rPr>
          <w:rStyle w:val="FootnoteReference"/>
        </w:rPr>
        <w:footnoteRef/>
      </w:r>
      <w:r>
        <w:t xml:space="preserve"> NRSV, TNIV take “Ephraim” as vocative, but the “more” is then a problem (NRSV omits it); Yahweh never had anything to do with idols. Rather cf. Tg, which sees Ephraim as the speaker and suggests a plausible implicit interpretation of the verse as an abab conversation.</w:t>
      </w:r>
    </w:p>
  </w:footnote>
  <w:footnote w:id="626">
    <w:p w:rsidR="00C5566B" w:rsidRPr="00BF7AAF" w:rsidRDefault="00C5566B">
      <w:pPr>
        <w:pStyle w:val="FootnoteText"/>
      </w:pPr>
      <w:r>
        <w:rPr>
          <w:rStyle w:val="FootnoteReference"/>
        </w:rPr>
        <w:footnoteRef/>
      </w:r>
      <w:r>
        <w:t xml:space="preserve"> LXX implies </w:t>
      </w:r>
      <w:r>
        <w:rPr>
          <w:i/>
        </w:rPr>
        <w:t xml:space="preserve">lô </w:t>
      </w:r>
      <w:r>
        <w:t xml:space="preserve">“for him” for </w:t>
      </w:r>
      <w:r>
        <w:rPr>
          <w:i/>
        </w:rPr>
        <w:t>lî</w:t>
      </w:r>
      <w:r>
        <w:t xml:space="preserve">. </w:t>
      </w:r>
    </w:p>
  </w:footnote>
  <w:footnote w:id="627">
    <w:p w:rsidR="00C5566B" w:rsidRDefault="00C5566B">
      <w:pPr>
        <w:pStyle w:val="FootnoteText"/>
      </w:pPr>
      <w:r>
        <w:rPr>
          <w:rStyle w:val="FootnoteReference"/>
        </w:rPr>
        <w:footnoteRef/>
      </w:r>
      <w:r>
        <w:t xml:space="preserve"> See 2:15 [17] and the note.</w:t>
      </w:r>
    </w:p>
  </w:footnote>
  <w:footnote w:id="628">
    <w:p w:rsidR="00C5566B" w:rsidRPr="00F8667E" w:rsidRDefault="00C5566B">
      <w:pPr>
        <w:pStyle w:val="FootnoteText"/>
      </w:pPr>
      <w:r>
        <w:rPr>
          <w:rStyle w:val="FootnoteReference"/>
        </w:rPr>
        <w:footnoteRef/>
      </w:r>
      <w:r>
        <w:t xml:space="preserve"> The verbs are qatal and </w:t>
      </w:r>
      <w:r>
        <w:rPr>
          <w:i/>
        </w:rPr>
        <w:t>wayyiqtol</w:t>
      </w:r>
      <w:r>
        <w:t xml:space="preserve">, which makes present tense translation (NRSV) implausible, though perfect of certainty (TNIV) would correspond to Yahweh’s speaking of something he will have done. LXX derives the second verb from </w:t>
      </w:r>
      <w:r w:rsidRPr="001C094E">
        <w:rPr>
          <w:i/>
        </w:rPr>
        <w:t>śārāh</w:t>
      </w:r>
      <w:r>
        <w:t xml:space="preserve"> (see the comments on 12:3 [4]), Vg from </w:t>
      </w:r>
      <w:r w:rsidRPr="00F8667E">
        <w:rPr>
          <w:i/>
        </w:rPr>
        <w:t>’āšar</w:t>
      </w:r>
      <w:r>
        <w:rPr>
          <w:i/>
        </w:rPr>
        <w:t xml:space="preserve"> </w:t>
      </w:r>
      <w:r>
        <w:t>(cf. BHQ).</w:t>
      </w:r>
    </w:p>
  </w:footnote>
  <w:footnote w:id="629">
    <w:p w:rsidR="00C5566B" w:rsidRPr="00CA27E9" w:rsidRDefault="00C5566B">
      <w:pPr>
        <w:pStyle w:val="FootnoteText"/>
      </w:pPr>
      <w:r>
        <w:rPr>
          <w:rStyle w:val="FootnoteReference"/>
        </w:rPr>
        <w:footnoteRef/>
      </w:r>
      <w:r>
        <w:t xml:space="preserve"> Morris, </w:t>
      </w:r>
      <w:r w:rsidRPr="00CA27E9">
        <w:rPr>
          <w:i/>
          <w:lang w:val="en-GB"/>
        </w:rPr>
        <w:t>Prophecy, Poetry, and Hosea</w:t>
      </w:r>
      <w:r>
        <w:rPr>
          <w:lang w:val="en-GB"/>
        </w:rPr>
        <w:t>, 115.</w:t>
      </w:r>
    </w:p>
  </w:footnote>
  <w:footnote w:id="630">
    <w:p w:rsidR="00C5566B" w:rsidRPr="00675558" w:rsidRDefault="00C5566B" w:rsidP="00725DD7">
      <w:pPr>
        <w:pStyle w:val="FootnoteText"/>
      </w:pPr>
      <w:r>
        <w:rPr>
          <w:rStyle w:val="FootnoteReference"/>
        </w:rPr>
        <w:footnoteRef/>
      </w:r>
      <w:r>
        <w:t xml:space="preserve"> Cf. Ben Zvi, </w:t>
      </w:r>
      <w:r>
        <w:rPr>
          <w:i/>
        </w:rPr>
        <w:t>Hosea</w:t>
      </w:r>
      <w:r>
        <w:t>, 302.</w:t>
      </w:r>
    </w:p>
  </w:footnote>
  <w:footnote w:id="631">
    <w:p w:rsidR="00C5566B" w:rsidRDefault="00C5566B">
      <w:pPr>
        <w:pStyle w:val="FootnoteText"/>
      </w:pPr>
      <w:r>
        <w:rPr>
          <w:rStyle w:val="FootnoteReference"/>
        </w:rPr>
        <w:footnoteRef/>
      </w:r>
      <w:r>
        <w:t xml:space="preserve"> So Rashi, </w:t>
      </w:r>
      <w:r w:rsidRPr="00546B1E">
        <w:t xml:space="preserve">in </w:t>
      </w:r>
      <w:r w:rsidRPr="00546B1E">
        <w:rPr>
          <w:i/>
        </w:rPr>
        <w:t>miqrā’ôt gədôlôt</w:t>
      </w:r>
      <w:r w:rsidRPr="00546B1E">
        <w:t xml:space="preserve"> on the passage.</w:t>
      </w:r>
    </w:p>
  </w:footnote>
  <w:footnote w:id="632">
    <w:p w:rsidR="00C5566B" w:rsidRPr="0029664E" w:rsidRDefault="00C5566B" w:rsidP="00093DE9">
      <w:pPr>
        <w:pStyle w:val="FootnoteText"/>
      </w:pPr>
      <w:r>
        <w:rPr>
          <w:rStyle w:val="FootnoteReference"/>
        </w:rPr>
        <w:footnoteRef/>
      </w:r>
      <w:r>
        <w:t xml:space="preserve"> Ben Zvi, </w:t>
      </w:r>
      <w:r>
        <w:rPr>
          <w:i/>
        </w:rPr>
        <w:t>Hosea</w:t>
      </w:r>
      <w:r>
        <w:t>, 295.</w:t>
      </w:r>
    </w:p>
  </w:footnote>
  <w:footnote w:id="633">
    <w:p w:rsidR="00C5566B" w:rsidRPr="00F23652" w:rsidRDefault="00C5566B">
      <w:pPr>
        <w:pStyle w:val="FootnoteText"/>
      </w:pPr>
      <w:r>
        <w:rPr>
          <w:rStyle w:val="FootnoteReference"/>
        </w:rPr>
        <w:footnoteRef/>
      </w:r>
      <w:r>
        <w:t xml:space="preserve"> Cf. Dearman, </w:t>
      </w:r>
      <w:r>
        <w:rPr>
          <w:i/>
        </w:rPr>
        <w:t>Hosea</w:t>
      </w:r>
      <w:r>
        <w:t>, 340.</w:t>
      </w:r>
    </w:p>
  </w:footnote>
  <w:footnote w:id="634">
    <w:p w:rsidR="00C5566B" w:rsidRPr="00E741BB" w:rsidRDefault="00C5566B">
      <w:pPr>
        <w:pStyle w:val="FootnoteText"/>
      </w:pPr>
      <w:r>
        <w:rPr>
          <w:rStyle w:val="FootnoteReference"/>
        </w:rPr>
        <w:footnoteRef/>
      </w:r>
      <w:r>
        <w:t xml:space="preserve"> Cf. Macintosh, </w:t>
      </w:r>
      <w:r>
        <w:rPr>
          <w:i/>
        </w:rPr>
        <w:t>Hosea</w:t>
      </w:r>
      <w:r>
        <w:t>, 579.</w:t>
      </w:r>
    </w:p>
  </w:footnote>
  <w:footnote w:id="635">
    <w:p w:rsidR="00C5566B" w:rsidRPr="00323A81" w:rsidRDefault="00C5566B" w:rsidP="00774DC4">
      <w:pPr>
        <w:pStyle w:val="FootnoteText"/>
      </w:pPr>
      <w:r>
        <w:rPr>
          <w:rStyle w:val="FootnoteReference"/>
        </w:rPr>
        <w:footnoteRef/>
      </w:r>
      <w:r>
        <w:t xml:space="preserve"> Fisch, </w:t>
      </w:r>
      <w:r>
        <w:rPr>
          <w:i/>
        </w:rPr>
        <w:t>Poetry with a Purpose</w:t>
      </w:r>
      <w:r>
        <w:t>, 144, 145.</w:t>
      </w:r>
    </w:p>
  </w:footnote>
  <w:footnote w:id="636">
    <w:p w:rsidR="00C5566B" w:rsidRPr="00D23F7C" w:rsidRDefault="00C5566B">
      <w:pPr>
        <w:pStyle w:val="FootnoteText"/>
      </w:pPr>
      <w:r>
        <w:rPr>
          <w:rStyle w:val="FootnoteReference"/>
        </w:rPr>
        <w:footnoteRef/>
      </w:r>
      <w:r>
        <w:t xml:space="preserve"> Calvin, </w:t>
      </w:r>
      <w:r w:rsidRPr="009C2C74">
        <w:rPr>
          <w:i/>
        </w:rPr>
        <w:t>Minor Prophets</w:t>
      </w:r>
      <w:r w:rsidRPr="009C2C74">
        <w:t xml:space="preserve"> 1:</w:t>
      </w:r>
      <w:r>
        <w:t>494.</w:t>
      </w:r>
    </w:p>
  </w:footnote>
  <w:footnote w:id="637">
    <w:p w:rsidR="00C5566B" w:rsidRPr="00E879A5" w:rsidRDefault="00C5566B">
      <w:pPr>
        <w:pStyle w:val="FootnoteText"/>
      </w:pPr>
      <w:r>
        <w:rPr>
          <w:rStyle w:val="FootnoteReference"/>
        </w:rPr>
        <w:footnoteRef/>
      </w:r>
      <w:r>
        <w:t xml:space="preserve"> </w:t>
      </w:r>
      <w:r w:rsidRPr="00E879A5">
        <w:t xml:space="preserve">See </w:t>
      </w:r>
      <w:r w:rsidRPr="00E879A5">
        <w:rPr>
          <w:rFonts w:eastAsiaTheme="minorHAnsi" w:cs="Times New Roman"/>
          <w:iCs/>
        </w:rPr>
        <w:t>Hubert Irsigler, “‘</w:t>
      </w:r>
      <w:r w:rsidRPr="00E879A5">
        <w:rPr>
          <w:rFonts w:eastAsiaTheme="minorHAnsi" w:cs="Times New Roman"/>
        </w:rPr>
        <w:t xml:space="preserve">An mir findest du reiche Frucht,’” </w:t>
      </w:r>
      <w:r>
        <w:rPr>
          <w:rFonts w:eastAsiaTheme="minorHAnsi" w:cs="Times New Roman"/>
          <w:i/>
        </w:rPr>
        <w:t>BZ</w:t>
      </w:r>
      <w:r w:rsidRPr="00E879A5">
        <w:rPr>
          <w:rFonts w:eastAsiaTheme="minorHAnsi" w:cs="Times New Roman"/>
        </w:rPr>
        <w:t xml:space="preserve"> </w:t>
      </w:r>
      <w:r>
        <w:rPr>
          <w:rFonts w:eastAsiaTheme="minorHAnsi" w:cs="Times New Roman"/>
        </w:rPr>
        <w:t xml:space="preserve">59 </w:t>
      </w:r>
      <w:r w:rsidRPr="00E879A5">
        <w:rPr>
          <w:rFonts w:eastAsiaTheme="minorHAnsi" w:cs="Times New Roman"/>
        </w:rPr>
        <w:t>(2015): 257-78</w:t>
      </w:r>
      <w:r>
        <w:rPr>
          <w:rFonts w:eastAsiaTheme="minorHAnsi" w:cs="Times New Roman"/>
        </w:rPr>
        <w:t>.</w:t>
      </w:r>
    </w:p>
  </w:footnote>
  <w:footnote w:id="638">
    <w:p w:rsidR="00C5566B" w:rsidRDefault="00C5566B">
      <w:pPr>
        <w:pStyle w:val="FootnoteText"/>
      </w:pPr>
      <w:r>
        <w:rPr>
          <w:rStyle w:val="FootnoteReference"/>
        </w:rPr>
        <w:footnoteRef/>
      </w:r>
      <w:r>
        <w:t xml:space="preserve"> Cf. Alice A. Keefe, “Hosea’s (In)Fertility God,” </w:t>
      </w:r>
      <w:r>
        <w:rPr>
          <w:i/>
        </w:rPr>
        <w:t>HBT</w:t>
      </w:r>
      <w:r w:rsidRPr="005E652E">
        <w:t xml:space="preserve"> 30 (2008)</w:t>
      </w:r>
      <w:r>
        <w:t xml:space="preserve">: 21-41. Perhaps this includes polemic against and appropriation of goddess motifs: see e.g., Judith M. Hadley, “Goddesses, Trees, and the Interpretation of Hosea 14:8(9),” in </w:t>
      </w:r>
      <w:r w:rsidRPr="00397DFF">
        <w:t xml:space="preserve">David A. Baer and Robert P. Gordon (eds.), </w:t>
      </w:r>
      <w:r w:rsidRPr="00397DFF">
        <w:rPr>
          <w:i/>
        </w:rPr>
        <w:t>Leshon Limmudim</w:t>
      </w:r>
      <w:r>
        <w:t xml:space="preserve"> (</w:t>
      </w:r>
      <w:r w:rsidRPr="00397DFF">
        <w:t>A. A. Macintosh Festschrift; L</w:t>
      </w:r>
      <w:r>
        <w:t xml:space="preserve">ondon: Bloomsbury, 2013), 136-48, and her references. </w:t>
      </w:r>
    </w:p>
  </w:footnote>
  <w:footnote w:id="639">
    <w:p w:rsidR="00C5566B" w:rsidRPr="00266DFB" w:rsidRDefault="00C5566B">
      <w:pPr>
        <w:pStyle w:val="FootnoteText"/>
      </w:pPr>
      <w:r>
        <w:rPr>
          <w:rStyle w:val="FootnoteReference"/>
        </w:rPr>
        <w:footnoteRef/>
      </w:r>
      <w:r>
        <w:t xml:space="preserve"> Not “understand” (see the note on 4:14), as in the parallel colon. Simple </w:t>
      </w:r>
      <w:r>
        <w:rPr>
          <w:i/>
        </w:rPr>
        <w:t xml:space="preserve">waw </w:t>
      </w:r>
      <w:r>
        <w:t xml:space="preserve">plus jussive in a purpose clause (cf. DG 129; 87d); LXX, Vg take the </w:t>
      </w:r>
      <w:r>
        <w:rPr>
          <w:i/>
        </w:rPr>
        <w:t>wə</w:t>
      </w:r>
      <w:r>
        <w:t xml:space="preserve"> simply to mean “and,” and the line could then express humbleness or puzzlement; but this leads less well into v. 9b and makes for a lame ending for the scroll. </w:t>
      </w:r>
    </w:p>
  </w:footnote>
  <w:footnote w:id="640">
    <w:p w:rsidR="00C5566B" w:rsidRDefault="00C5566B">
      <w:pPr>
        <w:pStyle w:val="FootnoteText"/>
      </w:pPr>
      <w:r>
        <w:rPr>
          <w:rStyle w:val="FootnoteReference"/>
        </w:rPr>
        <w:footnoteRef/>
      </w:r>
      <w:r>
        <w:t xml:space="preserve"> That is, fall into Hell, Tg understands.</w:t>
      </w:r>
    </w:p>
  </w:footnote>
  <w:footnote w:id="641">
    <w:p w:rsidR="00C5566B" w:rsidRDefault="00C5566B">
      <w:pPr>
        <w:pStyle w:val="FootnoteText"/>
      </w:pPr>
      <w:r>
        <w:rPr>
          <w:rStyle w:val="FootnoteReference"/>
        </w:rPr>
        <w:footnoteRef/>
      </w:r>
      <w:r>
        <w:t xml:space="preserve"> And in its own right and not merely as one unit within the Twelve: cf. Roman Vielhauer, “Hosea in the Book of the Twelve,” in </w:t>
      </w:r>
      <w:r w:rsidRPr="00E91AA3">
        <w:t xml:space="preserve">Albertz and others (eds.), </w:t>
      </w:r>
      <w:r w:rsidRPr="00E91AA3">
        <w:rPr>
          <w:i/>
        </w:rPr>
        <w:t>Perspectives on the Formation of the Book of the Twelve</w:t>
      </w:r>
      <w:r w:rsidRPr="00E91AA3">
        <w:t>,</w:t>
      </w:r>
      <w:r>
        <w:t xml:space="preserve"> 55-75 (70-71).</w:t>
      </w:r>
    </w:p>
  </w:footnote>
  <w:footnote w:id="642">
    <w:p w:rsidR="00C5566B" w:rsidRPr="007D788C" w:rsidRDefault="00C5566B" w:rsidP="007D788C">
      <w:pPr>
        <w:pStyle w:val="FootnoteText"/>
      </w:pPr>
      <w:r>
        <w:rPr>
          <w:rStyle w:val="FootnoteReference"/>
        </w:rPr>
        <w:footnoteRef/>
      </w:r>
      <w:r>
        <w:t xml:space="preserve"> See </w:t>
      </w:r>
      <w:r w:rsidRPr="007D788C">
        <w:rPr>
          <w:rFonts w:eastAsiaTheme="minorHAnsi"/>
          <w:bCs/>
          <w:iCs/>
        </w:rPr>
        <w:t>Gerald Γ. Sheppard</w:t>
      </w:r>
      <w:r>
        <w:rPr>
          <w:rFonts w:eastAsiaTheme="minorHAnsi"/>
          <w:bCs/>
          <w:iCs/>
        </w:rPr>
        <w:t>,</w:t>
      </w:r>
      <w:r w:rsidRPr="007D788C">
        <w:rPr>
          <w:rFonts w:eastAsiaTheme="minorHAnsi"/>
          <w:bCs/>
          <w:iCs/>
        </w:rPr>
        <w:t xml:space="preserve"> </w:t>
      </w:r>
      <w:r>
        <w:rPr>
          <w:rFonts w:eastAsiaTheme="minorHAnsi"/>
          <w:bCs/>
          <w:iCs/>
        </w:rPr>
        <w:t>“</w:t>
      </w:r>
      <w:r w:rsidRPr="007D788C">
        <w:rPr>
          <w:rFonts w:eastAsiaTheme="minorHAnsi"/>
          <w:bCs/>
        </w:rPr>
        <w:t>The Last Words of Hosea</w:t>
      </w:r>
      <w:r>
        <w:rPr>
          <w:rFonts w:eastAsiaTheme="minorHAnsi"/>
          <w:bCs/>
        </w:rPr>
        <w:t xml:space="preserve">,” </w:t>
      </w:r>
      <w:r>
        <w:rPr>
          <w:rFonts w:eastAsiaTheme="minorHAnsi"/>
          <w:bCs/>
          <w:i/>
        </w:rPr>
        <w:t>Review and Expositor</w:t>
      </w:r>
      <w:r>
        <w:rPr>
          <w:rFonts w:eastAsiaTheme="minorHAnsi"/>
          <w:bCs/>
        </w:rPr>
        <w:t xml:space="preserve"> 90 (1993): 191-204.</w:t>
      </w:r>
    </w:p>
  </w:footnote>
  <w:footnote w:id="643">
    <w:p w:rsidR="00C5566B" w:rsidRPr="00B067FE" w:rsidRDefault="00C5566B">
      <w:pPr>
        <w:pStyle w:val="FootnoteText"/>
      </w:pPr>
      <w:r>
        <w:rPr>
          <w:rStyle w:val="FootnoteReference"/>
        </w:rPr>
        <w:footnoteRef/>
      </w:r>
      <w:r>
        <w:t xml:space="preserve"> Cf. A. A. Macintosh, “Hosea and the Wisdom Tradition,” in John Day and others (eds.), </w:t>
      </w:r>
      <w:r>
        <w:rPr>
          <w:i/>
        </w:rPr>
        <w:t>Wisdom in Ancient Israel</w:t>
      </w:r>
      <w:r>
        <w:t xml:space="preserve"> (J. A. Emerton Festschrift; Cambridge: Cambridge University Press, 1995), 124-32.</w:t>
      </w:r>
    </w:p>
  </w:footnote>
  <w:footnote w:id="644">
    <w:p w:rsidR="00C5566B" w:rsidRPr="00FF212C" w:rsidRDefault="00C5566B">
      <w:pPr>
        <w:pStyle w:val="FootnoteText"/>
      </w:pPr>
      <w:r>
        <w:rPr>
          <w:rStyle w:val="FootnoteReference"/>
        </w:rPr>
        <w:footnoteRef/>
      </w:r>
      <w:r>
        <w:t xml:space="preserve"> Kåre Berge makes v. 9 [10] the starting point for considering “Divine and Human Wisdom in Hosea,” in Ehud Ben Zvi and others (eds.), </w:t>
      </w:r>
      <w:r>
        <w:rPr>
          <w:i/>
        </w:rPr>
        <w:t xml:space="preserve">Poets, Prophets, and Texts in Play </w:t>
      </w:r>
      <w:r>
        <w:t>(London: Bloomsbury, 2015), 19-36. See also Ehud Ben Zvi, “Remembering Hosea,” in the same volume, 37-57.</w:t>
      </w:r>
    </w:p>
  </w:footnote>
  <w:footnote w:id="645">
    <w:p w:rsidR="00C5566B" w:rsidRPr="004F1211" w:rsidRDefault="00C5566B" w:rsidP="00540624">
      <w:pPr>
        <w:pStyle w:val="FootnoteText"/>
      </w:pPr>
      <w:r>
        <w:rPr>
          <w:rStyle w:val="FootnoteReference"/>
        </w:rPr>
        <w:footnoteRef/>
      </w:r>
      <w:r>
        <w:t xml:space="preserve"> Ben Zvi, </w:t>
      </w:r>
      <w:r>
        <w:rPr>
          <w:i/>
        </w:rPr>
        <w:t>Hosea</w:t>
      </w:r>
      <w:r>
        <w:t>, 316.</w:t>
      </w:r>
    </w:p>
  </w:footnote>
  <w:footnote w:id="646">
    <w:p w:rsidR="00C5566B" w:rsidRPr="00D76DA6" w:rsidRDefault="00C5566B" w:rsidP="00540624">
      <w:pPr>
        <w:pStyle w:val="FootnoteText"/>
      </w:pPr>
      <w:r>
        <w:rPr>
          <w:rStyle w:val="FootnoteReference"/>
        </w:rPr>
        <w:footnoteRef/>
      </w:r>
      <w:r>
        <w:t xml:space="preserve"> Cf. Sweeney, </w:t>
      </w:r>
      <w:r>
        <w:rPr>
          <w:i/>
        </w:rPr>
        <w:t>Twelve Prophets</w:t>
      </w:r>
      <w:r>
        <w:t xml:space="preserve"> 1:141.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86C"/>
    <w:multiLevelType w:val="hybridMultilevel"/>
    <w:tmpl w:val="5E323CC8"/>
    <w:lvl w:ilvl="0" w:tplc="1B3E8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152F7"/>
    <w:multiLevelType w:val="hybridMultilevel"/>
    <w:tmpl w:val="479EF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5E32E6"/>
    <w:multiLevelType w:val="hybridMultilevel"/>
    <w:tmpl w:val="59767AFC"/>
    <w:lvl w:ilvl="0" w:tplc="0150A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722B38"/>
    <w:multiLevelType w:val="hybridMultilevel"/>
    <w:tmpl w:val="BCB4C794"/>
    <w:lvl w:ilvl="0" w:tplc="D302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272A6"/>
    <w:multiLevelType w:val="hybridMultilevel"/>
    <w:tmpl w:val="1606657C"/>
    <w:lvl w:ilvl="0" w:tplc="9D82286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0B8E6AE1"/>
    <w:multiLevelType w:val="hybridMultilevel"/>
    <w:tmpl w:val="2AD20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9926EB"/>
    <w:multiLevelType w:val="hybridMultilevel"/>
    <w:tmpl w:val="1D885F44"/>
    <w:lvl w:ilvl="0" w:tplc="DE10A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A106B4"/>
    <w:multiLevelType w:val="hybridMultilevel"/>
    <w:tmpl w:val="8454ECFC"/>
    <w:lvl w:ilvl="0" w:tplc="AD529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9F7789"/>
    <w:multiLevelType w:val="hybridMultilevel"/>
    <w:tmpl w:val="BCE2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C0471"/>
    <w:multiLevelType w:val="hybridMultilevel"/>
    <w:tmpl w:val="2660B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42459C"/>
    <w:multiLevelType w:val="hybridMultilevel"/>
    <w:tmpl w:val="8D3CD6EA"/>
    <w:lvl w:ilvl="0" w:tplc="691E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04006F"/>
    <w:multiLevelType w:val="hybridMultilevel"/>
    <w:tmpl w:val="C0D8B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E23ADE"/>
    <w:multiLevelType w:val="hybridMultilevel"/>
    <w:tmpl w:val="1002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7E76A1"/>
    <w:multiLevelType w:val="hybridMultilevel"/>
    <w:tmpl w:val="DC1A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01026"/>
    <w:multiLevelType w:val="hybridMultilevel"/>
    <w:tmpl w:val="36C22108"/>
    <w:lvl w:ilvl="0" w:tplc="21D2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EC3646"/>
    <w:multiLevelType w:val="hybridMultilevel"/>
    <w:tmpl w:val="A708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6627E"/>
    <w:multiLevelType w:val="hybridMultilevel"/>
    <w:tmpl w:val="F8D6ADF8"/>
    <w:lvl w:ilvl="0" w:tplc="12BAD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507EAE"/>
    <w:multiLevelType w:val="hybridMultilevel"/>
    <w:tmpl w:val="A17A6864"/>
    <w:lvl w:ilvl="0" w:tplc="4CF24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EA1B56"/>
    <w:multiLevelType w:val="hybridMultilevel"/>
    <w:tmpl w:val="AE4C1360"/>
    <w:lvl w:ilvl="0" w:tplc="3D82F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516542"/>
    <w:multiLevelType w:val="hybridMultilevel"/>
    <w:tmpl w:val="CF3CC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CC7457"/>
    <w:multiLevelType w:val="hybridMultilevel"/>
    <w:tmpl w:val="BEC8B362"/>
    <w:lvl w:ilvl="0" w:tplc="4FC0E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8E260F"/>
    <w:multiLevelType w:val="hybridMultilevel"/>
    <w:tmpl w:val="DD1A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11BA9"/>
    <w:multiLevelType w:val="hybridMultilevel"/>
    <w:tmpl w:val="012664FE"/>
    <w:lvl w:ilvl="0" w:tplc="CA300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97130B"/>
    <w:multiLevelType w:val="hybridMultilevel"/>
    <w:tmpl w:val="6EAE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A1516"/>
    <w:multiLevelType w:val="hybridMultilevel"/>
    <w:tmpl w:val="DD4EA510"/>
    <w:lvl w:ilvl="0" w:tplc="D9D69210">
      <w:start w:val="1"/>
      <w:numFmt w:val="decimal"/>
      <w:lvlText w:val="%1."/>
      <w:lvlJc w:val="left"/>
      <w:pPr>
        <w:ind w:left="720" w:hanging="360"/>
      </w:pPr>
      <w:rPr>
        <w:rFonts w:asciiTheme="minorHAnsi" w:eastAsiaTheme="minorEastAs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27900"/>
    <w:multiLevelType w:val="hybridMultilevel"/>
    <w:tmpl w:val="A9FE2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093269"/>
    <w:multiLevelType w:val="hybridMultilevel"/>
    <w:tmpl w:val="2118D66E"/>
    <w:lvl w:ilvl="0" w:tplc="3016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B76F1B"/>
    <w:multiLevelType w:val="hybridMultilevel"/>
    <w:tmpl w:val="CE648132"/>
    <w:lvl w:ilvl="0" w:tplc="B79A3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7F32BF"/>
    <w:multiLevelType w:val="hybridMultilevel"/>
    <w:tmpl w:val="E7A2DE7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nsid w:val="69AF2C4D"/>
    <w:multiLevelType w:val="hybridMultilevel"/>
    <w:tmpl w:val="112E90A0"/>
    <w:lvl w:ilvl="0" w:tplc="C7EC56D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77D65"/>
    <w:multiLevelType w:val="hybridMultilevel"/>
    <w:tmpl w:val="2CB228DE"/>
    <w:lvl w:ilvl="0" w:tplc="B0482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A86425"/>
    <w:multiLevelType w:val="hybridMultilevel"/>
    <w:tmpl w:val="5204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4C7FDC"/>
    <w:multiLevelType w:val="hybridMultilevel"/>
    <w:tmpl w:val="3E5EEBD0"/>
    <w:lvl w:ilvl="0" w:tplc="ADD0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617F10"/>
    <w:multiLevelType w:val="hybridMultilevel"/>
    <w:tmpl w:val="95185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963F71"/>
    <w:multiLevelType w:val="hybridMultilevel"/>
    <w:tmpl w:val="26200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8B43F2"/>
    <w:multiLevelType w:val="hybridMultilevel"/>
    <w:tmpl w:val="623E67D4"/>
    <w:lvl w:ilvl="0" w:tplc="DFCC5286">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170AF4"/>
    <w:multiLevelType w:val="hybridMultilevel"/>
    <w:tmpl w:val="AEA0DAA8"/>
    <w:lvl w:ilvl="0" w:tplc="E71CD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F076BC"/>
    <w:multiLevelType w:val="hybridMultilevel"/>
    <w:tmpl w:val="6630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36"/>
  </w:num>
  <w:num w:numId="4">
    <w:abstractNumId w:val="4"/>
  </w:num>
  <w:num w:numId="5">
    <w:abstractNumId w:val="26"/>
  </w:num>
  <w:num w:numId="6">
    <w:abstractNumId w:val="3"/>
  </w:num>
  <w:num w:numId="7">
    <w:abstractNumId w:val="20"/>
  </w:num>
  <w:num w:numId="8">
    <w:abstractNumId w:val="21"/>
  </w:num>
  <w:num w:numId="9">
    <w:abstractNumId w:val="18"/>
  </w:num>
  <w:num w:numId="10">
    <w:abstractNumId w:val="6"/>
  </w:num>
  <w:num w:numId="11">
    <w:abstractNumId w:val="24"/>
  </w:num>
  <w:num w:numId="12">
    <w:abstractNumId w:val="32"/>
  </w:num>
  <w:num w:numId="13">
    <w:abstractNumId w:val="8"/>
  </w:num>
  <w:num w:numId="14">
    <w:abstractNumId w:val="35"/>
  </w:num>
  <w:num w:numId="15">
    <w:abstractNumId w:val="27"/>
  </w:num>
  <w:num w:numId="16">
    <w:abstractNumId w:val="28"/>
  </w:num>
  <w:num w:numId="17">
    <w:abstractNumId w:val="30"/>
  </w:num>
  <w:num w:numId="18">
    <w:abstractNumId w:val="5"/>
  </w:num>
  <w:num w:numId="19">
    <w:abstractNumId w:val="0"/>
  </w:num>
  <w:num w:numId="20">
    <w:abstractNumId w:val="10"/>
  </w:num>
  <w:num w:numId="21">
    <w:abstractNumId w:val="31"/>
  </w:num>
  <w:num w:numId="22">
    <w:abstractNumId w:val="19"/>
  </w:num>
  <w:num w:numId="23">
    <w:abstractNumId w:val="37"/>
  </w:num>
  <w:num w:numId="24">
    <w:abstractNumId w:val="1"/>
  </w:num>
  <w:num w:numId="25">
    <w:abstractNumId w:val="29"/>
  </w:num>
  <w:num w:numId="26">
    <w:abstractNumId w:val="7"/>
  </w:num>
  <w:num w:numId="27">
    <w:abstractNumId w:val="9"/>
  </w:num>
  <w:num w:numId="28">
    <w:abstractNumId w:val="14"/>
  </w:num>
  <w:num w:numId="29">
    <w:abstractNumId w:val="34"/>
  </w:num>
  <w:num w:numId="30">
    <w:abstractNumId w:val="16"/>
  </w:num>
  <w:num w:numId="31">
    <w:abstractNumId w:val="2"/>
  </w:num>
  <w:num w:numId="32">
    <w:abstractNumId w:val="12"/>
  </w:num>
  <w:num w:numId="33">
    <w:abstractNumId w:val="15"/>
  </w:num>
  <w:num w:numId="34">
    <w:abstractNumId w:val="11"/>
  </w:num>
  <w:num w:numId="35">
    <w:abstractNumId w:val="25"/>
  </w:num>
  <w:num w:numId="36">
    <w:abstractNumId w:val="23"/>
  </w:num>
  <w:num w:numId="37">
    <w:abstractNumId w:val="33"/>
  </w:num>
  <w:num w:numId="3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99"/>
    <w:rsid w:val="000000A8"/>
    <w:rsid w:val="00000124"/>
    <w:rsid w:val="00002D8D"/>
    <w:rsid w:val="000031BD"/>
    <w:rsid w:val="000035F5"/>
    <w:rsid w:val="00004878"/>
    <w:rsid w:val="00005082"/>
    <w:rsid w:val="000051D1"/>
    <w:rsid w:val="00005259"/>
    <w:rsid w:val="00007002"/>
    <w:rsid w:val="000070BD"/>
    <w:rsid w:val="00007897"/>
    <w:rsid w:val="00010901"/>
    <w:rsid w:val="000109D3"/>
    <w:rsid w:val="000112A7"/>
    <w:rsid w:val="00011439"/>
    <w:rsid w:val="000114D2"/>
    <w:rsid w:val="00011B18"/>
    <w:rsid w:val="00012094"/>
    <w:rsid w:val="000121B2"/>
    <w:rsid w:val="000122C9"/>
    <w:rsid w:val="00012416"/>
    <w:rsid w:val="000127BB"/>
    <w:rsid w:val="00012A40"/>
    <w:rsid w:val="00013090"/>
    <w:rsid w:val="0001337B"/>
    <w:rsid w:val="00013584"/>
    <w:rsid w:val="00013DB1"/>
    <w:rsid w:val="00013F82"/>
    <w:rsid w:val="000151CE"/>
    <w:rsid w:val="00015310"/>
    <w:rsid w:val="00015743"/>
    <w:rsid w:val="00015B51"/>
    <w:rsid w:val="00015DE2"/>
    <w:rsid w:val="00015F19"/>
    <w:rsid w:val="000160B8"/>
    <w:rsid w:val="00016C2F"/>
    <w:rsid w:val="000178A6"/>
    <w:rsid w:val="00020000"/>
    <w:rsid w:val="00020247"/>
    <w:rsid w:val="00020D76"/>
    <w:rsid w:val="00020F79"/>
    <w:rsid w:val="000218CC"/>
    <w:rsid w:val="00021E0E"/>
    <w:rsid w:val="00021F56"/>
    <w:rsid w:val="0002292A"/>
    <w:rsid w:val="000235C6"/>
    <w:rsid w:val="00023CE3"/>
    <w:rsid w:val="000248A8"/>
    <w:rsid w:val="00024B72"/>
    <w:rsid w:val="00025EFF"/>
    <w:rsid w:val="000261A2"/>
    <w:rsid w:val="000261F4"/>
    <w:rsid w:val="000274E6"/>
    <w:rsid w:val="00027514"/>
    <w:rsid w:val="000276AF"/>
    <w:rsid w:val="00027A92"/>
    <w:rsid w:val="00030085"/>
    <w:rsid w:val="0003053D"/>
    <w:rsid w:val="000306C0"/>
    <w:rsid w:val="000308B0"/>
    <w:rsid w:val="0003107F"/>
    <w:rsid w:val="00031B76"/>
    <w:rsid w:val="0003248D"/>
    <w:rsid w:val="00032C46"/>
    <w:rsid w:val="00032C8C"/>
    <w:rsid w:val="000331B6"/>
    <w:rsid w:val="000332A5"/>
    <w:rsid w:val="000338F4"/>
    <w:rsid w:val="00033C87"/>
    <w:rsid w:val="000343CC"/>
    <w:rsid w:val="000347AE"/>
    <w:rsid w:val="00034BF6"/>
    <w:rsid w:val="00035149"/>
    <w:rsid w:val="00035983"/>
    <w:rsid w:val="000372A5"/>
    <w:rsid w:val="00037558"/>
    <w:rsid w:val="00037FE0"/>
    <w:rsid w:val="0004245B"/>
    <w:rsid w:val="0004269A"/>
    <w:rsid w:val="0004290A"/>
    <w:rsid w:val="00042FDC"/>
    <w:rsid w:val="00043006"/>
    <w:rsid w:val="000434FA"/>
    <w:rsid w:val="00044309"/>
    <w:rsid w:val="00044378"/>
    <w:rsid w:val="0004544C"/>
    <w:rsid w:val="00045793"/>
    <w:rsid w:val="00045940"/>
    <w:rsid w:val="00045D3C"/>
    <w:rsid w:val="00046023"/>
    <w:rsid w:val="00046263"/>
    <w:rsid w:val="00046A09"/>
    <w:rsid w:val="00046B3D"/>
    <w:rsid w:val="00046CE8"/>
    <w:rsid w:val="00046E6A"/>
    <w:rsid w:val="000473AB"/>
    <w:rsid w:val="00047771"/>
    <w:rsid w:val="00047C0C"/>
    <w:rsid w:val="00047D2E"/>
    <w:rsid w:val="00047F98"/>
    <w:rsid w:val="00050423"/>
    <w:rsid w:val="00050BA8"/>
    <w:rsid w:val="00051515"/>
    <w:rsid w:val="000525C8"/>
    <w:rsid w:val="000525F9"/>
    <w:rsid w:val="00052B3D"/>
    <w:rsid w:val="00053203"/>
    <w:rsid w:val="00053518"/>
    <w:rsid w:val="00053B6F"/>
    <w:rsid w:val="0005439C"/>
    <w:rsid w:val="0005474A"/>
    <w:rsid w:val="000556A4"/>
    <w:rsid w:val="00055D87"/>
    <w:rsid w:val="00055D90"/>
    <w:rsid w:val="0005625D"/>
    <w:rsid w:val="0005705D"/>
    <w:rsid w:val="0005735D"/>
    <w:rsid w:val="00057661"/>
    <w:rsid w:val="000577E1"/>
    <w:rsid w:val="00057C4C"/>
    <w:rsid w:val="0006020C"/>
    <w:rsid w:val="000614EB"/>
    <w:rsid w:val="00061A1A"/>
    <w:rsid w:val="00062E48"/>
    <w:rsid w:val="00062F2D"/>
    <w:rsid w:val="00063395"/>
    <w:rsid w:val="0006378E"/>
    <w:rsid w:val="00063D80"/>
    <w:rsid w:val="0006504C"/>
    <w:rsid w:val="00065107"/>
    <w:rsid w:val="00065861"/>
    <w:rsid w:val="00065C5C"/>
    <w:rsid w:val="00066402"/>
    <w:rsid w:val="000664DB"/>
    <w:rsid w:val="00067816"/>
    <w:rsid w:val="00067BCA"/>
    <w:rsid w:val="00067F8C"/>
    <w:rsid w:val="0007001A"/>
    <w:rsid w:val="00070564"/>
    <w:rsid w:val="000708C7"/>
    <w:rsid w:val="00070EC2"/>
    <w:rsid w:val="00070EEB"/>
    <w:rsid w:val="000720B9"/>
    <w:rsid w:val="000726D2"/>
    <w:rsid w:val="000729A9"/>
    <w:rsid w:val="00073064"/>
    <w:rsid w:val="0007312F"/>
    <w:rsid w:val="00074EF4"/>
    <w:rsid w:val="00075489"/>
    <w:rsid w:val="0007676F"/>
    <w:rsid w:val="000767DC"/>
    <w:rsid w:val="00077752"/>
    <w:rsid w:val="0007776E"/>
    <w:rsid w:val="00077CC3"/>
    <w:rsid w:val="000801BA"/>
    <w:rsid w:val="000805C3"/>
    <w:rsid w:val="000806BE"/>
    <w:rsid w:val="00080FAD"/>
    <w:rsid w:val="00081517"/>
    <w:rsid w:val="00081D91"/>
    <w:rsid w:val="0008273E"/>
    <w:rsid w:val="00082BF5"/>
    <w:rsid w:val="00082F13"/>
    <w:rsid w:val="00084951"/>
    <w:rsid w:val="000855C5"/>
    <w:rsid w:val="00086A2F"/>
    <w:rsid w:val="000870FF"/>
    <w:rsid w:val="00087C54"/>
    <w:rsid w:val="00087F58"/>
    <w:rsid w:val="000913FC"/>
    <w:rsid w:val="0009205F"/>
    <w:rsid w:val="00092060"/>
    <w:rsid w:val="000933D4"/>
    <w:rsid w:val="000936CE"/>
    <w:rsid w:val="00093DE9"/>
    <w:rsid w:val="00094007"/>
    <w:rsid w:val="000941B1"/>
    <w:rsid w:val="0009461E"/>
    <w:rsid w:val="00094684"/>
    <w:rsid w:val="000946C7"/>
    <w:rsid w:val="000946D2"/>
    <w:rsid w:val="000948B0"/>
    <w:rsid w:val="00094FAC"/>
    <w:rsid w:val="00095806"/>
    <w:rsid w:val="00095DFC"/>
    <w:rsid w:val="00095E34"/>
    <w:rsid w:val="00096D1F"/>
    <w:rsid w:val="00097B6C"/>
    <w:rsid w:val="000A08B8"/>
    <w:rsid w:val="000A126A"/>
    <w:rsid w:val="000A21B8"/>
    <w:rsid w:val="000A28CE"/>
    <w:rsid w:val="000A2CA9"/>
    <w:rsid w:val="000A2F1F"/>
    <w:rsid w:val="000A331E"/>
    <w:rsid w:val="000A3848"/>
    <w:rsid w:val="000A3B66"/>
    <w:rsid w:val="000A4518"/>
    <w:rsid w:val="000A4689"/>
    <w:rsid w:val="000A4760"/>
    <w:rsid w:val="000A503E"/>
    <w:rsid w:val="000A5AA9"/>
    <w:rsid w:val="000A6545"/>
    <w:rsid w:val="000B03D3"/>
    <w:rsid w:val="000B0BDB"/>
    <w:rsid w:val="000B0DAD"/>
    <w:rsid w:val="000B12C7"/>
    <w:rsid w:val="000B1A0A"/>
    <w:rsid w:val="000B251F"/>
    <w:rsid w:val="000B26A2"/>
    <w:rsid w:val="000B2FED"/>
    <w:rsid w:val="000B32FC"/>
    <w:rsid w:val="000B33E8"/>
    <w:rsid w:val="000B3E23"/>
    <w:rsid w:val="000B4222"/>
    <w:rsid w:val="000B4468"/>
    <w:rsid w:val="000B5392"/>
    <w:rsid w:val="000B5EF6"/>
    <w:rsid w:val="000B672A"/>
    <w:rsid w:val="000B6921"/>
    <w:rsid w:val="000C0573"/>
    <w:rsid w:val="000C193C"/>
    <w:rsid w:val="000C22EC"/>
    <w:rsid w:val="000C2D0C"/>
    <w:rsid w:val="000C2D0E"/>
    <w:rsid w:val="000C324C"/>
    <w:rsid w:val="000C3FA6"/>
    <w:rsid w:val="000C45D9"/>
    <w:rsid w:val="000C4844"/>
    <w:rsid w:val="000C4A8B"/>
    <w:rsid w:val="000C4AB7"/>
    <w:rsid w:val="000C4B5C"/>
    <w:rsid w:val="000C5181"/>
    <w:rsid w:val="000C51D6"/>
    <w:rsid w:val="000C54A7"/>
    <w:rsid w:val="000C67CA"/>
    <w:rsid w:val="000C6A45"/>
    <w:rsid w:val="000C6D94"/>
    <w:rsid w:val="000C6E53"/>
    <w:rsid w:val="000C700F"/>
    <w:rsid w:val="000C70B4"/>
    <w:rsid w:val="000C7CD6"/>
    <w:rsid w:val="000D1E5E"/>
    <w:rsid w:val="000D1F38"/>
    <w:rsid w:val="000D26AC"/>
    <w:rsid w:val="000D2CC3"/>
    <w:rsid w:val="000D2D35"/>
    <w:rsid w:val="000D30F3"/>
    <w:rsid w:val="000D3359"/>
    <w:rsid w:val="000D37E1"/>
    <w:rsid w:val="000D3E8E"/>
    <w:rsid w:val="000D3EAE"/>
    <w:rsid w:val="000D4809"/>
    <w:rsid w:val="000D4B58"/>
    <w:rsid w:val="000D5005"/>
    <w:rsid w:val="000D6C22"/>
    <w:rsid w:val="000D7737"/>
    <w:rsid w:val="000E055B"/>
    <w:rsid w:val="000E05AE"/>
    <w:rsid w:val="000E0765"/>
    <w:rsid w:val="000E0891"/>
    <w:rsid w:val="000E0E78"/>
    <w:rsid w:val="000E0F4A"/>
    <w:rsid w:val="000E1722"/>
    <w:rsid w:val="000E18FA"/>
    <w:rsid w:val="000E2322"/>
    <w:rsid w:val="000E2923"/>
    <w:rsid w:val="000E30F7"/>
    <w:rsid w:val="000E329B"/>
    <w:rsid w:val="000E429C"/>
    <w:rsid w:val="000E4585"/>
    <w:rsid w:val="000E45BB"/>
    <w:rsid w:val="000E6002"/>
    <w:rsid w:val="000E6078"/>
    <w:rsid w:val="000E6E11"/>
    <w:rsid w:val="000E7176"/>
    <w:rsid w:val="000E744F"/>
    <w:rsid w:val="000E76CF"/>
    <w:rsid w:val="000E7E54"/>
    <w:rsid w:val="000F1ACD"/>
    <w:rsid w:val="000F1C51"/>
    <w:rsid w:val="000F240A"/>
    <w:rsid w:val="000F2413"/>
    <w:rsid w:val="000F4A69"/>
    <w:rsid w:val="000F5983"/>
    <w:rsid w:val="000F5DBC"/>
    <w:rsid w:val="000F6D36"/>
    <w:rsid w:val="000F6D97"/>
    <w:rsid w:val="000F6FB2"/>
    <w:rsid w:val="0010052B"/>
    <w:rsid w:val="0010098F"/>
    <w:rsid w:val="00100A92"/>
    <w:rsid w:val="00100B13"/>
    <w:rsid w:val="00100FC6"/>
    <w:rsid w:val="001027F2"/>
    <w:rsid w:val="00102C5D"/>
    <w:rsid w:val="00103856"/>
    <w:rsid w:val="00103E77"/>
    <w:rsid w:val="0010459A"/>
    <w:rsid w:val="001047FF"/>
    <w:rsid w:val="00104902"/>
    <w:rsid w:val="00104B2B"/>
    <w:rsid w:val="00104B59"/>
    <w:rsid w:val="00104E13"/>
    <w:rsid w:val="00104FB8"/>
    <w:rsid w:val="00105067"/>
    <w:rsid w:val="001052EE"/>
    <w:rsid w:val="001055FD"/>
    <w:rsid w:val="001062BA"/>
    <w:rsid w:val="001068F9"/>
    <w:rsid w:val="001070F6"/>
    <w:rsid w:val="001105B4"/>
    <w:rsid w:val="00110AB9"/>
    <w:rsid w:val="0011165C"/>
    <w:rsid w:val="00111A07"/>
    <w:rsid w:val="00111AD3"/>
    <w:rsid w:val="00112174"/>
    <w:rsid w:val="00112D1B"/>
    <w:rsid w:val="0011518A"/>
    <w:rsid w:val="00115A26"/>
    <w:rsid w:val="00116B58"/>
    <w:rsid w:val="0011772D"/>
    <w:rsid w:val="001177C5"/>
    <w:rsid w:val="0011785B"/>
    <w:rsid w:val="00117E75"/>
    <w:rsid w:val="00117EF1"/>
    <w:rsid w:val="0012002D"/>
    <w:rsid w:val="0012093A"/>
    <w:rsid w:val="00120F56"/>
    <w:rsid w:val="0012111E"/>
    <w:rsid w:val="00121C70"/>
    <w:rsid w:val="0012291B"/>
    <w:rsid w:val="0012362F"/>
    <w:rsid w:val="00124135"/>
    <w:rsid w:val="00124BA3"/>
    <w:rsid w:val="00124DB1"/>
    <w:rsid w:val="00125113"/>
    <w:rsid w:val="001256DD"/>
    <w:rsid w:val="0012666B"/>
    <w:rsid w:val="0012788A"/>
    <w:rsid w:val="0013055E"/>
    <w:rsid w:val="00130594"/>
    <w:rsid w:val="001310D2"/>
    <w:rsid w:val="001314C9"/>
    <w:rsid w:val="00131616"/>
    <w:rsid w:val="0013294D"/>
    <w:rsid w:val="00133011"/>
    <w:rsid w:val="001340C3"/>
    <w:rsid w:val="001348C3"/>
    <w:rsid w:val="00135A33"/>
    <w:rsid w:val="00135B26"/>
    <w:rsid w:val="00135DAE"/>
    <w:rsid w:val="00136F71"/>
    <w:rsid w:val="0013753D"/>
    <w:rsid w:val="00140876"/>
    <w:rsid w:val="001412F6"/>
    <w:rsid w:val="001419EA"/>
    <w:rsid w:val="00141BCC"/>
    <w:rsid w:val="001424AF"/>
    <w:rsid w:val="0014301D"/>
    <w:rsid w:val="00143567"/>
    <w:rsid w:val="0014398D"/>
    <w:rsid w:val="00143A86"/>
    <w:rsid w:val="001444BF"/>
    <w:rsid w:val="00144697"/>
    <w:rsid w:val="001454A2"/>
    <w:rsid w:val="0014558C"/>
    <w:rsid w:val="00146A19"/>
    <w:rsid w:val="00146FEB"/>
    <w:rsid w:val="001470D7"/>
    <w:rsid w:val="00147CA6"/>
    <w:rsid w:val="001508A0"/>
    <w:rsid w:val="001508DB"/>
    <w:rsid w:val="00150BD9"/>
    <w:rsid w:val="00150F36"/>
    <w:rsid w:val="00152391"/>
    <w:rsid w:val="00152575"/>
    <w:rsid w:val="0015265F"/>
    <w:rsid w:val="001528A3"/>
    <w:rsid w:val="00153DF3"/>
    <w:rsid w:val="00154615"/>
    <w:rsid w:val="00155022"/>
    <w:rsid w:val="00155598"/>
    <w:rsid w:val="001560E1"/>
    <w:rsid w:val="00156496"/>
    <w:rsid w:val="0015684E"/>
    <w:rsid w:val="00156FF0"/>
    <w:rsid w:val="00157B26"/>
    <w:rsid w:val="0016079F"/>
    <w:rsid w:val="00160E23"/>
    <w:rsid w:val="001614BB"/>
    <w:rsid w:val="001616E4"/>
    <w:rsid w:val="00161C73"/>
    <w:rsid w:val="00162292"/>
    <w:rsid w:val="00163B85"/>
    <w:rsid w:val="00163E44"/>
    <w:rsid w:val="00164524"/>
    <w:rsid w:val="00164E11"/>
    <w:rsid w:val="00166EC8"/>
    <w:rsid w:val="0016756B"/>
    <w:rsid w:val="00167666"/>
    <w:rsid w:val="00167AFD"/>
    <w:rsid w:val="00167DF8"/>
    <w:rsid w:val="00167E58"/>
    <w:rsid w:val="00170690"/>
    <w:rsid w:val="00170A4E"/>
    <w:rsid w:val="00170D5C"/>
    <w:rsid w:val="00170FFE"/>
    <w:rsid w:val="001711A0"/>
    <w:rsid w:val="00171A6B"/>
    <w:rsid w:val="0017251D"/>
    <w:rsid w:val="001735CC"/>
    <w:rsid w:val="00173B6D"/>
    <w:rsid w:val="00174100"/>
    <w:rsid w:val="00174197"/>
    <w:rsid w:val="001741C1"/>
    <w:rsid w:val="00174CA5"/>
    <w:rsid w:val="00174D81"/>
    <w:rsid w:val="00174E51"/>
    <w:rsid w:val="00175491"/>
    <w:rsid w:val="00175915"/>
    <w:rsid w:val="00175B9E"/>
    <w:rsid w:val="00175BE4"/>
    <w:rsid w:val="001760FB"/>
    <w:rsid w:val="001761EF"/>
    <w:rsid w:val="00176C84"/>
    <w:rsid w:val="0017714A"/>
    <w:rsid w:val="00177719"/>
    <w:rsid w:val="00177AF8"/>
    <w:rsid w:val="0018039F"/>
    <w:rsid w:val="001805B4"/>
    <w:rsid w:val="00180741"/>
    <w:rsid w:val="00181022"/>
    <w:rsid w:val="001817B5"/>
    <w:rsid w:val="001817D8"/>
    <w:rsid w:val="00181C14"/>
    <w:rsid w:val="00181F97"/>
    <w:rsid w:val="0018300D"/>
    <w:rsid w:val="00183098"/>
    <w:rsid w:val="00183264"/>
    <w:rsid w:val="00184027"/>
    <w:rsid w:val="001840B4"/>
    <w:rsid w:val="00184BA9"/>
    <w:rsid w:val="00184DCE"/>
    <w:rsid w:val="00185184"/>
    <w:rsid w:val="0018567E"/>
    <w:rsid w:val="00185D8A"/>
    <w:rsid w:val="00186107"/>
    <w:rsid w:val="00187A07"/>
    <w:rsid w:val="00190A9B"/>
    <w:rsid w:val="00191217"/>
    <w:rsid w:val="0019169F"/>
    <w:rsid w:val="00191AF1"/>
    <w:rsid w:val="001920D1"/>
    <w:rsid w:val="001920FA"/>
    <w:rsid w:val="001921E3"/>
    <w:rsid w:val="00192226"/>
    <w:rsid w:val="00192658"/>
    <w:rsid w:val="00192DEE"/>
    <w:rsid w:val="00193610"/>
    <w:rsid w:val="0019402D"/>
    <w:rsid w:val="00194EF1"/>
    <w:rsid w:val="0019557B"/>
    <w:rsid w:val="00195D56"/>
    <w:rsid w:val="0019601D"/>
    <w:rsid w:val="00196584"/>
    <w:rsid w:val="00196D65"/>
    <w:rsid w:val="00196F07"/>
    <w:rsid w:val="00197619"/>
    <w:rsid w:val="00197B98"/>
    <w:rsid w:val="00197C32"/>
    <w:rsid w:val="001A01F3"/>
    <w:rsid w:val="001A032D"/>
    <w:rsid w:val="001A191A"/>
    <w:rsid w:val="001A2831"/>
    <w:rsid w:val="001A2E38"/>
    <w:rsid w:val="001A2F9B"/>
    <w:rsid w:val="001A304D"/>
    <w:rsid w:val="001A3991"/>
    <w:rsid w:val="001A39E2"/>
    <w:rsid w:val="001A3FF2"/>
    <w:rsid w:val="001A5243"/>
    <w:rsid w:val="001A61D1"/>
    <w:rsid w:val="001A6963"/>
    <w:rsid w:val="001A6B9F"/>
    <w:rsid w:val="001A77DD"/>
    <w:rsid w:val="001A79C7"/>
    <w:rsid w:val="001B02E1"/>
    <w:rsid w:val="001B0B36"/>
    <w:rsid w:val="001B0F8F"/>
    <w:rsid w:val="001B17D1"/>
    <w:rsid w:val="001B1FCB"/>
    <w:rsid w:val="001B1FCC"/>
    <w:rsid w:val="001B253F"/>
    <w:rsid w:val="001B272D"/>
    <w:rsid w:val="001B32F0"/>
    <w:rsid w:val="001B3AB3"/>
    <w:rsid w:val="001B47C8"/>
    <w:rsid w:val="001B6291"/>
    <w:rsid w:val="001B67AF"/>
    <w:rsid w:val="001B6FD7"/>
    <w:rsid w:val="001B7C9E"/>
    <w:rsid w:val="001B7E28"/>
    <w:rsid w:val="001B7F0F"/>
    <w:rsid w:val="001C0166"/>
    <w:rsid w:val="001C08C0"/>
    <w:rsid w:val="001C094E"/>
    <w:rsid w:val="001C0C37"/>
    <w:rsid w:val="001C0DEA"/>
    <w:rsid w:val="001C19DD"/>
    <w:rsid w:val="001C1F4F"/>
    <w:rsid w:val="001C23B9"/>
    <w:rsid w:val="001C252B"/>
    <w:rsid w:val="001C26F9"/>
    <w:rsid w:val="001C2935"/>
    <w:rsid w:val="001C294D"/>
    <w:rsid w:val="001C37E1"/>
    <w:rsid w:val="001C3A7E"/>
    <w:rsid w:val="001C3B39"/>
    <w:rsid w:val="001C3DFC"/>
    <w:rsid w:val="001C4F47"/>
    <w:rsid w:val="001C5166"/>
    <w:rsid w:val="001C5305"/>
    <w:rsid w:val="001C598F"/>
    <w:rsid w:val="001C6095"/>
    <w:rsid w:val="001C62E9"/>
    <w:rsid w:val="001C6472"/>
    <w:rsid w:val="001C65CC"/>
    <w:rsid w:val="001C678C"/>
    <w:rsid w:val="001C6ADC"/>
    <w:rsid w:val="001C6BC2"/>
    <w:rsid w:val="001C7128"/>
    <w:rsid w:val="001C7C2D"/>
    <w:rsid w:val="001D0B4C"/>
    <w:rsid w:val="001D100E"/>
    <w:rsid w:val="001D17A1"/>
    <w:rsid w:val="001D1B02"/>
    <w:rsid w:val="001D24DF"/>
    <w:rsid w:val="001D3546"/>
    <w:rsid w:val="001D4E90"/>
    <w:rsid w:val="001D4F0E"/>
    <w:rsid w:val="001D6268"/>
    <w:rsid w:val="001D75A0"/>
    <w:rsid w:val="001D7668"/>
    <w:rsid w:val="001E0D3D"/>
    <w:rsid w:val="001E174A"/>
    <w:rsid w:val="001E1C7D"/>
    <w:rsid w:val="001E1FA0"/>
    <w:rsid w:val="001E20DA"/>
    <w:rsid w:val="001E214A"/>
    <w:rsid w:val="001E2C3D"/>
    <w:rsid w:val="001E2CFC"/>
    <w:rsid w:val="001E346C"/>
    <w:rsid w:val="001E3994"/>
    <w:rsid w:val="001E4175"/>
    <w:rsid w:val="001E43D3"/>
    <w:rsid w:val="001E480E"/>
    <w:rsid w:val="001E4C05"/>
    <w:rsid w:val="001E5631"/>
    <w:rsid w:val="001E5785"/>
    <w:rsid w:val="001E5C04"/>
    <w:rsid w:val="001E5E4C"/>
    <w:rsid w:val="001E6215"/>
    <w:rsid w:val="001E627D"/>
    <w:rsid w:val="001E6545"/>
    <w:rsid w:val="001E6622"/>
    <w:rsid w:val="001E6EB0"/>
    <w:rsid w:val="001E707A"/>
    <w:rsid w:val="001E71B2"/>
    <w:rsid w:val="001E7437"/>
    <w:rsid w:val="001E752E"/>
    <w:rsid w:val="001E7820"/>
    <w:rsid w:val="001F0113"/>
    <w:rsid w:val="001F16EE"/>
    <w:rsid w:val="001F1ACF"/>
    <w:rsid w:val="001F1BE2"/>
    <w:rsid w:val="001F1C58"/>
    <w:rsid w:val="001F1C72"/>
    <w:rsid w:val="001F22AC"/>
    <w:rsid w:val="001F3349"/>
    <w:rsid w:val="001F3A97"/>
    <w:rsid w:val="001F3E1E"/>
    <w:rsid w:val="001F3E46"/>
    <w:rsid w:val="001F4C51"/>
    <w:rsid w:val="001F52E7"/>
    <w:rsid w:val="001F5915"/>
    <w:rsid w:val="001F5C63"/>
    <w:rsid w:val="001F5D2E"/>
    <w:rsid w:val="001F618F"/>
    <w:rsid w:val="001F6B86"/>
    <w:rsid w:val="001F751F"/>
    <w:rsid w:val="00201173"/>
    <w:rsid w:val="00202462"/>
    <w:rsid w:val="00202532"/>
    <w:rsid w:val="00202821"/>
    <w:rsid w:val="00202C5F"/>
    <w:rsid w:val="00202EB7"/>
    <w:rsid w:val="00203057"/>
    <w:rsid w:val="00203321"/>
    <w:rsid w:val="00203407"/>
    <w:rsid w:val="00203635"/>
    <w:rsid w:val="0020393E"/>
    <w:rsid w:val="00204CCA"/>
    <w:rsid w:val="00204D0C"/>
    <w:rsid w:val="00205100"/>
    <w:rsid w:val="002053F1"/>
    <w:rsid w:val="002055BC"/>
    <w:rsid w:val="00205CEE"/>
    <w:rsid w:val="00206698"/>
    <w:rsid w:val="00206720"/>
    <w:rsid w:val="002075B3"/>
    <w:rsid w:val="0021006D"/>
    <w:rsid w:val="00210259"/>
    <w:rsid w:val="002102FC"/>
    <w:rsid w:val="00210636"/>
    <w:rsid w:val="00210965"/>
    <w:rsid w:val="00211370"/>
    <w:rsid w:val="002113EE"/>
    <w:rsid w:val="002121FB"/>
    <w:rsid w:val="00212B7D"/>
    <w:rsid w:val="00213110"/>
    <w:rsid w:val="0021384D"/>
    <w:rsid w:val="00213975"/>
    <w:rsid w:val="00213CE4"/>
    <w:rsid w:val="00214176"/>
    <w:rsid w:val="00214631"/>
    <w:rsid w:val="0021467B"/>
    <w:rsid w:val="002147D9"/>
    <w:rsid w:val="002149C1"/>
    <w:rsid w:val="0021531A"/>
    <w:rsid w:val="002153C0"/>
    <w:rsid w:val="0021592F"/>
    <w:rsid w:val="00216325"/>
    <w:rsid w:val="0021637B"/>
    <w:rsid w:val="00216A7C"/>
    <w:rsid w:val="00217919"/>
    <w:rsid w:val="00217D98"/>
    <w:rsid w:val="00217FCF"/>
    <w:rsid w:val="0022051B"/>
    <w:rsid w:val="00221746"/>
    <w:rsid w:val="002218C8"/>
    <w:rsid w:val="00221ACA"/>
    <w:rsid w:val="00221F45"/>
    <w:rsid w:val="00222B74"/>
    <w:rsid w:val="00223122"/>
    <w:rsid w:val="002236CF"/>
    <w:rsid w:val="0022522E"/>
    <w:rsid w:val="0022571F"/>
    <w:rsid w:val="002259AB"/>
    <w:rsid w:val="00225D15"/>
    <w:rsid w:val="00226AEA"/>
    <w:rsid w:val="00226C49"/>
    <w:rsid w:val="00226ED8"/>
    <w:rsid w:val="00227039"/>
    <w:rsid w:val="002270F0"/>
    <w:rsid w:val="00230144"/>
    <w:rsid w:val="002303C1"/>
    <w:rsid w:val="0023062D"/>
    <w:rsid w:val="0023084D"/>
    <w:rsid w:val="00230E36"/>
    <w:rsid w:val="002317A6"/>
    <w:rsid w:val="00231A10"/>
    <w:rsid w:val="002326D9"/>
    <w:rsid w:val="00233C07"/>
    <w:rsid w:val="00233F41"/>
    <w:rsid w:val="00234716"/>
    <w:rsid w:val="00235122"/>
    <w:rsid w:val="00235459"/>
    <w:rsid w:val="00235916"/>
    <w:rsid w:val="00235CF2"/>
    <w:rsid w:val="00236ECD"/>
    <w:rsid w:val="00236F76"/>
    <w:rsid w:val="00237226"/>
    <w:rsid w:val="0023790A"/>
    <w:rsid w:val="00237A46"/>
    <w:rsid w:val="002401C5"/>
    <w:rsid w:val="0024042F"/>
    <w:rsid w:val="00240EDF"/>
    <w:rsid w:val="00241032"/>
    <w:rsid w:val="002410D6"/>
    <w:rsid w:val="00241262"/>
    <w:rsid w:val="00241885"/>
    <w:rsid w:val="00241D45"/>
    <w:rsid w:val="0024258A"/>
    <w:rsid w:val="002427EF"/>
    <w:rsid w:val="0024290A"/>
    <w:rsid w:val="002429A0"/>
    <w:rsid w:val="00242C81"/>
    <w:rsid w:val="00242D9E"/>
    <w:rsid w:val="00242F22"/>
    <w:rsid w:val="002431DB"/>
    <w:rsid w:val="00243856"/>
    <w:rsid w:val="00243F7D"/>
    <w:rsid w:val="002445A2"/>
    <w:rsid w:val="00244947"/>
    <w:rsid w:val="00244B34"/>
    <w:rsid w:val="00244C33"/>
    <w:rsid w:val="00244E0B"/>
    <w:rsid w:val="0024548D"/>
    <w:rsid w:val="00245B60"/>
    <w:rsid w:val="002467D6"/>
    <w:rsid w:val="00246DEE"/>
    <w:rsid w:val="00246DFA"/>
    <w:rsid w:val="002476BB"/>
    <w:rsid w:val="00247B46"/>
    <w:rsid w:val="00247FB4"/>
    <w:rsid w:val="0025046C"/>
    <w:rsid w:val="00250AD3"/>
    <w:rsid w:val="00250DFB"/>
    <w:rsid w:val="00250E88"/>
    <w:rsid w:val="00251192"/>
    <w:rsid w:val="00251452"/>
    <w:rsid w:val="00252D59"/>
    <w:rsid w:val="00252FD5"/>
    <w:rsid w:val="002532E3"/>
    <w:rsid w:val="002533BD"/>
    <w:rsid w:val="00253517"/>
    <w:rsid w:val="002538AE"/>
    <w:rsid w:val="00253919"/>
    <w:rsid w:val="00254892"/>
    <w:rsid w:val="00255A8F"/>
    <w:rsid w:val="002565CD"/>
    <w:rsid w:val="00256A51"/>
    <w:rsid w:val="0025763A"/>
    <w:rsid w:val="00257FAE"/>
    <w:rsid w:val="002601C7"/>
    <w:rsid w:val="00260738"/>
    <w:rsid w:val="0026076F"/>
    <w:rsid w:val="00261D72"/>
    <w:rsid w:val="00261D86"/>
    <w:rsid w:val="00261F56"/>
    <w:rsid w:val="002620DA"/>
    <w:rsid w:val="00262457"/>
    <w:rsid w:val="002627E3"/>
    <w:rsid w:val="002627FE"/>
    <w:rsid w:val="002629E9"/>
    <w:rsid w:val="00262B67"/>
    <w:rsid w:val="002634D3"/>
    <w:rsid w:val="002637A6"/>
    <w:rsid w:val="0026431F"/>
    <w:rsid w:val="00264A03"/>
    <w:rsid w:val="002650B0"/>
    <w:rsid w:val="002653C6"/>
    <w:rsid w:val="00265694"/>
    <w:rsid w:val="0026577F"/>
    <w:rsid w:val="00265B17"/>
    <w:rsid w:val="002660E9"/>
    <w:rsid w:val="00266260"/>
    <w:rsid w:val="0026632A"/>
    <w:rsid w:val="00266DFB"/>
    <w:rsid w:val="00266F99"/>
    <w:rsid w:val="00267003"/>
    <w:rsid w:val="002670EC"/>
    <w:rsid w:val="002671C1"/>
    <w:rsid w:val="0026786A"/>
    <w:rsid w:val="00267F5D"/>
    <w:rsid w:val="002708F0"/>
    <w:rsid w:val="00270C8A"/>
    <w:rsid w:val="002710D8"/>
    <w:rsid w:val="002712F1"/>
    <w:rsid w:val="00271324"/>
    <w:rsid w:val="00271421"/>
    <w:rsid w:val="0027157D"/>
    <w:rsid w:val="0027168C"/>
    <w:rsid w:val="002721BB"/>
    <w:rsid w:val="00272FA7"/>
    <w:rsid w:val="00273609"/>
    <w:rsid w:val="00273A73"/>
    <w:rsid w:val="002742B2"/>
    <w:rsid w:val="0027488A"/>
    <w:rsid w:val="0027498E"/>
    <w:rsid w:val="00274A65"/>
    <w:rsid w:val="00274B10"/>
    <w:rsid w:val="00274B14"/>
    <w:rsid w:val="00275C18"/>
    <w:rsid w:val="00276469"/>
    <w:rsid w:val="0027688E"/>
    <w:rsid w:val="00276976"/>
    <w:rsid w:val="00276DF9"/>
    <w:rsid w:val="002773FF"/>
    <w:rsid w:val="00277CA8"/>
    <w:rsid w:val="0028007A"/>
    <w:rsid w:val="00280142"/>
    <w:rsid w:val="002806C9"/>
    <w:rsid w:val="00281CC4"/>
    <w:rsid w:val="00281F46"/>
    <w:rsid w:val="00282427"/>
    <w:rsid w:val="0028255B"/>
    <w:rsid w:val="00282C99"/>
    <w:rsid w:val="00282E3E"/>
    <w:rsid w:val="002835F5"/>
    <w:rsid w:val="00284FD7"/>
    <w:rsid w:val="00285021"/>
    <w:rsid w:val="00285298"/>
    <w:rsid w:val="002853AD"/>
    <w:rsid w:val="0028654C"/>
    <w:rsid w:val="00286813"/>
    <w:rsid w:val="00286B94"/>
    <w:rsid w:val="00286C67"/>
    <w:rsid w:val="00287435"/>
    <w:rsid w:val="00290134"/>
    <w:rsid w:val="002911D1"/>
    <w:rsid w:val="00291ABF"/>
    <w:rsid w:val="002923B3"/>
    <w:rsid w:val="00292C50"/>
    <w:rsid w:val="00292C8A"/>
    <w:rsid w:val="002933F8"/>
    <w:rsid w:val="00293DA4"/>
    <w:rsid w:val="00294B86"/>
    <w:rsid w:val="00294EB7"/>
    <w:rsid w:val="00295491"/>
    <w:rsid w:val="00295D4B"/>
    <w:rsid w:val="0029664E"/>
    <w:rsid w:val="00296B00"/>
    <w:rsid w:val="002975FD"/>
    <w:rsid w:val="002A01A7"/>
    <w:rsid w:val="002A0F7B"/>
    <w:rsid w:val="002A17D3"/>
    <w:rsid w:val="002A330D"/>
    <w:rsid w:val="002A3BE4"/>
    <w:rsid w:val="002A49CF"/>
    <w:rsid w:val="002A60F6"/>
    <w:rsid w:val="002A642E"/>
    <w:rsid w:val="002A68CC"/>
    <w:rsid w:val="002A71AA"/>
    <w:rsid w:val="002B00E8"/>
    <w:rsid w:val="002B0234"/>
    <w:rsid w:val="002B17E3"/>
    <w:rsid w:val="002B1E33"/>
    <w:rsid w:val="002B2366"/>
    <w:rsid w:val="002B2445"/>
    <w:rsid w:val="002B2998"/>
    <w:rsid w:val="002B375B"/>
    <w:rsid w:val="002B3F11"/>
    <w:rsid w:val="002B4116"/>
    <w:rsid w:val="002B4561"/>
    <w:rsid w:val="002B456F"/>
    <w:rsid w:val="002B522B"/>
    <w:rsid w:val="002B567B"/>
    <w:rsid w:val="002B56B1"/>
    <w:rsid w:val="002B5866"/>
    <w:rsid w:val="002B5A3D"/>
    <w:rsid w:val="002B5B97"/>
    <w:rsid w:val="002B609D"/>
    <w:rsid w:val="002B694B"/>
    <w:rsid w:val="002B6E88"/>
    <w:rsid w:val="002B7078"/>
    <w:rsid w:val="002B726D"/>
    <w:rsid w:val="002B72E8"/>
    <w:rsid w:val="002B79FC"/>
    <w:rsid w:val="002B7FCC"/>
    <w:rsid w:val="002C00B4"/>
    <w:rsid w:val="002C0421"/>
    <w:rsid w:val="002C0B88"/>
    <w:rsid w:val="002C0CD6"/>
    <w:rsid w:val="002C126F"/>
    <w:rsid w:val="002C14C2"/>
    <w:rsid w:val="002C1869"/>
    <w:rsid w:val="002C1886"/>
    <w:rsid w:val="002C198A"/>
    <w:rsid w:val="002C1BB9"/>
    <w:rsid w:val="002C2793"/>
    <w:rsid w:val="002C302B"/>
    <w:rsid w:val="002C342F"/>
    <w:rsid w:val="002C3705"/>
    <w:rsid w:val="002C3BEC"/>
    <w:rsid w:val="002C43CE"/>
    <w:rsid w:val="002C468F"/>
    <w:rsid w:val="002C4EFF"/>
    <w:rsid w:val="002C53C6"/>
    <w:rsid w:val="002C5FDC"/>
    <w:rsid w:val="002C5FF1"/>
    <w:rsid w:val="002C6FA7"/>
    <w:rsid w:val="002C71A3"/>
    <w:rsid w:val="002D0499"/>
    <w:rsid w:val="002D05FB"/>
    <w:rsid w:val="002D0D1E"/>
    <w:rsid w:val="002D1065"/>
    <w:rsid w:val="002D12C6"/>
    <w:rsid w:val="002D16B0"/>
    <w:rsid w:val="002D19D8"/>
    <w:rsid w:val="002D209F"/>
    <w:rsid w:val="002D2222"/>
    <w:rsid w:val="002D23D5"/>
    <w:rsid w:val="002D243D"/>
    <w:rsid w:val="002D2501"/>
    <w:rsid w:val="002D2EAA"/>
    <w:rsid w:val="002D370D"/>
    <w:rsid w:val="002D45DD"/>
    <w:rsid w:val="002D4CCE"/>
    <w:rsid w:val="002D4F13"/>
    <w:rsid w:val="002D4F18"/>
    <w:rsid w:val="002D56B0"/>
    <w:rsid w:val="002D57B9"/>
    <w:rsid w:val="002D5984"/>
    <w:rsid w:val="002D5A6D"/>
    <w:rsid w:val="002D6791"/>
    <w:rsid w:val="002D73D9"/>
    <w:rsid w:val="002D754F"/>
    <w:rsid w:val="002D7F6F"/>
    <w:rsid w:val="002E07F1"/>
    <w:rsid w:val="002E1C27"/>
    <w:rsid w:val="002E265C"/>
    <w:rsid w:val="002E2881"/>
    <w:rsid w:val="002E315E"/>
    <w:rsid w:val="002E34BF"/>
    <w:rsid w:val="002E3878"/>
    <w:rsid w:val="002E3EB8"/>
    <w:rsid w:val="002E43A5"/>
    <w:rsid w:val="002E4409"/>
    <w:rsid w:val="002E504E"/>
    <w:rsid w:val="002E55EB"/>
    <w:rsid w:val="002E56C4"/>
    <w:rsid w:val="002E643C"/>
    <w:rsid w:val="002E738B"/>
    <w:rsid w:val="002E74FD"/>
    <w:rsid w:val="002E7571"/>
    <w:rsid w:val="002E7BFC"/>
    <w:rsid w:val="002E7E15"/>
    <w:rsid w:val="002F0D30"/>
    <w:rsid w:val="002F2301"/>
    <w:rsid w:val="002F2D02"/>
    <w:rsid w:val="002F307C"/>
    <w:rsid w:val="002F30D0"/>
    <w:rsid w:val="002F3C2E"/>
    <w:rsid w:val="002F3D6E"/>
    <w:rsid w:val="002F4314"/>
    <w:rsid w:val="002F4350"/>
    <w:rsid w:val="002F4CD5"/>
    <w:rsid w:val="002F4EAB"/>
    <w:rsid w:val="002F4FEB"/>
    <w:rsid w:val="002F5177"/>
    <w:rsid w:val="002F57F1"/>
    <w:rsid w:val="002F5B88"/>
    <w:rsid w:val="002F60FC"/>
    <w:rsid w:val="002F62E3"/>
    <w:rsid w:val="002F6A58"/>
    <w:rsid w:val="002F7216"/>
    <w:rsid w:val="002F75CD"/>
    <w:rsid w:val="002F78D9"/>
    <w:rsid w:val="002F7F8B"/>
    <w:rsid w:val="003003E2"/>
    <w:rsid w:val="00301BC0"/>
    <w:rsid w:val="00301C86"/>
    <w:rsid w:val="00301E10"/>
    <w:rsid w:val="00301E26"/>
    <w:rsid w:val="00302B27"/>
    <w:rsid w:val="00302B86"/>
    <w:rsid w:val="003030D9"/>
    <w:rsid w:val="00303E09"/>
    <w:rsid w:val="00303F7C"/>
    <w:rsid w:val="003040FB"/>
    <w:rsid w:val="0030476A"/>
    <w:rsid w:val="0030485E"/>
    <w:rsid w:val="003053AE"/>
    <w:rsid w:val="00305D1F"/>
    <w:rsid w:val="003061A3"/>
    <w:rsid w:val="00306246"/>
    <w:rsid w:val="003062F9"/>
    <w:rsid w:val="00306676"/>
    <w:rsid w:val="00306B1C"/>
    <w:rsid w:val="00306EC8"/>
    <w:rsid w:val="00307756"/>
    <w:rsid w:val="00307811"/>
    <w:rsid w:val="0030789C"/>
    <w:rsid w:val="00310140"/>
    <w:rsid w:val="0031020C"/>
    <w:rsid w:val="00310EA5"/>
    <w:rsid w:val="003112EB"/>
    <w:rsid w:val="0031176A"/>
    <w:rsid w:val="00311E97"/>
    <w:rsid w:val="00311F0A"/>
    <w:rsid w:val="003122DC"/>
    <w:rsid w:val="003123FA"/>
    <w:rsid w:val="00312678"/>
    <w:rsid w:val="00312986"/>
    <w:rsid w:val="00314076"/>
    <w:rsid w:val="0031567A"/>
    <w:rsid w:val="003159F2"/>
    <w:rsid w:val="00315B65"/>
    <w:rsid w:val="003160C1"/>
    <w:rsid w:val="0031667F"/>
    <w:rsid w:val="00316688"/>
    <w:rsid w:val="00316A1D"/>
    <w:rsid w:val="00316EA7"/>
    <w:rsid w:val="00320F7A"/>
    <w:rsid w:val="003214FB"/>
    <w:rsid w:val="003215A1"/>
    <w:rsid w:val="003217C9"/>
    <w:rsid w:val="003217FB"/>
    <w:rsid w:val="003225B3"/>
    <w:rsid w:val="00322619"/>
    <w:rsid w:val="003228BB"/>
    <w:rsid w:val="00322E6A"/>
    <w:rsid w:val="003232EA"/>
    <w:rsid w:val="00323A81"/>
    <w:rsid w:val="00323D44"/>
    <w:rsid w:val="00324120"/>
    <w:rsid w:val="00324BCF"/>
    <w:rsid w:val="00324CF7"/>
    <w:rsid w:val="00326005"/>
    <w:rsid w:val="003261FF"/>
    <w:rsid w:val="0032624A"/>
    <w:rsid w:val="00326945"/>
    <w:rsid w:val="003273F8"/>
    <w:rsid w:val="00327762"/>
    <w:rsid w:val="00327D31"/>
    <w:rsid w:val="00330452"/>
    <w:rsid w:val="00330E21"/>
    <w:rsid w:val="00330FE6"/>
    <w:rsid w:val="0033158B"/>
    <w:rsid w:val="003315EB"/>
    <w:rsid w:val="00331859"/>
    <w:rsid w:val="0033246A"/>
    <w:rsid w:val="003325CB"/>
    <w:rsid w:val="00332F3D"/>
    <w:rsid w:val="00333134"/>
    <w:rsid w:val="00333258"/>
    <w:rsid w:val="00333842"/>
    <w:rsid w:val="00333C3E"/>
    <w:rsid w:val="00333EBF"/>
    <w:rsid w:val="00333F38"/>
    <w:rsid w:val="0033487A"/>
    <w:rsid w:val="00334958"/>
    <w:rsid w:val="003349E9"/>
    <w:rsid w:val="00334BC2"/>
    <w:rsid w:val="00334FA7"/>
    <w:rsid w:val="0033521C"/>
    <w:rsid w:val="003359FE"/>
    <w:rsid w:val="00335BDA"/>
    <w:rsid w:val="0033631F"/>
    <w:rsid w:val="00336ADC"/>
    <w:rsid w:val="003372BA"/>
    <w:rsid w:val="0033763D"/>
    <w:rsid w:val="003379AF"/>
    <w:rsid w:val="003403AD"/>
    <w:rsid w:val="00342150"/>
    <w:rsid w:val="0034224A"/>
    <w:rsid w:val="0034264E"/>
    <w:rsid w:val="00342897"/>
    <w:rsid w:val="00342FFE"/>
    <w:rsid w:val="0034324B"/>
    <w:rsid w:val="0034395B"/>
    <w:rsid w:val="0034427B"/>
    <w:rsid w:val="003443FE"/>
    <w:rsid w:val="00344F1A"/>
    <w:rsid w:val="0034508E"/>
    <w:rsid w:val="003463EF"/>
    <w:rsid w:val="00346491"/>
    <w:rsid w:val="00346514"/>
    <w:rsid w:val="00346F7B"/>
    <w:rsid w:val="00347F05"/>
    <w:rsid w:val="003501DC"/>
    <w:rsid w:val="00350481"/>
    <w:rsid w:val="00350505"/>
    <w:rsid w:val="00350BDE"/>
    <w:rsid w:val="00350D13"/>
    <w:rsid w:val="00350EB4"/>
    <w:rsid w:val="00351797"/>
    <w:rsid w:val="003517E3"/>
    <w:rsid w:val="003525E2"/>
    <w:rsid w:val="00353422"/>
    <w:rsid w:val="0035361D"/>
    <w:rsid w:val="0035393B"/>
    <w:rsid w:val="00353A3C"/>
    <w:rsid w:val="00353B10"/>
    <w:rsid w:val="00353CC9"/>
    <w:rsid w:val="003545AA"/>
    <w:rsid w:val="003548D8"/>
    <w:rsid w:val="00354ED0"/>
    <w:rsid w:val="0035526B"/>
    <w:rsid w:val="0035639F"/>
    <w:rsid w:val="00357150"/>
    <w:rsid w:val="0035755B"/>
    <w:rsid w:val="00357950"/>
    <w:rsid w:val="00357DBA"/>
    <w:rsid w:val="00360472"/>
    <w:rsid w:val="00360516"/>
    <w:rsid w:val="003607E4"/>
    <w:rsid w:val="00361364"/>
    <w:rsid w:val="00361493"/>
    <w:rsid w:val="003621EF"/>
    <w:rsid w:val="00362BF6"/>
    <w:rsid w:val="00363A86"/>
    <w:rsid w:val="00363B55"/>
    <w:rsid w:val="00363EA7"/>
    <w:rsid w:val="003645C1"/>
    <w:rsid w:val="00364626"/>
    <w:rsid w:val="00364873"/>
    <w:rsid w:val="00364AD1"/>
    <w:rsid w:val="00364EFE"/>
    <w:rsid w:val="00365D09"/>
    <w:rsid w:val="00366273"/>
    <w:rsid w:val="00366529"/>
    <w:rsid w:val="00366B04"/>
    <w:rsid w:val="00366F37"/>
    <w:rsid w:val="00367F16"/>
    <w:rsid w:val="00370482"/>
    <w:rsid w:val="003707D6"/>
    <w:rsid w:val="00371250"/>
    <w:rsid w:val="00371759"/>
    <w:rsid w:val="00371E85"/>
    <w:rsid w:val="00372985"/>
    <w:rsid w:val="00372B61"/>
    <w:rsid w:val="003735E1"/>
    <w:rsid w:val="00374036"/>
    <w:rsid w:val="0037404B"/>
    <w:rsid w:val="0037416D"/>
    <w:rsid w:val="00374588"/>
    <w:rsid w:val="003749C0"/>
    <w:rsid w:val="00374AB7"/>
    <w:rsid w:val="00375136"/>
    <w:rsid w:val="003751FC"/>
    <w:rsid w:val="00375987"/>
    <w:rsid w:val="00375EE8"/>
    <w:rsid w:val="00376246"/>
    <w:rsid w:val="00376325"/>
    <w:rsid w:val="00376423"/>
    <w:rsid w:val="0037650A"/>
    <w:rsid w:val="0037691B"/>
    <w:rsid w:val="00376C49"/>
    <w:rsid w:val="003778AD"/>
    <w:rsid w:val="003802EC"/>
    <w:rsid w:val="00380463"/>
    <w:rsid w:val="00380AAC"/>
    <w:rsid w:val="00380BF3"/>
    <w:rsid w:val="00381B8C"/>
    <w:rsid w:val="00382018"/>
    <w:rsid w:val="00382060"/>
    <w:rsid w:val="00382F15"/>
    <w:rsid w:val="0038329C"/>
    <w:rsid w:val="00383BF0"/>
    <w:rsid w:val="00383FEB"/>
    <w:rsid w:val="0038414A"/>
    <w:rsid w:val="00384E4C"/>
    <w:rsid w:val="00384F75"/>
    <w:rsid w:val="00385D73"/>
    <w:rsid w:val="00386AA1"/>
    <w:rsid w:val="00386FFC"/>
    <w:rsid w:val="0038706C"/>
    <w:rsid w:val="00390026"/>
    <w:rsid w:val="0039036C"/>
    <w:rsid w:val="003913D9"/>
    <w:rsid w:val="003915CB"/>
    <w:rsid w:val="00391BDD"/>
    <w:rsid w:val="00391D78"/>
    <w:rsid w:val="00392BA9"/>
    <w:rsid w:val="00392F1B"/>
    <w:rsid w:val="00392FDA"/>
    <w:rsid w:val="00393AF5"/>
    <w:rsid w:val="0039435E"/>
    <w:rsid w:val="00394754"/>
    <w:rsid w:val="00395374"/>
    <w:rsid w:val="00395469"/>
    <w:rsid w:val="00395FB7"/>
    <w:rsid w:val="00396759"/>
    <w:rsid w:val="003970AE"/>
    <w:rsid w:val="00397597"/>
    <w:rsid w:val="00397DFF"/>
    <w:rsid w:val="003A1411"/>
    <w:rsid w:val="003A17B2"/>
    <w:rsid w:val="003A1A30"/>
    <w:rsid w:val="003A1AEB"/>
    <w:rsid w:val="003A1B4B"/>
    <w:rsid w:val="003A1DF0"/>
    <w:rsid w:val="003A2127"/>
    <w:rsid w:val="003A2375"/>
    <w:rsid w:val="003A29B6"/>
    <w:rsid w:val="003A2E4B"/>
    <w:rsid w:val="003A36F1"/>
    <w:rsid w:val="003A3ED4"/>
    <w:rsid w:val="003A4033"/>
    <w:rsid w:val="003A4588"/>
    <w:rsid w:val="003A4C4A"/>
    <w:rsid w:val="003A5002"/>
    <w:rsid w:val="003A546A"/>
    <w:rsid w:val="003A5FE6"/>
    <w:rsid w:val="003A6011"/>
    <w:rsid w:val="003A6389"/>
    <w:rsid w:val="003A640B"/>
    <w:rsid w:val="003A6922"/>
    <w:rsid w:val="003A6A9C"/>
    <w:rsid w:val="003A7095"/>
    <w:rsid w:val="003A7486"/>
    <w:rsid w:val="003A7BD2"/>
    <w:rsid w:val="003A7DA7"/>
    <w:rsid w:val="003B00B4"/>
    <w:rsid w:val="003B043C"/>
    <w:rsid w:val="003B0854"/>
    <w:rsid w:val="003B0C08"/>
    <w:rsid w:val="003B15E1"/>
    <w:rsid w:val="003B18B0"/>
    <w:rsid w:val="003B1917"/>
    <w:rsid w:val="003B1A52"/>
    <w:rsid w:val="003B1E1A"/>
    <w:rsid w:val="003B1E9B"/>
    <w:rsid w:val="003B277D"/>
    <w:rsid w:val="003B2D47"/>
    <w:rsid w:val="003B481B"/>
    <w:rsid w:val="003B4902"/>
    <w:rsid w:val="003B5521"/>
    <w:rsid w:val="003B58AA"/>
    <w:rsid w:val="003B67B0"/>
    <w:rsid w:val="003B6E66"/>
    <w:rsid w:val="003B7119"/>
    <w:rsid w:val="003B715E"/>
    <w:rsid w:val="003B757D"/>
    <w:rsid w:val="003B7609"/>
    <w:rsid w:val="003B7632"/>
    <w:rsid w:val="003B76DC"/>
    <w:rsid w:val="003B77E9"/>
    <w:rsid w:val="003B7877"/>
    <w:rsid w:val="003B787B"/>
    <w:rsid w:val="003B7DE9"/>
    <w:rsid w:val="003B7E3E"/>
    <w:rsid w:val="003C0EBE"/>
    <w:rsid w:val="003C1194"/>
    <w:rsid w:val="003C158B"/>
    <w:rsid w:val="003C18FE"/>
    <w:rsid w:val="003C2193"/>
    <w:rsid w:val="003C2B37"/>
    <w:rsid w:val="003C347E"/>
    <w:rsid w:val="003C41C1"/>
    <w:rsid w:val="003C4FFA"/>
    <w:rsid w:val="003C53C5"/>
    <w:rsid w:val="003C57C6"/>
    <w:rsid w:val="003C5ECF"/>
    <w:rsid w:val="003C6A6A"/>
    <w:rsid w:val="003C6B5B"/>
    <w:rsid w:val="003C6C0B"/>
    <w:rsid w:val="003C6DC0"/>
    <w:rsid w:val="003C76F5"/>
    <w:rsid w:val="003C77CA"/>
    <w:rsid w:val="003C7B29"/>
    <w:rsid w:val="003D02C4"/>
    <w:rsid w:val="003D06CF"/>
    <w:rsid w:val="003D0B7A"/>
    <w:rsid w:val="003D0C50"/>
    <w:rsid w:val="003D10F8"/>
    <w:rsid w:val="003D1135"/>
    <w:rsid w:val="003D1825"/>
    <w:rsid w:val="003D2BD5"/>
    <w:rsid w:val="003D330A"/>
    <w:rsid w:val="003D3762"/>
    <w:rsid w:val="003D3C47"/>
    <w:rsid w:val="003D43FE"/>
    <w:rsid w:val="003D4BB6"/>
    <w:rsid w:val="003D4D8D"/>
    <w:rsid w:val="003D50F3"/>
    <w:rsid w:val="003D5834"/>
    <w:rsid w:val="003D5CB8"/>
    <w:rsid w:val="003D5F5F"/>
    <w:rsid w:val="003D61EE"/>
    <w:rsid w:val="003D627C"/>
    <w:rsid w:val="003D64A5"/>
    <w:rsid w:val="003D6827"/>
    <w:rsid w:val="003D6CAF"/>
    <w:rsid w:val="003D6DB1"/>
    <w:rsid w:val="003D6F26"/>
    <w:rsid w:val="003D79E0"/>
    <w:rsid w:val="003E03A1"/>
    <w:rsid w:val="003E0E7E"/>
    <w:rsid w:val="003E0ED6"/>
    <w:rsid w:val="003E174A"/>
    <w:rsid w:val="003E2224"/>
    <w:rsid w:val="003E2E67"/>
    <w:rsid w:val="003E304D"/>
    <w:rsid w:val="003E343D"/>
    <w:rsid w:val="003E3E61"/>
    <w:rsid w:val="003E426D"/>
    <w:rsid w:val="003E5011"/>
    <w:rsid w:val="003E55F5"/>
    <w:rsid w:val="003E58E8"/>
    <w:rsid w:val="003E605C"/>
    <w:rsid w:val="003E674D"/>
    <w:rsid w:val="003E68BD"/>
    <w:rsid w:val="003E6C83"/>
    <w:rsid w:val="003E718F"/>
    <w:rsid w:val="003E7216"/>
    <w:rsid w:val="003E731C"/>
    <w:rsid w:val="003E7B1B"/>
    <w:rsid w:val="003E7FB2"/>
    <w:rsid w:val="003F1553"/>
    <w:rsid w:val="003F163E"/>
    <w:rsid w:val="003F16B4"/>
    <w:rsid w:val="003F1ACB"/>
    <w:rsid w:val="003F1EA4"/>
    <w:rsid w:val="003F2091"/>
    <w:rsid w:val="003F22A2"/>
    <w:rsid w:val="003F23A8"/>
    <w:rsid w:val="003F44D5"/>
    <w:rsid w:val="003F493B"/>
    <w:rsid w:val="003F5F85"/>
    <w:rsid w:val="003F6120"/>
    <w:rsid w:val="003F6682"/>
    <w:rsid w:val="003F697D"/>
    <w:rsid w:val="003F74CD"/>
    <w:rsid w:val="003F7F39"/>
    <w:rsid w:val="0040008C"/>
    <w:rsid w:val="00400934"/>
    <w:rsid w:val="00401521"/>
    <w:rsid w:val="0040196F"/>
    <w:rsid w:val="0040207F"/>
    <w:rsid w:val="00403179"/>
    <w:rsid w:val="00404B5F"/>
    <w:rsid w:val="00405661"/>
    <w:rsid w:val="004059F4"/>
    <w:rsid w:val="00410265"/>
    <w:rsid w:val="0041028D"/>
    <w:rsid w:val="0041089A"/>
    <w:rsid w:val="00410F8A"/>
    <w:rsid w:val="004114F1"/>
    <w:rsid w:val="004129EB"/>
    <w:rsid w:val="00412AAC"/>
    <w:rsid w:val="00412F22"/>
    <w:rsid w:val="0041378E"/>
    <w:rsid w:val="004138E0"/>
    <w:rsid w:val="00413E63"/>
    <w:rsid w:val="00414752"/>
    <w:rsid w:val="00414E83"/>
    <w:rsid w:val="004167B9"/>
    <w:rsid w:val="00416C89"/>
    <w:rsid w:val="00416DE4"/>
    <w:rsid w:val="00417499"/>
    <w:rsid w:val="00417F8D"/>
    <w:rsid w:val="0042059E"/>
    <w:rsid w:val="004207EF"/>
    <w:rsid w:val="00420A9F"/>
    <w:rsid w:val="004215FD"/>
    <w:rsid w:val="00422279"/>
    <w:rsid w:val="00422544"/>
    <w:rsid w:val="004227AB"/>
    <w:rsid w:val="00422950"/>
    <w:rsid w:val="004229D1"/>
    <w:rsid w:val="00422C9D"/>
    <w:rsid w:val="00423201"/>
    <w:rsid w:val="004234C0"/>
    <w:rsid w:val="004235B7"/>
    <w:rsid w:val="00423B68"/>
    <w:rsid w:val="00424E33"/>
    <w:rsid w:val="004257C5"/>
    <w:rsid w:val="0042589A"/>
    <w:rsid w:val="00425A4F"/>
    <w:rsid w:val="0042675D"/>
    <w:rsid w:val="00426981"/>
    <w:rsid w:val="0042707B"/>
    <w:rsid w:val="00427203"/>
    <w:rsid w:val="004272B1"/>
    <w:rsid w:val="00427FED"/>
    <w:rsid w:val="004302E9"/>
    <w:rsid w:val="00430520"/>
    <w:rsid w:val="00431D01"/>
    <w:rsid w:val="00432455"/>
    <w:rsid w:val="0043253D"/>
    <w:rsid w:val="004326F1"/>
    <w:rsid w:val="00433DA7"/>
    <w:rsid w:val="0043499A"/>
    <w:rsid w:val="00434C87"/>
    <w:rsid w:val="00434FB5"/>
    <w:rsid w:val="0043529C"/>
    <w:rsid w:val="00435416"/>
    <w:rsid w:val="0043555C"/>
    <w:rsid w:val="00436965"/>
    <w:rsid w:val="0044075D"/>
    <w:rsid w:val="00440E9F"/>
    <w:rsid w:val="00440F60"/>
    <w:rsid w:val="004415A9"/>
    <w:rsid w:val="00441BF2"/>
    <w:rsid w:val="00442938"/>
    <w:rsid w:val="00443D3D"/>
    <w:rsid w:val="00443EFB"/>
    <w:rsid w:val="0044405B"/>
    <w:rsid w:val="00444B99"/>
    <w:rsid w:val="00445217"/>
    <w:rsid w:val="00445A7F"/>
    <w:rsid w:val="00446BE3"/>
    <w:rsid w:val="00446E31"/>
    <w:rsid w:val="00446EAC"/>
    <w:rsid w:val="00447041"/>
    <w:rsid w:val="00447066"/>
    <w:rsid w:val="004471AF"/>
    <w:rsid w:val="0044728D"/>
    <w:rsid w:val="004478AF"/>
    <w:rsid w:val="00447F72"/>
    <w:rsid w:val="00451A6C"/>
    <w:rsid w:val="00451B35"/>
    <w:rsid w:val="004524C5"/>
    <w:rsid w:val="00452503"/>
    <w:rsid w:val="00452575"/>
    <w:rsid w:val="0045289E"/>
    <w:rsid w:val="004528BC"/>
    <w:rsid w:val="00452A87"/>
    <w:rsid w:val="00453258"/>
    <w:rsid w:val="0045367A"/>
    <w:rsid w:val="00453ED5"/>
    <w:rsid w:val="0045421C"/>
    <w:rsid w:val="00454326"/>
    <w:rsid w:val="00454F0C"/>
    <w:rsid w:val="00454FF4"/>
    <w:rsid w:val="0045552A"/>
    <w:rsid w:val="004555A6"/>
    <w:rsid w:val="00456584"/>
    <w:rsid w:val="00456ED6"/>
    <w:rsid w:val="00457336"/>
    <w:rsid w:val="0045738E"/>
    <w:rsid w:val="004577BF"/>
    <w:rsid w:val="00457988"/>
    <w:rsid w:val="00457D98"/>
    <w:rsid w:val="00460668"/>
    <w:rsid w:val="00461007"/>
    <w:rsid w:val="00461530"/>
    <w:rsid w:val="0046160A"/>
    <w:rsid w:val="004620AA"/>
    <w:rsid w:val="004620D0"/>
    <w:rsid w:val="00462970"/>
    <w:rsid w:val="00462F90"/>
    <w:rsid w:val="004637BE"/>
    <w:rsid w:val="00463BA1"/>
    <w:rsid w:val="004640FC"/>
    <w:rsid w:val="00464AAF"/>
    <w:rsid w:val="004654B8"/>
    <w:rsid w:val="004660E1"/>
    <w:rsid w:val="0046653F"/>
    <w:rsid w:val="0046666C"/>
    <w:rsid w:val="00467061"/>
    <w:rsid w:val="004673B8"/>
    <w:rsid w:val="00467BF6"/>
    <w:rsid w:val="004701C6"/>
    <w:rsid w:val="0047165E"/>
    <w:rsid w:val="00472091"/>
    <w:rsid w:val="00472094"/>
    <w:rsid w:val="00472578"/>
    <w:rsid w:val="0047275A"/>
    <w:rsid w:val="00472A43"/>
    <w:rsid w:val="00472AEB"/>
    <w:rsid w:val="0047314A"/>
    <w:rsid w:val="00473D2E"/>
    <w:rsid w:val="004742BF"/>
    <w:rsid w:val="00474336"/>
    <w:rsid w:val="0047461E"/>
    <w:rsid w:val="00474772"/>
    <w:rsid w:val="00474A82"/>
    <w:rsid w:val="00474B7E"/>
    <w:rsid w:val="00474C95"/>
    <w:rsid w:val="00476CE0"/>
    <w:rsid w:val="004807E3"/>
    <w:rsid w:val="004811AF"/>
    <w:rsid w:val="00481367"/>
    <w:rsid w:val="004818FA"/>
    <w:rsid w:val="00481CBA"/>
    <w:rsid w:val="00481F16"/>
    <w:rsid w:val="00483119"/>
    <w:rsid w:val="004832F0"/>
    <w:rsid w:val="0048335E"/>
    <w:rsid w:val="00483B8A"/>
    <w:rsid w:val="00483E2F"/>
    <w:rsid w:val="00484005"/>
    <w:rsid w:val="004840AF"/>
    <w:rsid w:val="004844C4"/>
    <w:rsid w:val="00485743"/>
    <w:rsid w:val="00485857"/>
    <w:rsid w:val="00485ACF"/>
    <w:rsid w:val="00486438"/>
    <w:rsid w:val="0048650D"/>
    <w:rsid w:val="004866CF"/>
    <w:rsid w:val="00486DE9"/>
    <w:rsid w:val="004879F7"/>
    <w:rsid w:val="00487B7E"/>
    <w:rsid w:val="00487BD6"/>
    <w:rsid w:val="0049060A"/>
    <w:rsid w:val="00492380"/>
    <w:rsid w:val="0049276D"/>
    <w:rsid w:val="00494057"/>
    <w:rsid w:val="00494963"/>
    <w:rsid w:val="00494B87"/>
    <w:rsid w:val="00494FFC"/>
    <w:rsid w:val="004957D4"/>
    <w:rsid w:val="00495966"/>
    <w:rsid w:val="004966CA"/>
    <w:rsid w:val="00496A18"/>
    <w:rsid w:val="0049732C"/>
    <w:rsid w:val="0049776B"/>
    <w:rsid w:val="00497B8B"/>
    <w:rsid w:val="00497C44"/>
    <w:rsid w:val="004A023A"/>
    <w:rsid w:val="004A0AB6"/>
    <w:rsid w:val="004A12EE"/>
    <w:rsid w:val="004A214C"/>
    <w:rsid w:val="004A21D3"/>
    <w:rsid w:val="004A2E31"/>
    <w:rsid w:val="004A2FAB"/>
    <w:rsid w:val="004A329A"/>
    <w:rsid w:val="004A3907"/>
    <w:rsid w:val="004A3DA1"/>
    <w:rsid w:val="004A48ED"/>
    <w:rsid w:val="004A53CC"/>
    <w:rsid w:val="004A5B25"/>
    <w:rsid w:val="004A5D2C"/>
    <w:rsid w:val="004A6B25"/>
    <w:rsid w:val="004A6CBD"/>
    <w:rsid w:val="004A715C"/>
    <w:rsid w:val="004A773C"/>
    <w:rsid w:val="004A7A8C"/>
    <w:rsid w:val="004A7AA2"/>
    <w:rsid w:val="004A7C09"/>
    <w:rsid w:val="004A7CF3"/>
    <w:rsid w:val="004A7E77"/>
    <w:rsid w:val="004B02B5"/>
    <w:rsid w:val="004B09FB"/>
    <w:rsid w:val="004B136B"/>
    <w:rsid w:val="004B1511"/>
    <w:rsid w:val="004B17E8"/>
    <w:rsid w:val="004B1F25"/>
    <w:rsid w:val="004B211C"/>
    <w:rsid w:val="004B2D4D"/>
    <w:rsid w:val="004B47AA"/>
    <w:rsid w:val="004B602C"/>
    <w:rsid w:val="004B73EF"/>
    <w:rsid w:val="004B75DB"/>
    <w:rsid w:val="004B793C"/>
    <w:rsid w:val="004C00E3"/>
    <w:rsid w:val="004C044F"/>
    <w:rsid w:val="004C045F"/>
    <w:rsid w:val="004C0812"/>
    <w:rsid w:val="004C0EE2"/>
    <w:rsid w:val="004C1635"/>
    <w:rsid w:val="004C2360"/>
    <w:rsid w:val="004C3189"/>
    <w:rsid w:val="004C366A"/>
    <w:rsid w:val="004C3B5A"/>
    <w:rsid w:val="004C4541"/>
    <w:rsid w:val="004C4A22"/>
    <w:rsid w:val="004C4FAA"/>
    <w:rsid w:val="004C57CD"/>
    <w:rsid w:val="004C5BA5"/>
    <w:rsid w:val="004C610F"/>
    <w:rsid w:val="004C6D15"/>
    <w:rsid w:val="004C7483"/>
    <w:rsid w:val="004C75CD"/>
    <w:rsid w:val="004C7E53"/>
    <w:rsid w:val="004D0039"/>
    <w:rsid w:val="004D01BE"/>
    <w:rsid w:val="004D02C0"/>
    <w:rsid w:val="004D03F3"/>
    <w:rsid w:val="004D0B75"/>
    <w:rsid w:val="004D0ED7"/>
    <w:rsid w:val="004D0FEC"/>
    <w:rsid w:val="004D1783"/>
    <w:rsid w:val="004D186D"/>
    <w:rsid w:val="004D226A"/>
    <w:rsid w:val="004D2290"/>
    <w:rsid w:val="004D323C"/>
    <w:rsid w:val="004D34CB"/>
    <w:rsid w:val="004D3DB7"/>
    <w:rsid w:val="004D3FB0"/>
    <w:rsid w:val="004D4825"/>
    <w:rsid w:val="004D5C01"/>
    <w:rsid w:val="004D5DE6"/>
    <w:rsid w:val="004D627C"/>
    <w:rsid w:val="004D6815"/>
    <w:rsid w:val="004D6963"/>
    <w:rsid w:val="004D6C96"/>
    <w:rsid w:val="004E0A6A"/>
    <w:rsid w:val="004E0CAD"/>
    <w:rsid w:val="004E1289"/>
    <w:rsid w:val="004E13CF"/>
    <w:rsid w:val="004E1832"/>
    <w:rsid w:val="004E1B71"/>
    <w:rsid w:val="004E1C89"/>
    <w:rsid w:val="004E1EC5"/>
    <w:rsid w:val="004E20D3"/>
    <w:rsid w:val="004E2125"/>
    <w:rsid w:val="004E2762"/>
    <w:rsid w:val="004E2A89"/>
    <w:rsid w:val="004E3162"/>
    <w:rsid w:val="004E3249"/>
    <w:rsid w:val="004E3BFA"/>
    <w:rsid w:val="004E3D62"/>
    <w:rsid w:val="004E4290"/>
    <w:rsid w:val="004E43F4"/>
    <w:rsid w:val="004E49F8"/>
    <w:rsid w:val="004E4A76"/>
    <w:rsid w:val="004E4AB8"/>
    <w:rsid w:val="004E4C97"/>
    <w:rsid w:val="004E5862"/>
    <w:rsid w:val="004E6456"/>
    <w:rsid w:val="004E7614"/>
    <w:rsid w:val="004E7DA5"/>
    <w:rsid w:val="004E7EFF"/>
    <w:rsid w:val="004E7F06"/>
    <w:rsid w:val="004F07E2"/>
    <w:rsid w:val="004F0B9F"/>
    <w:rsid w:val="004F1198"/>
    <w:rsid w:val="004F11E0"/>
    <w:rsid w:val="004F1211"/>
    <w:rsid w:val="004F14CB"/>
    <w:rsid w:val="004F1C94"/>
    <w:rsid w:val="004F1D9D"/>
    <w:rsid w:val="004F29D1"/>
    <w:rsid w:val="004F2DBE"/>
    <w:rsid w:val="004F4120"/>
    <w:rsid w:val="004F440E"/>
    <w:rsid w:val="004F4589"/>
    <w:rsid w:val="004F45F2"/>
    <w:rsid w:val="004F4607"/>
    <w:rsid w:val="004F4BCF"/>
    <w:rsid w:val="004F50EE"/>
    <w:rsid w:val="004F510F"/>
    <w:rsid w:val="004F5472"/>
    <w:rsid w:val="004F5524"/>
    <w:rsid w:val="004F5AE9"/>
    <w:rsid w:val="004F5FBC"/>
    <w:rsid w:val="004F7301"/>
    <w:rsid w:val="0050205F"/>
    <w:rsid w:val="00503154"/>
    <w:rsid w:val="005031FB"/>
    <w:rsid w:val="00504868"/>
    <w:rsid w:val="0050546A"/>
    <w:rsid w:val="005061DC"/>
    <w:rsid w:val="005066A1"/>
    <w:rsid w:val="00506807"/>
    <w:rsid w:val="00507451"/>
    <w:rsid w:val="0050746F"/>
    <w:rsid w:val="00507574"/>
    <w:rsid w:val="005107EF"/>
    <w:rsid w:val="0051090B"/>
    <w:rsid w:val="00510F34"/>
    <w:rsid w:val="00511159"/>
    <w:rsid w:val="00511B37"/>
    <w:rsid w:val="005138AD"/>
    <w:rsid w:val="0051457D"/>
    <w:rsid w:val="00514C59"/>
    <w:rsid w:val="00515572"/>
    <w:rsid w:val="00515F78"/>
    <w:rsid w:val="0051649F"/>
    <w:rsid w:val="005170F2"/>
    <w:rsid w:val="00517543"/>
    <w:rsid w:val="00517705"/>
    <w:rsid w:val="00520124"/>
    <w:rsid w:val="00520358"/>
    <w:rsid w:val="00520D72"/>
    <w:rsid w:val="00520E4F"/>
    <w:rsid w:val="00521E60"/>
    <w:rsid w:val="00522134"/>
    <w:rsid w:val="00522831"/>
    <w:rsid w:val="00523427"/>
    <w:rsid w:val="0052367B"/>
    <w:rsid w:val="0052367E"/>
    <w:rsid w:val="00523781"/>
    <w:rsid w:val="00523F4E"/>
    <w:rsid w:val="00524108"/>
    <w:rsid w:val="00524926"/>
    <w:rsid w:val="00525493"/>
    <w:rsid w:val="005262B7"/>
    <w:rsid w:val="005267AE"/>
    <w:rsid w:val="00526933"/>
    <w:rsid w:val="00526A72"/>
    <w:rsid w:val="00526D1F"/>
    <w:rsid w:val="00526F03"/>
    <w:rsid w:val="0052799B"/>
    <w:rsid w:val="00530237"/>
    <w:rsid w:val="005305AF"/>
    <w:rsid w:val="00530C4B"/>
    <w:rsid w:val="00531495"/>
    <w:rsid w:val="00531AD7"/>
    <w:rsid w:val="00531D90"/>
    <w:rsid w:val="0053226E"/>
    <w:rsid w:val="0053239F"/>
    <w:rsid w:val="005326FD"/>
    <w:rsid w:val="00532E0A"/>
    <w:rsid w:val="00533CA6"/>
    <w:rsid w:val="00533E10"/>
    <w:rsid w:val="00534304"/>
    <w:rsid w:val="005348D6"/>
    <w:rsid w:val="00534A8E"/>
    <w:rsid w:val="0053584B"/>
    <w:rsid w:val="00535AAA"/>
    <w:rsid w:val="00536495"/>
    <w:rsid w:val="00537371"/>
    <w:rsid w:val="0053738E"/>
    <w:rsid w:val="00540624"/>
    <w:rsid w:val="00540938"/>
    <w:rsid w:val="00540ACC"/>
    <w:rsid w:val="00540E4C"/>
    <w:rsid w:val="00541361"/>
    <w:rsid w:val="005414BC"/>
    <w:rsid w:val="00542102"/>
    <w:rsid w:val="005424A7"/>
    <w:rsid w:val="005427CF"/>
    <w:rsid w:val="00542ECE"/>
    <w:rsid w:val="00543C48"/>
    <w:rsid w:val="00544259"/>
    <w:rsid w:val="005443A4"/>
    <w:rsid w:val="005449C5"/>
    <w:rsid w:val="00544D8D"/>
    <w:rsid w:val="005452BA"/>
    <w:rsid w:val="00545BA6"/>
    <w:rsid w:val="005466AC"/>
    <w:rsid w:val="00546A7F"/>
    <w:rsid w:val="00546B1E"/>
    <w:rsid w:val="0054746C"/>
    <w:rsid w:val="00550115"/>
    <w:rsid w:val="00550361"/>
    <w:rsid w:val="00550DEA"/>
    <w:rsid w:val="00551E7D"/>
    <w:rsid w:val="00552839"/>
    <w:rsid w:val="00552E95"/>
    <w:rsid w:val="00553D24"/>
    <w:rsid w:val="0055451B"/>
    <w:rsid w:val="0055497F"/>
    <w:rsid w:val="00554EA2"/>
    <w:rsid w:val="00554EF4"/>
    <w:rsid w:val="00555529"/>
    <w:rsid w:val="00555FF3"/>
    <w:rsid w:val="005566A9"/>
    <w:rsid w:val="00556C5B"/>
    <w:rsid w:val="005570E3"/>
    <w:rsid w:val="005572C9"/>
    <w:rsid w:val="00557CC7"/>
    <w:rsid w:val="00560039"/>
    <w:rsid w:val="0056038D"/>
    <w:rsid w:val="005612E9"/>
    <w:rsid w:val="00561908"/>
    <w:rsid w:val="00561CDE"/>
    <w:rsid w:val="005620A1"/>
    <w:rsid w:val="00562427"/>
    <w:rsid w:val="00563D54"/>
    <w:rsid w:val="0056413A"/>
    <w:rsid w:val="005646E0"/>
    <w:rsid w:val="00564FC3"/>
    <w:rsid w:val="005659BE"/>
    <w:rsid w:val="00565FEB"/>
    <w:rsid w:val="00566D66"/>
    <w:rsid w:val="0056779D"/>
    <w:rsid w:val="00567C5F"/>
    <w:rsid w:val="00567D4D"/>
    <w:rsid w:val="00570305"/>
    <w:rsid w:val="00570AD6"/>
    <w:rsid w:val="00570C42"/>
    <w:rsid w:val="00571923"/>
    <w:rsid w:val="00571A3B"/>
    <w:rsid w:val="00571C96"/>
    <w:rsid w:val="00572411"/>
    <w:rsid w:val="00573C7F"/>
    <w:rsid w:val="0057420E"/>
    <w:rsid w:val="00574473"/>
    <w:rsid w:val="00575093"/>
    <w:rsid w:val="00575BAC"/>
    <w:rsid w:val="0057636D"/>
    <w:rsid w:val="005763A2"/>
    <w:rsid w:val="00576CDB"/>
    <w:rsid w:val="00580143"/>
    <w:rsid w:val="0058105D"/>
    <w:rsid w:val="00581FF9"/>
    <w:rsid w:val="005822D4"/>
    <w:rsid w:val="00582583"/>
    <w:rsid w:val="005826BA"/>
    <w:rsid w:val="005827B7"/>
    <w:rsid w:val="005827D4"/>
    <w:rsid w:val="00582FAD"/>
    <w:rsid w:val="005831F2"/>
    <w:rsid w:val="005841C4"/>
    <w:rsid w:val="005846E9"/>
    <w:rsid w:val="00584944"/>
    <w:rsid w:val="00584AE6"/>
    <w:rsid w:val="00585888"/>
    <w:rsid w:val="00585A1A"/>
    <w:rsid w:val="00585FFA"/>
    <w:rsid w:val="00586006"/>
    <w:rsid w:val="0058606A"/>
    <w:rsid w:val="0058658A"/>
    <w:rsid w:val="00586A4A"/>
    <w:rsid w:val="00586B0D"/>
    <w:rsid w:val="00587834"/>
    <w:rsid w:val="00587F8E"/>
    <w:rsid w:val="00590609"/>
    <w:rsid w:val="005908B5"/>
    <w:rsid w:val="00591D02"/>
    <w:rsid w:val="0059226B"/>
    <w:rsid w:val="005926A3"/>
    <w:rsid w:val="00592A0A"/>
    <w:rsid w:val="005931CA"/>
    <w:rsid w:val="005939C6"/>
    <w:rsid w:val="00594521"/>
    <w:rsid w:val="00594D2F"/>
    <w:rsid w:val="005953E0"/>
    <w:rsid w:val="0059686A"/>
    <w:rsid w:val="00597320"/>
    <w:rsid w:val="0059764D"/>
    <w:rsid w:val="00597814"/>
    <w:rsid w:val="005A00CB"/>
    <w:rsid w:val="005A0E03"/>
    <w:rsid w:val="005A12E6"/>
    <w:rsid w:val="005A190A"/>
    <w:rsid w:val="005A33D4"/>
    <w:rsid w:val="005A3FBC"/>
    <w:rsid w:val="005A461A"/>
    <w:rsid w:val="005A58A5"/>
    <w:rsid w:val="005A613D"/>
    <w:rsid w:val="005A6E10"/>
    <w:rsid w:val="005A713F"/>
    <w:rsid w:val="005A762E"/>
    <w:rsid w:val="005A7C84"/>
    <w:rsid w:val="005B03C2"/>
    <w:rsid w:val="005B057C"/>
    <w:rsid w:val="005B0D3B"/>
    <w:rsid w:val="005B14E1"/>
    <w:rsid w:val="005B2C81"/>
    <w:rsid w:val="005B2DA0"/>
    <w:rsid w:val="005B330E"/>
    <w:rsid w:val="005B3D8C"/>
    <w:rsid w:val="005B4562"/>
    <w:rsid w:val="005B4C91"/>
    <w:rsid w:val="005B4D1D"/>
    <w:rsid w:val="005B5333"/>
    <w:rsid w:val="005B5BE5"/>
    <w:rsid w:val="005B6661"/>
    <w:rsid w:val="005B66BF"/>
    <w:rsid w:val="005B675A"/>
    <w:rsid w:val="005B79EA"/>
    <w:rsid w:val="005B7BE1"/>
    <w:rsid w:val="005C0990"/>
    <w:rsid w:val="005C0EBB"/>
    <w:rsid w:val="005C1070"/>
    <w:rsid w:val="005C177A"/>
    <w:rsid w:val="005C1E2E"/>
    <w:rsid w:val="005C264A"/>
    <w:rsid w:val="005C28CA"/>
    <w:rsid w:val="005C2C5D"/>
    <w:rsid w:val="005C2E53"/>
    <w:rsid w:val="005C3240"/>
    <w:rsid w:val="005C337D"/>
    <w:rsid w:val="005C37E2"/>
    <w:rsid w:val="005C41B3"/>
    <w:rsid w:val="005C43AF"/>
    <w:rsid w:val="005C45DE"/>
    <w:rsid w:val="005C6415"/>
    <w:rsid w:val="005C68E1"/>
    <w:rsid w:val="005C6C8C"/>
    <w:rsid w:val="005C7AE2"/>
    <w:rsid w:val="005D05B4"/>
    <w:rsid w:val="005D08E7"/>
    <w:rsid w:val="005D0C81"/>
    <w:rsid w:val="005D13FA"/>
    <w:rsid w:val="005D1605"/>
    <w:rsid w:val="005D168F"/>
    <w:rsid w:val="005D1963"/>
    <w:rsid w:val="005D20EB"/>
    <w:rsid w:val="005D25C6"/>
    <w:rsid w:val="005D2741"/>
    <w:rsid w:val="005D3189"/>
    <w:rsid w:val="005D3DD1"/>
    <w:rsid w:val="005D40E8"/>
    <w:rsid w:val="005D4576"/>
    <w:rsid w:val="005D4DFE"/>
    <w:rsid w:val="005D5231"/>
    <w:rsid w:val="005D5541"/>
    <w:rsid w:val="005D596A"/>
    <w:rsid w:val="005D653D"/>
    <w:rsid w:val="005D66A1"/>
    <w:rsid w:val="005D68F1"/>
    <w:rsid w:val="005D724B"/>
    <w:rsid w:val="005D72EC"/>
    <w:rsid w:val="005E07D9"/>
    <w:rsid w:val="005E0D6E"/>
    <w:rsid w:val="005E1174"/>
    <w:rsid w:val="005E12E5"/>
    <w:rsid w:val="005E2A24"/>
    <w:rsid w:val="005E39E6"/>
    <w:rsid w:val="005E49DC"/>
    <w:rsid w:val="005E4BE6"/>
    <w:rsid w:val="005E4CA9"/>
    <w:rsid w:val="005E4E3A"/>
    <w:rsid w:val="005E55D2"/>
    <w:rsid w:val="005E5677"/>
    <w:rsid w:val="005E652E"/>
    <w:rsid w:val="005E662A"/>
    <w:rsid w:val="005E67EE"/>
    <w:rsid w:val="005E69E6"/>
    <w:rsid w:val="005E6D14"/>
    <w:rsid w:val="005E6FCE"/>
    <w:rsid w:val="005E754F"/>
    <w:rsid w:val="005E7787"/>
    <w:rsid w:val="005E797D"/>
    <w:rsid w:val="005E7BBB"/>
    <w:rsid w:val="005F06C2"/>
    <w:rsid w:val="005F0C95"/>
    <w:rsid w:val="005F1138"/>
    <w:rsid w:val="005F19E7"/>
    <w:rsid w:val="005F2666"/>
    <w:rsid w:val="005F2C61"/>
    <w:rsid w:val="005F3023"/>
    <w:rsid w:val="005F3077"/>
    <w:rsid w:val="005F3B27"/>
    <w:rsid w:val="005F3B2F"/>
    <w:rsid w:val="005F3C6C"/>
    <w:rsid w:val="005F44F4"/>
    <w:rsid w:val="005F45DB"/>
    <w:rsid w:val="005F46D9"/>
    <w:rsid w:val="005F4A41"/>
    <w:rsid w:val="005F546D"/>
    <w:rsid w:val="005F5ACB"/>
    <w:rsid w:val="005F699E"/>
    <w:rsid w:val="005F78FA"/>
    <w:rsid w:val="005F7D3B"/>
    <w:rsid w:val="005F7EED"/>
    <w:rsid w:val="006010AB"/>
    <w:rsid w:val="00601209"/>
    <w:rsid w:val="00601A1D"/>
    <w:rsid w:val="00601A6A"/>
    <w:rsid w:val="00601D3A"/>
    <w:rsid w:val="00603440"/>
    <w:rsid w:val="00603705"/>
    <w:rsid w:val="00603CC3"/>
    <w:rsid w:val="006044B7"/>
    <w:rsid w:val="006053E6"/>
    <w:rsid w:val="00605573"/>
    <w:rsid w:val="00606259"/>
    <w:rsid w:val="00606CC5"/>
    <w:rsid w:val="00606F07"/>
    <w:rsid w:val="006072F8"/>
    <w:rsid w:val="0060737C"/>
    <w:rsid w:val="0060760F"/>
    <w:rsid w:val="00607DDE"/>
    <w:rsid w:val="00607EB2"/>
    <w:rsid w:val="00610097"/>
    <w:rsid w:val="00610424"/>
    <w:rsid w:val="00610BB2"/>
    <w:rsid w:val="00610BB4"/>
    <w:rsid w:val="00610C59"/>
    <w:rsid w:val="006113AC"/>
    <w:rsid w:val="006113B9"/>
    <w:rsid w:val="006116E8"/>
    <w:rsid w:val="00612333"/>
    <w:rsid w:val="00612F73"/>
    <w:rsid w:val="006130ED"/>
    <w:rsid w:val="00615587"/>
    <w:rsid w:val="00615825"/>
    <w:rsid w:val="00615D72"/>
    <w:rsid w:val="006160B8"/>
    <w:rsid w:val="00617BAA"/>
    <w:rsid w:val="00617C54"/>
    <w:rsid w:val="00617DE4"/>
    <w:rsid w:val="00620610"/>
    <w:rsid w:val="00620A12"/>
    <w:rsid w:val="00621202"/>
    <w:rsid w:val="00621D3C"/>
    <w:rsid w:val="00621EF0"/>
    <w:rsid w:val="00622ACB"/>
    <w:rsid w:val="006238C6"/>
    <w:rsid w:val="006242B1"/>
    <w:rsid w:val="00624616"/>
    <w:rsid w:val="00624FAA"/>
    <w:rsid w:val="0062543B"/>
    <w:rsid w:val="0062561A"/>
    <w:rsid w:val="006262AB"/>
    <w:rsid w:val="006267BB"/>
    <w:rsid w:val="00626910"/>
    <w:rsid w:val="0063030F"/>
    <w:rsid w:val="006309F0"/>
    <w:rsid w:val="00630EE5"/>
    <w:rsid w:val="006311A4"/>
    <w:rsid w:val="006317D1"/>
    <w:rsid w:val="0063243B"/>
    <w:rsid w:val="00632A72"/>
    <w:rsid w:val="00633139"/>
    <w:rsid w:val="006338BB"/>
    <w:rsid w:val="006351DD"/>
    <w:rsid w:val="00635883"/>
    <w:rsid w:val="00635E38"/>
    <w:rsid w:val="00635E60"/>
    <w:rsid w:val="00636B71"/>
    <w:rsid w:val="00637147"/>
    <w:rsid w:val="006401E9"/>
    <w:rsid w:val="00640626"/>
    <w:rsid w:val="0064139D"/>
    <w:rsid w:val="006414B4"/>
    <w:rsid w:val="00641FEF"/>
    <w:rsid w:val="0064201F"/>
    <w:rsid w:val="00642081"/>
    <w:rsid w:val="006422F5"/>
    <w:rsid w:val="0064273C"/>
    <w:rsid w:val="00642837"/>
    <w:rsid w:val="00642C63"/>
    <w:rsid w:val="00642F33"/>
    <w:rsid w:val="006437F4"/>
    <w:rsid w:val="00644F48"/>
    <w:rsid w:val="006454D0"/>
    <w:rsid w:val="00645510"/>
    <w:rsid w:val="006467FB"/>
    <w:rsid w:val="00650DE0"/>
    <w:rsid w:val="00650E29"/>
    <w:rsid w:val="00650F2E"/>
    <w:rsid w:val="0065137F"/>
    <w:rsid w:val="0065143A"/>
    <w:rsid w:val="0065189A"/>
    <w:rsid w:val="006518D1"/>
    <w:rsid w:val="00652254"/>
    <w:rsid w:val="00652743"/>
    <w:rsid w:val="00654285"/>
    <w:rsid w:val="006543CB"/>
    <w:rsid w:val="0065466C"/>
    <w:rsid w:val="00655CA4"/>
    <w:rsid w:val="00655D35"/>
    <w:rsid w:val="00656B58"/>
    <w:rsid w:val="00656DC6"/>
    <w:rsid w:val="0065759D"/>
    <w:rsid w:val="00661082"/>
    <w:rsid w:val="006630AC"/>
    <w:rsid w:val="0066352C"/>
    <w:rsid w:val="00663AEF"/>
    <w:rsid w:val="00665027"/>
    <w:rsid w:val="0066683D"/>
    <w:rsid w:val="006669F0"/>
    <w:rsid w:val="00667164"/>
    <w:rsid w:val="006671DF"/>
    <w:rsid w:val="00667439"/>
    <w:rsid w:val="00667FC8"/>
    <w:rsid w:val="00670021"/>
    <w:rsid w:val="0067038B"/>
    <w:rsid w:val="00670687"/>
    <w:rsid w:val="00670CAF"/>
    <w:rsid w:val="00672004"/>
    <w:rsid w:val="00672210"/>
    <w:rsid w:val="00672671"/>
    <w:rsid w:val="0067355E"/>
    <w:rsid w:val="0067368C"/>
    <w:rsid w:val="00673C8A"/>
    <w:rsid w:val="006747E1"/>
    <w:rsid w:val="006748A9"/>
    <w:rsid w:val="006750D7"/>
    <w:rsid w:val="00675435"/>
    <w:rsid w:val="00675558"/>
    <w:rsid w:val="00675645"/>
    <w:rsid w:val="006764DA"/>
    <w:rsid w:val="006768A6"/>
    <w:rsid w:val="0067768F"/>
    <w:rsid w:val="00677740"/>
    <w:rsid w:val="00677775"/>
    <w:rsid w:val="00677CDC"/>
    <w:rsid w:val="00677D38"/>
    <w:rsid w:val="00681121"/>
    <w:rsid w:val="00681B12"/>
    <w:rsid w:val="00681DE6"/>
    <w:rsid w:val="00682793"/>
    <w:rsid w:val="00683273"/>
    <w:rsid w:val="00683943"/>
    <w:rsid w:val="00683BA9"/>
    <w:rsid w:val="006849EF"/>
    <w:rsid w:val="006854C5"/>
    <w:rsid w:val="006854D8"/>
    <w:rsid w:val="006859CC"/>
    <w:rsid w:val="006860F8"/>
    <w:rsid w:val="0068667A"/>
    <w:rsid w:val="00686DA7"/>
    <w:rsid w:val="00690281"/>
    <w:rsid w:val="00690CE8"/>
    <w:rsid w:val="0069189D"/>
    <w:rsid w:val="00692061"/>
    <w:rsid w:val="006920E1"/>
    <w:rsid w:val="00692701"/>
    <w:rsid w:val="006927F7"/>
    <w:rsid w:val="00692B74"/>
    <w:rsid w:val="00692D6A"/>
    <w:rsid w:val="00694482"/>
    <w:rsid w:val="0069470D"/>
    <w:rsid w:val="006952BA"/>
    <w:rsid w:val="0069537E"/>
    <w:rsid w:val="006953BE"/>
    <w:rsid w:val="006955D3"/>
    <w:rsid w:val="00695681"/>
    <w:rsid w:val="00695858"/>
    <w:rsid w:val="00695F9B"/>
    <w:rsid w:val="006964F3"/>
    <w:rsid w:val="00696BF1"/>
    <w:rsid w:val="00696E90"/>
    <w:rsid w:val="00696ED1"/>
    <w:rsid w:val="00697230"/>
    <w:rsid w:val="00697EBC"/>
    <w:rsid w:val="006A01BD"/>
    <w:rsid w:val="006A107C"/>
    <w:rsid w:val="006A19C6"/>
    <w:rsid w:val="006A1C91"/>
    <w:rsid w:val="006A2494"/>
    <w:rsid w:val="006A28C8"/>
    <w:rsid w:val="006A2D8F"/>
    <w:rsid w:val="006A3634"/>
    <w:rsid w:val="006A3C75"/>
    <w:rsid w:val="006A44D6"/>
    <w:rsid w:val="006A50EB"/>
    <w:rsid w:val="006A53FE"/>
    <w:rsid w:val="006A6017"/>
    <w:rsid w:val="006A64A8"/>
    <w:rsid w:val="006A68CF"/>
    <w:rsid w:val="006A6CF3"/>
    <w:rsid w:val="006A707A"/>
    <w:rsid w:val="006A71B3"/>
    <w:rsid w:val="006A724D"/>
    <w:rsid w:val="006A7D3D"/>
    <w:rsid w:val="006B021B"/>
    <w:rsid w:val="006B059A"/>
    <w:rsid w:val="006B09EF"/>
    <w:rsid w:val="006B142A"/>
    <w:rsid w:val="006B174C"/>
    <w:rsid w:val="006B2631"/>
    <w:rsid w:val="006B2D3D"/>
    <w:rsid w:val="006B2D89"/>
    <w:rsid w:val="006B2F81"/>
    <w:rsid w:val="006B4CED"/>
    <w:rsid w:val="006B4D35"/>
    <w:rsid w:val="006B5336"/>
    <w:rsid w:val="006B547C"/>
    <w:rsid w:val="006B5855"/>
    <w:rsid w:val="006B5966"/>
    <w:rsid w:val="006B59F1"/>
    <w:rsid w:val="006B5F16"/>
    <w:rsid w:val="006B5FF9"/>
    <w:rsid w:val="006B6063"/>
    <w:rsid w:val="006B6AA8"/>
    <w:rsid w:val="006B715E"/>
    <w:rsid w:val="006B72B4"/>
    <w:rsid w:val="006B758D"/>
    <w:rsid w:val="006B7975"/>
    <w:rsid w:val="006C03D1"/>
    <w:rsid w:val="006C0421"/>
    <w:rsid w:val="006C05AF"/>
    <w:rsid w:val="006C074C"/>
    <w:rsid w:val="006C0845"/>
    <w:rsid w:val="006C1186"/>
    <w:rsid w:val="006C1B78"/>
    <w:rsid w:val="006C1C82"/>
    <w:rsid w:val="006C2032"/>
    <w:rsid w:val="006C2243"/>
    <w:rsid w:val="006C355A"/>
    <w:rsid w:val="006C3593"/>
    <w:rsid w:val="006C3A1C"/>
    <w:rsid w:val="006C4E33"/>
    <w:rsid w:val="006C64D4"/>
    <w:rsid w:val="006C6970"/>
    <w:rsid w:val="006C7010"/>
    <w:rsid w:val="006C7511"/>
    <w:rsid w:val="006C7C4D"/>
    <w:rsid w:val="006D025E"/>
    <w:rsid w:val="006D03E5"/>
    <w:rsid w:val="006D0507"/>
    <w:rsid w:val="006D0828"/>
    <w:rsid w:val="006D0B54"/>
    <w:rsid w:val="006D0BD2"/>
    <w:rsid w:val="006D15C1"/>
    <w:rsid w:val="006D1ED6"/>
    <w:rsid w:val="006D32DC"/>
    <w:rsid w:val="006D3347"/>
    <w:rsid w:val="006D38C4"/>
    <w:rsid w:val="006D3AEE"/>
    <w:rsid w:val="006D400D"/>
    <w:rsid w:val="006D4819"/>
    <w:rsid w:val="006D4BAC"/>
    <w:rsid w:val="006D5C30"/>
    <w:rsid w:val="006D618B"/>
    <w:rsid w:val="006D69FF"/>
    <w:rsid w:val="006D6CE7"/>
    <w:rsid w:val="006D76D2"/>
    <w:rsid w:val="006D7991"/>
    <w:rsid w:val="006D7A33"/>
    <w:rsid w:val="006E01AC"/>
    <w:rsid w:val="006E05AB"/>
    <w:rsid w:val="006E0B57"/>
    <w:rsid w:val="006E0BCE"/>
    <w:rsid w:val="006E0EEB"/>
    <w:rsid w:val="006E151C"/>
    <w:rsid w:val="006E1E6C"/>
    <w:rsid w:val="006E25FB"/>
    <w:rsid w:val="006E2D98"/>
    <w:rsid w:val="006E36F8"/>
    <w:rsid w:val="006E380C"/>
    <w:rsid w:val="006E3A57"/>
    <w:rsid w:val="006E464F"/>
    <w:rsid w:val="006E5028"/>
    <w:rsid w:val="006E5585"/>
    <w:rsid w:val="006E57A8"/>
    <w:rsid w:val="006E59EB"/>
    <w:rsid w:val="006E6705"/>
    <w:rsid w:val="006E6CA7"/>
    <w:rsid w:val="006E75AC"/>
    <w:rsid w:val="006E787A"/>
    <w:rsid w:val="006E7C33"/>
    <w:rsid w:val="006F083D"/>
    <w:rsid w:val="006F0CB5"/>
    <w:rsid w:val="006F0E82"/>
    <w:rsid w:val="006F22AE"/>
    <w:rsid w:val="006F24C2"/>
    <w:rsid w:val="006F25F2"/>
    <w:rsid w:val="006F260B"/>
    <w:rsid w:val="006F2F48"/>
    <w:rsid w:val="006F2FAC"/>
    <w:rsid w:val="006F363A"/>
    <w:rsid w:val="006F3887"/>
    <w:rsid w:val="006F3A5B"/>
    <w:rsid w:val="006F3DBF"/>
    <w:rsid w:val="006F49A6"/>
    <w:rsid w:val="006F51C0"/>
    <w:rsid w:val="006F559C"/>
    <w:rsid w:val="006F5AE3"/>
    <w:rsid w:val="006F6851"/>
    <w:rsid w:val="006F6F9E"/>
    <w:rsid w:val="006F7246"/>
    <w:rsid w:val="0070052C"/>
    <w:rsid w:val="007007E2"/>
    <w:rsid w:val="00701E4F"/>
    <w:rsid w:val="007030B5"/>
    <w:rsid w:val="00703AB0"/>
    <w:rsid w:val="00704074"/>
    <w:rsid w:val="007044AA"/>
    <w:rsid w:val="00704507"/>
    <w:rsid w:val="007049A2"/>
    <w:rsid w:val="00704CC1"/>
    <w:rsid w:val="00704F77"/>
    <w:rsid w:val="00704FB2"/>
    <w:rsid w:val="00705826"/>
    <w:rsid w:val="0070699D"/>
    <w:rsid w:val="00707401"/>
    <w:rsid w:val="00710737"/>
    <w:rsid w:val="00710825"/>
    <w:rsid w:val="00710BAB"/>
    <w:rsid w:val="00710D86"/>
    <w:rsid w:val="0071150D"/>
    <w:rsid w:val="00711823"/>
    <w:rsid w:val="00711AD7"/>
    <w:rsid w:val="0071200B"/>
    <w:rsid w:val="0071225F"/>
    <w:rsid w:val="007128CB"/>
    <w:rsid w:val="00713666"/>
    <w:rsid w:val="0071369A"/>
    <w:rsid w:val="007139A9"/>
    <w:rsid w:val="00713D13"/>
    <w:rsid w:val="00714924"/>
    <w:rsid w:val="00714C79"/>
    <w:rsid w:val="00714DFD"/>
    <w:rsid w:val="00714F1D"/>
    <w:rsid w:val="007150B9"/>
    <w:rsid w:val="0071730A"/>
    <w:rsid w:val="00717712"/>
    <w:rsid w:val="00717B8F"/>
    <w:rsid w:val="00720043"/>
    <w:rsid w:val="00720E94"/>
    <w:rsid w:val="0072189F"/>
    <w:rsid w:val="00721E1F"/>
    <w:rsid w:val="00721E7B"/>
    <w:rsid w:val="00722180"/>
    <w:rsid w:val="00722685"/>
    <w:rsid w:val="007229F0"/>
    <w:rsid w:val="00722FD8"/>
    <w:rsid w:val="00723641"/>
    <w:rsid w:val="00723893"/>
    <w:rsid w:val="007238CD"/>
    <w:rsid w:val="00723F49"/>
    <w:rsid w:val="007242A3"/>
    <w:rsid w:val="0072442E"/>
    <w:rsid w:val="00724B22"/>
    <w:rsid w:val="00724E41"/>
    <w:rsid w:val="00725349"/>
    <w:rsid w:val="00725D86"/>
    <w:rsid w:val="00725DD7"/>
    <w:rsid w:val="007268C1"/>
    <w:rsid w:val="007269E0"/>
    <w:rsid w:val="00726A52"/>
    <w:rsid w:val="00726B5B"/>
    <w:rsid w:val="00726E48"/>
    <w:rsid w:val="00731002"/>
    <w:rsid w:val="00731289"/>
    <w:rsid w:val="00732177"/>
    <w:rsid w:val="007333E5"/>
    <w:rsid w:val="00733B40"/>
    <w:rsid w:val="0073470F"/>
    <w:rsid w:val="00734903"/>
    <w:rsid w:val="00734AC1"/>
    <w:rsid w:val="007356C1"/>
    <w:rsid w:val="00735972"/>
    <w:rsid w:val="00735E87"/>
    <w:rsid w:val="007364CA"/>
    <w:rsid w:val="007366A5"/>
    <w:rsid w:val="00736C28"/>
    <w:rsid w:val="00736E33"/>
    <w:rsid w:val="00737C1C"/>
    <w:rsid w:val="00740122"/>
    <w:rsid w:val="00740F20"/>
    <w:rsid w:val="00741544"/>
    <w:rsid w:val="00742500"/>
    <w:rsid w:val="00742575"/>
    <w:rsid w:val="00742EB1"/>
    <w:rsid w:val="00743FF0"/>
    <w:rsid w:val="00744193"/>
    <w:rsid w:val="00744568"/>
    <w:rsid w:val="00744602"/>
    <w:rsid w:val="007452E5"/>
    <w:rsid w:val="0074536C"/>
    <w:rsid w:val="0074553F"/>
    <w:rsid w:val="007456E4"/>
    <w:rsid w:val="00746D85"/>
    <w:rsid w:val="00747AA6"/>
    <w:rsid w:val="00750450"/>
    <w:rsid w:val="007504FD"/>
    <w:rsid w:val="007515AF"/>
    <w:rsid w:val="0075175D"/>
    <w:rsid w:val="00751B55"/>
    <w:rsid w:val="00751FDE"/>
    <w:rsid w:val="00752000"/>
    <w:rsid w:val="00752551"/>
    <w:rsid w:val="00752DC7"/>
    <w:rsid w:val="007534ED"/>
    <w:rsid w:val="00753656"/>
    <w:rsid w:val="007555A8"/>
    <w:rsid w:val="00755FBA"/>
    <w:rsid w:val="0075615D"/>
    <w:rsid w:val="0075616C"/>
    <w:rsid w:val="0075684B"/>
    <w:rsid w:val="00756904"/>
    <w:rsid w:val="00756AD2"/>
    <w:rsid w:val="00756F36"/>
    <w:rsid w:val="00757AA3"/>
    <w:rsid w:val="00757AB8"/>
    <w:rsid w:val="00757CA3"/>
    <w:rsid w:val="00760046"/>
    <w:rsid w:val="00760258"/>
    <w:rsid w:val="00760743"/>
    <w:rsid w:val="00761A2D"/>
    <w:rsid w:val="00762200"/>
    <w:rsid w:val="00762917"/>
    <w:rsid w:val="00762A9E"/>
    <w:rsid w:val="00762AD6"/>
    <w:rsid w:val="00762E6B"/>
    <w:rsid w:val="00762FD8"/>
    <w:rsid w:val="007632A9"/>
    <w:rsid w:val="00763D09"/>
    <w:rsid w:val="007644E1"/>
    <w:rsid w:val="0076490B"/>
    <w:rsid w:val="00764A31"/>
    <w:rsid w:val="00764ABA"/>
    <w:rsid w:val="00764F1C"/>
    <w:rsid w:val="007652CA"/>
    <w:rsid w:val="0076588D"/>
    <w:rsid w:val="007660B1"/>
    <w:rsid w:val="007665E3"/>
    <w:rsid w:val="00766B3E"/>
    <w:rsid w:val="007670B4"/>
    <w:rsid w:val="007672A2"/>
    <w:rsid w:val="0076743B"/>
    <w:rsid w:val="00767A77"/>
    <w:rsid w:val="00767CF1"/>
    <w:rsid w:val="00767E9A"/>
    <w:rsid w:val="00767FAD"/>
    <w:rsid w:val="00770078"/>
    <w:rsid w:val="007703EA"/>
    <w:rsid w:val="00770713"/>
    <w:rsid w:val="00770A5B"/>
    <w:rsid w:val="00770C07"/>
    <w:rsid w:val="00770CD1"/>
    <w:rsid w:val="00771465"/>
    <w:rsid w:val="00771A74"/>
    <w:rsid w:val="00771C76"/>
    <w:rsid w:val="00771CC5"/>
    <w:rsid w:val="007720B6"/>
    <w:rsid w:val="007724EA"/>
    <w:rsid w:val="007726F1"/>
    <w:rsid w:val="00772B1C"/>
    <w:rsid w:val="00772C04"/>
    <w:rsid w:val="00772C15"/>
    <w:rsid w:val="00773326"/>
    <w:rsid w:val="007739B7"/>
    <w:rsid w:val="00773D58"/>
    <w:rsid w:val="00774CEA"/>
    <w:rsid w:val="00774DC4"/>
    <w:rsid w:val="00774F4C"/>
    <w:rsid w:val="00774FEF"/>
    <w:rsid w:val="00775961"/>
    <w:rsid w:val="007759A1"/>
    <w:rsid w:val="00776462"/>
    <w:rsid w:val="00776A85"/>
    <w:rsid w:val="00776CB1"/>
    <w:rsid w:val="007776DD"/>
    <w:rsid w:val="00777891"/>
    <w:rsid w:val="00777E5F"/>
    <w:rsid w:val="00777E63"/>
    <w:rsid w:val="00777EE0"/>
    <w:rsid w:val="00780AF7"/>
    <w:rsid w:val="007812DB"/>
    <w:rsid w:val="0078193D"/>
    <w:rsid w:val="00781E48"/>
    <w:rsid w:val="007820A1"/>
    <w:rsid w:val="007821A0"/>
    <w:rsid w:val="00783255"/>
    <w:rsid w:val="0078394B"/>
    <w:rsid w:val="00783A54"/>
    <w:rsid w:val="00784848"/>
    <w:rsid w:val="00784D98"/>
    <w:rsid w:val="00785176"/>
    <w:rsid w:val="007851D1"/>
    <w:rsid w:val="0078549D"/>
    <w:rsid w:val="00785BB8"/>
    <w:rsid w:val="007861DC"/>
    <w:rsid w:val="00786647"/>
    <w:rsid w:val="00787ACB"/>
    <w:rsid w:val="007902D1"/>
    <w:rsid w:val="007913C5"/>
    <w:rsid w:val="00793202"/>
    <w:rsid w:val="00793686"/>
    <w:rsid w:val="0079373E"/>
    <w:rsid w:val="00793E2D"/>
    <w:rsid w:val="0079457F"/>
    <w:rsid w:val="00794624"/>
    <w:rsid w:val="00795344"/>
    <w:rsid w:val="00795728"/>
    <w:rsid w:val="007959B2"/>
    <w:rsid w:val="00796486"/>
    <w:rsid w:val="00796A88"/>
    <w:rsid w:val="00796EA9"/>
    <w:rsid w:val="007979E0"/>
    <w:rsid w:val="007A0257"/>
    <w:rsid w:val="007A0599"/>
    <w:rsid w:val="007A12C2"/>
    <w:rsid w:val="007A12E3"/>
    <w:rsid w:val="007A2B0E"/>
    <w:rsid w:val="007A2B16"/>
    <w:rsid w:val="007A2C91"/>
    <w:rsid w:val="007A2E23"/>
    <w:rsid w:val="007A372B"/>
    <w:rsid w:val="007A3878"/>
    <w:rsid w:val="007A5BD9"/>
    <w:rsid w:val="007A5C87"/>
    <w:rsid w:val="007A5D8C"/>
    <w:rsid w:val="007A619A"/>
    <w:rsid w:val="007A6B6D"/>
    <w:rsid w:val="007A6F87"/>
    <w:rsid w:val="007A73A5"/>
    <w:rsid w:val="007A7437"/>
    <w:rsid w:val="007B0608"/>
    <w:rsid w:val="007B152F"/>
    <w:rsid w:val="007B2BF2"/>
    <w:rsid w:val="007B3484"/>
    <w:rsid w:val="007B363D"/>
    <w:rsid w:val="007B4680"/>
    <w:rsid w:val="007B48C4"/>
    <w:rsid w:val="007B5BF2"/>
    <w:rsid w:val="007B5EED"/>
    <w:rsid w:val="007B5FEC"/>
    <w:rsid w:val="007B6340"/>
    <w:rsid w:val="007B68A6"/>
    <w:rsid w:val="007B6BE7"/>
    <w:rsid w:val="007B6C94"/>
    <w:rsid w:val="007B7122"/>
    <w:rsid w:val="007C029E"/>
    <w:rsid w:val="007C09E6"/>
    <w:rsid w:val="007C0B83"/>
    <w:rsid w:val="007C0D6E"/>
    <w:rsid w:val="007C101B"/>
    <w:rsid w:val="007C1915"/>
    <w:rsid w:val="007C1BE1"/>
    <w:rsid w:val="007C1C37"/>
    <w:rsid w:val="007C1C97"/>
    <w:rsid w:val="007C1F67"/>
    <w:rsid w:val="007C2000"/>
    <w:rsid w:val="007C397E"/>
    <w:rsid w:val="007C3CFD"/>
    <w:rsid w:val="007C47FC"/>
    <w:rsid w:val="007C4A19"/>
    <w:rsid w:val="007C51E5"/>
    <w:rsid w:val="007C539A"/>
    <w:rsid w:val="007C5741"/>
    <w:rsid w:val="007C5EF7"/>
    <w:rsid w:val="007C61A0"/>
    <w:rsid w:val="007C6444"/>
    <w:rsid w:val="007C668D"/>
    <w:rsid w:val="007C7AE7"/>
    <w:rsid w:val="007D00BC"/>
    <w:rsid w:val="007D0E9E"/>
    <w:rsid w:val="007D1079"/>
    <w:rsid w:val="007D10E1"/>
    <w:rsid w:val="007D1DE7"/>
    <w:rsid w:val="007D2BF3"/>
    <w:rsid w:val="007D2F18"/>
    <w:rsid w:val="007D3627"/>
    <w:rsid w:val="007D36EB"/>
    <w:rsid w:val="007D3A25"/>
    <w:rsid w:val="007D63E1"/>
    <w:rsid w:val="007D7059"/>
    <w:rsid w:val="007D788C"/>
    <w:rsid w:val="007E0206"/>
    <w:rsid w:val="007E07D7"/>
    <w:rsid w:val="007E1FB5"/>
    <w:rsid w:val="007E25F0"/>
    <w:rsid w:val="007E2A29"/>
    <w:rsid w:val="007E35BD"/>
    <w:rsid w:val="007E4B37"/>
    <w:rsid w:val="007E4FC4"/>
    <w:rsid w:val="007E525C"/>
    <w:rsid w:val="007E5A39"/>
    <w:rsid w:val="007E5FE6"/>
    <w:rsid w:val="007E634C"/>
    <w:rsid w:val="007E7072"/>
    <w:rsid w:val="007F03CE"/>
    <w:rsid w:val="007F141D"/>
    <w:rsid w:val="007F14DE"/>
    <w:rsid w:val="007F1E55"/>
    <w:rsid w:val="007F1F1C"/>
    <w:rsid w:val="007F253E"/>
    <w:rsid w:val="007F257D"/>
    <w:rsid w:val="007F327D"/>
    <w:rsid w:val="007F3418"/>
    <w:rsid w:val="007F3C67"/>
    <w:rsid w:val="007F3E57"/>
    <w:rsid w:val="007F417A"/>
    <w:rsid w:val="007F51D1"/>
    <w:rsid w:val="007F54F7"/>
    <w:rsid w:val="007F552B"/>
    <w:rsid w:val="007F5BF8"/>
    <w:rsid w:val="007F5D55"/>
    <w:rsid w:val="007F5DCA"/>
    <w:rsid w:val="007F602F"/>
    <w:rsid w:val="00800339"/>
    <w:rsid w:val="008003C5"/>
    <w:rsid w:val="0080052A"/>
    <w:rsid w:val="00800B3A"/>
    <w:rsid w:val="0080110B"/>
    <w:rsid w:val="0080125B"/>
    <w:rsid w:val="00801A7D"/>
    <w:rsid w:val="00801C72"/>
    <w:rsid w:val="008022DB"/>
    <w:rsid w:val="00802976"/>
    <w:rsid w:val="00802B60"/>
    <w:rsid w:val="0080381E"/>
    <w:rsid w:val="008041E5"/>
    <w:rsid w:val="008052B9"/>
    <w:rsid w:val="00805D49"/>
    <w:rsid w:val="008060F8"/>
    <w:rsid w:val="00806369"/>
    <w:rsid w:val="008063B6"/>
    <w:rsid w:val="00806D4C"/>
    <w:rsid w:val="00806F2E"/>
    <w:rsid w:val="00806FA3"/>
    <w:rsid w:val="00807991"/>
    <w:rsid w:val="00807BC1"/>
    <w:rsid w:val="00807BDF"/>
    <w:rsid w:val="00807F7A"/>
    <w:rsid w:val="00810CE5"/>
    <w:rsid w:val="00811E8B"/>
    <w:rsid w:val="0081315A"/>
    <w:rsid w:val="0081383F"/>
    <w:rsid w:val="00813994"/>
    <w:rsid w:val="00816176"/>
    <w:rsid w:val="0081702C"/>
    <w:rsid w:val="00820D8A"/>
    <w:rsid w:val="008212E8"/>
    <w:rsid w:val="00821861"/>
    <w:rsid w:val="008220B8"/>
    <w:rsid w:val="008220BB"/>
    <w:rsid w:val="00822415"/>
    <w:rsid w:val="008224F7"/>
    <w:rsid w:val="008225CA"/>
    <w:rsid w:val="008236F3"/>
    <w:rsid w:val="008238FC"/>
    <w:rsid w:val="00823984"/>
    <w:rsid w:val="00823F34"/>
    <w:rsid w:val="00823FB6"/>
    <w:rsid w:val="0082405D"/>
    <w:rsid w:val="00824C3E"/>
    <w:rsid w:val="0082545F"/>
    <w:rsid w:val="00825927"/>
    <w:rsid w:val="0082602A"/>
    <w:rsid w:val="008273A4"/>
    <w:rsid w:val="00827641"/>
    <w:rsid w:val="0082784B"/>
    <w:rsid w:val="00827E4A"/>
    <w:rsid w:val="00827FBE"/>
    <w:rsid w:val="0083031F"/>
    <w:rsid w:val="008305BE"/>
    <w:rsid w:val="008307B6"/>
    <w:rsid w:val="00830E36"/>
    <w:rsid w:val="008312A3"/>
    <w:rsid w:val="00831B8D"/>
    <w:rsid w:val="00831BA9"/>
    <w:rsid w:val="00832C5B"/>
    <w:rsid w:val="0083337F"/>
    <w:rsid w:val="0083488E"/>
    <w:rsid w:val="00835084"/>
    <w:rsid w:val="00835C3A"/>
    <w:rsid w:val="00835C77"/>
    <w:rsid w:val="00835F62"/>
    <w:rsid w:val="008360F3"/>
    <w:rsid w:val="0083614B"/>
    <w:rsid w:val="00836281"/>
    <w:rsid w:val="008368D3"/>
    <w:rsid w:val="00840251"/>
    <w:rsid w:val="00840A3D"/>
    <w:rsid w:val="0084146B"/>
    <w:rsid w:val="008417E6"/>
    <w:rsid w:val="00841A1E"/>
    <w:rsid w:val="00841D4D"/>
    <w:rsid w:val="008424DD"/>
    <w:rsid w:val="00842666"/>
    <w:rsid w:val="00842A08"/>
    <w:rsid w:val="00842DC2"/>
    <w:rsid w:val="0084326C"/>
    <w:rsid w:val="0084366F"/>
    <w:rsid w:val="0084391B"/>
    <w:rsid w:val="00844D6A"/>
    <w:rsid w:val="00844FDB"/>
    <w:rsid w:val="00845178"/>
    <w:rsid w:val="008457AE"/>
    <w:rsid w:val="00846751"/>
    <w:rsid w:val="00846E2E"/>
    <w:rsid w:val="00846FB6"/>
    <w:rsid w:val="0084750D"/>
    <w:rsid w:val="00847730"/>
    <w:rsid w:val="00847B6D"/>
    <w:rsid w:val="0085035B"/>
    <w:rsid w:val="00850486"/>
    <w:rsid w:val="00850AFB"/>
    <w:rsid w:val="008512EF"/>
    <w:rsid w:val="00851751"/>
    <w:rsid w:val="008519B4"/>
    <w:rsid w:val="00851BC1"/>
    <w:rsid w:val="00852055"/>
    <w:rsid w:val="00853353"/>
    <w:rsid w:val="0085366E"/>
    <w:rsid w:val="00853948"/>
    <w:rsid w:val="008542AD"/>
    <w:rsid w:val="00854887"/>
    <w:rsid w:val="00855236"/>
    <w:rsid w:val="00855858"/>
    <w:rsid w:val="008569D4"/>
    <w:rsid w:val="00856C80"/>
    <w:rsid w:val="00856C81"/>
    <w:rsid w:val="0085763F"/>
    <w:rsid w:val="00857D49"/>
    <w:rsid w:val="00860446"/>
    <w:rsid w:val="00861212"/>
    <w:rsid w:val="008613A1"/>
    <w:rsid w:val="00862064"/>
    <w:rsid w:val="00862163"/>
    <w:rsid w:val="008628CD"/>
    <w:rsid w:val="00863448"/>
    <w:rsid w:val="00863FFE"/>
    <w:rsid w:val="00864B28"/>
    <w:rsid w:val="00864F46"/>
    <w:rsid w:val="0086515A"/>
    <w:rsid w:val="00865B04"/>
    <w:rsid w:val="00865C8A"/>
    <w:rsid w:val="00865EF6"/>
    <w:rsid w:val="00865F4C"/>
    <w:rsid w:val="00866485"/>
    <w:rsid w:val="008670AC"/>
    <w:rsid w:val="008709E0"/>
    <w:rsid w:val="00871371"/>
    <w:rsid w:val="008715A6"/>
    <w:rsid w:val="008733F8"/>
    <w:rsid w:val="00873FAE"/>
    <w:rsid w:val="008747B3"/>
    <w:rsid w:val="00875437"/>
    <w:rsid w:val="008758D4"/>
    <w:rsid w:val="00875D8A"/>
    <w:rsid w:val="00875F4A"/>
    <w:rsid w:val="008768CD"/>
    <w:rsid w:val="00876F3D"/>
    <w:rsid w:val="00876FC1"/>
    <w:rsid w:val="00877276"/>
    <w:rsid w:val="00877E12"/>
    <w:rsid w:val="008800DE"/>
    <w:rsid w:val="008805B6"/>
    <w:rsid w:val="00880A6D"/>
    <w:rsid w:val="0088127E"/>
    <w:rsid w:val="0088166C"/>
    <w:rsid w:val="0088170F"/>
    <w:rsid w:val="00882127"/>
    <w:rsid w:val="008821AE"/>
    <w:rsid w:val="00882C4C"/>
    <w:rsid w:val="00883672"/>
    <w:rsid w:val="00883820"/>
    <w:rsid w:val="008838AA"/>
    <w:rsid w:val="00883CB3"/>
    <w:rsid w:val="00883FAF"/>
    <w:rsid w:val="00884139"/>
    <w:rsid w:val="00884264"/>
    <w:rsid w:val="008845C7"/>
    <w:rsid w:val="008860E2"/>
    <w:rsid w:val="0088721F"/>
    <w:rsid w:val="00887ADE"/>
    <w:rsid w:val="00887D2F"/>
    <w:rsid w:val="00890296"/>
    <w:rsid w:val="0089041A"/>
    <w:rsid w:val="008911DE"/>
    <w:rsid w:val="008911E8"/>
    <w:rsid w:val="00891D11"/>
    <w:rsid w:val="008926B7"/>
    <w:rsid w:val="00892BFF"/>
    <w:rsid w:val="00892E50"/>
    <w:rsid w:val="0089374C"/>
    <w:rsid w:val="00893800"/>
    <w:rsid w:val="00893F63"/>
    <w:rsid w:val="0089414B"/>
    <w:rsid w:val="00894467"/>
    <w:rsid w:val="0089491C"/>
    <w:rsid w:val="00894BAE"/>
    <w:rsid w:val="00896232"/>
    <w:rsid w:val="0089689C"/>
    <w:rsid w:val="008971C4"/>
    <w:rsid w:val="008979C1"/>
    <w:rsid w:val="00897FBE"/>
    <w:rsid w:val="008A05A4"/>
    <w:rsid w:val="008A0CC1"/>
    <w:rsid w:val="008A13D4"/>
    <w:rsid w:val="008A141D"/>
    <w:rsid w:val="008A26D9"/>
    <w:rsid w:val="008A3186"/>
    <w:rsid w:val="008A3D18"/>
    <w:rsid w:val="008A3EDE"/>
    <w:rsid w:val="008A4429"/>
    <w:rsid w:val="008A5444"/>
    <w:rsid w:val="008A55A7"/>
    <w:rsid w:val="008A55BD"/>
    <w:rsid w:val="008A6726"/>
    <w:rsid w:val="008A7051"/>
    <w:rsid w:val="008A765C"/>
    <w:rsid w:val="008A76BE"/>
    <w:rsid w:val="008A771F"/>
    <w:rsid w:val="008A7ED9"/>
    <w:rsid w:val="008B0088"/>
    <w:rsid w:val="008B13C4"/>
    <w:rsid w:val="008B15E4"/>
    <w:rsid w:val="008B1F1C"/>
    <w:rsid w:val="008B2AB6"/>
    <w:rsid w:val="008B2B3E"/>
    <w:rsid w:val="008B2C5A"/>
    <w:rsid w:val="008B3902"/>
    <w:rsid w:val="008B42A5"/>
    <w:rsid w:val="008B47CA"/>
    <w:rsid w:val="008B56AF"/>
    <w:rsid w:val="008B63C7"/>
    <w:rsid w:val="008B6959"/>
    <w:rsid w:val="008B6D17"/>
    <w:rsid w:val="008B6DA4"/>
    <w:rsid w:val="008B6FB0"/>
    <w:rsid w:val="008B79CE"/>
    <w:rsid w:val="008B7AF1"/>
    <w:rsid w:val="008B7FA0"/>
    <w:rsid w:val="008C087B"/>
    <w:rsid w:val="008C1D7A"/>
    <w:rsid w:val="008C1F81"/>
    <w:rsid w:val="008C2402"/>
    <w:rsid w:val="008C31CB"/>
    <w:rsid w:val="008C38AF"/>
    <w:rsid w:val="008C396D"/>
    <w:rsid w:val="008C4719"/>
    <w:rsid w:val="008C4E18"/>
    <w:rsid w:val="008C5099"/>
    <w:rsid w:val="008C52AB"/>
    <w:rsid w:val="008C55F4"/>
    <w:rsid w:val="008C5D13"/>
    <w:rsid w:val="008C66B0"/>
    <w:rsid w:val="008C6B07"/>
    <w:rsid w:val="008C6BAD"/>
    <w:rsid w:val="008C6C3C"/>
    <w:rsid w:val="008C6DAA"/>
    <w:rsid w:val="008C7092"/>
    <w:rsid w:val="008C7923"/>
    <w:rsid w:val="008D08AD"/>
    <w:rsid w:val="008D0AC9"/>
    <w:rsid w:val="008D15BC"/>
    <w:rsid w:val="008D1693"/>
    <w:rsid w:val="008D1D7A"/>
    <w:rsid w:val="008D3166"/>
    <w:rsid w:val="008D3537"/>
    <w:rsid w:val="008D3F28"/>
    <w:rsid w:val="008D3F7E"/>
    <w:rsid w:val="008D4153"/>
    <w:rsid w:val="008D4C2B"/>
    <w:rsid w:val="008D4D72"/>
    <w:rsid w:val="008D5220"/>
    <w:rsid w:val="008D54F6"/>
    <w:rsid w:val="008D579A"/>
    <w:rsid w:val="008D61A1"/>
    <w:rsid w:val="008D6866"/>
    <w:rsid w:val="008D73F4"/>
    <w:rsid w:val="008D7424"/>
    <w:rsid w:val="008E0E58"/>
    <w:rsid w:val="008E0F4E"/>
    <w:rsid w:val="008E19DD"/>
    <w:rsid w:val="008E231B"/>
    <w:rsid w:val="008E2AB2"/>
    <w:rsid w:val="008E354A"/>
    <w:rsid w:val="008E3B54"/>
    <w:rsid w:val="008E3C41"/>
    <w:rsid w:val="008E3CE0"/>
    <w:rsid w:val="008E3D66"/>
    <w:rsid w:val="008E44D5"/>
    <w:rsid w:val="008E5348"/>
    <w:rsid w:val="008E56E4"/>
    <w:rsid w:val="008E5973"/>
    <w:rsid w:val="008E5B3A"/>
    <w:rsid w:val="008E6074"/>
    <w:rsid w:val="008E60CE"/>
    <w:rsid w:val="008E6D83"/>
    <w:rsid w:val="008F00D4"/>
    <w:rsid w:val="008F0EEA"/>
    <w:rsid w:val="008F130F"/>
    <w:rsid w:val="008F163E"/>
    <w:rsid w:val="008F1BD4"/>
    <w:rsid w:val="008F2501"/>
    <w:rsid w:val="008F27D2"/>
    <w:rsid w:val="008F2E98"/>
    <w:rsid w:val="008F4636"/>
    <w:rsid w:val="008F510D"/>
    <w:rsid w:val="008F640E"/>
    <w:rsid w:val="008F65E2"/>
    <w:rsid w:val="008F670E"/>
    <w:rsid w:val="008F761E"/>
    <w:rsid w:val="008F7989"/>
    <w:rsid w:val="008F7B57"/>
    <w:rsid w:val="008F7E3C"/>
    <w:rsid w:val="0090060C"/>
    <w:rsid w:val="009011E1"/>
    <w:rsid w:val="009024D6"/>
    <w:rsid w:val="00903475"/>
    <w:rsid w:val="009034D0"/>
    <w:rsid w:val="00903C3B"/>
    <w:rsid w:val="00903E88"/>
    <w:rsid w:val="00903EB1"/>
    <w:rsid w:val="0090537B"/>
    <w:rsid w:val="009057A0"/>
    <w:rsid w:val="00905841"/>
    <w:rsid w:val="00905A77"/>
    <w:rsid w:val="00905B32"/>
    <w:rsid w:val="00906948"/>
    <w:rsid w:val="00906B7C"/>
    <w:rsid w:val="00910822"/>
    <w:rsid w:val="00910B00"/>
    <w:rsid w:val="00910D9F"/>
    <w:rsid w:val="009118C2"/>
    <w:rsid w:val="0091207E"/>
    <w:rsid w:val="0091234C"/>
    <w:rsid w:val="0091250B"/>
    <w:rsid w:val="009125E4"/>
    <w:rsid w:val="009126EF"/>
    <w:rsid w:val="00912BF0"/>
    <w:rsid w:val="009131BF"/>
    <w:rsid w:val="00913342"/>
    <w:rsid w:val="00913CBD"/>
    <w:rsid w:val="00913D9F"/>
    <w:rsid w:val="00914A32"/>
    <w:rsid w:val="00914DE3"/>
    <w:rsid w:val="00915122"/>
    <w:rsid w:val="009151A1"/>
    <w:rsid w:val="00915241"/>
    <w:rsid w:val="00916D57"/>
    <w:rsid w:val="00917C65"/>
    <w:rsid w:val="009200B2"/>
    <w:rsid w:val="0092022E"/>
    <w:rsid w:val="00920339"/>
    <w:rsid w:val="009203F5"/>
    <w:rsid w:val="00920A28"/>
    <w:rsid w:val="0092124E"/>
    <w:rsid w:val="00921358"/>
    <w:rsid w:val="0092172C"/>
    <w:rsid w:val="00921D51"/>
    <w:rsid w:val="00921DAA"/>
    <w:rsid w:val="00922DF5"/>
    <w:rsid w:val="00923722"/>
    <w:rsid w:val="00923937"/>
    <w:rsid w:val="00923D5A"/>
    <w:rsid w:val="00923E14"/>
    <w:rsid w:val="00923FE5"/>
    <w:rsid w:val="009242D3"/>
    <w:rsid w:val="0092508F"/>
    <w:rsid w:val="0092540E"/>
    <w:rsid w:val="00925CF1"/>
    <w:rsid w:val="00925D8F"/>
    <w:rsid w:val="00925EF3"/>
    <w:rsid w:val="0092625A"/>
    <w:rsid w:val="00926426"/>
    <w:rsid w:val="00926527"/>
    <w:rsid w:val="009266C3"/>
    <w:rsid w:val="009270A1"/>
    <w:rsid w:val="0092742B"/>
    <w:rsid w:val="0093054D"/>
    <w:rsid w:val="00930FBC"/>
    <w:rsid w:val="009312AA"/>
    <w:rsid w:val="00931904"/>
    <w:rsid w:val="009319C8"/>
    <w:rsid w:val="00931A4C"/>
    <w:rsid w:val="00931A5E"/>
    <w:rsid w:val="00931C74"/>
    <w:rsid w:val="00932BEA"/>
    <w:rsid w:val="009335CE"/>
    <w:rsid w:val="0093453D"/>
    <w:rsid w:val="00934546"/>
    <w:rsid w:val="00934FEB"/>
    <w:rsid w:val="00935B48"/>
    <w:rsid w:val="009365EE"/>
    <w:rsid w:val="009367A2"/>
    <w:rsid w:val="00936830"/>
    <w:rsid w:val="00936BEF"/>
    <w:rsid w:val="00937045"/>
    <w:rsid w:val="0093720C"/>
    <w:rsid w:val="0093725B"/>
    <w:rsid w:val="0093779E"/>
    <w:rsid w:val="009378C6"/>
    <w:rsid w:val="00940023"/>
    <w:rsid w:val="009409A0"/>
    <w:rsid w:val="00940C32"/>
    <w:rsid w:val="00940E09"/>
    <w:rsid w:val="00941065"/>
    <w:rsid w:val="0094280A"/>
    <w:rsid w:val="0094307A"/>
    <w:rsid w:val="00943615"/>
    <w:rsid w:val="009437FF"/>
    <w:rsid w:val="009440D8"/>
    <w:rsid w:val="009441E6"/>
    <w:rsid w:val="0094456F"/>
    <w:rsid w:val="0094519D"/>
    <w:rsid w:val="00947500"/>
    <w:rsid w:val="0095007B"/>
    <w:rsid w:val="009501A1"/>
    <w:rsid w:val="0095025E"/>
    <w:rsid w:val="009502C2"/>
    <w:rsid w:val="00950A1C"/>
    <w:rsid w:val="00950A55"/>
    <w:rsid w:val="00950ECF"/>
    <w:rsid w:val="00951046"/>
    <w:rsid w:val="00951183"/>
    <w:rsid w:val="00952438"/>
    <w:rsid w:val="0095337A"/>
    <w:rsid w:val="009533FE"/>
    <w:rsid w:val="009534AF"/>
    <w:rsid w:val="00953D41"/>
    <w:rsid w:val="00954029"/>
    <w:rsid w:val="0095404C"/>
    <w:rsid w:val="009542A2"/>
    <w:rsid w:val="00954500"/>
    <w:rsid w:val="00954746"/>
    <w:rsid w:val="00954F87"/>
    <w:rsid w:val="00955304"/>
    <w:rsid w:val="00955F58"/>
    <w:rsid w:val="0095646A"/>
    <w:rsid w:val="00956CEC"/>
    <w:rsid w:val="00957BD9"/>
    <w:rsid w:val="00957CBA"/>
    <w:rsid w:val="009604FF"/>
    <w:rsid w:val="0096054C"/>
    <w:rsid w:val="00960BF8"/>
    <w:rsid w:val="00962D4E"/>
    <w:rsid w:val="00962D5F"/>
    <w:rsid w:val="00962F00"/>
    <w:rsid w:val="009632F7"/>
    <w:rsid w:val="0096363D"/>
    <w:rsid w:val="0096393C"/>
    <w:rsid w:val="00964952"/>
    <w:rsid w:val="00964AAA"/>
    <w:rsid w:val="009652A7"/>
    <w:rsid w:val="009653E4"/>
    <w:rsid w:val="00965545"/>
    <w:rsid w:val="0096598B"/>
    <w:rsid w:val="00965D5C"/>
    <w:rsid w:val="00966186"/>
    <w:rsid w:val="0096737A"/>
    <w:rsid w:val="0096775E"/>
    <w:rsid w:val="00967820"/>
    <w:rsid w:val="009679E1"/>
    <w:rsid w:val="00970ACE"/>
    <w:rsid w:val="00970BE3"/>
    <w:rsid w:val="00970D80"/>
    <w:rsid w:val="00970EB9"/>
    <w:rsid w:val="00971823"/>
    <w:rsid w:val="009718D6"/>
    <w:rsid w:val="009727B8"/>
    <w:rsid w:val="00972C80"/>
    <w:rsid w:val="00973412"/>
    <w:rsid w:val="00974481"/>
    <w:rsid w:val="00974CEF"/>
    <w:rsid w:val="00974E2F"/>
    <w:rsid w:val="00974FA8"/>
    <w:rsid w:val="009756F7"/>
    <w:rsid w:val="00975E2E"/>
    <w:rsid w:val="00976476"/>
    <w:rsid w:val="0097691D"/>
    <w:rsid w:val="00976A57"/>
    <w:rsid w:val="00976BFB"/>
    <w:rsid w:val="009772BC"/>
    <w:rsid w:val="009802A8"/>
    <w:rsid w:val="009804A1"/>
    <w:rsid w:val="00980593"/>
    <w:rsid w:val="00981A94"/>
    <w:rsid w:val="00981DD3"/>
    <w:rsid w:val="00982046"/>
    <w:rsid w:val="00982237"/>
    <w:rsid w:val="0098341A"/>
    <w:rsid w:val="00983B46"/>
    <w:rsid w:val="0098460E"/>
    <w:rsid w:val="00984644"/>
    <w:rsid w:val="0098490A"/>
    <w:rsid w:val="00984915"/>
    <w:rsid w:val="00985429"/>
    <w:rsid w:val="00986120"/>
    <w:rsid w:val="0098626A"/>
    <w:rsid w:val="0098678C"/>
    <w:rsid w:val="00986D7D"/>
    <w:rsid w:val="00987CDD"/>
    <w:rsid w:val="009910BE"/>
    <w:rsid w:val="00991505"/>
    <w:rsid w:val="00991900"/>
    <w:rsid w:val="00992308"/>
    <w:rsid w:val="00992551"/>
    <w:rsid w:val="009925A4"/>
    <w:rsid w:val="009925A9"/>
    <w:rsid w:val="00992F3C"/>
    <w:rsid w:val="009934E3"/>
    <w:rsid w:val="00993912"/>
    <w:rsid w:val="00993B69"/>
    <w:rsid w:val="00993CC6"/>
    <w:rsid w:val="00993CE4"/>
    <w:rsid w:val="00994432"/>
    <w:rsid w:val="00994EB7"/>
    <w:rsid w:val="0099515B"/>
    <w:rsid w:val="00995535"/>
    <w:rsid w:val="00995F82"/>
    <w:rsid w:val="00996B09"/>
    <w:rsid w:val="00996D84"/>
    <w:rsid w:val="009975FF"/>
    <w:rsid w:val="0099797D"/>
    <w:rsid w:val="00997AC2"/>
    <w:rsid w:val="00997EA9"/>
    <w:rsid w:val="009A0616"/>
    <w:rsid w:val="009A1721"/>
    <w:rsid w:val="009A2CE1"/>
    <w:rsid w:val="009A2E50"/>
    <w:rsid w:val="009A342B"/>
    <w:rsid w:val="009A3572"/>
    <w:rsid w:val="009A36BE"/>
    <w:rsid w:val="009A3CEC"/>
    <w:rsid w:val="009A3D56"/>
    <w:rsid w:val="009A4580"/>
    <w:rsid w:val="009A4AAF"/>
    <w:rsid w:val="009A5065"/>
    <w:rsid w:val="009A5B14"/>
    <w:rsid w:val="009A6487"/>
    <w:rsid w:val="009A6784"/>
    <w:rsid w:val="009A782B"/>
    <w:rsid w:val="009A7DA1"/>
    <w:rsid w:val="009A7ED2"/>
    <w:rsid w:val="009B024A"/>
    <w:rsid w:val="009B075B"/>
    <w:rsid w:val="009B0AF0"/>
    <w:rsid w:val="009B13FD"/>
    <w:rsid w:val="009B1AE1"/>
    <w:rsid w:val="009B2AA2"/>
    <w:rsid w:val="009B30C7"/>
    <w:rsid w:val="009B31CB"/>
    <w:rsid w:val="009B3786"/>
    <w:rsid w:val="009B3934"/>
    <w:rsid w:val="009B3FAF"/>
    <w:rsid w:val="009B4046"/>
    <w:rsid w:val="009B42E1"/>
    <w:rsid w:val="009B4A38"/>
    <w:rsid w:val="009B50F7"/>
    <w:rsid w:val="009B6019"/>
    <w:rsid w:val="009B7766"/>
    <w:rsid w:val="009B7C7D"/>
    <w:rsid w:val="009C0249"/>
    <w:rsid w:val="009C0A4D"/>
    <w:rsid w:val="009C14C1"/>
    <w:rsid w:val="009C1BB6"/>
    <w:rsid w:val="009C1BC5"/>
    <w:rsid w:val="009C2948"/>
    <w:rsid w:val="009C2C74"/>
    <w:rsid w:val="009C31B2"/>
    <w:rsid w:val="009C3629"/>
    <w:rsid w:val="009C5746"/>
    <w:rsid w:val="009C677C"/>
    <w:rsid w:val="009D0D87"/>
    <w:rsid w:val="009D102B"/>
    <w:rsid w:val="009D148F"/>
    <w:rsid w:val="009D1B3D"/>
    <w:rsid w:val="009D211F"/>
    <w:rsid w:val="009D2D75"/>
    <w:rsid w:val="009D2FBF"/>
    <w:rsid w:val="009D30F2"/>
    <w:rsid w:val="009D312C"/>
    <w:rsid w:val="009D416B"/>
    <w:rsid w:val="009D542F"/>
    <w:rsid w:val="009D5520"/>
    <w:rsid w:val="009D56B5"/>
    <w:rsid w:val="009D6275"/>
    <w:rsid w:val="009D73B4"/>
    <w:rsid w:val="009D7A8E"/>
    <w:rsid w:val="009D7AB1"/>
    <w:rsid w:val="009D7C0D"/>
    <w:rsid w:val="009E131B"/>
    <w:rsid w:val="009E165D"/>
    <w:rsid w:val="009E1D64"/>
    <w:rsid w:val="009E1E6B"/>
    <w:rsid w:val="009E26AA"/>
    <w:rsid w:val="009E27FF"/>
    <w:rsid w:val="009E34A2"/>
    <w:rsid w:val="009E4675"/>
    <w:rsid w:val="009E5330"/>
    <w:rsid w:val="009E569D"/>
    <w:rsid w:val="009E5BA7"/>
    <w:rsid w:val="009E6109"/>
    <w:rsid w:val="009E6200"/>
    <w:rsid w:val="009E6381"/>
    <w:rsid w:val="009E6BD0"/>
    <w:rsid w:val="009E70B5"/>
    <w:rsid w:val="009E77F0"/>
    <w:rsid w:val="009E7CED"/>
    <w:rsid w:val="009E7F8E"/>
    <w:rsid w:val="009F084C"/>
    <w:rsid w:val="009F1241"/>
    <w:rsid w:val="009F1476"/>
    <w:rsid w:val="009F16E8"/>
    <w:rsid w:val="009F1731"/>
    <w:rsid w:val="009F1C4A"/>
    <w:rsid w:val="009F3B95"/>
    <w:rsid w:val="009F4403"/>
    <w:rsid w:val="009F4623"/>
    <w:rsid w:val="009F4B4B"/>
    <w:rsid w:val="009F4F6F"/>
    <w:rsid w:val="009F5348"/>
    <w:rsid w:val="009F57E9"/>
    <w:rsid w:val="009F5B9B"/>
    <w:rsid w:val="009F60B2"/>
    <w:rsid w:val="009F6241"/>
    <w:rsid w:val="009F6C37"/>
    <w:rsid w:val="009F6D0E"/>
    <w:rsid w:val="009F7C2C"/>
    <w:rsid w:val="009F7E87"/>
    <w:rsid w:val="00A00434"/>
    <w:rsid w:val="00A00F46"/>
    <w:rsid w:val="00A01363"/>
    <w:rsid w:val="00A015C9"/>
    <w:rsid w:val="00A01883"/>
    <w:rsid w:val="00A0194D"/>
    <w:rsid w:val="00A02963"/>
    <w:rsid w:val="00A03E78"/>
    <w:rsid w:val="00A04074"/>
    <w:rsid w:val="00A059EE"/>
    <w:rsid w:val="00A061F1"/>
    <w:rsid w:val="00A06A4E"/>
    <w:rsid w:val="00A06A73"/>
    <w:rsid w:val="00A076C6"/>
    <w:rsid w:val="00A07A26"/>
    <w:rsid w:val="00A10835"/>
    <w:rsid w:val="00A117F7"/>
    <w:rsid w:val="00A11850"/>
    <w:rsid w:val="00A118A7"/>
    <w:rsid w:val="00A11B47"/>
    <w:rsid w:val="00A11C86"/>
    <w:rsid w:val="00A11D51"/>
    <w:rsid w:val="00A12A3D"/>
    <w:rsid w:val="00A12FB6"/>
    <w:rsid w:val="00A13109"/>
    <w:rsid w:val="00A13E6B"/>
    <w:rsid w:val="00A14056"/>
    <w:rsid w:val="00A144CC"/>
    <w:rsid w:val="00A149AF"/>
    <w:rsid w:val="00A1511A"/>
    <w:rsid w:val="00A15289"/>
    <w:rsid w:val="00A15F78"/>
    <w:rsid w:val="00A1601B"/>
    <w:rsid w:val="00A16EB6"/>
    <w:rsid w:val="00A17678"/>
    <w:rsid w:val="00A17DD4"/>
    <w:rsid w:val="00A208A1"/>
    <w:rsid w:val="00A21378"/>
    <w:rsid w:val="00A21584"/>
    <w:rsid w:val="00A217F5"/>
    <w:rsid w:val="00A218E9"/>
    <w:rsid w:val="00A21AF7"/>
    <w:rsid w:val="00A21EBC"/>
    <w:rsid w:val="00A2252A"/>
    <w:rsid w:val="00A225F7"/>
    <w:rsid w:val="00A2264D"/>
    <w:rsid w:val="00A22659"/>
    <w:rsid w:val="00A23598"/>
    <w:rsid w:val="00A242AB"/>
    <w:rsid w:val="00A24A8C"/>
    <w:rsid w:val="00A24CC8"/>
    <w:rsid w:val="00A24F49"/>
    <w:rsid w:val="00A25760"/>
    <w:rsid w:val="00A25DC9"/>
    <w:rsid w:val="00A260D6"/>
    <w:rsid w:val="00A2687D"/>
    <w:rsid w:val="00A26BA5"/>
    <w:rsid w:val="00A27619"/>
    <w:rsid w:val="00A27847"/>
    <w:rsid w:val="00A2785C"/>
    <w:rsid w:val="00A27A7E"/>
    <w:rsid w:val="00A27BEF"/>
    <w:rsid w:val="00A27CC0"/>
    <w:rsid w:val="00A27F96"/>
    <w:rsid w:val="00A30211"/>
    <w:rsid w:val="00A30233"/>
    <w:rsid w:val="00A314EA"/>
    <w:rsid w:val="00A32850"/>
    <w:rsid w:val="00A32F38"/>
    <w:rsid w:val="00A330F4"/>
    <w:rsid w:val="00A349E4"/>
    <w:rsid w:val="00A34E45"/>
    <w:rsid w:val="00A35234"/>
    <w:rsid w:val="00A3535E"/>
    <w:rsid w:val="00A36D21"/>
    <w:rsid w:val="00A372B6"/>
    <w:rsid w:val="00A4022A"/>
    <w:rsid w:val="00A4122F"/>
    <w:rsid w:val="00A41AD2"/>
    <w:rsid w:val="00A4234F"/>
    <w:rsid w:val="00A4251E"/>
    <w:rsid w:val="00A430ED"/>
    <w:rsid w:val="00A432C3"/>
    <w:rsid w:val="00A43A08"/>
    <w:rsid w:val="00A43E0E"/>
    <w:rsid w:val="00A44BF1"/>
    <w:rsid w:val="00A44E53"/>
    <w:rsid w:val="00A44F78"/>
    <w:rsid w:val="00A451C7"/>
    <w:rsid w:val="00A45C89"/>
    <w:rsid w:val="00A45DC1"/>
    <w:rsid w:val="00A46196"/>
    <w:rsid w:val="00A46519"/>
    <w:rsid w:val="00A46666"/>
    <w:rsid w:val="00A46A00"/>
    <w:rsid w:val="00A47073"/>
    <w:rsid w:val="00A47967"/>
    <w:rsid w:val="00A5050C"/>
    <w:rsid w:val="00A5125F"/>
    <w:rsid w:val="00A51D02"/>
    <w:rsid w:val="00A51E44"/>
    <w:rsid w:val="00A51F53"/>
    <w:rsid w:val="00A521E7"/>
    <w:rsid w:val="00A525EE"/>
    <w:rsid w:val="00A52DA3"/>
    <w:rsid w:val="00A52FF9"/>
    <w:rsid w:val="00A53EEC"/>
    <w:rsid w:val="00A54A9F"/>
    <w:rsid w:val="00A54BA2"/>
    <w:rsid w:val="00A54F5B"/>
    <w:rsid w:val="00A551E0"/>
    <w:rsid w:val="00A554D0"/>
    <w:rsid w:val="00A55AC8"/>
    <w:rsid w:val="00A564B7"/>
    <w:rsid w:val="00A5732B"/>
    <w:rsid w:val="00A573A4"/>
    <w:rsid w:val="00A573B0"/>
    <w:rsid w:val="00A57D7B"/>
    <w:rsid w:val="00A60B40"/>
    <w:rsid w:val="00A618E9"/>
    <w:rsid w:val="00A61982"/>
    <w:rsid w:val="00A6247D"/>
    <w:rsid w:val="00A626FC"/>
    <w:rsid w:val="00A62863"/>
    <w:rsid w:val="00A65844"/>
    <w:rsid w:val="00A659E5"/>
    <w:rsid w:val="00A6613D"/>
    <w:rsid w:val="00A67788"/>
    <w:rsid w:val="00A70217"/>
    <w:rsid w:val="00A70506"/>
    <w:rsid w:val="00A70607"/>
    <w:rsid w:val="00A71046"/>
    <w:rsid w:val="00A71869"/>
    <w:rsid w:val="00A71AE3"/>
    <w:rsid w:val="00A71D30"/>
    <w:rsid w:val="00A71D62"/>
    <w:rsid w:val="00A723FC"/>
    <w:rsid w:val="00A72832"/>
    <w:rsid w:val="00A72EC4"/>
    <w:rsid w:val="00A73768"/>
    <w:rsid w:val="00A74C69"/>
    <w:rsid w:val="00A7596C"/>
    <w:rsid w:val="00A759AB"/>
    <w:rsid w:val="00A760E0"/>
    <w:rsid w:val="00A7680E"/>
    <w:rsid w:val="00A76B5E"/>
    <w:rsid w:val="00A76B60"/>
    <w:rsid w:val="00A76CF2"/>
    <w:rsid w:val="00A77007"/>
    <w:rsid w:val="00A77B72"/>
    <w:rsid w:val="00A77D96"/>
    <w:rsid w:val="00A806E0"/>
    <w:rsid w:val="00A8155F"/>
    <w:rsid w:val="00A81898"/>
    <w:rsid w:val="00A82F2B"/>
    <w:rsid w:val="00A837FA"/>
    <w:rsid w:val="00A83D55"/>
    <w:rsid w:val="00A84030"/>
    <w:rsid w:val="00A84236"/>
    <w:rsid w:val="00A84715"/>
    <w:rsid w:val="00A84AC5"/>
    <w:rsid w:val="00A84C06"/>
    <w:rsid w:val="00A84D61"/>
    <w:rsid w:val="00A84DBC"/>
    <w:rsid w:val="00A8703A"/>
    <w:rsid w:val="00A87679"/>
    <w:rsid w:val="00A87B5F"/>
    <w:rsid w:val="00A87E75"/>
    <w:rsid w:val="00A90285"/>
    <w:rsid w:val="00A905C6"/>
    <w:rsid w:val="00A905CE"/>
    <w:rsid w:val="00A9081D"/>
    <w:rsid w:val="00A90870"/>
    <w:rsid w:val="00A91646"/>
    <w:rsid w:val="00A92136"/>
    <w:rsid w:val="00A92DE1"/>
    <w:rsid w:val="00A939D2"/>
    <w:rsid w:val="00A93EC6"/>
    <w:rsid w:val="00A942EB"/>
    <w:rsid w:val="00A9467C"/>
    <w:rsid w:val="00A94765"/>
    <w:rsid w:val="00A94975"/>
    <w:rsid w:val="00A957AD"/>
    <w:rsid w:val="00A95A5B"/>
    <w:rsid w:val="00A976B1"/>
    <w:rsid w:val="00AA0124"/>
    <w:rsid w:val="00AA0549"/>
    <w:rsid w:val="00AA0C4E"/>
    <w:rsid w:val="00AA1128"/>
    <w:rsid w:val="00AA1283"/>
    <w:rsid w:val="00AA14EE"/>
    <w:rsid w:val="00AA1A6F"/>
    <w:rsid w:val="00AA1FD4"/>
    <w:rsid w:val="00AA219B"/>
    <w:rsid w:val="00AA2536"/>
    <w:rsid w:val="00AA2D1C"/>
    <w:rsid w:val="00AA3345"/>
    <w:rsid w:val="00AA33A6"/>
    <w:rsid w:val="00AA4282"/>
    <w:rsid w:val="00AA47FD"/>
    <w:rsid w:val="00AA58A0"/>
    <w:rsid w:val="00AA599F"/>
    <w:rsid w:val="00AA5BB8"/>
    <w:rsid w:val="00AA6671"/>
    <w:rsid w:val="00AA6A6D"/>
    <w:rsid w:val="00AA7012"/>
    <w:rsid w:val="00AA7016"/>
    <w:rsid w:val="00AA7392"/>
    <w:rsid w:val="00AA7555"/>
    <w:rsid w:val="00AA763B"/>
    <w:rsid w:val="00AA7A0C"/>
    <w:rsid w:val="00AA7F6E"/>
    <w:rsid w:val="00AB02EE"/>
    <w:rsid w:val="00AB1428"/>
    <w:rsid w:val="00AB16C0"/>
    <w:rsid w:val="00AB1874"/>
    <w:rsid w:val="00AB1D89"/>
    <w:rsid w:val="00AB1F90"/>
    <w:rsid w:val="00AB20E2"/>
    <w:rsid w:val="00AB41C2"/>
    <w:rsid w:val="00AB485E"/>
    <w:rsid w:val="00AB4B4B"/>
    <w:rsid w:val="00AB5DCA"/>
    <w:rsid w:val="00AB64D9"/>
    <w:rsid w:val="00AB7331"/>
    <w:rsid w:val="00AB78CB"/>
    <w:rsid w:val="00AB7B26"/>
    <w:rsid w:val="00AB7BC6"/>
    <w:rsid w:val="00AC0AA5"/>
    <w:rsid w:val="00AC0C9E"/>
    <w:rsid w:val="00AC0D95"/>
    <w:rsid w:val="00AC1056"/>
    <w:rsid w:val="00AC1678"/>
    <w:rsid w:val="00AC18FE"/>
    <w:rsid w:val="00AC25E0"/>
    <w:rsid w:val="00AC27C7"/>
    <w:rsid w:val="00AC3264"/>
    <w:rsid w:val="00AC35BC"/>
    <w:rsid w:val="00AC3DD5"/>
    <w:rsid w:val="00AC4EA5"/>
    <w:rsid w:val="00AC5192"/>
    <w:rsid w:val="00AC54C7"/>
    <w:rsid w:val="00AC6D56"/>
    <w:rsid w:val="00AC76A1"/>
    <w:rsid w:val="00AC7A2E"/>
    <w:rsid w:val="00AC7B24"/>
    <w:rsid w:val="00AC7F02"/>
    <w:rsid w:val="00AD0077"/>
    <w:rsid w:val="00AD0CAB"/>
    <w:rsid w:val="00AD0E01"/>
    <w:rsid w:val="00AD170A"/>
    <w:rsid w:val="00AD1F2F"/>
    <w:rsid w:val="00AD1F89"/>
    <w:rsid w:val="00AD27A2"/>
    <w:rsid w:val="00AD3334"/>
    <w:rsid w:val="00AD447E"/>
    <w:rsid w:val="00AD474E"/>
    <w:rsid w:val="00AD47C9"/>
    <w:rsid w:val="00AD4AC5"/>
    <w:rsid w:val="00AD50FD"/>
    <w:rsid w:val="00AD5C36"/>
    <w:rsid w:val="00AD624B"/>
    <w:rsid w:val="00AD6516"/>
    <w:rsid w:val="00AD6758"/>
    <w:rsid w:val="00AD68D9"/>
    <w:rsid w:val="00AD6C51"/>
    <w:rsid w:val="00AD712C"/>
    <w:rsid w:val="00AD71CD"/>
    <w:rsid w:val="00AD7578"/>
    <w:rsid w:val="00AE0C15"/>
    <w:rsid w:val="00AE1F52"/>
    <w:rsid w:val="00AE2B85"/>
    <w:rsid w:val="00AE2C2E"/>
    <w:rsid w:val="00AE3D6D"/>
    <w:rsid w:val="00AE3D9B"/>
    <w:rsid w:val="00AE427C"/>
    <w:rsid w:val="00AE468B"/>
    <w:rsid w:val="00AE4742"/>
    <w:rsid w:val="00AE4DB3"/>
    <w:rsid w:val="00AE5471"/>
    <w:rsid w:val="00AE5481"/>
    <w:rsid w:val="00AE5714"/>
    <w:rsid w:val="00AE61EC"/>
    <w:rsid w:val="00AE664D"/>
    <w:rsid w:val="00AE75AF"/>
    <w:rsid w:val="00AE779E"/>
    <w:rsid w:val="00AF00D8"/>
    <w:rsid w:val="00AF00F3"/>
    <w:rsid w:val="00AF0F43"/>
    <w:rsid w:val="00AF13F5"/>
    <w:rsid w:val="00AF2651"/>
    <w:rsid w:val="00AF282D"/>
    <w:rsid w:val="00AF2F08"/>
    <w:rsid w:val="00AF34A4"/>
    <w:rsid w:val="00AF3A13"/>
    <w:rsid w:val="00AF3F27"/>
    <w:rsid w:val="00AF45FE"/>
    <w:rsid w:val="00AF5264"/>
    <w:rsid w:val="00AF5830"/>
    <w:rsid w:val="00AF6837"/>
    <w:rsid w:val="00AF6C85"/>
    <w:rsid w:val="00AF6DFB"/>
    <w:rsid w:val="00AF7E54"/>
    <w:rsid w:val="00B009A7"/>
    <w:rsid w:val="00B00C82"/>
    <w:rsid w:val="00B01502"/>
    <w:rsid w:val="00B01C45"/>
    <w:rsid w:val="00B01D42"/>
    <w:rsid w:val="00B01F17"/>
    <w:rsid w:val="00B0214F"/>
    <w:rsid w:val="00B02213"/>
    <w:rsid w:val="00B022B0"/>
    <w:rsid w:val="00B0275F"/>
    <w:rsid w:val="00B027EF"/>
    <w:rsid w:val="00B027F6"/>
    <w:rsid w:val="00B02BE9"/>
    <w:rsid w:val="00B03989"/>
    <w:rsid w:val="00B040F7"/>
    <w:rsid w:val="00B042B8"/>
    <w:rsid w:val="00B04B4D"/>
    <w:rsid w:val="00B0597F"/>
    <w:rsid w:val="00B05C71"/>
    <w:rsid w:val="00B067FE"/>
    <w:rsid w:val="00B0777A"/>
    <w:rsid w:val="00B103DB"/>
    <w:rsid w:val="00B10695"/>
    <w:rsid w:val="00B11999"/>
    <w:rsid w:val="00B11C13"/>
    <w:rsid w:val="00B1226C"/>
    <w:rsid w:val="00B127B7"/>
    <w:rsid w:val="00B12B46"/>
    <w:rsid w:val="00B1333D"/>
    <w:rsid w:val="00B13450"/>
    <w:rsid w:val="00B14192"/>
    <w:rsid w:val="00B14698"/>
    <w:rsid w:val="00B1497C"/>
    <w:rsid w:val="00B14F20"/>
    <w:rsid w:val="00B170BA"/>
    <w:rsid w:val="00B17F13"/>
    <w:rsid w:val="00B2153C"/>
    <w:rsid w:val="00B219D3"/>
    <w:rsid w:val="00B21BF6"/>
    <w:rsid w:val="00B21D47"/>
    <w:rsid w:val="00B21E54"/>
    <w:rsid w:val="00B22648"/>
    <w:rsid w:val="00B22763"/>
    <w:rsid w:val="00B23A47"/>
    <w:rsid w:val="00B24327"/>
    <w:rsid w:val="00B24364"/>
    <w:rsid w:val="00B24481"/>
    <w:rsid w:val="00B24AAF"/>
    <w:rsid w:val="00B24BC1"/>
    <w:rsid w:val="00B24E43"/>
    <w:rsid w:val="00B24F74"/>
    <w:rsid w:val="00B2535E"/>
    <w:rsid w:val="00B25E92"/>
    <w:rsid w:val="00B260C9"/>
    <w:rsid w:val="00B260E6"/>
    <w:rsid w:val="00B26513"/>
    <w:rsid w:val="00B26623"/>
    <w:rsid w:val="00B272BA"/>
    <w:rsid w:val="00B27766"/>
    <w:rsid w:val="00B2782E"/>
    <w:rsid w:val="00B27895"/>
    <w:rsid w:val="00B27D95"/>
    <w:rsid w:val="00B306F6"/>
    <w:rsid w:val="00B312C4"/>
    <w:rsid w:val="00B3147F"/>
    <w:rsid w:val="00B31A16"/>
    <w:rsid w:val="00B32664"/>
    <w:rsid w:val="00B330B3"/>
    <w:rsid w:val="00B33264"/>
    <w:rsid w:val="00B33A8D"/>
    <w:rsid w:val="00B34050"/>
    <w:rsid w:val="00B349A4"/>
    <w:rsid w:val="00B35346"/>
    <w:rsid w:val="00B356BC"/>
    <w:rsid w:val="00B363FB"/>
    <w:rsid w:val="00B3688D"/>
    <w:rsid w:val="00B3788E"/>
    <w:rsid w:val="00B403E7"/>
    <w:rsid w:val="00B4098B"/>
    <w:rsid w:val="00B4163D"/>
    <w:rsid w:val="00B41F38"/>
    <w:rsid w:val="00B42083"/>
    <w:rsid w:val="00B42A99"/>
    <w:rsid w:val="00B42E25"/>
    <w:rsid w:val="00B42F3D"/>
    <w:rsid w:val="00B434B5"/>
    <w:rsid w:val="00B43515"/>
    <w:rsid w:val="00B43664"/>
    <w:rsid w:val="00B438C1"/>
    <w:rsid w:val="00B439DB"/>
    <w:rsid w:val="00B4450A"/>
    <w:rsid w:val="00B44715"/>
    <w:rsid w:val="00B448BE"/>
    <w:rsid w:val="00B44960"/>
    <w:rsid w:val="00B44E45"/>
    <w:rsid w:val="00B45084"/>
    <w:rsid w:val="00B45779"/>
    <w:rsid w:val="00B4587C"/>
    <w:rsid w:val="00B46005"/>
    <w:rsid w:val="00B4613B"/>
    <w:rsid w:val="00B46B62"/>
    <w:rsid w:val="00B46BCA"/>
    <w:rsid w:val="00B47960"/>
    <w:rsid w:val="00B47B6C"/>
    <w:rsid w:val="00B47EF8"/>
    <w:rsid w:val="00B5092D"/>
    <w:rsid w:val="00B50E73"/>
    <w:rsid w:val="00B5161E"/>
    <w:rsid w:val="00B5192A"/>
    <w:rsid w:val="00B5357F"/>
    <w:rsid w:val="00B53D4A"/>
    <w:rsid w:val="00B53FD4"/>
    <w:rsid w:val="00B54573"/>
    <w:rsid w:val="00B5478D"/>
    <w:rsid w:val="00B54BE8"/>
    <w:rsid w:val="00B55912"/>
    <w:rsid w:val="00B55AD9"/>
    <w:rsid w:val="00B55BAE"/>
    <w:rsid w:val="00B561B9"/>
    <w:rsid w:val="00B56474"/>
    <w:rsid w:val="00B56DF0"/>
    <w:rsid w:val="00B57169"/>
    <w:rsid w:val="00B5793D"/>
    <w:rsid w:val="00B601C8"/>
    <w:rsid w:val="00B6113D"/>
    <w:rsid w:val="00B6190F"/>
    <w:rsid w:val="00B61B18"/>
    <w:rsid w:val="00B61FA6"/>
    <w:rsid w:val="00B621FE"/>
    <w:rsid w:val="00B625CE"/>
    <w:rsid w:val="00B62C83"/>
    <w:rsid w:val="00B639A7"/>
    <w:rsid w:val="00B63C66"/>
    <w:rsid w:val="00B63F95"/>
    <w:rsid w:val="00B63F97"/>
    <w:rsid w:val="00B647C3"/>
    <w:rsid w:val="00B64C0F"/>
    <w:rsid w:val="00B650D3"/>
    <w:rsid w:val="00B651D5"/>
    <w:rsid w:val="00B65672"/>
    <w:rsid w:val="00B65686"/>
    <w:rsid w:val="00B658E0"/>
    <w:rsid w:val="00B65CCD"/>
    <w:rsid w:val="00B65CF4"/>
    <w:rsid w:val="00B65FFF"/>
    <w:rsid w:val="00B6657B"/>
    <w:rsid w:val="00B666D9"/>
    <w:rsid w:val="00B66806"/>
    <w:rsid w:val="00B66880"/>
    <w:rsid w:val="00B66BC5"/>
    <w:rsid w:val="00B66BE8"/>
    <w:rsid w:val="00B67052"/>
    <w:rsid w:val="00B72545"/>
    <w:rsid w:val="00B72554"/>
    <w:rsid w:val="00B72CF2"/>
    <w:rsid w:val="00B73061"/>
    <w:rsid w:val="00B735F7"/>
    <w:rsid w:val="00B73975"/>
    <w:rsid w:val="00B73AD1"/>
    <w:rsid w:val="00B73D40"/>
    <w:rsid w:val="00B740D4"/>
    <w:rsid w:val="00B74C13"/>
    <w:rsid w:val="00B750A9"/>
    <w:rsid w:val="00B75453"/>
    <w:rsid w:val="00B756E6"/>
    <w:rsid w:val="00B75873"/>
    <w:rsid w:val="00B75BBB"/>
    <w:rsid w:val="00B764CD"/>
    <w:rsid w:val="00B76902"/>
    <w:rsid w:val="00B76AD7"/>
    <w:rsid w:val="00B76D04"/>
    <w:rsid w:val="00B76FAC"/>
    <w:rsid w:val="00B776F6"/>
    <w:rsid w:val="00B77849"/>
    <w:rsid w:val="00B80066"/>
    <w:rsid w:val="00B804EB"/>
    <w:rsid w:val="00B80AA4"/>
    <w:rsid w:val="00B817C5"/>
    <w:rsid w:val="00B81F4F"/>
    <w:rsid w:val="00B824CA"/>
    <w:rsid w:val="00B83BAE"/>
    <w:rsid w:val="00B842D9"/>
    <w:rsid w:val="00B85AD4"/>
    <w:rsid w:val="00B85AF2"/>
    <w:rsid w:val="00B860AE"/>
    <w:rsid w:val="00B86A10"/>
    <w:rsid w:val="00B86C65"/>
    <w:rsid w:val="00B86D10"/>
    <w:rsid w:val="00B873EA"/>
    <w:rsid w:val="00B900A5"/>
    <w:rsid w:val="00B90266"/>
    <w:rsid w:val="00B910E6"/>
    <w:rsid w:val="00B912CD"/>
    <w:rsid w:val="00B92055"/>
    <w:rsid w:val="00B924B1"/>
    <w:rsid w:val="00B94A37"/>
    <w:rsid w:val="00B953BC"/>
    <w:rsid w:val="00B95F7D"/>
    <w:rsid w:val="00B964BD"/>
    <w:rsid w:val="00B96BC6"/>
    <w:rsid w:val="00B97006"/>
    <w:rsid w:val="00B97270"/>
    <w:rsid w:val="00B97A81"/>
    <w:rsid w:val="00BA00C7"/>
    <w:rsid w:val="00BA023E"/>
    <w:rsid w:val="00BA0454"/>
    <w:rsid w:val="00BA0D26"/>
    <w:rsid w:val="00BA0FAD"/>
    <w:rsid w:val="00BA116B"/>
    <w:rsid w:val="00BA1181"/>
    <w:rsid w:val="00BA2217"/>
    <w:rsid w:val="00BA3939"/>
    <w:rsid w:val="00BA3AB5"/>
    <w:rsid w:val="00BA42FD"/>
    <w:rsid w:val="00BA4320"/>
    <w:rsid w:val="00BA4A1D"/>
    <w:rsid w:val="00BA4B7E"/>
    <w:rsid w:val="00BA5231"/>
    <w:rsid w:val="00BA55CF"/>
    <w:rsid w:val="00BA58C3"/>
    <w:rsid w:val="00BA5904"/>
    <w:rsid w:val="00BA5C2D"/>
    <w:rsid w:val="00BA6D42"/>
    <w:rsid w:val="00BA7342"/>
    <w:rsid w:val="00BA745C"/>
    <w:rsid w:val="00BA758F"/>
    <w:rsid w:val="00BA79C5"/>
    <w:rsid w:val="00BA7E69"/>
    <w:rsid w:val="00BB042A"/>
    <w:rsid w:val="00BB044D"/>
    <w:rsid w:val="00BB095E"/>
    <w:rsid w:val="00BB106C"/>
    <w:rsid w:val="00BB3661"/>
    <w:rsid w:val="00BB386E"/>
    <w:rsid w:val="00BB3DC1"/>
    <w:rsid w:val="00BB3DE9"/>
    <w:rsid w:val="00BB40C0"/>
    <w:rsid w:val="00BB42FC"/>
    <w:rsid w:val="00BB54ED"/>
    <w:rsid w:val="00BB5FC2"/>
    <w:rsid w:val="00BB6324"/>
    <w:rsid w:val="00BB6D8D"/>
    <w:rsid w:val="00BB723E"/>
    <w:rsid w:val="00BB7399"/>
    <w:rsid w:val="00BB7F2A"/>
    <w:rsid w:val="00BC0CDA"/>
    <w:rsid w:val="00BC0CF1"/>
    <w:rsid w:val="00BC0D64"/>
    <w:rsid w:val="00BC1416"/>
    <w:rsid w:val="00BC1616"/>
    <w:rsid w:val="00BC1783"/>
    <w:rsid w:val="00BC1CEA"/>
    <w:rsid w:val="00BC23F9"/>
    <w:rsid w:val="00BC2985"/>
    <w:rsid w:val="00BC2C5D"/>
    <w:rsid w:val="00BC30DD"/>
    <w:rsid w:val="00BC42F2"/>
    <w:rsid w:val="00BC4BF7"/>
    <w:rsid w:val="00BC4F0C"/>
    <w:rsid w:val="00BC5830"/>
    <w:rsid w:val="00BC60A4"/>
    <w:rsid w:val="00BC64BE"/>
    <w:rsid w:val="00BC6D4A"/>
    <w:rsid w:val="00BC6D9B"/>
    <w:rsid w:val="00BC6EA1"/>
    <w:rsid w:val="00BC78B3"/>
    <w:rsid w:val="00BC7F65"/>
    <w:rsid w:val="00BD00A6"/>
    <w:rsid w:val="00BD0219"/>
    <w:rsid w:val="00BD0384"/>
    <w:rsid w:val="00BD039D"/>
    <w:rsid w:val="00BD0CA4"/>
    <w:rsid w:val="00BD0F94"/>
    <w:rsid w:val="00BD1EC7"/>
    <w:rsid w:val="00BD1F13"/>
    <w:rsid w:val="00BD21C0"/>
    <w:rsid w:val="00BD2389"/>
    <w:rsid w:val="00BD2873"/>
    <w:rsid w:val="00BD2A14"/>
    <w:rsid w:val="00BD3D36"/>
    <w:rsid w:val="00BD3E5E"/>
    <w:rsid w:val="00BD4016"/>
    <w:rsid w:val="00BD4225"/>
    <w:rsid w:val="00BD439E"/>
    <w:rsid w:val="00BD45C7"/>
    <w:rsid w:val="00BD4967"/>
    <w:rsid w:val="00BD5A17"/>
    <w:rsid w:val="00BD5EA2"/>
    <w:rsid w:val="00BD62B0"/>
    <w:rsid w:val="00BD63D4"/>
    <w:rsid w:val="00BD693B"/>
    <w:rsid w:val="00BD6A68"/>
    <w:rsid w:val="00BD6B78"/>
    <w:rsid w:val="00BD6FD7"/>
    <w:rsid w:val="00BD70AE"/>
    <w:rsid w:val="00BD7476"/>
    <w:rsid w:val="00BD7DC1"/>
    <w:rsid w:val="00BE00CB"/>
    <w:rsid w:val="00BE09FE"/>
    <w:rsid w:val="00BE140E"/>
    <w:rsid w:val="00BE1B52"/>
    <w:rsid w:val="00BE2297"/>
    <w:rsid w:val="00BE2E3E"/>
    <w:rsid w:val="00BE2FC8"/>
    <w:rsid w:val="00BE30E9"/>
    <w:rsid w:val="00BE43D1"/>
    <w:rsid w:val="00BE4888"/>
    <w:rsid w:val="00BE4E6B"/>
    <w:rsid w:val="00BE5140"/>
    <w:rsid w:val="00BE55A4"/>
    <w:rsid w:val="00BE55D4"/>
    <w:rsid w:val="00BE5A04"/>
    <w:rsid w:val="00BE5ECF"/>
    <w:rsid w:val="00BE5FF2"/>
    <w:rsid w:val="00BE6963"/>
    <w:rsid w:val="00BE6CCE"/>
    <w:rsid w:val="00BE7392"/>
    <w:rsid w:val="00BE753A"/>
    <w:rsid w:val="00BE7802"/>
    <w:rsid w:val="00BE79C1"/>
    <w:rsid w:val="00BF0657"/>
    <w:rsid w:val="00BF0E44"/>
    <w:rsid w:val="00BF12B1"/>
    <w:rsid w:val="00BF172B"/>
    <w:rsid w:val="00BF2089"/>
    <w:rsid w:val="00BF20F1"/>
    <w:rsid w:val="00BF2718"/>
    <w:rsid w:val="00BF2749"/>
    <w:rsid w:val="00BF291E"/>
    <w:rsid w:val="00BF2FB0"/>
    <w:rsid w:val="00BF3255"/>
    <w:rsid w:val="00BF364D"/>
    <w:rsid w:val="00BF3FF7"/>
    <w:rsid w:val="00BF48AA"/>
    <w:rsid w:val="00BF4983"/>
    <w:rsid w:val="00BF4E50"/>
    <w:rsid w:val="00BF4FF3"/>
    <w:rsid w:val="00BF5908"/>
    <w:rsid w:val="00BF59D3"/>
    <w:rsid w:val="00BF5AF8"/>
    <w:rsid w:val="00BF6910"/>
    <w:rsid w:val="00BF6A48"/>
    <w:rsid w:val="00BF6C2D"/>
    <w:rsid w:val="00BF70FA"/>
    <w:rsid w:val="00BF7AAF"/>
    <w:rsid w:val="00C003D1"/>
    <w:rsid w:val="00C007C6"/>
    <w:rsid w:val="00C007DD"/>
    <w:rsid w:val="00C01890"/>
    <w:rsid w:val="00C022C9"/>
    <w:rsid w:val="00C024E0"/>
    <w:rsid w:val="00C02C9E"/>
    <w:rsid w:val="00C033EA"/>
    <w:rsid w:val="00C03439"/>
    <w:rsid w:val="00C03810"/>
    <w:rsid w:val="00C03BCD"/>
    <w:rsid w:val="00C03F7D"/>
    <w:rsid w:val="00C046A9"/>
    <w:rsid w:val="00C04A8F"/>
    <w:rsid w:val="00C04AD3"/>
    <w:rsid w:val="00C04B88"/>
    <w:rsid w:val="00C051DD"/>
    <w:rsid w:val="00C053F0"/>
    <w:rsid w:val="00C056E2"/>
    <w:rsid w:val="00C05A0F"/>
    <w:rsid w:val="00C05B7A"/>
    <w:rsid w:val="00C05C0E"/>
    <w:rsid w:val="00C05D3C"/>
    <w:rsid w:val="00C05E61"/>
    <w:rsid w:val="00C05FB6"/>
    <w:rsid w:val="00C060CF"/>
    <w:rsid w:val="00C064C1"/>
    <w:rsid w:val="00C06869"/>
    <w:rsid w:val="00C069F7"/>
    <w:rsid w:val="00C06A46"/>
    <w:rsid w:val="00C070AA"/>
    <w:rsid w:val="00C07608"/>
    <w:rsid w:val="00C0782B"/>
    <w:rsid w:val="00C10063"/>
    <w:rsid w:val="00C103BA"/>
    <w:rsid w:val="00C107A7"/>
    <w:rsid w:val="00C11A03"/>
    <w:rsid w:val="00C11FB6"/>
    <w:rsid w:val="00C12232"/>
    <w:rsid w:val="00C129AC"/>
    <w:rsid w:val="00C13702"/>
    <w:rsid w:val="00C1370B"/>
    <w:rsid w:val="00C14A2A"/>
    <w:rsid w:val="00C14A73"/>
    <w:rsid w:val="00C1558C"/>
    <w:rsid w:val="00C15650"/>
    <w:rsid w:val="00C164E6"/>
    <w:rsid w:val="00C16E11"/>
    <w:rsid w:val="00C204D4"/>
    <w:rsid w:val="00C20883"/>
    <w:rsid w:val="00C20A0B"/>
    <w:rsid w:val="00C221F1"/>
    <w:rsid w:val="00C2223F"/>
    <w:rsid w:val="00C22B86"/>
    <w:rsid w:val="00C237D7"/>
    <w:rsid w:val="00C23A4D"/>
    <w:rsid w:val="00C2411D"/>
    <w:rsid w:val="00C244AD"/>
    <w:rsid w:val="00C25052"/>
    <w:rsid w:val="00C250AB"/>
    <w:rsid w:val="00C258F8"/>
    <w:rsid w:val="00C25A09"/>
    <w:rsid w:val="00C30407"/>
    <w:rsid w:val="00C307D7"/>
    <w:rsid w:val="00C30D0A"/>
    <w:rsid w:val="00C30D5F"/>
    <w:rsid w:val="00C31509"/>
    <w:rsid w:val="00C31F9B"/>
    <w:rsid w:val="00C326FF"/>
    <w:rsid w:val="00C33482"/>
    <w:rsid w:val="00C337C1"/>
    <w:rsid w:val="00C337E6"/>
    <w:rsid w:val="00C34872"/>
    <w:rsid w:val="00C3539D"/>
    <w:rsid w:val="00C3583E"/>
    <w:rsid w:val="00C35D30"/>
    <w:rsid w:val="00C36042"/>
    <w:rsid w:val="00C36539"/>
    <w:rsid w:val="00C36912"/>
    <w:rsid w:val="00C36D73"/>
    <w:rsid w:val="00C37396"/>
    <w:rsid w:val="00C37715"/>
    <w:rsid w:val="00C37AA0"/>
    <w:rsid w:val="00C42909"/>
    <w:rsid w:val="00C433F8"/>
    <w:rsid w:val="00C43792"/>
    <w:rsid w:val="00C43798"/>
    <w:rsid w:val="00C43E3C"/>
    <w:rsid w:val="00C43FC2"/>
    <w:rsid w:val="00C442EF"/>
    <w:rsid w:val="00C44730"/>
    <w:rsid w:val="00C44EBB"/>
    <w:rsid w:val="00C44EF5"/>
    <w:rsid w:val="00C45EA9"/>
    <w:rsid w:val="00C45FA1"/>
    <w:rsid w:val="00C467EC"/>
    <w:rsid w:val="00C474F1"/>
    <w:rsid w:val="00C50BFB"/>
    <w:rsid w:val="00C51467"/>
    <w:rsid w:val="00C5179B"/>
    <w:rsid w:val="00C518F3"/>
    <w:rsid w:val="00C51DE4"/>
    <w:rsid w:val="00C53CEB"/>
    <w:rsid w:val="00C54572"/>
    <w:rsid w:val="00C545CA"/>
    <w:rsid w:val="00C5518C"/>
    <w:rsid w:val="00C5556C"/>
    <w:rsid w:val="00C5566B"/>
    <w:rsid w:val="00C5673E"/>
    <w:rsid w:val="00C56B9D"/>
    <w:rsid w:val="00C56F6A"/>
    <w:rsid w:val="00C5745C"/>
    <w:rsid w:val="00C57B77"/>
    <w:rsid w:val="00C57D07"/>
    <w:rsid w:val="00C6020B"/>
    <w:rsid w:val="00C602C8"/>
    <w:rsid w:val="00C60F4B"/>
    <w:rsid w:val="00C617D7"/>
    <w:rsid w:val="00C61E22"/>
    <w:rsid w:val="00C620DB"/>
    <w:rsid w:val="00C62423"/>
    <w:rsid w:val="00C6344D"/>
    <w:rsid w:val="00C640DE"/>
    <w:rsid w:val="00C64A67"/>
    <w:rsid w:val="00C64E7D"/>
    <w:rsid w:val="00C65433"/>
    <w:rsid w:val="00C65BA7"/>
    <w:rsid w:val="00C66181"/>
    <w:rsid w:val="00C6676E"/>
    <w:rsid w:val="00C66B4C"/>
    <w:rsid w:val="00C66CFC"/>
    <w:rsid w:val="00C66E1A"/>
    <w:rsid w:val="00C66EC3"/>
    <w:rsid w:val="00C670D9"/>
    <w:rsid w:val="00C674A6"/>
    <w:rsid w:val="00C679A0"/>
    <w:rsid w:val="00C67BBC"/>
    <w:rsid w:val="00C67D4D"/>
    <w:rsid w:val="00C703F5"/>
    <w:rsid w:val="00C7051E"/>
    <w:rsid w:val="00C70676"/>
    <w:rsid w:val="00C706BC"/>
    <w:rsid w:val="00C7071A"/>
    <w:rsid w:val="00C7141A"/>
    <w:rsid w:val="00C728AE"/>
    <w:rsid w:val="00C73228"/>
    <w:rsid w:val="00C7329D"/>
    <w:rsid w:val="00C73987"/>
    <w:rsid w:val="00C73B67"/>
    <w:rsid w:val="00C73BEF"/>
    <w:rsid w:val="00C73F40"/>
    <w:rsid w:val="00C74287"/>
    <w:rsid w:val="00C74627"/>
    <w:rsid w:val="00C74B65"/>
    <w:rsid w:val="00C75172"/>
    <w:rsid w:val="00C75203"/>
    <w:rsid w:val="00C7527E"/>
    <w:rsid w:val="00C7531F"/>
    <w:rsid w:val="00C75405"/>
    <w:rsid w:val="00C754F2"/>
    <w:rsid w:val="00C757AE"/>
    <w:rsid w:val="00C75A6F"/>
    <w:rsid w:val="00C75E9D"/>
    <w:rsid w:val="00C75EB4"/>
    <w:rsid w:val="00C75F2A"/>
    <w:rsid w:val="00C762B1"/>
    <w:rsid w:val="00C7740B"/>
    <w:rsid w:val="00C77756"/>
    <w:rsid w:val="00C8047E"/>
    <w:rsid w:val="00C8050D"/>
    <w:rsid w:val="00C807E5"/>
    <w:rsid w:val="00C80A21"/>
    <w:rsid w:val="00C80B4F"/>
    <w:rsid w:val="00C80CD9"/>
    <w:rsid w:val="00C80D4F"/>
    <w:rsid w:val="00C813EB"/>
    <w:rsid w:val="00C8146E"/>
    <w:rsid w:val="00C8154F"/>
    <w:rsid w:val="00C819A7"/>
    <w:rsid w:val="00C81F2C"/>
    <w:rsid w:val="00C82B25"/>
    <w:rsid w:val="00C82DDE"/>
    <w:rsid w:val="00C8304A"/>
    <w:rsid w:val="00C83537"/>
    <w:rsid w:val="00C84242"/>
    <w:rsid w:val="00C846DD"/>
    <w:rsid w:val="00C85A17"/>
    <w:rsid w:val="00C86A2D"/>
    <w:rsid w:val="00C86C8C"/>
    <w:rsid w:val="00C86EE7"/>
    <w:rsid w:val="00C87653"/>
    <w:rsid w:val="00C87E2A"/>
    <w:rsid w:val="00C90186"/>
    <w:rsid w:val="00C903A6"/>
    <w:rsid w:val="00C90788"/>
    <w:rsid w:val="00C91365"/>
    <w:rsid w:val="00C916EE"/>
    <w:rsid w:val="00C91842"/>
    <w:rsid w:val="00C92774"/>
    <w:rsid w:val="00C929F8"/>
    <w:rsid w:val="00C92BD5"/>
    <w:rsid w:val="00C93198"/>
    <w:rsid w:val="00C935A4"/>
    <w:rsid w:val="00C93FC9"/>
    <w:rsid w:val="00C94378"/>
    <w:rsid w:val="00C95B1A"/>
    <w:rsid w:val="00C96220"/>
    <w:rsid w:val="00C9625A"/>
    <w:rsid w:val="00C96368"/>
    <w:rsid w:val="00C96738"/>
    <w:rsid w:val="00CA0E12"/>
    <w:rsid w:val="00CA1738"/>
    <w:rsid w:val="00CA27E9"/>
    <w:rsid w:val="00CA3BFE"/>
    <w:rsid w:val="00CA3F89"/>
    <w:rsid w:val="00CA4356"/>
    <w:rsid w:val="00CA4AAF"/>
    <w:rsid w:val="00CA5299"/>
    <w:rsid w:val="00CA5691"/>
    <w:rsid w:val="00CA579D"/>
    <w:rsid w:val="00CA5DA5"/>
    <w:rsid w:val="00CA66E4"/>
    <w:rsid w:val="00CA6C6B"/>
    <w:rsid w:val="00CA706B"/>
    <w:rsid w:val="00CB0274"/>
    <w:rsid w:val="00CB0397"/>
    <w:rsid w:val="00CB07AD"/>
    <w:rsid w:val="00CB086F"/>
    <w:rsid w:val="00CB0A44"/>
    <w:rsid w:val="00CB0C25"/>
    <w:rsid w:val="00CB0DB7"/>
    <w:rsid w:val="00CB18E8"/>
    <w:rsid w:val="00CB1B58"/>
    <w:rsid w:val="00CB27B1"/>
    <w:rsid w:val="00CB315A"/>
    <w:rsid w:val="00CB5459"/>
    <w:rsid w:val="00CB5D2F"/>
    <w:rsid w:val="00CB69C7"/>
    <w:rsid w:val="00CB6D4F"/>
    <w:rsid w:val="00CB727C"/>
    <w:rsid w:val="00CB7C53"/>
    <w:rsid w:val="00CB7C92"/>
    <w:rsid w:val="00CC031E"/>
    <w:rsid w:val="00CC083F"/>
    <w:rsid w:val="00CC0CEE"/>
    <w:rsid w:val="00CC154A"/>
    <w:rsid w:val="00CC1A47"/>
    <w:rsid w:val="00CC1C91"/>
    <w:rsid w:val="00CC2DE0"/>
    <w:rsid w:val="00CC45E7"/>
    <w:rsid w:val="00CC4898"/>
    <w:rsid w:val="00CC4E9E"/>
    <w:rsid w:val="00CC4FA0"/>
    <w:rsid w:val="00CC595A"/>
    <w:rsid w:val="00CC5A53"/>
    <w:rsid w:val="00CC5B59"/>
    <w:rsid w:val="00CC6E01"/>
    <w:rsid w:val="00CC6EFC"/>
    <w:rsid w:val="00CC78AE"/>
    <w:rsid w:val="00CC7A34"/>
    <w:rsid w:val="00CD01CB"/>
    <w:rsid w:val="00CD01EB"/>
    <w:rsid w:val="00CD0238"/>
    <w:rsid w:val="00CD023A"/>
    <w:rsid w:val="00CD0EE8"/>
    <w:rsid w:val="00CD12BA"/>
    <w:rsid w:val="00CD166D"/>
    <w:rsid w:val="00CD2063"/>
    <w:rsid w:val="00CD291E"/>
    <w:rsid w:val="00CD2995"/>
    <w:rsid w:val="00CD2DE9"/>
    <w:rsid w:val="00CD323E"/>
    <w:rsid w:val="00CD3830"/>
    <w:rsid w:val="00CD38CE"/>
    <w:rsid w:val="00CD4785"/>
    <w:rsid w:val="00CD62D1"/>
    <w:rsid w:val="00CD6BB3"/>
    <w:rsid w:val="00CD6CEA"/>
    <w:rsid w:val="00CE033D"/>
    <w:rsid w:val="00CE1BE2"/>
    <w:rsid w:val="00CE1C4B"/>
    <w:rsid w:val="00CE1C87"/>
    <w:rsid w:val="00CE1E65"/>
    <w:rsid w:val="00CE2013"/>
    <w:rsid w:val="00CE2078"/>
    <w:rsid w:val="00CE20CA"/>
    <w:rsid w:val="00CE290F"/>
    <w:rsid w:val="00CE2AF1"/>
    <w:rsid w:val="00CE2D41"/>
    <w:rsid w:val="00CE3050"/>
    <w:rsid w:val="00CE32C1"/>
    <w:rsid w:val="00CE3649"/>
    <w:rsid w:val="00CE3DA3"/>
    <w:rsid w:val="00CE4EF9"/>
    <w:rsid w:val="00CE5128"/>
    <w:rsid w:val="00CE536A"/>
    <w:rsid w:val="00CE6CF9"/>
    <w:rsid w:val="00CE71EE"/>
    <w:rsid w:val="00CE78F8"/>
    <w:rsid w:val="00CE7B0C"/>
    <w:rsid w:val="00CE7B7C"/>
    <w:rsid w:val="00CE7DDC"/>
    <w:rsid w:val="00CE7F5F"/>
    <w:rsid w:val="00CF01E4"/>
    <w:rsid w:val="00CF054F"/>
    <w:rsid w:val="00CF119E"/>
    <w:rsid w:val="00CF1311"/>
    <w:rsid w:val="00CF143D"/>
    <w:rsid w:val="00CF1478"/>
    <w:rsid w:val="00CF2C2C"/>
    <w:rsid w:val="00CF30F5"/>
    <w:rsid w:val="00CF376C"/>
    <w:rsid w:val="00CF37CC"/>
    <w:rsid w:val="00CF3A11"/>
    <w:rsid w:val="00CF4133"/>
    <w:rsid w:val="00CF42D0"/>
    <w:rsid w:val="00CF4C21"/>
    <w:rsid w:val="00CF4D4F"/>
    <w:rsid w:val="00CF4E11"/>
    <w:rsid w:val="00CF5567"/>
    <w:rsid w:val="00CF618D"/>
    <w:rsid w:val="00CF7389"/>
    <w:rsid w:val="00CF743F"/>
    <w:rsid w:val="00CF77CD"/>
    <w:rsid w:val="00CF7E87"/>
    <w:rsid w:val="00D00BCE"/>
    <w:rsid w:val="00D0115B"/>
    <w:rsid w:val="00D012C5"/>
    <w:rsid w:val="00D015D4"/>
    <w:rsid w:val="00D018A6"/>
    <w:rsid w:val="00D0257C"/>
    <w:rsid w:val="00D02C2B"/>
    <w:rsid w:val="00D02E8B"/>
    <w:rsid w:val="00D0402B"/>
    <w:rsid w:val="00D04AF5"/>
    <w:rsid w:val="00D04B9F"/>
    <w:rsid w:val="00D06435"/>
    <w:rsid w:val="00D06A75"/>
    <w:rsid w:val="00D06BF9"/>
    <w:rsid w:val="00D06DA4"/>
    <w:rsid w:val="00D06E77"/>
    <w:rsid w:val="00D07565"/>
    <w:rsid w:val="00D07A09"/>
    <w:rsid w:val="00D105AC"/>
    <w:rsid w:val="00D107D0"/>
    <w:rsid w:val="00D108D9"/>
    <w:rsid w:val="00D117E5"/>
    <w:rsid w:val="00D1265C"/>
    <w:rsid w:val="00D12D60"/>
    <w:rsid w:val="00D132C4"/>
    <w:rsid w:val="00D13D67"/>
    <w:rsid w:val="00D143B6"/>
    <w:rsid w:val="00D1453B"/>
    <w:rsid w:val="00D147B7"/>
    <w:rsid w:val="00D14925"/>
    <w:rsid w:val="00D15226"/>
    <w:rsid w:val="00D15690"/>
    <w:rsid w:val="00D15D82"/>
    <w:rsid w:val="00D16A3F"/>
    <w:rsid w:val="00D16C61"/>
    <w:rsid w:val="00D16FF6"/>
    <w:rsid w:val="00D17076"/>
    <w:rsid w:val="00D17993"/>
    <w:rsid w:val="00D17D0D"/>
    <w:rsid w:val="00D17F09"/>
    <w:rsid w:val="00D20008"/>
    <w:rsid w:val="00D204A2"/>
    <w:rsid w:val="00D21894"/>
    <w:rsid w:val="00D221E4"/>
    <w:rsid w:val="00D2231B"/>
    <w:rsid w:val="00D22B0A"/>
    <w:rsid w:val="00D238B5"/>
    <w:rsid w:val="00D23C8A"/>
    <w:rsid w:val="00D23F7C"/>
    <w:rsid w:val="00D2453F"/>
    <w:rsid w:val="00D24B59"/>
    <w:rsid w:val="00D25281"/>
    <w:rsid w:val="00D25509"/>
    <w:rsid w:val="00D2552F"/>
    <w:rsid w:val="00D255E1"/>
    <w:rsid w:val="00D2573F"/>
    <w:rsid w:val="00D2628C"/>
    <w:rsid w:val="00D26671"/>
    <w:rsid w:val="00D26929"/>
    <w:rsid w:val="00D26F0E"/>
    <w:rsid w:val="00D27206"/>
    <w:rsid w:val="00D2749B"/>
    <w:rsid w:val="00D2754E"/>
    <w:rsid w:val="00D27BAB"/>
    <w:rsid w:val="00D31034"/>
    <w:rsid w:val="00D31EF9"/>
    <w:rsid w:val="00D323FA"/>
    <w:rsid w:val="00D32CFC"/>
    <w:rsid w:val="00D32DFF"/>
    <w:rsid w:val="00D34F57"/>
    <w:rsid w:val="00D356D4"/>
    <w:rsid w:val="00D35738"/>
    <w:rsid w:val="00D35811"/>
    <w:rsid w:val="00D3623D"/>
    <w:rsid w:val="00D36490"/>
    <w:rsid w:val="00D367CD"/>
    <w:rsid w:val="00D370E1"/>
    <w:rsid w:val="00D37B1B"/>
    <w:rsid w:val="00D40376"/>
    <w:rsid w:val="00D40C53"/>
    <w:rsid w:val="00D41ACE"/>
    <w:rsid w:val="00D42469"/>
    <w:rsid w:val="00D424F4"/>
    <w:rsid w:val="00D42EB5"/>
    <w:rsid w:val="00D42F47"/>
    <w:rsid w:val="00D4336D"/>
    <w:rsid w:val="00D4371A"/>
    <w:rsid w:val="00D43748"/>
    <w:rsid w:val="00D4411D"/>
    <w:rsid w:val="00D44182"/>
    <w:rsid w:val="00D444D5"/>
    <w:rsid w:val="00D456F8"/>
    <w:rsid w:val="00D45EE7"/>
    <w:rsid w:val="00D45F85"/>
    <w:rsid w:val="00D46598"/>
    <w:rsid w:val="00D465D6"/>
    <w:rsid w:val="00D46AA1"/>
    <w:rsid w:val="00D47254"/>
    <w:rsid w:val="00D47B5E"/>
    <w:rsid w:val="00D50222"/>
    <w:rsid w:val="00D50879"/>
    <w:rsid w:val="00D50AB0"/>
    <w:rsid w:val="00D50D32"/>
    <w:rsid w:val="00D5138D"/>
    <w:rsid w:val="00D51578"/>
    <w:rsid w:val="00D51D4A"/>
    <w:rsid w:val="00D52031"/>
    <w:rsid w:val="00D52248"/>
    <w:rsid w:val="00D52F22"/>
    <w:rsid w:val="00D531B8"/>
    <w:rsid w:val="00D5395C"/>
    <w:rsid w:val="00D546E9"/>
    <w:rsid w:val="00D548DB"/>
    <w:rsid w:val="00D5527A"/>
    <w:rsid w:val="00D55481"/>
    <w:rsid w:val="00D55924"/>
    <w:rsid w:val="00D559EB"/>
    <w:rsid w:val="00D56B70"/>
    <w:rsid w:val="00D56E50"/>
    <w:rsid w:val="00D60AA8"/>
    <w:rsid w:val="00D62279"/>
    <w:rsid w:val="00D627EA"/>
    <w:rsid w:val="00D632C8"/>
    <w:rsid w:val="00D637FC"/>
    <w:rsid w:val="00D63A2D"/>
    <w:rsid w:val="00D63A62"/>
    <w:rsid w:val="00D63E30"/>
    <w:rsid w:val="00D63FD1"/>
    <w:rsid w:val="00D641EA"/>
    <w:rsid w:val="00D64484"/>
    <w:rsid w:val="00D64A59"/>
    <w:rsid w:val="00D64EFF"/>
    <w:rsid w:val="00D65704"/>
    <w:rsid w:val="00D65D12"/>
    <w:rsid w:val="00D67AC1"/>
    <w:rsid w:val="00D7003F"/>
    <w:rsid w:val="00D70AC5"/>
    <w:rsid w:val="00D712C1"/>
    <w:rsid w:val="00D713AF"/>
    <w:rsid w:val="00D71986"/>
    <w:rsid w:val="00D71B41"/>
    <w:rsid w:val="00D71D3E"/>
    <w:rsid w:val="00D71F1D"/>
    <w:rsid w:val="00D733C0"/>
    <w:rsid w:val="00D73DF7"/>
    <w:rsid w:val="00D73E58"/>
    <w:rsid w:val="00D74EAF"/>
    <w:rsid w:val="00D769F8"/>
    <w:rsid w:val="00D76D10"/>
    <w:rsid w:val="00D76DA6"/>
    <w:rsid w:val="00D77D9C"/>
    <w:rsid w:val="00D8095A"/>
    <w:rsid w:val="00D80E49"/>
    <w:rsid w:val="00D8122E"/>
    <w:rsid w:val="00D812F7"/>
    <w:rsid w:val="00D81489"/>
    <w:rsid w:val="00D81703"/>
    <w:rsid w:val="00D818CC"/>
    <w:rsid w:val="00D82ED3"/>
    <w:rsid w:val="00D83B89"/>
    <w:rsid w:val="00D84377"/>
    <w:rsid w:val="00D8484A"/>
    <w:rsid w:val="00D84E0D"/>
    <w:rsid w:val="00D85BE6"/>
    <w:rsid w:val="00D85DE9"/>
    <w:rsid w:val="00D860DA"/>
    <w:rsid w:val="00D86430"/>
    <w:rsid w:val="00D86B7A"/>
    <w:rsid w:val="00D87F15"/>
    <w:rsid w:val="00D87F27"/>
    <w:rsid w:val="00D90142"/>
    <w:rsid w:val="00D90516"/>
    <w:rsid w:val="00D90676"/>
    <w:rsid w:val="00D908DB"/>
    <w:rsid w:val="00D90AA9"/>
    <w:rsid w:val="00D90BDD"/>
    <w:rsid w:val="00D90E28"/>
    <w:rsid w:val="00D918F4"/>
    <w:rsid w:val="00D91B83"/>
    <w:rsid w:val="00D91CD2"/>
    <w:rsid w:val="00D92293"/>
    <w:rsid w:val="00D92772"/>
    <w:rsid w:val="00D92E4B"/>
    <w:rsid w:val="00D92EF9"/>
    <w:rsid w:val="00D948CB"/>
    <w:rsid w:val="00D9540E"/>
    <w:rsid w:val="00D95869"/>
    <w:rsid w:val="00D95DAD"/>
    <w:rsid w:val="00D95F28"/>
    <w:rsid w:val="00D96952"/>
    <w:rsid w:val="00D96BE4"/>
    <w:rsid w:val="00D97449"/>
    <w:rsid w:val="00DA005E"/>
    <w:rsid w:val="00DA034A"/>
    <w:rsid w:val="00DA03B4"/>
    <w:rsid w:val="00DA0589"/>
    <w:rsid w:val="00DA0FEC"/>
    <w:rsid w:val="00DA139E"/>
    <w:rsid w:val="00DA1557"/>
    <w:rsid w:val="00DA1BEF"/>
    <w:rsid w:val="00DA234F"/>
    <w:rsid w:val="00DA33A5"/>
    <w:rsid w:val="00DA363B"/>
    <w:rsid w:val="00DA3F93"/>
    <w:rsid w:val="00DA420A"/>
    <w:rsid w:val="00DA4ABB"/>
    <w:rsid w:val="00DA4C48"/>
    <w:rsid w:val="00DA6D56"/>
    <w:rsid w:val="00DA712A"/>
    <w:rsid w:val="00DB0717"/>
    <w:rsid w:val="00DB0779"/>
    <w:rsid w:val="00DB0789"/>
    <w:rsid w:val="00DB0A12"/>
    <w:rsid w:val="00DB0CE6"/>
    <w:rsid w:val="00DB14F3"/>
    <w:rsid w:val="00DB16D4"/>
    <w:rsid w:val="00DB187F"/>
    <w:rsid w:val="00DB1A18"/>
    <w:rsid w:val="00DB1A28"/>
    <w:rsid w:val="00DB2957"/>
    <w:rsid w:val="00DB3654"/>
    <w:rsid w:val="00DB3C92"/>
    <w:rsid w:val="00DB4217"/>
    <w:rsid w:val="00DB46B7"/>
    <w:rsid w:val="00DB4E68"/>
    <w:rsid w:val="00DB59AC"/>
    <w:rsid w:val="00DB677F"/>
    <w:rsid w:val="00DB6E94"/>
    <w:rsid w:val="00DB7F0E"/>
    <w:rsid w:val="00DC0102"/>
    <w:rsid w:val="00DC017B"/>
    <w:rsid w:val="00DC09C0"/>
    <w:rsid w:val="00DC16B5"/>
    <w:rsid w:val="00DC17DC"/>
    <w:rsid w:val="00DC1C1D"/>
    <w:rsid w:val="00DC20D7"/>
    <w:rsid w:val="00DC2396"/>
    <w:rsid w:val="00DC2BEE"/>
    <w:rsid w:val="00DC2C52"/>
    <w:rsid w:val="00DC2DA1"/>
    <w:rsid w:val="00DC2DF6"/>
    <w:rsid w:val="00DC3234"/>
    <w:rsid w:val="00DC3C8A"/>
    <w:rsid w:val="00DC40E4"/>
    <w:rsid w:val="00DC40F7"/>
    <w:rsid w:val="00DC4B87"/>
    <w:rsid w:val="00DC4C10"/>
    <w:rsid w:val="00DC56E9"/>
    <w:rsid w:val="00DC5CF6"/>
    <w:rsid w:val="00DC5F5F"/>
    <w:rsid w:val="00DC63F5"/>
    <w:rsid w:val="00DC70AA"/>
    <w:rsid w:val="00DC74F9"/>
    <w:rsid w:val="00DC75CA"/>
    <w:rsid w:val="00DC7B31"/>
    <w:rsid w:val="00DD0265"/>
    <w:rsid w:val="00DD0920"/>
    <w:rsid w:val="00DD0ACD"/>
    <w:rsid w:val="00DD0CF7"/>
    <w:rsid w:val="00DD1382"/>
    <w:rsid w:val="00DD1680"/>
    <w:rsid w:val="00DD19C8"/>
    <w:rsid w:val="00DD1A26"/>
    <w:rsid w:val="00DD219C"/>
    <w:rsid w:val="00DD2A0A"/>
    <w:rsid w:val="00DD2AFD"/>
    <w:rsid w:val="00DD2CEA"/>
    <w:rsid w:val="00DD2E54"/>
    <w:rsid w:val="00DD2F77"/>
    <w:rsid w:val="00DD2FC7"/>
    <w:rsid w:val="00DD3446"/>
    <w:rsid w:val="00DD3827"/>
    <w:rsid w:val="00DD3A10"/>
    <w:rsid w:val="00DD3B37"/>
    <w:rsid w:val="00DD49C2"/>
    <w:rsid w:val="00DD4E69"/>
    <w:rsid w:val="00DD4ED8"/>
    <w:rsid w:val="00DD68F9"/>
    <w:rsid w:val="00DD7120"/>
    <w:rsid w:val="00DD7422"/>
    <w:rsid w:val="00DD7694"/>
    <w:rsid w:val="00DE02D8"/>
    <w:rsid w:val="00DE032F"/>
    <w:rsid w:val="00DE103F"/>
    <w:rsid w:val="00DE286B"/>
    <w:rsid w:val="00DE2BCD"/>
    <w:rsid w:val="00DE3895"/>
    <w:rsid w:val="00DE3E42"/>
    <w:rsid w:val="00DE4F6A"/>
    <w:rsid w:val="00DE51EB"/>
    <w:rsid w:val="00DE520B"/>
    <w:rsid w:val="00DE5421"/>
    <w:rsid w:val="00DE54EE"/>
    <w:rsid w:val="00DE58FD"/>
    <w:rsid w:val="00DE5B7C"/>
    <w:rsid w:val="00DE6003"/>
    <w:rsid w:val="00DE6610"/>
    <w:rsid w:val="00DE6C83"/>
    <w:rsid w:val="00DE6D65"/>
    <w:rsid w:val="00DE7B59"/>
    <w:rsid w:val="00DF0A4C"/>
    <w:rsid w:val="00DF0F7B"/>
    <w:rsid w:val="00DF11AF"/>
    <w:rsid w:val="00DF19AC"/>
    <w:rsid w:val="00DF19EB"/>
    <w:rsid w:val="00DF1FB3"/>
    <w:rsid w:val="00DF20A1"/>
    <w:rsid w:val="00DF2B3B"/>
    <w:rsid w:val="00DF2E87"/>
    <w:rsid w:val="00DF2FD4"/>
    <w:rsid w:val="00DF3038"/>
    <w:rsid w:val="00DF33E1"/>
    <w:rsid w:val="00DF3AE6"/>
    <w:rsid w:val="00DF3BF9"/>
    <w:rsid w:val="00DF3FDE"/>
    <w:rsid w:val="00DF4A5E"/>
    <w:rsid w:val="00DF4BC2"/>
    <w:rsid w:val="00DF50B3"/>
    <w:rsid w:val="00DF6680"/>
    <w:rsid w:val="00DF6A2C"/>
    <w:rsid w:val="00DF6C95"/>
    <w:rsid w:val="00DF6DC1"/>
    <w:rsid w:val="00DF73DE"/>
    <w:rsid w:val="00E00676"/>
    <w:rsid w:val="00E0089D"/>
    <w:rsid w:val="00E00CB1"/>
    <w:rsid w:val="00E0116E"/>
    <w:rsid w:val="00E01D87"/>
    <w:rsid w:val="00E0364F"/>
    <w:rsid w:val="00E03BBC"/>
    <w:rsid w:val="00E03D0B"/>
    <w:rsid w:val="00E03DA9"/>
    <w:rsid w:val="00E04702"/>
    <w:rsid w:val="00E0592E"/>
    <w:rsid w:val="00E05E8E"/>
    <w:rsid w:val="00E0736E"/>
    <w:rsid w:val="00E0771A"/>
    <w:rsid w:val="00E1078E"/>
    <w:rsid w:val="00E111F2"/>
    <w:rsid w:val="00E11223"/>
    <w:rsid w:val="00E1192F"/>
    <w:rsid w:val="00E11A02"/>
    <w:rsid w:val="00E1200C"/>
    <w:rsid w:val="00E12AD4"/>
    <w:rsid w:val="00E136C6"/>
    <w:rsid w:val="00E13799"/>
    <w:rsid w:val="00E14078"/>
    <w:rsid w:val="00E14265"/>
    <w:rsid w:val="00E14723"/>
    <w:rsid w:val="00E157DB"/>
    <w:rsid w:val="00E15C61"/>
    <w:rsid w:val="00E15E72"/>
    <w:rsid w:val="00E15EB3"/>
    <w:rsid w:val="00E15EDC"/>
    <w:rsid w:val="00E1673C"/>
    <w:rsid w:val="00E16A17"/>
    <w:rsid w:val="00E16AC3"/>
    <w:rsid w:val="00E177AA"/>
    <w:rsid w:val="00E20D2E"/>
    <w:rsid w:val="00E21934"/>
    <w:rsid w:val="00E219A0"/>
    <w:rsid w:val="00E21B46"/>
    <w:rsid w:val="00E21F54"/>
    <w:rsid w:val="00E2216F"/>
    <w:rsid w:val="00E22A4A"/>
    <w:rsid w:val="00E22BD7"/>
    <w:rsid w:val="00E22EBE"/>
    <w:rsid w:val="00E23165"/>
    <w:rsid w:val="00E2338E"/>
    <w:rsid w:val="00E23659"/>
    <w:rsid w:val="00E23A17"/>
    <w:rsid w:val="00E23B2B"/>
    <w:rsid w:val="00E23FAC"/>
    <w:rsid w:val="00E24AB1"/>
    <w:rsid w:val="00E24C1F"/>
    <w:rsid w:val="00E24D5A"/>
    <w:rsid w:val="00E27225"/>
    <w:rsid w:val="00E272F1"/>
    <w:rsid w:val="00E27BA5"/>
    <w:rsid w:val="00E30791"/>
    <w:rsid w:val="00E328F9"/>
    <w:rsid w:val="00E32A27"/>
    <w:rsid w:val="00E34369"/>
    <w:rsid w:val="00E3465E"/>
    <w:rsid w:val="00E35394"/>
    <w:rsid w:val="00E375FF"/>
    <w:rsid w:val="00E40311"/>
    <w:rsid w:val="00E40690"/>
    <w:rsid w:val="00E4177A"/>
    <w:rsid w:val="00E4272E"/>
    <w:rsid w:val="00E42C64"/>
    <w:rsid w:val="00E42CE9"/>
    <w:rsid w:val="00E42FBE"/>
    <w:rsid w:val="00E436F7"/>
    <w:rsid w:val="00E43A1B"/>
    <w:rsid w:val="00E44804"/>
    <w:rsid w:val="00E45034"/>
    <w:rsid w:val="00E452C5"/>
    <w:rsid w:val="00E460C7"/>
    <w:rsid w:val="00E46712"/>
    <w:rsid w:val="00E46A54"/>
    <w:rsid w:val="00E47C41"/>
    <w:rsid w:val="00E51B33"/>
    <w:rsid w:val="00E51E4A"/>
    <w:rsid w:val="00E52C83"/>
    <w:rsid w:val="00E5354C"/>
    <w:rsid w:val="00E5362F"/>
    <w:rsid w:val="00E53A47"/>
    <w:rsid w:val="00E53C73"/>
    <w:rsid w:val="00E5419C"/>
    <w:rsid w:val="00E54BB2"/>
    <w:rsid w:val="00E551FB"/>
    <w:rsid w:val="00E553A3"/>
    <w:rsid w:val="00E55E20"/>
    <w:rsid w:val="00E55E7B"/>
    <w:rsid w:val="00E55F0F"/>
    <w:rsid w:val="00E56B0F"/>
    <w:rsid w:val="00E57482"/>
    <w:rsid w:val="00E57C4F"/>
    <w:rsid w:val="00E60016"/>
    <w:rsid w:val="00E60298"/>
    <w:rsid w:val="00E610E8"/>
    <w:rsid w:val="00E611F2"/>
    <w:rsid w:val="00E61531"/>
    <w:rsid w:val="00E6276E"/>
    <w:rsid w:val="00E62CBF"/>
    <w:rsid w:val="00E62F08"/>
    <w:rsid w:val="00E63859"/>
    <w:rsid w:val="00E63CC2"/>
    <w:rsid w:val="00E64295"/>
    <w:rsid w:val="00E643E9"/>
    <w:rsid w:val="00E64ABA"/>
    <w:rsid w:val="00E64E37"/>
    <w:rsid w:val="00E65302"/>
    <w:rsid w:val="00E6533B"/>
    <w:rsid w:val="00E654C8"/>
    <w:rsid w:val="00E65BD7"/>
    <w:rsid w:val="00E66B11"/>
    <w:rsid w:val="00E66EBC"/>
    <w:rsid w:val="00E700D0"/>
    <w:rsid w:val="00E709D0"/>
    <w:rsid w:val="00E70B1F"/>
    <w:rsid w:val="00E7100D"/>
    <w:rsid w:val="00E71723"/>
    <w:rsid w:val="00E7188E"/>
    <w:rsid w:val="00E71980"/>
    <w:rsid w:val="00E71B88"/>
    <w:rsid w:val="00E72ADF"/>
    <w:rsid w:val="00E72E4A"/>
    <w:rsid w:val="00E736CC"/>
    <w:rsid w:val="00E740E9"/>
    <w:rsid w:val="00E741AB"/>
    <w:rsid w:val="00E741BB"/>
    <w:rsid w:val="00E74BCF"/>
    <w:rsid w:val="00E74E95"/>
    <w:rsid w:val="00E757E0"/>
    <w:rsid w:val="00E75D91"/>
    <w:rsid w:val="00E76F91"/>
    <w:rsid w:val="00E76FE3"/>
    <w:rsid w:val="00E77647"/>
    <w:rsid w:val="00E80F56"/>
    <w:rsid w:val="00E81A5F"/>
    <w:rsid w:val="00E828F2"/>
    <w:rsid w:val="00E834B4"/>
    <w:rsid w:val="00E8356B"/>
    <w:rsid w:val="00E84156"/>
    <w:rsid w:val="00E84339"/>
    <w:rsid w:val="00E84834"/>
    <w:rsid w:val="00E85236"/>
    <w:rsid w:val="00E853DA"/>
    <w:rsid w:val="00E8571E"/>
    <w:rsid w:val="00E858C8"/>
    <w:rsid w:val="00E85BC2"/>
    <w:rsid w:val="00E86640"/>
    <w:rsid w:val="00E86AD1"/>
    <w:rsid w:val="00E86CDB"/>
    <w:rsid w:val="00E87835"/>
    <w:rsid w:val="00E879A5"/>
    <w:rsid w:val="00E87A61"/>
    <w:rsid w:val="00E87F57"/>
    <w:rsid w:val="00E90FC0"/>
    <w:rsid w:val="00E91181"/>
    <w:rsid w:val="00E912F9"/>
    <w:rsid w:val="00E91651"/>
    <w:rsid w:val="00E91AA3"/>
    <w:rsid w:val="00E91C5E"/>
    <w:rsid w:val="00E927A4"/>
    <w:rsid w:val="00E9280E"/>
    <w:rsid w:val="00E93C32"/>
    <w:rsid w:val="00E949DE"/>
    <w:rsid w:val="00E94BD1"/>
    <w:rsid w:val="00E94DFB"/>
    <w:rsid w:val="00E94F9C"/>
    <w:rsid w:val="00E95072"/>
    <w:rsid w:val="00E957D0"/>
    <w:rsid w:val="00E96345"/>
    <w:rsid w:val="00E96561"/>
    <w:rsid w:val="00E970A0"/>
    <w:rsid w:val="00E9718B"/>
    <w:rsid w:val="00E9747A"/>
    <w:rsid w:val="00EA0071"/>
    <w:rsid w:val="00EA00F3"/>
    <w:rsid w:val="00EA1375"/>
    <w:rsid w:val="00EA13D2"/>
    <w:rsid w:val="00EA1681"/>
    <w:rsid w:val="00EA1802"/>
    <w:rsid w:val="00EA3991"/>
    <w:rsid w:val="00EA4350"/>
    <w:rsid w:val="00EA4396"/>
    <w:rsid w:val="00EA46F4"/>
    <w:rsid w:val="00EA4A0D"/>
    <w:rsid w:val="00EA4CA6"/>
    <w:rsid w:val="00EA507B"/>
    <w:rsid w:val="00EA58A1"/>
    <w:rsid w:val="00EA5C54"/>
    <w:rsid w:val="00EA5E8C"/>
    <w:rsid w:val="00EA6573"/>
    <w:rsid w:val="00EA6EFD"/>
    <w:rsid w:val="00EA7B73"/>
    <w:rsid w:val="00EA7D4E"/>
    <w:rsid w:val="00EB071E"/>
    <w:rsid w:val="00EB0838"/>
    <w:rsid w:val="00EB0CBE"/>
    <w:rsid w:val="00EB2A70"/>
    <w:rsid w:val="00EB2B8E"/>
    <w:rsid w:val="00EB2CDF"/>
    <w:rsid w:val="00EB3365"/>
    <w:rsid w:val="00EB3394"/>
    <w:rsid w:val="00EB36D2"/>
    <w:rsid w:val="00EB3729"/>
    <w:rsid w:val="00EB38FE"/>
    <w:rsid w:val="00EB3ADC"/>
    <w:rsid w:val="00EB4507"/>
    <w:rsid w:val="00EB4D29"/>
    <w:rsid w:val="00EB52C0"/>
    <w:rsid w:val="00EB6040"/>
    <w:rsid w:val="00EB6097"/>
    <w:rsid w:val="00EB6420"/>
    <w:rsid w:val="00EB648B"/>
    <w:rsid w:val="00EB6D3A"/>
    <w:rsid w:val="00EC02BA"/>
    <w:rsid w:val="00EC06DF"/>
    <w:rsid w:val="00EC0992"/>
    <w:rsid w:val="00EC0C51"/>
    <w:rsid w:val="00EC0FC6"/>
    <w:rsid w:val="00EC1735"/>
    <w:rsid w:val="00EC2785"/>
    <w:rsid w:val="00EC2EAC"/>
    <w:rsid w:val="00EC3323"/>
    <w:rsid w:val="00EC3555"/>
    <w:rsid w:val="00EC37AF"/>
    <w:rsid w:val="00EC3903"/>
    <w:rsid w:val="00EC3B3F"/>
    <w:rsid w:val="00EC4A31"/>
    <w:rsid w:val="00EC54A8"/>
    <w:rsid w:val="00EC5AEC"/>
    <w:rsid w:val="00EC5C55"/>
    <w:rsid w:val="00EC5CCE"/>
    <w:rsid w:val="00EC626B"/>
    <w:rsid w:val="00EC6424"/>
    <w:rsid w:val="00EC68D8"/>
    <w:rsid w:val="00EC6FD1"/>
    <w:rsid w:val="00EC7763"/>
    <w:rsid w:val="00EC7B0E"/>
    <w:rsid w:val="00EC7B5D"/>
    <w:rsid w:val="00ED07C6"/>
    <w:rsid w:val="00ED084A"/>
    <w:rsid w:val="00ED0D78"/>
    <w:rsid w:val="00ED0DEE"/>
    <w:rsid w:val="00ED1440"/>
    <w:rsid w:val="00ED1C1D"/>
    <w:rsid w:val="00ED1DBD"/>
    <w:rsid w:val="00ED24B7"/>
    <w:rsid w:val="00ED2B31"/>
    <w:rsid w:val="00ED3131"/>
    <w:rsid w:val="00ED35D4"/>
    <w:rsid w:val="00ED364B"/>
    <w:rsid w:val="00ED375F"/>
    <w:rsid w:val="00ED41DB"/>
    <w:rsid w:val="00ED5932"/>
    <w:rsid w:val="00ED5FF5"/>
    <w:rsid w:val="00ED604B"/>
    <w:rsid w:val="00ED6319"/>
    <w:rsid w:val="00ED6B56"/>
    <w:rsid w:val="00ED6C54"/>
    <w:rsid w:val="00ED6C74"/>
    <w:rsid w:val="00ED6CD0"/>
    <w:rsid w:val="00ED7009"/>
    <w:rsid w:val="00ED71F6"/>
    <w:rsid w:val="00ED75D1"/>
    <w:rsid w:val="00ED7AC9"/>
    <w:rsid w:val="00ED7F6A"/>
    <w:rsid w:val="00EE0231"/>
    <w:rsid w:val="00EE05E1"/>
    <w:rsid w:val="00EE0770"/>
    <w:rsid w:val="00EE0899"/>
    <w:rsid w:val="00EE089C"/>
    <w:rsid w:val="00EE155F"/>
    <w:rsid w:val="00EE168D"/>
    <w:rsid w:val="00EE1C5F"/>
    <w:rsid w:val="00EE1EE7"/>
    <w:rsid w:val="00EE2BC3"/>
    <w:rsid w:val="00EE2DD4"/>
    <w:rsid w:val="00EE2E51"/>
    <w:rsid w:val="00EE4369"/>
    <w:rsid w:val="00EE44B6"/>
    <w:rsid w:val="00EE4A8B"/>
    <w:rsid w:val="00EE4BF1"/>
    <w:rsid w:val="00EE4FF6"/>
    <w:rsid w:val="00EE54BC"/>
    <w:rsid w:val="00EE55B2"/>
    <w:rsid w:val="00EE5646"/>
    <w:rsid w:val="00EE58E2"/>
    <w:rsid w:val="00EE616D"/>
    <w:rsid w:val="00EE628C"/>
    <w:rsid w:val="00EE62D1"/>
    <w:rsid w:val="00EE703D"/>
    <w:rsid w:val="00EE7259"/>
    <w:rsid w:val="00EE7826"/>
    <w:rsid w:val="00EE7854"/>
    <w:rsid w:val="00EE7B7F"/>
    <w:rsid w:val="00EE7E1E"/>
    <w:rsid w:val="00EE7E5E"/>
    <w:rsid w:val="00EF02FF"/>
    <w:rsid w:val="00EF0594"/>
    <w:rsid w:val="00EF0861"/>
    <w:rsid w:val="00EF1715"/>
    <w:rsid w:val="00EF184E"/>
    <w:rsid w:val="00EF1CAA"/>
    <w:rsid w:val="00EF1ED8"/>
    <w:rsid w:val="00EF25EC"/>
    <w:rsid w:val="00EF2A21"/>
    <w:rsid w:val="00EF2CD9"/>
    <w:rsid w:val="00EF32F8"/>
    <w:rsid w:val="00EF36CE"/>
    <w:rsid w:val="00EF4AFF"/>
    <w:rsid w:val="00EF5E84"/>
    <w:rsid w:val="00EF5F20"/>
    <w:rsid w:val="00EF615A"/>
    <w:rsid w:val="00EF6BC3"/>
    <w:rsid w:val="00EF76CA"/>
    <w:rsid w:val="00EF7B98"/>
    <w:rsid w:val="00EF7DB0"/>
    <w:rsid w:val="00EF7ECF"/>
    <w:rsid w:val="00F0023A"/>
    <w:rsid w:val="00F00E3D"/>
    <w:rsid w:val="00F01908"/>
    <w:rsid w:val="00F01EEC"/>
    <w:rsid w:val="00F02081"/>
    <w:rsid w:val="00F024E9"/>
    <w:rsid w:val="00F030AF"/>
    <w:rsid w:val="00F035B9"/>
    <w:rsid w:val="00F048DC"/>
    <w:rsid w:val="00F04C8A"/>
    <w:rsid w:val="00F04F2E"/>
    <w:rsid w:val="00F05AA8"/>
    <w:rsid w:val="00F05C23"/>
    <w:rsid w:val="00F05F8C"/>
    <w:rsid w:val="00F069D6"/>
    <w:rsid w:val="00F07025"/>
    <w:rsid w:val="00F073AE"/>
    <w:rsid w:val="00F07B18"/>
    <w:rsid w:val="00F07BF3"/>
    <w:rsid w:val="00F07E55"/>
    <w:rsid w:val="00F11587"/>
    <w:rsid w:val="00F11D2C"/>
    <w:rsid w:val="00F11E6A"/>
    <w:rsid w:val="00F1241A"/>
    <w:rsid w:val="00F130B6"/>
    <w:rsid w:val="00F1338E"/>
    <w:rsid w:val="00F13519"/>
    <w:rsid w:val="00F13CE7"/>
    <w:rsid w:val="00F13D27"/>
    <w:rsid w:val="00F14F90"/>
    <w:rsid w:val="00F15DBB"/>
    <w:rsid w:val="00F15ED1"/>
    <w:rsid w:val="00F17667"/>
    <w:rsid w:val="00F176ED"/>
    <w:rsid w:val="00F17DFF"/>
    <w:rsid w:val="00F212FF"/>
    <w:rsid w:val="00F21675"/>
    <w:rsid w:val="00F21C76"/>
    <w:rsid w:val="00F22BC8"/>
    <w:rsid w:val="00F23652"/>
    <w:rsid w:val="00F23B16"/>
    <w:rsid w:val="00F23DA0"/>
    <w:rsid w:val="00F246BE"/>
    <w:rsid w:val="00F24FAB"/>
    <w:rsid w:val="00F2517B"/>
    <w:rsid w:val="00F25923"/>
    <w:rsid w:val="00F25BB8"/>
    <w:rsid w:val="00F2623F"/>
    <w:rsid w:val="00F266DA"/>
    <w:rsid w:val="00F26872"/>
    <w:rsid w:val="00F276A5"/>
    <w:rsid w:val="00F30283"/>
    <w:rsid w:val="00F30923"/>
    <w:rsid w:val="00F30A16"/>
    <w:rsid w:val="00F30B27"/>
    <w:rsid w:val="00F30C2E"/>
    <w:rsid w:val="00F31471"/>
    <w:rsid w:val="00F318C6"/>
    <w:rsid w:val="00F31C89"/>
    <w:rsid w:val="00F31CBD"/>
    <w:rsid w:val="00F32918"/>
    <w:rsid w:val="00F32B60"/>
    <w:rsid w:val="00F332AD"/>
    <w:rsid w:val="00F33342"/>
    <w:rsid w:val="00F335D2"/>
    <w:rsid w:val="00F3410E"/>
    <w:rsid w:val="00F34612"/>
    <w:rsid w:val="00F34761"/>
    <w:rsid w:val="00F34D6A"/>
    <w:rsid w:val="00F363CA"/>
    <w:rsid w:val="00F366F2"/>
    <w:rsid w:val="00F36700"/>
    <w:rsid w:val="00F36A13"/>
    <w:rsid w:val="00F36A9A"/>
    <w:rsid w:val="00F37F98"/>
    <w:rsid w:val="00F40395"/>
    <w:rsid w:val="00F40725"/>
    <w:rsid w:val="00F409E1"/>
    <w:rsid w:val="00F40F99"/>
    <w:rsid w:val="00F41156"/>
    <w:rsid w:val="00F41375"/>
    <w:rsid w:val="00F41996"/>
    <w:rsid w:val="00F42051"/>
    <w:rsid w:val="00F423E1"/>
    <w:rsid w:val="00F42D9C"/>
    <w:rsid w:val="00F42FF9"/>
    <w:rsid w:val="00F43367"/>
    <w:rsid w:val="00F434D4"/>
    <w:rsid w:val="00F43C9E"/>
    <w:rsid w:val="00F44373"/>
    <w:rsid w:val="00F4468B"/>
    <w:rsid w:val="00F44B73"/>
    <w:rsid w:val="00F45298"/>
    <w:rsid w:val="00F45C5F"/>
    <w:rsid w:val="00F45E12"/>
    <w:rsid w:val="00F45F54"/>
    <w:rsid w:val="00F46167"/>
    <w:rsid w:val="00F46179"/>
    <w:rsid w:val="00F461D9"/>
    <w:rsid w:val="00F46918"/>
    <w:rsid w:val="00F475AE"/>
    <w:rsid w:val="00F50077"/>
    <w:rsid w:val="00F501BC"/>
    <w:rsid w:val="00F50EDA"/>
    <w:rsid w:val="00F51036"/>
    <w:rsid w:val="00F525E4"/>
    <w:rsid w:val="00F54260"/>
    <w:rsid w:val="00F54629"/>
    <w:rsid w:val="00F54A7D"/>
    <w:rsid w:val="00F54AE8"/>
    <w:rsid w:val="00F54C1F"/>
    <w:rsid w:val="00F54F3A"/>
    <w:rsid w:val="00F5509C"/>
    <w:rsid w:val="00F55316"/>
    <w:rsid w:val="00F5535A"/>
    <w:rsid w:val="00F553E4"/>
    <w:rsid w:val="00F5548A"/>
    <w:rsid w:val="00F557A1"/>
    <w:rsid w:val="00F56255"/>
    <w:rsid w:val="00F5628A"/>
    <w:rsid w:val="00F56DF2"/>
    <w:rsid w:val="00F573A3"/>
    <w:rsid w:val="00F57707"/>
    <w:rsid w:val="00F577FE"/>
    <w:rsid w:val="00F5790B"/>
    <w:rsid w:val="00F57FC5"/>
    <w:rsid w:val="00F57FE3"/>
    <w:rsid w:val="00F60BF8"/>
    <w:rsid w:val="00F6128B"/>
    <w:rsid w:val="00F613FE"/>
    <w:rsid w:val="00F618F6"/>
    <w:rsid w:val="00F62BF7"/>
    <w:rsid w:val="00F6319A"/>
    <w:rsid w:val="00F634FD"/>
    <w:rsid w:val="00F63834"/>
    <w:rsid w:val="00F63C17"/>
    <w:rsid w:val="00F644F5"/>
    <w:rsid w:val="00F64A5D"/>
    <w:rsid w:val="00F6509B"/>
    <w:rsid w:val="00F657DA"/>
    <w:rsid w:val="00F66201"/>
    <w:rsid w:val="00F66579"/>
    <w:rsid w:val="00F66CD7"/>
    <w:rsid w:val="00F672E2"/>
    <w:rsid w:val="00F672F2"/>
    <w:rsid w:val="00F70541"/>
    <w:rsid w:val="00F70830"/>
    <w:rsid w:val="00F7086A"/>
    <w:rsid w:val="00F70B7C"/>
    <w:rsid w:val="00F71270"/>
    <w:rsid w:val="00F7163E"/>
    <w:rsid w:val="00F71B19"/>
    <w:rsid w:val="00F71CE3"/>
    <w:rsid w:val="00F71ECF"/>
    <w:rsid w:val="00F72BD4"/>
    <w:rsid w:val="00F72C6F"/>
    <w:rsid w:val="00F73452"/>
    <w:rsid w:val="00F738AF"/>
    <w:rsid w:val="00F73A9E"/>
    <w:rsid w:val="00F73DFE"/>
    <w:rsid w:val="00F753F9"/>
    <w:rsid w:val="00F75C84"/>
    <w:rsid w:val="00F75C88"/>
    <w:rsid w:val="00F76C0E"/>
    <w:rsid w:val="00F76E67"/>
    <w:rsid w:val="00F779F6"/>
    <w:rsid w:val="00F800A0"/>
    <w:rsid w:val="00F80788"/>
    <w:rsid w:val="00F80AC7"/>
    <w:rsid w:val="00F80AD1"/>
    <w:rsid w:val="00F80F47"/>
    <w:rsid w:val="00F816B8"/>
    <w:rsid w:val="00F816BA"/>
    <w:rsid w:val="00F82213"/>
    <w:rsid w:val="00F822B9"/>
    <w:rsid w:val="00F8236D"/>
    <w:rsid w:val="00F826D8"/>
    <w:rsid w:val="00F8286A"/>
    <w:rsid w:val="00F8299F"/>
    <w:rsid w:val="00F82C2A"/>
    <w:rsid w:val="00F82F1F"/>
    <w:rsid w:val="00F830E6"/>
    <w:rsid w:val="00F841E8"/>
    <w:rsid w:val="00F843C7"/>
    <w:rsid w:val="00F8481F"/>
    <w:rsid w:val="00F8503D"/>
    <w:rsid w:val="00F8505B"/>
    <w:rsid w:val="00F854A0"/>
    <w:rsid w:val="00F85948"/>
    <w:rsid w:val="00F859C7"/>
    <w:rsid w:val="00F85D38"/>
    <w:rsid w:val="00F86331"/>
    <w:rsid w:val="00F86465"/>
    <w:rsid w:val="00F8667E"/>
    <w:rsid w:val="00F90B25"/>
    <w:rsid w:val="00F90D1D"/>
    <w:rsid w:val="00F90F01"/>
    <w:rsid w:val="00F915BE"/>
    <w:rsid w:val="00F917F7"/>
    <w:rsid w:val="00F91EAD"/>
    <w:rsid w:val="00F91FF0"/>
    <w:rsid w:val="00F925D1"/>
    <w:rsid w:val="00F9303F"/>
    <w:rsid w:val="00F94075"/>
    <w:rsid w:val="00F947B4"/>
    <w:rsid w:val="00F94811"/>
    <w:rsid w:val="00F94F78"/>
    <w:rsid w:val="00F952A7"/>
    <w:rsid w:val="00F952CC"/>
    <w:rsid w:val="00F9573C"/>
    <w:rsid w:val="00F958FF"/>
    <w:rsid w:val="00F9592A"/>
    <w:rsid w:val="00F9731E"/>
    <w:rsid w:val="00F973C2"/>
    <w:rsid w:val="00F97E9E"/>
    <w:rsid w:val="00FA00E2"/>
    <w:rsid w:val="00FA0237"/>
    <w:rsid w:val="00FA0593"/>
    <w:rsid w:val="00FA063D"/>
    <w:rsid w:val="00FA06A9"/>
    <w:rsid w:val="00FA1153"/>
    <w:rsid w:val="00FA15E2"/>
    <w:rsid w:val="00FA18FB"/>
    <w:rsid w:val="00FA1A71"/>
    <w:rsid w:val="00FA21F3"/>
    <w:rsid w:val="00FA26C9"/>
    <w:rsid w:val="00FA3F0F"/>
    <w:rsid w:val="00FA3FA8"/>
    <w:rsid w:val="00FA45AA"/>
    <w:rsid w:val="00FA475C"/>
    <w:rsid w:val="00FA4878"/>
    <w:rsid w:val="00FA4CE6"/>
    <w:rsid w:val="00FA4FC0"/>
    <w:rsid w:val="00FA53CA"/>
    <w:rsid w:val="00FA590C"/>
    <w:rsid w:val="00FA7035"/>
    <w:rsid w:val="00FA730E"/>
    <w:rsid w:val="00FB0009"/>
    <w:rsid w:val="00FB0302"/>
    <w:rsid w:val="00FB06D2"/>
    <w:rsid w:val="00FB0931"/>
    <w:rsid w:val="00FB1CE7"/>
    <w:rsid w:val="00FB2D80"/>
    <w:rsid w:val="00FB3360"/>
    <w:rsid w:val="00FB4C2B"/>
    <w:rsid w:val="00FB51DD"/>
    <w:rsid w:val="00FB59A7"/>
    <w:rsid w:val="00FB6D33"/>
    <w:rsid w:val="00FB73DD"/>
    <w:rsid w:val="00FC0486"/>
    <w:rsid w:val="00FC0BA6"/>
    <w:rsid w:val="00FC0DAB"/>
    <w:rsid w:val="00FC1153"/>
    <w:rsid w:val="00FC22BF"/>
    <w:rsid w:val="00FC2757"/>
    <w:rsid w:val="00FC2B2A"/>
    <w:rsid w:val="00FC3E8A"/>
    <w:rsid w:val="00FC3F02"/>
    <w:rsid w:val="00FC4B6F"/>
    <w:rsid w:val="00FC5973"/>
    <w:rsid w:val="00FC5C11"/>
    <w:rsid w:val="00FC63E8"/>
    <w:rsid w:val="00FC64AE"/>
    <w:rsid w:val="00FC7603"/>
    <w:rsid w:val="00FC7840"/>
    <w:rsid w:val="00FD032C"/>
    <w:rsid w:val="00FD040F"/>
    <w:rsid w:val="00FD0B32"/>
    <w:rsid w:val="00FD0BCB"/>
    <w:rsid w:val="00FD17A4"/>
    <w:rsid w:val="00FD246E"/>
    <w:rsid w:val="00FD2C30"/>
    <w:rsid w:val="00FD3083"/>
    <w:rsid w:val="00FD3FE7"/>
    <w:rsid w:val="00FD42B8"/>
    <w:rsid w:val="00FD453E"/>
    <w:rsid w:val="00FD4637"/>
    <w:rsid w:val="00FD4D87"/>
    <w:rsid w:val="00FD514C"/>
    <w:rsid w:val="00FD7266"/>
    <w:rsid w:val="00FD77F2"/>
    <w:rsid w:val="00FE03EA"/>
    <w:rsid w:val="00FE0453"/>
    <w:rsid w:val="00FE1CBD"/>
    <w:rsid w:val="00FE28D5"/>
    <w:rsid w:val="00FE29BE"/>
    <w:rsid w:val="00FE2BAD"/>
    <w:rsid w:val="00FE2CF0"/>
    <w:rsid w:val="00FE31ED"/>
    <w:rsid w:val="00FE3852"/>
    <w:rsid w:val="00FE46F0"/>
    <w:rsid w:val="00FE48DD"/>
    <w:rsid w:val="00FE5213"/>
    <w:rsid w:val="00FE563A"/>
    <w:rsid w:val="00FE6275"/>
    <w:rsid w:val="00FE68E6"/>
    <w:rsid w:val="00FE6A8D"/>
    <w:rsid w:val="00FE73C8"/>
    <w:rsid w:val="00FF05A3"/>
    <w:rsid w:val="00FF0938"/>
    <w:rsid w:val="00FF136A"/>
    <w:rsid w:val="00FF164B"/>
    <w:rsid w:val="00FF194D"/>
    <w:rsid w:val="00FF212C"/>
    <w:rsid w:val="00FF283E"/>
    <w:rsid w:val="00FF3A2B"/>
    <w:rsid w:val="00FF3A2D"/>
    <w:rsid w:val="00FF4619"/>
    <w:rsid w:val="00FF4A45"/>
    <w:rsid w:val="00FF4AB1"/>
    <w:rsid w:val="00FF4C74"/>
    <w:rsid w:val="00FF4F65"/>
    <w:rsid w:val="00FF5065"/>
    <w:rsid w:val="00FF576B"/>
    <w:rsid w:val="00FF586D"/>
    <w:rsid w:val="00FF5C84"/>
    <w:rsid w:val="00FF6569"/>
    <w:rsid w:val="00FF6A58"/>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EF7B98"/>
    <w:pPr>
      <w:keepNext/>
      <w:keepLines/>
      <w:tabs>
        <w:tab w:val="left" w:pos="0"/>
      </w:tabs>
      <w:spacing w:before="360" w:after="240"/>
      <w:ind w:firstLine="0"/>
      <w:outlineLvl w:val="0"/>
    </w:pPr>
    <w:rPr>
      <w:rFonts w:asciiTheme="majorHAnsi" w:eastAsiaTheme="majorEastAsia" w:hAnsiTheme="majorHAnsi" w:cstheme="majorBidi"/>
      <w:b/>
      <w:bCs/>
      <w:sz w:val="28"/>
      <w:szCs w:val="20"/>
    </w:rPr>
  </w:style>
  <w:style w:type="paragraph" w:styleId="Heading2">
    <w:name w:val="heading 2"/>
    <w:basedOn w:val="Normal"/>
    <w:next w:val="Normal"/>
    <w:link w:val="Heading2Char"/>
    <w:autoRedefine/>
    <w:uiPriority w:val="9"/>
    <w:unhideWhenUsed/>
    <w:qFormat/>
    <w:rsid w:val="00A00434"/>
    <w:pPr>
      <w:keepNext/>
      <w:keepLines/>
      <w:spacing w:before="200" w:after="120"/>
      <w:outlineLvl w:val="1"/>
    </w:pPr>
    <w:rPr>
      <w:rFonts w:ascii="Cambria" w:eastAsiaTheme="majorEastAsia" w:hAnsi="Cambria" w:cstheme="majorBidi"/>
      <w:b/>
      <w:bCs/>
      <w:sz w:val="26"/>
      <w:szCs w:val="20"/>
    </w:rPr>
  </w:style>
  <w:style w:type="paragraph" w:styleId="Heading3">
    <w:name w:val="heading 3"/>
    <w:basedOn w:val="Normal"/>
    <w:next w:val="Normal"/>
    <w:link w:val="Heading3Char"/>
    <w:autoRedefine/>
    <w:uiPriority w:val="9"/>
    <w:unhideWhenUsed/>
    <w:qFormat/>
    <w:rsid w:val="00E16AC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FD308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FD308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EF7B98"/>
    <w:rPr>
      <w:rFonts w:asciiTheme="majorHAnsi" w:eastAsiaTheme="majorEastAsia" w:hAnsiTheme="majorHAnsi" w:cstheme="majorBidi"/>
      <w:b/>
      <w:bCs/>
      <w:sz w:val="28"/>
      <w:szCs w:val="20"/>
    </w:rPr>
  </w:style>
  <w:style w:type="paragraph" w:customStyle="1" w:styleId="Default">
    <w:name w:val="Default"/>
    <w:rsid w:val="00BF6910"/>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AC3D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DD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00434"/>
    <w:rPr>
      <w:rFonts w:ascii="Cambria" w:eastAsiaTheme="majorEastAsia" w:hAnsi="Cambria" w:cstheme="majorBidi"/>
      <w:b/>
      <w:bCs/>
      <w:sz w:val="26"/>
      <w:szCs w:val="20"/>
    </w:rPr>
  </w:style>
  <w:style w:type="paragraph" w:styleId="FootnoteText">
    <w:name w:val="footnote text"/>
    <w:basedOn w:val="Normal"/>
    <w:link w:val="FootnoteTextChar"/>
    <w:uiPriority w:val="99"/>
    <w:unhideWhenUsed/>
    <w:rsid w:val="00282427"/>
    <w:rPr>
      <w:sz w:val="20"/>
      <w:szCs w:val="20"/>
    </w:rPr>
  </w:style>
  <w:style w:type="character" w:customStyle="1" w:styleId="FootnoteTextChar">
    <w:name w:val="Footnote Text Char"/>
    <w:basedOn w:val="DefaultParagraphFont"/>
    <w:link w:val="FootnoteText"/>
    <w:uiPriority w:val="99"/>
    <w:rsid w:val="00282427"/>
    <w:rPr>
      <w:rFonts w:eastAsiaTheme="minorEastAsia"/>
      <w:sz w:val="20"/>
      <w:szCs w:val="20"/>
    </w:rPr>
  </w:style>
  <w:style w:type="character" w:styleId="FootnoteReference">
    <w:name w:val="footnote reference"/>
    <w:basedOn w:val="DefaultParagraphFont"/>
    <w:uiPriority w:val="99"/>
    <w:semiHidden/>
    <w:unhideWhenUsed/>
    <w:rsid w:val="00282427"/>
    <w:rPr>
      <w:vertAlign w:val="superscript"/>
    </w:rPr>
  </w:style>
  <w:style w:type="character" w:customStyle="1" w:styleId="Heading3Char">
    <w:name w:val="Heading 3 Char"/>
    <w:basedOn w:val="DefaultParagraphFont"/>
    <w:link w:val="Heading3"/>
    <w:uiPriority w:val="9"/>
    <w:rsid w:val="00E16AC3"/>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D20008"/>
    <w:rPr>
      <w:sz w:val="16"/>
      <w:szCs w:val="16"/>
    </w:rPr>
  </w:style>
  <w:style w:type="paragraph" w:styleId="CommentText">
    <w:name w:val="annotation text"/>
    <w:basedOn w:val="Normal"/>
    <w:link w:val="CommentTextChar"/>
    <w:uiPriority w:val="99"/>
    <w:semiHidden/>
    <w:unhideWhenUsed/>
    <w:rsid w:val="00D20008"/>
    <w:rPr>
      <w:sz w:val="20"/>
      <w:szCs w:val="20"/>
    </w:rPr>
  </w:style>
  <w:style w:type="character" w:customStyle="1" w:styleId="CommentTextChar">
    <w:name w:val="Comment Text Char"/>
    <w:basedOn w:val="DefaultParagraphFont"/>
    <w:link w:val="CommentText"/>
    <w:uiPriority w:val="99"/>
    <w:semiHidden/>
    <w:rsid w:val="00D200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20008"/>
    <w:rPr>
      <w:b/>
      <w:bCs/>
    </w:rPr>
  </w:style>
  <w:style w:type="character" w:customStyle="1" w:styleId="CommentSubjectChar">
    <w:name w:val="Comment Subject Char"/>
    <w:basedOn w:val="CommentTextChar"/>
    <w:link w:val="CommentSubject"/>
    <w:uiPriority w:val="99"/>
    <w:semiHidden/>
    <w:rsid w:val="00D20008"/>
    <w:rPr>
      <w:rFonts w:eastAsiaTheme="minorEastAsia"/>
      <w:b/>
      <w:bCs/>
      <w:sz w:val="20"/>
      <w:szCs w:val="20"/>
    </w:rPr>
  </w:style>
  <w:style w:type="paragraph" w:styleId="BalloonText">
    <w:name w:val="Balloon Text"/>
    <w:basedOn w:val="Normal"/>
    <w:link w:val="BalloonTextChar"/>
    <w:uiPriority w:val="99"/>
    <w:semiHidden/>
    <w:unhideWhenUsed/>
    <w:rsid w:val="00D20008"/>
    <w:rPr>
      <w:rFonts w:ascii="Tahoma" w:hAnsi="Tahoma" w:cs="Tahoma"/>
      <w:sz w:val="16"/>
      <w:szCs w:val="16"/>
    </w:rPr>
  </w:style>
  <w:style w:type="character" w:customStyle="1" w:styleId="BalloonTextChar">
    <w:name w:val="Balloon Text Char"/>
    <w:basedOn w:val="DefaultParagraphFont"/>
    <w:link w:val="BalloonText"/>
    <w:uiPriority w:val="99"/>
    <w:semiHidden/>
    <w:rsid w:val="00D20008"/>
    <w:rPr>
      <w:rFonts w:ascii="Tahoma" w:eastAsiaTheme="minorEastAsia" w:hAnsi="Tahoma" w:cs="Tahoma"/>
      <w:sz w:val="16"/>
      <w:szCs w:val="16"/>
    </w:rPr>
  </w:style>
  <w:style w:type="paragraph" w:styleId="Header">
    <w:name w:val="header"/>
    <w:basedOn w:val="Normal"/>
    <w:link w:val="HeaderChar"/>
    <w:uiPriority w:val="99"/>
    <w:unhideWhenUsed/>
    <w:rsid w:val="00842A08"/>
    <w:pPr>
      <w:tabs>
        <w:tab w:val="center" w:pos="4680"/>
        <w:tab w:val="right" w:pos="9360"/>
      </w:tabs>
    </w:pPr>
  </w:style>
  <w:style w:type="character" w:customStyle="1" w:styleId="HeaderChar">
    <w:name w:val="Header Char"/>
    <w:basedOn w:val="DefaultParagraphFont"/>
    <w:link w:val="Header"/>
    <w:uiPriority w:val="99"/>
    <w:rsid w:val="00842A08"/>
    <w:rPr>
      <w:rFonts w:eastAsiaTheme="minorEastAsia"/>
    </w:rPr>
  </w:style>
  <w:style w:type="paragraph" w:styleId="Footer">
    <w:name w:val="footer"/>
    <w:basedOn w:val="Normal"/>
    <w:link w:val="FooterChar"/>
    <w:uiPriority w:val="99"/>
    <w:unhideWhenUsed/>
    <w:rsid w:val="00842A08"/>
    <w:pPr>
      <w:tabs>
        <w:tab w:val="center" w:pos="4680"/>
        <w:tab w:val="right" w:pos="9360"/>
      </w:tabs>
    </w:pPr>
  </w:style>
  <w:style w:type="character" w:customStyle="1" w:styleId="FooterChar">
    <w:name w:val="Footer Char"/>
    <w:basedOn w:val="DefaultParagraphFont"/>
    <w:link w:val="Footer"/>
    <w:uiPriority w:val="99"/>
    <w:rsid w:val="00842A08"/>
    <w:rPr>
      <w:rFonts w:eastAsiaTheme="minorEastAsia"/>
    </w:rPr>
  </w:style>
  <w:style w:type="paragraph" w:customStyle="1" w:styleId="Footnote">
    <w:name w:val="Footnote"/>
    <w:basedOn w:val="FootnoteText"/>
    <w:link w:val="FootnoteChar"/>
    <w:qFormat/>
    <w:rsid w:val="007C0B83"/>
  </w:style>
  <w:style w:type="character" w:customStyle="1" w:styleId="FootnoteChar">
    <w:name w:val="Footnote Char"/>
    <w:basedOn w:val="FootnoteTextChar"/>
    <w:link w:val="Footnote"/>
    <w:rsid w:val="007C0B83"/>
    <w:rPr>
      <w:rFonts w:eastAsiaTheme="minorEastAsia"/>
      <w:sz w:val="20"/>
      <w:szCs w:val="20"/>
    </w:rPr>
  </w:style>
  <w:style w:type="character" w:customStyle="1" w:styleId="st">
    <w:name w:val="st"/>
    <w:basedOn w:val="DefaultParagraphFont"/>
    <w:rsid w:val="00191217"/>
  </w:style>
  <w:style w:type="character" w:styleId="Emphasis">
    <w:name w:val="Emphasis"/>
    <w:basedOn w:val="DefaultParagraphFont"/>
    <w:uiPriority w:val="20"/>
    <w:qFormat/>
    <w:rsid w:val="00191217"/>
    <w:rPr>
      <w:i/>
      <w:iCs/>
    </w:rPr>
  </w:style>
  <w:style w:type="character" w:styleId="PlaceholderText">
    <w:name w:val="Placeholder Text"/>
    <w:basedOn w:val="DefaultParagraphFont"/>
    <w:uiPriority w:val="99"/>
    <w:semiHidden/>
    <w:rsid w:val="00D27BAB"/>
    <w:rPr>
      <w:color w:val="808080"/>
    </w:rPr>
  </w:style>
  <w:style w:type="character" w:styleId="LineNumber">
    <w:name w:val="line number"/>
    <w:basedOn w:val="DefaultParagraphFont"/>
    <w:uiPriority w:val="99"/>
    <w:semiHidden/>
    <w:unhideWhenUsed/>
    <w:rsid w:val="00EE4A8B"/>
  </w:style>
  <w:style w:type="character" w:styleId="Strong">
    <w:name w:val="Strong"/>
    <w:basedOn w:val="DefaultParagraphFont"/>
    <w:uiPriority w:val="22"/>
    <w:qFormat/>
    <w:rsid w:val="001F1BE2"/>
    <w:rPr>
      <w:b/>
      <w:bCs/>
    </w:rPr>
  </w:style>
  <w:style w:type="character" w:customStyle="1" w:styleId="pb">
    <w:name w:val="pb"/>
    <w:basedOn w:val="DefaultParagraphFont"/>
    <w:rsid w:val="000C3FA6"/>
  </w:style>
  <w:style w:type="character" w:styleId="Hyperlink">
    <w:name w:val="Hyperlink"/>
    <w:basedOn w:val="DefaultParagraphFont"/>
    <w:uiPriority w:val="99"/>
    <w:unhideWhenUsed/>
    <w:rsid w:val="000C3FA6"/>
    <w:rPr>
      <w:color w:val="0000FF"/>
      <w:u w:val="single"/>
    </w:rPr>
  </w:style>
  <w:style w:type="character" w:customStyle="1" w:styleId="itempublisher">
    <w:name w:val="itempublisher"/>
    <w:basedOn w:val="DefaultParagraphFont"/>
    <w:rsid w:val="00FA53CA"/>
  </w:style>
  <w:style w:type="paragraph" w:styleId="List">
    <w:name w:val="List"/>
    <w:basedOn w:val="Normal"/>
    <w:uiPriority w:val="99"/>
    <w:unhideWhenUsed/>
    <w:rsid w:val="00D35811"/>
    <w:pPr>
      <w:ind w:left="360" w:hanging="360"/>
      <w:contextualSpacing/>
    </w:pPr>
  </w:style>
  <w:style w:type="paragraph" w:styleId="PlainText">
    <w:name w:val="Plain Text"/>
    <w:basedOn w:val="Normal"/>
    <w:link w:val="PlainTextChar"/>
    <w:unhideWhenUsed/>
    <w:qFormat/>
    <w:rsid w:val="00830E36"/>
    <w:pPr>
      <w:tabs>
        <w:tab w:val="left" w:pos="1440"/>
      </w:tabs>
      <w:ind w:firstLine="0"/>
    </w:pPr>
    <w:rPr>
      <w:rFonts w:cs="Times New Roman"/>
      <w:szCs w:val="20"/>
      <w:lang w:val="en-GB" w:bidi="he-IL"/>
    </w:rPr>
  </w:style>
  <w:style w:type="character" w:customStyle="1" w:styleId="PlainTextChar">
    <w:name w:val="Plain Text Char"/>
    <w:basedOn w:val="DefaultParagraphFont"/>
    <w:link w:val="PlainText"/>
    <w:rsid w:val="00830E36"/>
    <w:rPr>
      <w:rFonts w:eastAsiaTheme="minorEastAsia" w:cs="Times New Roman"/>
      <w:szCs w:val="20"/>
      <w:lang w:val="en-GB" w:bidi="he-IL"/>
    </w:rPr>
  </w:style>
  <w:style w:type="character" w:customStyle="1" w:styleId="titlemain">
    <w:name w:val="titlemain"/>
    <w:basedOn w:val="DefaultParagraphFont"/>
    <w:rsid w:val="009A36BE"/>
  </w:style>
  <w:style w:type="character" w:customStyle="1" w:styleId="s19">
    <w:name w:val="s19"/>
    <w:basedOn w:val="DefaultParagraphFont"/>
    <w:rsid w:val="009A36BE"/>
  </w:style>
  <w:style w:type="character" w:customStyle="1" w:styleId="s10">
    <w:name w:val="s10"/>
    <w:basedOn w:val="DefaultParagraphFont"/>
    <w:rsid w:val="009A36BE"/>
  </w:style>
  <w:style w:type="character" w:customStyle="1" w:styleId="s20">
    <w:name w:val="s20"/>
    <w:basedOn w:val="DefaultParagraphFont"/>
    <w:rsid w:val="009A36BE"/>
  </w:style>
  <w:style w:type="paragraph" w:customStyle="1" w:styleId="par-l-main-text">
    <w:name w:val="par-l-main-text"/>
    <w:basedOn w:val="Normal"/>
    <w:rsid w:val="009A36BE"/>
    <w:pPr>
      <w:spacing w:before="100" w:beforeAutospacing="1" w:after="100" w:afterAutospacing="1"/>
      <w:ind w:firstLine="0"/>
    </w:pPr>
    <w:rPr>
      <w:rFonts w:ascii="Times New Roman" w:eastAsia="Times New Roman" w:hAnsi="Times New Roman" w:cs="Times New Roman"/>
      <w:sz w:val="24"/>
      <w:szCs w:val="24"/>
    </w:rPr>
  </w:style>
  <w:style w:type="character" w:customStyle="1" w:styleId="s22">
    <w:name w:val="s22"/>
    <w:basedOn w:val="DefaultParagraphFont"/>
    <w:rsid w:val="009A36BE"/>
  </w:style>
  <w:style w:type="character" w:customStyle="1" w:styleId="medium-font">
    <w:name w:val="medium-font"/>
    <w:basedOn w:val="DefaultParagraphFont"/>
    <w:rsid w:val="009A36BE"/>
  </w:style>
  <w:style w:type="character" w:customStyle="1" w:styleId="a-size-extra-large">
    <w:name w:val="a-size-extra-large"/>
    <w:basedOn w:val="DefaultParagraphFont"/>
    <w:rsid w:val="00A06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EF7B98"/>
    <w:pPr>
      <w:keepNext/>
      <w:keepLines/>
      <w:tabs>
        <w:tab w:val="left" w:pos="0"/>
      </w:tabs>
      <w:spacing w:before="360" w:after="240"/>
      <w:ind w:firstLine="0"/>
      <w:outlineLvl w:val="0"/>
    </w:pPr>
    <w:rPr>
      <w:rFonts w:asciiTheme="majorHAnsi" w:eastAsiaTheme="majorEastAsia" w:hAnsiTheme="majorHAnsi" w:cstheme="majorBidi"/>
      <w:b/>
      <w:bCs/>
      <w:sz w:val="28"/>
      <w:szCs w:val="20"/>
    </w:rPr>
  </w:style>
  <w:style w:type="paragraph" w:styleId="Heading2">
    <w:name w:val="heading 2"/>
    <w:basedOn w:val="Normal"/>
    <w:next w:val="Normal"/>
    <w:link w:val="Heading2Char"/>
    <w:autoRedefine/>
    <w:uiPriority w:val="9"/>
    <w:unhideWhenUsed/>
    <w:qFormat/>
    <w:rsid w:val="00A00434"/>
    <w:pPr>
      <w:keepNext/>
      <w:keepLines/>
      <w:spacing w:before="200" w:after="120"/>
      <w:outlineLvl w:val="1"/>
    </w:pPr>
    <w:rPr>
      <w:rFonts w:ascii="Cambria" w:eastAsiaTheme="majorEastAsia" w:hAnsi="Cambria" w:cstheme="majorBidi"/>
      <w:b/>
      <w:bCs/>
      <w:sz w:val="26"/>
      <w:szCs w:val="20"/>
    </w:rPr>
  </w:style>
  <w:style w:type="paragraph" w:styleId="Heading3">
    <w:name w:val="heading 3"/>
    <w:basedOn w:val="Normal"/>
    <w:next w:val="Normal"/>
    <w:link w:val="Heading3Char"/>
    <w:autoRedefine/>
    <w:uiPriority w:val="9"/>
    <w:unhideWhenUsed/>
    <w:qFormat/>
    <w:rsid w:val="00E16AC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FD308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FD308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EF7B98"/>
    <w:rPr>
      <w:rFonts w:asciiTheme="majorHAnsi" w:eastAsiaTheme="majorEastAsia" w:hAnsiTheme="majorHAnsi" w:cstheme="majorBidi"/>
      <w:b/>
      <w:bCs/>
      <w:sz w:val="28"/>
      <w:szCs w:val="20"/>
    </w:rPr>
  </w:style>
  <w:style w:type="paragraph" w:customStyle="1" w:styleId="Default">
    <w:name w:val="Default"/>
    <w:rsid w:val="00BF6910"/>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AC3D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DD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00434"/>
    <w:rPr>
      <w:rFonts w:ascii="Cambria" w:eastAsiaTheme="majorEastAsia" w:hAnsi="Cambria" w:cstheme="majorBidi"/>
      <w:b/>
      <w:bCs/>
      <w:sz w:val="26"/>
      <w:szCs w:val="20"/>
    </w:rPr>
  </w:style>
  <w:style w:type="paragraph" w:styleId="FootnoteText">
    <w:name w:val="footnote text"/>
    <w:basedOn w:val="Normal"/>
    <w:link w:val="FootnoteTextChar"/>
    <w:uiPriority w:val="99"/>
    <w:unhideWhenUsed/>
    <w:rsid w:val="00282427"/>
    <w:rPr>
      <w:sz w:val="20"/>
      <w:szCs w:val="20"/>
    </w:rPr>
  </w:style>
  <w:style w:type="character" w:customStyle="1" w:styleId="FootnoteTextChar">
    <w:name w:val="Footnote Text Char"/>
    <w:basedOn w:val="DefaultParagraphFont"/>
    <w:link w:val="FootnoteText"/>
    <w:uiPriority w:val="99"/>
    <w:rsid w:val="00282427"/>
    <w:rPr>
      <w:rFonts w:eastAsiaTheme="minorEastAsia"/>
      <w:sz w:val="20"/>
      <w:szCs w:val="20"/>
    </w:rPr>
  </w:style>
  <w:style w:type="character" w:styleId="FootnoteReference">
    <w:name w:val="footnote reference"/>
    <w:basedOn w:val="DefaultParagraphFont"/>
    <w:uiPriority w:val="99"/>
    <w:semiHidden/>
    <w:unhideWhenUsed/>
    <w:rsid w:val="00282427"/>
    <w:rPr>
      <w:vertAlign w:val="superscript"/>
    </w:rPr>
  </w:style>
  <w:style w:type="character" w:customStyle="1" w:styleId="Heading3Char">
    <w:name w:val="Heading 3 Char"/>
    <w:basedOn w:val="DefaultParagraphFont"/>
    <w:link w:val="Heading3"/>
    <w:uiPriority w:val="9"/>
    <w:rsid w:val="00E16AC3"/>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D20008"/>
    <w:rPr>
      <w:sz w:val="16"/>
      <w:szCs w:val="16"/>
    </w:rPr>
  </w:style>
  <w:style w:type="paragraph" w:styleId="CommentText">
    <w:name w:val="annotation text"/>
    <w:basedOn w:val="Normal"/>
    <w:link w:val="CommentTextChar"/>
    <w:uiPriority w:val="99"/>
    <w:semiHidden/>
    <w:unhideWhenUsed/>
    <w:rsid w:val="00D20008"/>
    <w:rPr>
      <w:sz w:val="20"/>
      <w:szCs w:val="20"/>
    </w:rPr>
  </w:style>
  <w:style w:type="character" w:customStyle="1" w:styleId="CommentTextChar">
    <w:name w:val="Comment Text Char"/>
    <w:basedOn w:val="DefaultParagraphFont"/>
    <w:link w:val="CommentText"/>
    <w:uiPriority w:val="99"/>
    <w:semiHidden/>
    <w:rsid w:val="00D200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20008"/>
    <w:rPr>
      <w:b/>
      <w:bCs/>
    </w:rPr>
  </w:style>
  <w:style w:type="character" w:customStyle="1" w:styleId="CommentSubjectChar">
    <w:name w:val="Comment Subject Char"/>
    <w:basedOn w:val="CommentTextChar"/>
    <w:link w:val="CommentSubject"/>
    <w:uiPriority w:val="99"/>
    <w:semiHidden/>
    <w:rsid w:val="00D20008"/>
    <w:rPr>
      <w:rFonts w:eastAsiaTheme="minorEastAsia"/>
      <w:b/>
      <w:bCs/>
      <w:sz w:val="20"/>
      <w:szCs w:val="20"/>
    </w:rPr>
  </w:style>
  <w:style w:type="paragraph" w:styleId="BalloonText">
    <w:name w:val="Balloon Text"/>
    <w:basedOn w:val="Normal"/>
    <w:link w:val="BalloonTextChar"/>
    <w:uiPriority w:val="99"/>
    <w:semiHidden/>
    <w:unhideWhenUsed/>
    <w:rsid w:val="00D20008"/>
    <w:rPr>
      <w:rFonts w:ascii="Tahoma" w:hAnsi="Tahoma" w:cs="Tahoma"/>
      <w:sz w:val="16"/>
      <w:szCs w:val="16"/>
    </w:rPr>
  </w:style>
  <w:style w:type="character" w:customStyle="1" w:styleId="BalloonTextChar">
    <w:name w:val="Balloon Text Char"/>
    <w:basedOn w:val="DefaultParagraphFont"/>
    <w:link w:val="BalloonText"/>
    <w:uiPriority w:val="99"/>
    <w:semiHidden/>
    <w:rsid w:val="00D20008"/>
    <w:rPr>
      <w:rFonts w:ascii="Tahoma" w:eastAsiaTheme="minorEastAsia" w:hAnsi="Tahoma" w:cs="Tahoma"/>
      <w:sz w:val="16"/>
      <w:szCs w:val="16"/>
    </w:rPr>
  </w:style>
  <w:style w:type="paragraph" w:styleId="Header">
    <w:name w:val="header"/>
    <w:basedOn w:val="Normal"/>
    <w:link w:val="HeaderChar"/>
    <w:uiPriority w:val="99"/>
    <w:unhideWhenUsed/>
    <w:rsid w:val="00842A08"/>
    <w:pPr>
      <w:tabs>
        <w:tab w:val="center" w:pos="4680"/>
        <w:tab w:val="right" w:pos="9360"/>
      </w:tabs>
    </w:pPr>
  </w:style>
  <w:style w:type="character" w:customStyle="1" w:styleId="HeaderChar">
    <w:name w:val="Header Char"/>
    <w:basedOn w:val="DefaultParagraphFont"/>
    <w:link w:val="Header"/>
    <w:uiPriority w:val="99"/>
    <w:rsid w:val="00842A08"/>
    <w:rPr>
      <w:rFonts w:eastAsiaTheme="minorEastAsia"/>
    </w:rPr>
  </w:style>
  <w:style w:type="paragraph" w:styleId="Footer">
    <w:name w:val="footer"/>
    <w:basedOn w:val="Normal"/>
    <w:link w:val="FooterChar"/>
    <w:uiPriority w:val="99"/>
    <w:unhideWhenUsed/>
    <w:rsid w:val="00842A08"/>
    <w:pPr>
      <w:tabs>
        <w:tab w:val="center" w:pos="4680"/>
        <w:tab w:val="right" w:pos="9360"/>
      </w:tabs>
    </w:pPr>
  </w:style>
  <w:style w:type="character" w:customStyle="1" w:styleId="FooterChar">
    <w:name w:val="Footer Char"/>
    <w:basedOn w:val="DefaultParagraphFont"/>
    <w:link w:val="Footer"/>
    <w:uiPriority w:val="99"/>
    <w:rsid w:val="00842A08"/>
    <w:rPr>
      <w:rFonts w:eastAsiaTheme="minorEastAsia"/>
    </w:rPr>
  </w:style>
  <w:style w:type="paragraph" w:customStyle="1" w:styleId="Footnote">
    <w:name w:val="Footnote"/>
    <w:basedOn w:val="FootnoteText"/>
    <w:link w:val="FootnoteChar"/>
    <w:qFormat/>
    <w:rsid w:val="007C0B83"/>
  </w:style>
  <w:style w:type="character" w:customStyle="1" w:styleId="FootnoteChar">
    <w:name w:val="Footnote Char"/>
    <w:basedOn w:val="FootnoteTextChar"/>
    <w:link w:val="Footnote"/>
    <w:rsid w:val="007C0B83"/>
    <w:rPr>
      <w:rFonts w:eastAsiaTheme="minorEastAsia"/>
      <w:sz w:val="20"/>
      <w:szCs w:val="20"/>
    </w:rPr>
  </w:style>
  <w:style w:type="character" w:customStyle="1" w:styleId="st">
    <w:name w:val="st"/>
    <w:basedOn w:val="DefaultParagraphFont"/>
    <w:rsid w:val="00191217"/>
  </w:style>
  <w:style w:type="character" w:styleId="Emphasis">
    <w:name w:val="Emphasis"/>
    <w:basedOn w:val="DefaultParagraphFont"/>
    <w:uiPriority w:val="20"/>
    <w:qFormat/>
    <w:rsid w:val="00191217"/>
    <w:rPr>
      <w:i/>
      <w:iCs/>
    </w:rPr>
  </w:style>
  <w:style w:type="character" w:styleId="PlaceholderText">
    <w:name w:val="Placeholder Text"/>
    <w:basedOn w:val="DefaultParagraphFont"/>
    <w:uiPriority w:val="99"/>
    <w:semiHidden/>
    <w:rsid w:val="00D27BAB"/>
    <w:rPr>
      <w:color w:val="808080"/>
    </w:rPr>
  </w:style>
  <w:style w:type="character" w:styleId="LineNumber">
    <w:name w:val="line number"/>
    <w:basedOn w:val="DefaultParagraphFont"/>
    <w:uiPriority w:val="99"/>
    <w:semiHidden/>
    <w:unhideWhenUsed/>
    <w:rsid w:val="00EE4A8B"/>
  </w:style>
  <w:style w:type="character" w:styleId="Strong">
    <w:name w:val="Strong"/>
    <w:basedOn w:val="DefaultParagraphFont"/>
    <w:uiPriority w:val="22"/>
    <w:qFormat/>
    <w:rsid w:val="001F1BE2"/>
    <w:rPr>
      <w:b/>
      <w:bCs/>
    </w:rPr>
  </w:style>
  <w:style w:type="character" w:customStyle="1" w:styleId="pb">
    <w:name w:val="pb"/>
    <w:basedOn w:val="DefaultParagraphFont"/>
    <w:rsid w:val="000C3FA6"/>
  </w:style>
  <w:style w:type="character" w:styleId="Hyperlink">
    <w:name w:val="Hyperlink"/>
    <w:basedOn w:val="DefaultParagraphFont"/>
    <w:uiPriority w:val="99"/>
    <w:unhideWhenUsed/>
    <w:rsid w:val="000C3FA6"/>
    <w:rPr>
      <w:color w:val="0000FF"/>
      <w:u w:val="single"/>
    </w:rPr>
  </w:style>
  <w:style w:type="character" w:customStyle="1" w:styleId="itempublisher">
    <w:name w:val="itempublisher"/>
    <w:basedOn w:val="DefaultParagraphFont"/>
    <w:rsid w:val="00FA53CA"/>
  </w:style>
  <w:style w:type="paragraph" w:styleId="List">
    <w:name w:val="List"/>
    <w:basedOn w:val="Normal"/>
    <w:uiPriority w:val="99"/>
    <w:unhideWhenUsed/>
    <w:rsid w:val="00D35811"/>
    <w:pPr>
      <w:ind w:left="360" w:hanging="360"/>
      <w:contextualSpacing/>
    </w:pPr>
  </w:style>
  <w:style w:type="paragraph" w:styleId="PlainText">
    <w:name w:val="Plain Text"/>
    <w:basedOn w:val="Normal"/>
    <w:link w:val="PlainTextChar"/>
    <w:unhideWhenUsed/>
    <w:qFormat/>
    <w:rsid w:val="00830E36"/>
    <w:pPr>
      <w:tabs>
        <w:tab w:val="left" w:pos="1440"/>
      </w:tabs>
      <w:ind w:firstLine="0"/>
    </w:pPr>
    <w:rPr>
      <w:rFonts w:cs="Times New Roman"/>
      <w:szCs w:val="20"/>
      <w:lang w:val="en-GB" w:bidi="he-IL"/>
    </w:rPr>
  </w:style>
  <w:style w:type="character" w:customStyle="1" w:styleId="PlainTextChar">
    <w:name w:val="Plain Text Char"/>
    <w:basedOn w:val="DefaultParagraphFont"/>
    <w:link w:val="PlainText"/>
    <w:rsid w:val="00830E36"/>
    <w:rPr>
      <w:rFonts w:eastAsiaTheme="minorEastAsia" w:cs="Times New Roman"/>
      <w:szCs w:val="20"/>
      <w:lang w:val="en-GB" w:bidi="he-IL"/>
    </w:rPr>
  </w:style>
  <w:style w:type="character" w:customStyle="1" w:styleId="titlemain">
    <w:name w:val="titlemain"/>
    <w:basedOn w:val="DefaultParagraphFont"/>
    <w:rsid w:val="009A36BE"/>
  </w:style>
  <w:style w:type="character" w:customStyle="1" w:styleId="s19">
    <w:name w:val="s19"/>
    <w:basedOn w:val="DefaultParagraphFont"/>
    <w:rsid w:val="009A36BE"/>
  </w:style>
  <w:style w:type="character" w:customStyle="1" w:styleId="s10">
    <w:name w:val="s10"/>
    <w:basedOn w:val="DefaultParagraphFont"/>
    <w:rsid w:val="009A36BE"/>
  </w:style>
  <w:style w:type="character" w:customStyle="1" w:styleId="s20">
    <w:name w:val="s20"/>
    <w:basedOn w:val="DefaultParagraphFont"/>
    <w:rsid w:val="009A36BE"/>
  </w:style>
  <w:style w:type="paragraph" w:customStyle="1" w:styleId="par-l-main-text">
    <w:name w:val="par-l-main-text"/>
    <w:basedOn w:val="Normal"/>
    <w:rsid w:val="009A36BE"/>
    <w:pPr>
      <w:spacing w:before="100" w:beforeAutospacing="1" w:after="100" w:afterAutospacing="1"/>
      <w:ind w:firstLine="0"/>
    </w:pPr>
    <w:rPr>
      <w:rFonts w:ascii="Times New Roman" w:eastAsia="Times New Roman" w:hAnsi="Times New Roman" w:cs="Times New Roman"/>
      <w:sz w:val="24"/>
      <w:szCs w:val="24"/>
    </w:rPr>
  </w:style>
  <w:style w:type="character" w:customStyle="1" w:styleId="s22">
    <w:name w:val="s22"/>
    <w:basedOn w:val="DefaultParagraphFont"/>
    <w:rsid w:val="009A36BE"/>
  </w:style>
  <w:style w:type="character" w:customStyle="1" w:styleId="medium-font">
    <w:name w:val="medium-font"/>
    <w:basedOn w:val="DefaultParagraphFont"/>
    <w:rsid w:val="009A36BE"/>
  </w:style>
  <w:style w:type="character" w:customStyle="1" w:styleId="a-size-extra-large">
    <w:name w:val="a-size-extra-large"/>
    <w:basedOn w:val="DefaultParagraphFont"/>
    <w:rsid w:val="00A0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630">
      <w:bodyDiv w:val="1"/>
      <w:marLeft w:val="0"/>
      <w:marRight w:val="0"/>
      <w:marTop w:val="0"/>
      <w:marBottom w:val="0"/>
      <w:divBdr>
        <w:top w:val="none" w:sz="0" w:space="0" w:color="auto"/>
        <w:left w:val="none" w:sz="0" w:space="0" w:color="auto"/>
        <w:bottom w:val="none" w:sz="0" w:space="0" w:color="auto"/>
        <w:right w:val="none" w:sz="0" w:space="0" w:color="auto"/>
      </w:divBdr>
      <w:divsChild>
        <w:div w:id="261644114">
          <w:marLeft w:val="0"/>
          <w:marRight w:val="0"/>
          <w:marTop w:val="0"/>
          <w:marBottom w:val="0"/>
          <w:divBdr>
            <w:top w:val="none" w:sz="0" w:space="0" w:color="auto"/>
            <w:left w:val="none" w:sz="0" w:space="0" w:color="auto"/>
            <w:bottom w:val="none" w:sz="0" w:space="0" w:color="auto"/>
            <w:right w:val="none" w:sz="0" w:space="0" w:color="auto"/>
          </w:divBdr>
        </w:div>
        <w:div w:id="1880194240">
          <w:marLeft w:val="0"/>
          <w:marRight w:val="0"/>
          <w:marTop w:val="0"/>
          <w:marBottom w:val="0"/>
          <w:divBdr>
            <w:top w:val="none" w:sz="0" w:space="0" w:color="auto"/>
            <w:left w:val="none" w:sz="0" w:space="0" w:color="auto"/>
            <w:bottom w:val="none" w:sz="0" w:space="0" w:color="auto"/>
            <w:right w:val="none" w:sz="0" w:space="0" w:color="auto"/>
          </w:divBdr>
        </w:div>
      </w:divsChild>
    </w:div>
    <w:div w:id="274673999">
      <w:bodyDiv w:val="1"/>
      <w:marLeft w:val="0"/>
      <w:marRight w:val="0"/>
      <w:marTop w:val="0"/>
      <w:marBottom w:val="0"/>
      <w:divBdr>
        <w:top w:val="none" w:sz="0" w:space="0" w:color="auto"/>
        <w:left w:val="none" w:sz="0" w:space="0" w:color="auto"/>
        <w:bottom w:val="none" w:sz="0" w:space="0" w:color="auto"/>
        <w:right w:val="none" w:sz="0" w:space="0" w:color="auto"/>
      </w:divBdr>
    </w:div>
    <w:div w:id="332225799">
      <w:bodyDiv w:val="1"/>
      <w:marLeft w:val="0"/>
      <w:marRight w:val="0"/>
      <w:marTop w:val="0"/>
      <w:marBottom w:val="0"/>
      <w:divBdr>
        <w:top w:val="none" w:sz="0" w:space="0" w:color="auto"/>
        <w:left w:val="none" w:sz="0" w:space="0" w:color="auto"/>
        <w:bottom w:val="none" w:sz="0" w:space="0" w:color="auto"/>
        <w:right w:val="none" w:sz="0" w:space="0" w:color="auto"/>
      </w:divBdr>
    </w:div>
    <w:div w:id="881675304">
      <w:bodyDiv w:val="1"/>
      <w:marLeft w:val="0"/>
      <w:marRight w:val="0"/>
      <w:marTop w:val="0"/>
      <w:marBottom w:val="0"/>
      <w:divBdr>
        <w:top w:val="none" w:sz="0" w:space="0" w:color="auto"/>
        <w:left w:val="none" w:sz="0" w:space="0" w:color="auto"/>
        <w:bottom w:val="none" w:sz="0" w:space="0" w:color="auto"/>
        <w:right w:val="none" w:sz="0" w:space="0" w:color="auto"/>
      </w:divBdr>
    </w:div>
    <w:div w:id="958419038">
      <w:bodyDiv w:val="1"/>
      <w:marLeft w:val="0"/>
      <w:marRight w:val="0"/>
      <w:marTop w:val="0"/>
      <w:marBottom w:val="0"/>
      <w:divBdr>
        <w:top w:val="none" w:sz="0" w:space="0" w:color="auto"/>
        <w:left w:val="none" w:sz="0" w:space="0" w:color="auto"/>
        <w:bottom w:val="none" w:sz="0" w:space="0" w:color="auto"/>
        <w:right w:val="none" w:sz="0" w:space="0" w:color="auto"/>
      </w:divBdr>
    </w:div>
    <w:div w:id="963342235">
      <w:bodyDiv w:val="1"/>
      <w:marLeft w:val="0"/>
      <w:marRight w:val="0"/>
      <w:marTop w:val="0"/>
      <w:marBottom w:val="0"/>
      <w:divBdr>
        <w:top w:val="none" w:sz="0" w:space="0" w:color="auto"/>
        <w:left w:val="none" w:sz="0" w:space="0" w:color="auto"/>
        <w:bottom w:val="none" w:sz="0" w:space="0" w:color="auto"/>
        <w:right w:val="none" w:sz="0" w:space="0" w:color="auto"/>
      </w:divBdr>
    </w:div>
    <w:div w:id="1064989639">
      <w:bodyDiv w:val="1"/>
      <w:marLeft w:val="0"/>
      <w:marRight w:val="0"/>
      <w:marTop w:val="0"/>
      <w:marBottom w:val="0"/>
      <w:divBdr>
        <w:top w:val="none" w:sz="0" w:space="0" w:color="auto"/>
        <w:left w:val="none" w:sz="0" w:space="0" w:color="auto"/>
        <w:bottom w:val="none" w:sz="0" w:space="0" w:color="auto"/>
        <w:right w:val="none" w:sz="0" w:space="0" w:color="auto"/>
      </w:divBdr>
      <w:divsChild>
        <w:div w:id="214897570">
          <w:marLeft w:val="0"/>
          <w:marRight w:val="0"/>
          <w:marTop w:val="0"/>
          <w:marBottom w:val="0"/>
          <w:divBdr>
            <w:top w:val="none" w:sz="0" w:space="0" w:color="auto"/>
            <w:left w:val="none" w:sz="0" w:space="0" w:color="auto"/>
            <w:bottom w:val="none" w:sz="0" w:space="0" w:color="auto"/>
            <w:right w:val="none" w:sz="0" w:space="0" w:color="auto"/>
          </w:divBdr>
        </w:div>
        <w:div w:id="625547404">
          <w:marLeft w:val="0"/>
          <w:marRight w:val="0"/>
          <w:marTop w:val="0"/>
          <w:marBottom w:val="0"/>
          <w:divBdr>
            <w:top w:val="none" w:sz="0" w:space="0" w:color="auto"/>
            <w:left w:val="none" w:sz="0" w:space="0" w:color="auto"/>
            <w:bottom w:val="none" w:sz="0" w:space="0" w:color="auto"/>
            <w:right w:val="none" w:sz="0" w:space="0" w:color="auto"/>
          </w:divBdr>
        </w:div>
        <w:div w:id="727386270">
          <w:marLeft w:val="0"/>
          <w:marRight w:val="0"/>
          <w:marTop w:val="0"/>
          <w:marBottom w:val="0"/>
          <w:divBdr>
            <w:top w:val="none" w:sz="0" w:space="0" w:color="auto"/>
            <w:left w:val="none" w:sz="0" w:space="0" w:color="auto"/>
            <w:bottom w:val="none" w:sz="0" w:space="0" w:color="auto"/>
            <w:right w:val="none" w:sz="0" w:space="0" w:color="auto"/>
          </w:divBdr>
        </w:div>
        <w:div w:id="1202210488">
          <w:marLeft w:val="0"/>
          <w:marRight w:val="0"/>
          <w:marTop w:val="0"/>
          <w:marBottom w:val="0"/>
          <w:divBdr>
            <w:top w:val="none" w:sz="0" w:space="0" w:color="auto"/>
            <w:left w:val="none" w:sz="0" w:space="0" w:color="auto"/>
            <w:bottom w:val="none" w:sz="0" w:space="0" w:color="auto"/>
            <w:right w:val="none" w:sz="0" w:space="0" w:color="auto"/>
          </w:divBdr>
        </w:div>
      </w:divsChild>
    </w:div>
    <w:div w:id="1076048815">
      <w:bodyDiv w:val="1"/>
      <w:marLeft w:val="0"/>
      <w:marRight w:val="0"/>
      <w:marTop w:val="0"/>
      <w:marBottom w:val="0"/>
      <w:divBdr>
        <w:top w:val="none" w:sz="0" w:space="0" w:color="auto"/>
        <w:left w:val="none" w:sz="0" w:space="0" w:color="auto"/>
        <w:bottom w:val="none" w:sz="0" w:space="0" w:color="auto"/>
        <w:right w:val="none" w:sz="0" w:space="0" w:color="auto"/>
      </w:divBdr>
    </w:div>
    <w:div w:id="1105073948">
      <w:bodyDiv w:val="1"/>
      <w:marLeft w:val="0"/>
      <w:marRight w:val="0"/>
      <w:marTop w:val="0"/>
      <w:marBottom w:val="0"/>
      <w:divBdr>
        <w:top w:val="none" w:sz="0" w:space="0" w:color="auto"/>
        <w:left w:val="none" w:sz="0" w:space="0" w:color="auto"/>
        <w:bottom w:val="none" w:sz="0" w:space="0" w:color="auto"/>
        <w:right w:val="none" w:sz="0" w:space="0" w:color="auto"/>
      </w:divBdr>
      <w:divsChild>
        <w:div w:id="1594897543">
          <w:marLeft w:val="0"/>
          <w:marRight w:val="0"/>
          <w:marTop w:val="0"/>
          <w:marBottom w:val="0"/>
          <w:divBdr>
            <w:top w:val="none" w:sz="0" w:space="0" w:color="auto"/>
            <w:left w:val="none" w:sz="0" w:space="0" w:color="auto"/>
            <w:bottom w:val="none" w:sz="0" w:space="0" w:color="auto"/>
            <w:right w:val="none" w:sz="0" w:space="0" w:color="auto"/>
          </w:divBdr>
          <w:divsChild>
            <w:div w:id="4653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7647">
      <w:bodyDiv w:val="1"/>
      <w:marLeft w:val="0"/>
      <w:marRight w:val="0"/>
      <w:marTop w:val="0"/>
      <w:marBottom w:val="0"/>
      <w:divBdr>
        <w:top w:val="none" w:sz="0" w:space="0" w:color="auto"/>
        <w:left w:val="none" w:sz="0" w:space="0" w:color="auto"/>
        <w:bottom w:val="none" w:sz="0" w:space="0" w:color="auto"/>
        <w:right w:val="none" w:sz="0" w:space="0" w:color="auto"/>
      </w:divBdr>
    </w:div>
    <w:div w:id="1306353800">
      <w:bodyDiv w:val="1"/>
      <w:marLeft w:val="0"/>
      <w:marRight w:val="0"/>
      <w:marTop w:val="0"/>
      <w:marBottom w:val="0"/>
      <w:divBdr>
        <w:top w:val="none" w:sz="0" w:space="0" w:color="auto"/>
        <w:left w:val="none" w:sz="0" w:space="0" w:color="auto"/>
        <w:bottom w:val="none" w:sz="0" w:space="0" w:color="auto"/>
        <w:right w:val="none" w:sz="0" w:space="0" w:color="auto"/>
      </w:divBdr>
    </w:div>
    <w:div w:id="1609965261">
      <w:bodyDiv w:val="1"/>
      <w:marLeft w:val="0"/>
      <w:marRight w:val="0"/>
      <w:marTop w:val="0"/>
      <w:marBottom w:val="0"/>
      <w:divBdr>
        <w:top w:val="none" w:sz="0" w:space="0" w:color="auto"/>
        <w:left w:val="none" w:sz="0" w:space="0" w:color="auto"/>
        <w:bottom w:val="none" w:sz="0" w:space="0" w:color="auto"/>
        <w:right w:val="none" w:sz="0" w:space="0" w:color="auto"/>
      </w:divBdr>
    </w:div>
    <w:div w:id="1660647884">
      <w:bodyDiv w:val="1"/>
      <w:marLeft w:val="0"/>
      <w:marRight w:val="0"/>
      <w:marTop w:val="0"/>
      <w:marBottom w:val="0"/>
      <w:divBdr>
        <w:top w:val="none" w:sz="0" w:space="0" w:color="auto"/>
        <w:left w:val="none" w:sz="0" w:space="0" w:color="auto"/>
        <w:bottom w:val="none" w:sz="0" w:space="0" w:color="auto"/>
        <w:right w:val="none" w:sz="0" w:space="0" w:color="auto"/>
      </w:divBdr>
    </w:div>
    <w:div w:id="1743327432">
      <w:bodyDiv w:val="1"/>
      <w:marLeft w:val="0"/>
      <w:marRight w:val="0"/>
      <w:marTop w:val="0"/>
      <w:marBottom w:val="0"/>
      <w:divBdr>
        <w:top w:val="none" w:sz="0" w:space="0" w:color="auto"/>
        <w:left w:val="none" w:sz="0" w:space="0" w:color="auto"/>
        <w:bottom w:val="none" w:sz="0" w:space="0" w:color="auto"/>
        <w:right w:val="none" w:sz="0" w:space="0" w:color="auto"/>
      </w:divBdr>
    </w:div>
    <w:div w:id="1817331472">
      <w:bodyDiv w:val="1"/>
      <w:marLeft w:val="0"/>
      <w:marRight w:val="0"/>
      <w:marTop w:val="0"/>
      <w:marBottom w:val="0"/>
      <w:divBdr>
        <w:top w:val="none" w:sz="0" w:space="0" w:color="auto"/>
        <w:left w:val="none" w:sz="0" w:space="0" w:color="auto"/>
        <w:bottom w:val="none" w:sz="0" w:space="0" w:color="auto"/>
        <w:right w:val="none" w:sz="0" w:space="0" w:color="auto"/>
      </w:divBdr>
    </w:div>
    <w:div w:id="1825852192">
      <w:bodyDiv w:val="1"/>
      <w:marLeft w:val="0"/>
      <w:marRight w:val="0"/>
      <w:marTop w:val="0"/>
      <w:marBottom w:val="0"/>
      <w:divBdr>
        <w:top w:val="none" w:sz="0" w:space="0" w:color="auto"/>
        <w:left w:val="none" w:sz="0" w:space="0" w:color="auto"/>
        <w:bottom w:val="none" w:sz="0" w:space="0" w:color="auto"/>
        <w:right w:val="none" w:sz="0" w:space="0" w:color="auto"/>
      </w:divBdr>
    </w:div>
    <w:div w:id="1855262858">
      <w:bodyDiv w:val="1"/>
      <w:marLeft w:val="0"/>
      <w:marRight w:val="0"/>
      <w:marTop w:val="0"/>
      <w:marBottom w:val="0"/>
      <w:divBdr>
        <w:top w:val="none" w:sz="0" w:space="0" w:color="auto"/>
        <w:left w:val="none" w:sz="0" w:space="0" w:color="auto"/>
        <w:bottom w:val="none" w:sz="0" w:space="0" w:color="auto"/>
        <w:right w:val="none" w:sz="0" w:space="0" w:color="auto"/>
      </w:divBdr>
    </w:div>
    <w:div w:id="1910262761">
      <w:bodyDiv w:val="1"/>
      <w:marLeft w:val="0"/>
      <w:marRight w:val="0"/>
      <w:marTop w:val="0"/>
      <w:marBottom w:val="0"/>
      <w:divBdr>
        <w:top w:val="none" w:sz="0" w:space="0" w:color="auto"/>
        <w:left w:val="none" w:sz="0" w:space="0" w:color="auto"/>
        <w:bottom w:val="none" w:sz="0" w:space="0" w:color="auto"/>
        <w:right w:val="none" w:sz="0" w:space="0" w:color="auto"/>
      </w:divBdr>
    </w:div>
    <w:div w:id="1995642696">
      <w:bodyDiv w:val="1"/>
      <w:marLeft w:val="0"/>
      <w:marRight w:val="0"/>
      <w:marTop w:val="0"/>
      <w:marBottom w:val="0"/>
      <w:divBdr>
        <w:top w:val="none" w:sz="0" w:space="0" w:color="auto"/>
        <w:left w:val="none" w:sz="0" w:space="0" w:color="auto"/>
        <w:bottom w:val="none" w:sz="0" w:space="0" w:color="auto"/>
        <w:right w:val="none" w:sz="0" w:space="0" w:color="auto"/>
      </w:divBdr>
      <w:divsChild>
        <w:div w:id="327371834">
          <w:marLeft w:val="0"/>
          <w:marRight w:val="0"/>
          <w:marTop w:val="0"/>
          <w:marBottom w:val="0"/>
          <w:divBdr>
            <w:top w:val="none" w:sz="0" w:space="0" w:color="auto"/>
            <w:left w:val="none" w:sz="0" w:space="0" w:color="auto"/>
            <w:bottom w:val="none" w:sz="0" w:space="0" w:color="auto"/>
            <w:right w:val="none" w:sz="0" w:space="0" w:color="auto"/>
          </w:divBdr>
        </w:div>
        <w:div w:id="1396932043">
          <w:marLeft w:val="0"/>
          <w:marRight w:val="0"/>
          <w:marTop w:val="0"/>
          <w:marBottom w:val="0"/>
          <w:divBdr>
            <w:top w:val="none" w:sz="0" w:space="0" w:color="auto"/>
            <w:left w:val="none" w:sz="0" w:space="0" w:color="auto"/>
            <w:bottom w:val="none" w:sz="0" w:space="0" w:color="auto"/>
            <w:right w:val="none" w:sz="0" w:space="0" w:color="auto"/>
          </w:divBdr>
        </w:div>
      </w:divsChild>
    </w:div>
    <w:div w:id="2016759828">
      <w:bodyDiv w:val="1"/>
      <w:marLeft w:val="0"/>
      <w:marRight w:val="0"/>
      <w:marTop w:val="0"/>
      <w:marBottom w:val="0"/>
      <w:divBdr>
        <w:top w:val="none" w:sz="0" w:space="0" w:color="auto"/>
        <w:left w:val="none" w:sz="0" w:space="0" w:color="auto"/>
        <w:bottom w:val="none" w:sz="0" w:space="0" w:color="auto"/>
        <w:right w:val="none" w:sz="0" w:space="0" w:color="auto"/>
      </w:divBdr>
      <w:divsChild>
        <w:div w:id="1391150775">
          <w:marLeft w:val="0"/>
          <w:marRight w:val="0"/>
          <w:marTop w:val="0"/>
          <w:marBottom w:val="0"/>
          <w:divBdr>
            <w:top w:val="none" w:sz="0" w:space="0" w:color="auto"/>
            <w:left w:val="none" w:sz="0" w:space="0" w:color="auto"/>
            <w:bottom w:val="none" w:sz="0" w:space="0" w:color="auto"/>
            <w:right w:val="none" w:sz="0" w:space="0" w:color="auto"/>
          </w:divBdr>
          <w:divsChild>
            <w:div w:id="415060476">
              <w:marLeft w:val="0"/>
              <w:marRight w:val="0"/>
              <w:marTop w:val="0"/>
              <w:marBottom w:val="0"/>
              <w:divBdr>
                <w:top w:val="none" w:sz="0" w:space="0" w:color="auto"/>
                <w:left w:val="none" w:sz="0" w:space="0" w:color="auto"/>
                <w:bottom w:val="none" w:sz="0" w:space="0" w:color="auto"/>
                <w:right w:val="none" w:sz="0" w:space="0" w:color="auto"/>
              </w:divBdr>
            </w:div>
            <w:div w:id="896746815">
              <w:marLeft w:val="0"/>
              <w:marRight w:val="0"/>
              <w:marTop w:val="0"/>
              <w:marBottom w:val="0"/>
              <w:divBdr>
                <w:top w:val="none" w:sz="0" w:space="0" w:color="auto"/>
                <w:left w:val="none" w:sz="0" w:space="0" w:color="auto"/>
                <w:bottom w:val="none" w:sz="0" w:space="0" w:color="auto"/>
                <w:right w:val="none" w:sz="0" w:space="0" w:color="auto"/>
              </w:divBdr>
              <w:divsChild>
                <w:div w:id="12516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38460">
      <w:bodyDiv w:val="1"/>
      <w:marLeft w:val="0"/>
      <w:marRight w:val="0"/>
      <w:marTop w:val="0"/>
      <w:marBottom w:val="0"/>
      <w:divBdr>
        <w:top w:val="none" w:sz="0" w:space="0" w:color="auto"/>
        <w:left w:val="none" w:sz="0" w:space="0" w:color="auto"/>
        <w:bottom w:val="none" w:sz="0" w:space="0" w:color="auto"/>
        <w:right w:val="none" w:sz="0" w:space="0" w:color="auto"/>
      </w:divBdr>
    </w:div>
    <w:div w:id="20986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0219-D328-4549-B27F-219EBF7E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60077</Words>
  <Characters>342441</Characters>
  <Application>Microsoft Office Word</Application>
  <DocSecurity>0</DocSecurity>
  <Lines>2853</Lines>
  <Paragraphs>803</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401715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cp:revision>
  <dcterms:created xsi:type="dcterms:W3CDTF">2016-11-10T01:50:00Z</dcterms:created>
  <dcterms:modified xsi:type="dcterms:W3CDTF">2016-11-10T01:52:00Z</dcterms:modified>
</cp:coreProperties>
</file>