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08D" w:rsidRPr="008417E6" w:rsidRDefault="00DA608D" w:rsidP="00DA608D">
      <w:pPr>
        <w:pBdr>
          <w:bottom w:val="single" w:sz="8" w:space="4" w:color="4F81BD" w:themeColor="accent1"/>
        </w:pBdr>
        <w:spacing w:after="300"/>
        <w:ind w:firstLine="0"/>
        <w:contextualSpacing/>
        <w:rPr>
          <w:rFonts w:asciiTheme="majorHAnsi" w:eastAsiaTheme="majorEastAsia" w:hAnsiTheme="majorHAnsi" w:cstheme="majorBidi"/>
          <w:color w:val="17365D" w:themeColor="text2" w:themeShade="BF"/>
          <w:spacing w:val="5"/>
          <w:kern w:val="28"/>
          <w:sz w:val="52"/>
          <w:szCs w:val="52"/>
        </w:rPr>
      </w:pPr>
      <w:r w:rsidRPr="008417E6">
        <w:rPr>
          <w:rFonts w:asciiTheme="majorHAnsi" w:eastAsiaTheme="majorEastAsia" w:hAnsiTheme="majorHAnsi" w:cstheme="majorBidi"/>
          <w:color w:val="17365D" w:themeColor="text2" w:themeShade="BF"/>
          <w:spacing w:val="5"/>
          <w:kern w:val="28"/>
          <w:sz w:val="52"/>
          <w:szCs w:val="52"/>
        </w:rPr>
        <w:t>Introduction</w:t>
      </w:r>
      <w:r>
        <w:rPr>
          <w:rFonts w:asciiTheme="majorHAnsi" w:eastAsiaTheme="majorEastAsia" w:hAnsiTheme="majorHAnsi" w:cstheme="majorBidi"/>
          <w:color w:val="17365D" w:themeColor="text2" w:themeShade="BF"/>
          <w:spacing w:val="5"/>
          <w:kern w:val="28"/>
          <w:sz w:val="52"/>
          <w:szCs w:val="52"/>
        </w:rPr>
        <w:t xml:space="preserve"> to </w:t>
      </w:r>
      <w:r w:rsidRPr="00B14F20">
        <w:rPr>
          <w:rFonts w:asciiTheme="majorHAnsi" w:eastAsiaTheme="majorEastAsia" w:hAnsiTheme="majorHAnsi" w:cstheme="majorBidi"/>
          <w:color w:val="17365D" w:themeColor="text2" w:themeShade="BF"/>
          <w:spacing w:val="5"/>
          <w:kern w:val="28"/>
          <w:sz w:val="52"/>
          <w:szCs w:val="52"/>
        </w:rPr>
        <w:t>Hosea to Mi</w:t>
      </w:r>
      <w:r>
        <w:rPr>
          <w:rFonts w:asciiTheme="majorHAnsi" w:eastAsiaTheme="majorEastAsia" w:hAnsiTheme="majorHAnsi" w:cstheme="majorBidi"/>
          <w:color w:val="17365D" w:themeColor="text2" w:themeShade="BF"/>
          <w:spacing w:val="5"/>
          <w:kern w:val="28"/>
          <w:sz w:val="52"/>
          <w:szCs w:val="52"/>
        </w:rPr>
        <w:t>cah</w:t>
      </w:r>
    </w:p>
    <w:p w:rsidR="00DA608D" w:rsidRDefault="00DA608D" w:rsidP="00DA608D">
      <w:pPr>
        <w:pStyle w:val="Heading2"/>
      </w:pPr>
      <w:r>
        <w:t>Messages and Revelations from Yahweh</w:t>
      </w:r>
    </w:p>
    <w:p w:rsidR="00DA608D" w:rsidRPr="00DF6DC1" w:rsidRDefault="00DA608D" w:rsidP="00DA608D">
      <w:pPr>
        <w:rPr>
          <w:bCs/>
        </w:rPr>
      </w:pPr>
      <w:r>
        <w:t>These six prophetic scrolls are “</w:t>
      </w:r>
      <w:r w:rsidRPr="004E7F06">
        <w:t>Yahweh’s message</w:t>
      </w:r>
      <w:r>
        <w:t xml:space="preserve"> which became a reality” to Hosea, Joel, and Micah (Hos. 1:1; Joel 1:1; Mic. 1:1), “The words of Amos… which he saw” (Amos 1:1), “the vision of Obadiah” (Obad. 1), and a story about how “Yahweh’s message became a reality to Jonah.” They are</w:t>
      </w:r>
      <w:r>
        <w:rPr>
          <w:bCs/>
        </w:rPr>
        <w:t xml:space="preserve"> m</w:t>
      </w:r>
      <w:r w:rsidRPr="00DF6DC1">
        <w:rPr>
          <w:bCs/>
        </w:rPr>
        <w:t>essage</w:t>
      </w:r>
      <w:r>
        <w:rPr>
          <w:bCs/>
        </w:rPr>
        <w:t>s</w:t>
      </w:r>
      <w:r w:rsidRPr="00DF6DC1">
        <w:rPr>
          <w:bCs/>
        </w:rPr>
        <w:t xml:space="preserve"> and</w:t>
      </w:r>
      <w:r>
        <w:rPr>
          <w:bCs/>
        </w:rPr>
        <w:t xml:space="preserve"> v</w:t>
      </w:r>
      <w:r w:rsidRPr="00DF6DC1">
        <w:rPr>
          <w:bCs/>
        </w:rPr>
        <w:t>ision</w:t>
      </w:r>
      <w:r>
        <w:rPr>
          <w:bCs/>
        </w:rPr>
        <w:t>s or revelations</w:t>
      </w:r>
      <w:r w:rsidRPr="00DF6DC1">
        <w:rPr>
          <w:bCs/>
        </w:rPr>
        <w:t xml:space="preserve"> from Yahweh</w:t>
      </w:r>
      <w:r>
        <w:rPr>
          <w:bCs/>
        </w:rPr>
        <w:t xml:space="preserve">. </w:t>
      </w:r>
      <w:r>
        <w:t>Along with Nahum to Malachi, the six scrolls form “The Twelve,” a collection that are individually much shorter than Isaiah, Jeremiah, and Ezekiel, though together are of similar length to Ezekiel. In Latin they</w:t>
      </w:r>
      <w:r w:rsidRPr="008417E6">
        <w:t xml:space="preserve"> are the </w:t>
      </w:r>
      <w:r w:rsidRPr="000261F4">
        <w:rPr>
          <w:i/>
        </w:rPr>
        <w:t>Prophetes Minores</w:t>
      </w:r>
      <w:r>
        <w:t xml:space="preserve"> and thus in English the “Minor” Prophets</w:t>
      </w:r>
      <w:r w:rsidRPr="008417E6">
        <w:t xml:space="preserve">, which could </w:t>
      </w:r>
      <w:r>
        <w:t>suggest that they are “lesser” prophets than Isaiah, Jeremiah, and Ezekiel. B</w:t>
      </w:r>
      <w:r w:rsidRPr="008417E6">
        <w:t xml:space="preserve">ut </w:t>
      </w:r>
      <w:r>
        <w:t>more likely the Latin term simply designates them the “shorter” prophets; t</w:t>
      </w:r>
      <w:r w:rsidRPr="008417E6">
        <w:t>here is no</w:t>
      </w:r>
      <w:r>
        <w:t>thing “minor” about them. Together they have in common with the “Major Prophets</w:t>
      </w:r>
      <w:r w:rsidRPr="008417E6">
        <w:t xml:space="preserve">” </w:t>
      </w:r>
      <w:r>
        <w:t xml:space="preserve">(the longer ones) </w:t>
      </w:r>
      <w:r w:rsidRPr="008417E6">
        <w:t xml:space="preserve">that they </w:t>
      </w:r>
    </w:p>
    <w:p w:rsidR="00DA608D" w:rsidRDefault="00DA608D" w:rsidP="00DA608D"/>
    <w:p w:rsidR="00DA608D" w:rsidRDefault="00DA608D" w:rsidP="00DA608D">
      <w:pPr>
        <w:pStyle w:val="ListParagraph"/>
        <w:numPr>
          <w:ilvl w:val="0"/>
          <w:numId w:val="35"/>
        </w:numPr>
        <w:ind w:left="720"/>
      </w:pPr>
      <w:r w:rsidRPr="008417E6">
        <w:t>speak in the name of Y</w:t>
      </w:r>
      <w:r>
        <w:t>ahweh as the one God, the God of grace and truth</w:t>
      </w:r>
    </w:p>
    <w:p w:rsidR="00DA608D" w:rsidRDefault="00DA608D" w:rsidP="00DA608D">
      <w:pPr>
        <w:pStyle w:val="ListParagraph"/>
        <w:numPr>
          <w:ilvl w:val="0"/>
          <w:numId w:val="35"/>
        </w:numPr>
        <w:ind w:left="720"/>
      </w:pPr>
      <w:r>
        <w:t>presuppose that Israel is his special people</w:t>
      </w:r>
    </w:p>
    <w:p w:rsidR="00DA608D" w:rsidRDefault="00DA608D" w:rsidP="00DA608D">
      <w:pPr>
        <w:pStyle w:val="ListParagraph"/>
        <w:numPr>
          <w:ilvl w:val="0"/>
          <w:numId w:val="35"/>
        </w:numPr>
        <w:ind w:left="720"/>
      </w:pPr>
      <w:r w:rsidRPr="008417E6">
        <w:t>challenge Isra</w:t>
      </w:r>
      <w:r>
        <w:t>el about its commitment to him and to one another</w:t>
      </w:r>
    </w:p>
    <w:p w:rsidR="00DA608D" w:rsidRDefault="00DA608D" w:rsidP="00DA608D">
      <w:pPr>
        <w:pStyle w:val="ListParagraph"/>
        <w:numPr>
          <w:ilvl w:val="0"/>
          <w:numId w:val="35"/>
        </w:numPr>
        <w:ind w:left="720"/>
      </w:pPr>
      <w:r>
        <w:t>warn it that he</w:t>
      </w:r>
      <w:r w:rsidRPr="008417E6">
        <w:t xml:space="preserve"> </w:t>
      </w:r>
      <w:r>
        <w:t>intends to act</w:t>
      </w:r>
      <w:r w:rsidRPr="008417E6">
        <w:t xml:space="preserve"> against </w:t>
      </w:r>
      <w:r>
        <w:t>it (with a distinctive stress on “Yahweh’s Day”)</w:t>
      </w:r>
    </w:p>
    <w:p w:rsidR="00DA608D" w:rsidRDefault="00DA608D" w:rsidP="00DA608D">
      <w:pPr>
        <w:pStyle w:val="ListParagraph"/>
        <w:numPr>
          <w:ilvl w:val="0"/>
          <w:numId w:val="35"/>
        </w:numPr>
        <w:ind w:left="720"/>
      </w:pPr>
      <w:r w:rsidRPr="008417E6">
        <w:t>make promises to it a</w:t>
      </w:r>
      <w:r>
        <w:t>bout its destiny</w:t>
      </w:r>
    </w:p>
    <w:p w:rsidR="00DA608D" w:rsidRDefault="00DA608D" w:rsidP="00DA608D">
      <w:pPr>
        <w:pStyle w:val="ListParagraph"/>
        <w:numPr>
          <w:ilvl w:val="0"/>
          <w:numId w:val="35"/>
        </w:numPr>
        <w:ind w:left="720"/>
      </w:pPr>
      <w:proofErr w:type="gramStart"/>
      <w:r>
        <w:t>set</w:t>
      </w:r>
      <w:proofErr w:type="gramEnd"/>
      <w:r>
        <w:t xml:space="preserve"> Yahweh’s involvement with Israel in the context of his lordship over all the nations.</w:t>
      </w:r>
    </w:p>
    <w:p w:rsidR="00DA608D" w:rsidRDefault="00DA608D" w:rsidP="00DA608D">
      <w:pPr>
        <w:pStyle w:val="ListParagraph"/>
        <w:ind w:left="720" w:firstLine="0"/>
      </w:pPr>
    </w:p>
    <w:p w:rsidR="00DA608D" w:rsidRPr="002D754F" w:rsidRDefault="00DA608D" w:rsidP="00DA608D">
      <w:pPr>
        <w:rPr>
          <w:lang w:val="en-GB"/>
        </w:rPr>
      </w:pPr>
      <w:r>
        <w:t>Sometime in the Second Temple period The Twelve gained recognition</w:t>
      </w:r>
      <w:r w:rsidRPr="008417E6">
        <w:t xml:space="preserve"> by the Judahite community</w:t>
      </w:r>
      <w:r>
        <w:t>,</w:t>
      </w:r>
      <w:r w:rsidRPr="008417E6">
        <w:t xml:space="preserve"> </w:t>
      </w:r>
      <w:r>
        <w:t>along with Isaiah, Jeremiah, and Ezekiel, as having ongoing significance for the people of God and as placing an ongoing demand upon it. The reference in Sirach which I quote in the epigraph to this book, which dates from soon after 200 BC, is the first extant reference to The Twelve as in effect authoritative scriptures; we have no information on the</w:t>
      </w:r>
      <w:r w:rsidRPr="002C5FDC">
        <w:t xml:space="preserve"> process </w:t>
      </w:r>
      <w:r>
        <w:t xml:space="preserve">whereby they came to have this position. Such a status is then presupposed by Qumran documents, which include copies of them and commentaries on some of them. The community of people who came to believe in Jesus also acknowledged the position of these twelve scrolls. They are among the Scriptures </w:t>
      </w:r>
      <w:r w:rsidRPr="00D52031">
        <w:t xml:space="preserve">from before </w:t>
      </w:r>
      <w:r>
        <w:t xml:space="preserve">Jesus’s </w:t>
      </w:r>
      <w:r w:rsidRPr="00D52031">
        <w:t xml:space="preserve">day </w:t>
      </w:r>
      <w:r>
        <w:t xml:space="preserve">that have </w:t>
      </w:r>
      <w:r w:rsidRPr="00D52031">
        <w:t>an extraordinary capacity to instruct</w:t>
      </w:r>
      <w:r>
        <w:t xml:space="preserve"> Jews and Gentiles</w:t>
      </w:r>
      <w:r w:rsidRPr="00D52031">
        <w:t xml:space="preserve"> about the faith in Jesus that br</w:t>
      </w:r>
      <w:r>
        <w:t>ought us</w:t>
      </w:r>
      <w:r w:rsidRPr="00D52031">
        <w:t xml:space="preserve"> salvation, a capacity that issues from the fact that t</w:t>
      </w:r>
      <w:r>
        <w:t xml:space="preserve">hey were and are “God-breathed” (2 Tim. 3:14-17). These believers in Jesus recognized that </w:t>
      </w:r>
      <w:r w:rsidRPr="004E7F06">
        <w:t>“God spoke to our ancestors of old in many different ways throug</w:t>
      </w:r>
      <w:r>
        <w:t>h the prophets” (Heb. 1:1); Hosea, Joel, Amos, Obadiah, Jonah, and Micah</w:t>
      </w:r>
      <w:r w:rsidRPr="004E7F06">
        <w:t xml:space="preserve"> are part of what resulted from that speaking.</w:t>
      </w:r>
      <w:r>
        <w:t xml:space="preserve"> </w:t>
      </w:r>
      <w:r w:rsidRPr="002D754F">
        <w:rPr>
          <w:lang w:val="en-GB"/>
        </w:rPr>
        <w:t>We are not in a position to examine or evaluate the ba</w:t>
      </w:r>
      <w:r>
        <w:rPr>
          <w:lang w:val="en-GB"/>
        </w:rPr>
        <w:t xml:space="preserve">sis upon which they </w:t>
      </w:r>
      <w:r w:rsidRPr="002D754F">
        <w:rPr>
          <w:lang w:val="en-GB"/>
        </w:rPr>
        <w:t xml:space="preserve">and </w:t>
      </w:r>
      <w:r>
        <w:rPr>
          <w:lang w:val="en-GB"/>
        </w:rPr>
        <w:t>the rest of the First Testament</w:t>
      </w:r>
      <w:r w:rsidRPr="002D754F">
        <w:rPr>
          <w:lang w:val="en-GB"/>
        </w:rPr>
        <w:t xml:space="preserve"> came to be the Scriptures. If we are people who believe in Jesus, we accept them because he did.</w:t>
      </w:r>
    </w:p>
    <w:p w:rsidR="00DA608D" w:rsidRDefault="00DA608D" w:rsidP="00DA608D">
      <w:r>
        <w:t>The six scrolls make some extraordinary statements. A couple from each:</w:t>
      </w:r>
    </w:p>
    <w:p w:rsidR="00DA608D" w:rsidRDefault="00DA608D" w:rsidP="00DA608D"/>
    <w:p w:rsidR="00DA608D" w:rsidRDefault="00DA608D" w:rsidP="00DA608D">
      <w:pPr>
        <w:pStyle w:val="PlainText"/>
        <w:ind w:firstLine="720"/>
      </w:pPr>
      <w:proofErr w:type="gramStart"/>
      <w:r w:rsidRPr="00E40311">
        <w:t>Go,</w:t>
      </w:r>
      <w:proofErr w:type="gramEnd"/>
      <w:r w:rsidRPr="00E40311">
        <w:t xml:space="preserve"> get yourself a who</w:t>
      </w:r>
      <w:r>
        <w:t>rish woman and whorish children (Hos. 1:2)</w:t>
      </w:r>
    </w:p>
    <w:p w:rsidR="00DA608D" w:rsidRDefault="00DA608D" w:rsidP="00DA608D">
      <w:r w:rsidRPr="00E40311">
        <w:t>How can I give you over, Ep</w:t>
      </w:r>
      <w:r>
        <w:t>hra</w:t>
      </w:r>
      <w:r w:rsidRPr="00E40311">
        <w:t>im</w:t>
      </w:r>
      <w:r>
        <w:t>?</w:t>
      </w:r>
      <w:r>
        <w:rPr>
          <w:rStyle w:val="FootnoteReference"/>
        </w:rPr>
        <w:footnoteReference w:id="1"/>
      </w:r>
      <w:r>
        <w:t xml:space="preserve"> (Hos. 11:8)</w:t>
      </w:r>
    </w:p>
    <w:p w:rsidR="00DA608D" w:rsidRPr="00E40311" w:rsidRDefault="00DA608D" w:rsidP="00DA608D">
      <w:r>
        <w:lastRenderedPageBreak/>
        <w:t xml:space="preserve">Yahweh your God is gracious and compassionate </w:t>
      </w:r>
      <w:r w:rsidRPr="002B567B">
        <w:t>a</w:t>
      </w:r>
      <w:r>
        <w:t>nd relenting about anything bad (Joel 2:13)</w:t>
      </w:r>
      <w:r w:rsidRPr="00E40311">
        <w:t xml:space="preserve"> </w:t>
      </w:r>
    </w:p>
    <w:p w:rsidR="00DA608D" w:rsidRPr="00E40311" w:rsidRDefault="00DA608D" w:rsidP="00DA608D">
      <w:pPr>
        <w:rPr>
          <w:lang w:val="en-GB"/>
        </w:rPr>
      </w:pPr>
      <w:r w:rsidRPr="00E40311">
        <w:rPr>
          <w:lang w:val="en-GB"/>
        </w:rPr>
        <w:t>Beat your</w:t>
      </w:r>
      <w:r>
        <w:t xml:space="preserve"> hoe</w:t>
      </w:r>
      <w:r w:rsidRPr="00E40311">
        <w:t>s</w:t>
      </w:r>
      <w:r>
        <w:rPr>
          <w:lang w:val="en-GB"/>
        </w:rPr>
        <w:t xml:space="preserve"> into swords (Joel 3:10)</w:t>
      </w:r>
      <w:r w:rsidRPr="00E40311">
        <w:rPr>
          <w:lang w:val="en-GB"/>
        </w:rPr>
        <w:t xml:space="preserve"> </w:t>
      </w:r>
    </w:p>
    <w:p w:rsidR="00DA608D" w:rsidRDefault="00DA608D" w:rsidP="00DA608D">
      <w:r>
        <w:t>Listen to this message, you cows of the Bashan (Amos 4:1)</w:t>
      </w:r>
    </w:p>
    <w:p w:rsidR="00DA608D" w:rsidRDefault="00DA608D" w:rsidP="00DA608D">
      <w:pPr>
        <w:rPr>
          <w:lang w:bidi="he-IL"/>
        </w:rPr>
      </w:pPr>
      <w:r>
        <w:rPr>
          <w:lang w:bidi="he-IL"/>
        </w:rPr>
        <w:t>Have recourse to me and live (Amos 5:4)</w:t>
      </w:r>
    </w:p>
    <w:p w:rsidR="00DA608D" w:rsidRDefault="00DA608D" w:rsidP="00DA608D">
      <w:r>
        <w:t>I’m making you little among the nations (Obad. 2)</w:t>
      </w:r>
    </w:p>
    <w:p w:rsidR="00DA608D" w:rsidRDefault="00DA608D" w:rsidP="00DA608D">
      <w:r>
        <w:t>The reign will be Yahweh’s (Obad. 21)</w:t>
      </w:r>
    </w:p>
    <w:p w:rsidR="00DA608D" w:rsidRDefault="00DA608D" w:rsidP="00DA608D">
      <w:r>
        <w:t>When I cried for help from She’o</w:t>
      </w:r>
      <w:r w:rsidRPr="00DA5BED">
        <w:t>l</w:t>
      </w:r>
      <w:r>
        <w:t>’</w:t>
      </w:r>
      <w:r w:rsidRPr="00DA5BED">
        <w:t>s belly</w:t>
      </w:r>
      <w:r>
        <w:t>, you listened to my voice (Jon. 3:2)</w:t>
      </w:r>
    </w:p>
    <w:p w:rsidR="00DA608D" w:rsidRPr="00E40311" w:rsidRDefault="00DA608D" w:rsidP="00DA608D">
      <w:r>
        <w:t>M</w:t>
      </w:r>
      <w:r w:rsidRPr="00330FE6">
        <w:t>y dying is good, better than my life</w:t>
      </w:r>
      <w:r>
        <w:t xml:space="preserve"> (Jon. 4:3)</w:t>
      </w:r>
    </w:p>
    <w:p w:rsidR="00DA608D" w:rsidRDefault="00DA608D" w:rsidP="00DA608D">
      <w:pPr>
        <w:rPr>
          <w:lang w:bidi="he-IL"/>
        </w:rPr>
      </w:pPr>
      <w:r>
        <w:rPr>
          <w:lang w:bidi="he-IL"/>
        </w:rPr>
        <w:t>“Don’t preach,” they preach (Mic. 2:6)</w:t>
      </w:r>
    </w:p>
    <w:p w:rsidR="00DA608D" w:rsidRDefault="00DA608D" w:rsidP="00DA608D">
      <w:r>
        <w:t>Be circumspect in walking with your God (Mic. 6:8)</w:t>
      </w:r>
    </w:p>
    <w:p w:rsidR="00DA608D" w:rsidRPr="008417E6" w:rsidRDefault="00DA608D" w:rsidP="00DA608D"/>
    <w:p w:rsidR="00DA608D" w:rsidRPr="00CC2DE0" w:rsidRDefault="00DA608D" w:rsidP="00DA608D">
      <w:pPr>
        <w:pStyle w:val="PlainText"/>
        <w:rPr>
          <w:bCs/>
        </w:rPr>
      </w:pPr>
      <w:r>
        <w:t xml:space="preserve">Western Christians like some of these lines, and there are other lines from these Prophets that they like. There are also some that they don’t like, and way more that they’re not aware of, which is odd given that the New Testament recognizes that they are all words that God spoke or words that God thought it was a good idea to have in his book. </w:t>
      </w:r>
      <w:r>
        <w:rPr>
          <w:bCs/>
        </w:rPr>
        <w:t>“</w:t>
      </w:r>
      <w:r w:rsidRPr="0040008C">
        <w:rPr>
          <w:bCs/>
        </w:rPr>
        <w:t>The claim to be the people of God today means to list</w:t>
      </w:r>
      <w:r>
        <w:rPr>
          <w:bCs/>
        </w:rPr>
        <w:t>en to these words…</w:t>
      </w:r>
      <w:r w:rsidRPr="0040008C">
        <w:rPr>
          <w:bCs/>
        </w:rPr>
        <w:t xml:space="preserve"> and to be willing to look at present moral conduct and attitudes from that perspective.”</w:t>
      </w:r>
      <w:r w:rsidRPr="0040008C">
        <w:rPr>
          <w:bCs/>
          <w:vertAlign w:val="superscript"/>
        </w:rPr>
        <w:footnoteReference w:id="2"/>
      </w:r>
      <w:r>
        <w:rPr>
          <w:bCs/>
        </w:rPr>
        <w:t xml:space="preserve"> </w:t>
      </w:r>
      <w:r w:rsidRPr="00CC2DE0">
        <w:rPr>
          <w:bCs/>
        </w:rPr>
        <w:t xml:space="preserve">There are commentaries </w:t>
      </w:r>
      <w:r>
        <w:rPr>
          <w:bCs/>
        </w:rPr>
        <w:t xml:space="preserve">on these scrolls </w:t>
      </w:r>
      <w:r w:rsidRPr="00CC2DE0">
        <w:rPr>
          <w:bCs/>
        </w:rPr>
        <w:t>that are prejudiced in favor</w:t>
      </w:r>
      <w:r>
        <w:rPr>
          <w:bCs/>
        </w:rPr>
        <w:t xml:space="preserve"> of </w:t>
      </w:r>
      <w:r w:rsidRPr="00CC2DE0">
        <w:rPr>
          <w:bCs/>
        </w:rPr>
        <w:t>accepting the perspective of their text and ones that are open to being critical of their text.</w:t>
      </w:r>
      <w:r w:rsidRPr="00CC2DE0">
        <w:rPr>
          <w:bCs/>
          <w:vertAlign w:val="superscript"/>
        </w:rPr>
        <w:footnoteReference w:id="3"/>
      </w:r>
      <w:r w:rsidRPr="00CC2DE0">
        <w:rPr>
          <w:bCs/>
        </w:rPr>
        <w:t xml:space="preserve"> I work with the first prejudice; readers who wish to see critique of the text will have to look elsewhere.</w:t>
      </w:r>
    </w:p>
    <w:p w:rsidR="00DA608D" w:rsidRPr="008417E6" w:rsidRDefault="00DA608D" w:rsidP="00DA608D">
      <w:pPr>
        <w:keepNext/>
        <w:keepLines/>
        <w:spacing w:before="200" w:after="120"/>
        <w:ind w:firstLine="0"/>
        <w:outlineLvl w:val="1"/>
        <w:rPr>
          <w:rFonts w:asciiTheme="majorHAnsi" w:eastAsiaTheme="majorEastAsia" w:hAnsiTheme="majorHAnsi" w:cstheme="majorBidi"/>
          <w:b/>
          <w:bCs/>
          <w:sz w:val="26"/>
          <w:szCs w:val="26"/>
        </w:rPr>
      </w:pPr>
      <w:r w:rsidRPr="008417E6">
        <w:rPr>
          <w:rFonts w:asciiTheme="majorHAnsi" w:eastAsiaTheme="majorEastAsia" w:hAnsiTheme="majorHAnsi" w:cstheme="majorBidi"/>
          <w:b/>
          <w:bCs/>
          <w:sz w:val="26"/>
          <w:szCs w:val="26"/>
        </w:rPr>
        <w:t>Hosea to Micah</w:t>
      </w:r>
      <w:r>
        <w:rPr>
          <w:rFonts w:asciiTheme="majorHAnsi" w:eastAsiaTheme="majorEastAsia" w:hAnsiTheme="majorHAnsi" w:cstheme="majorBidi"/>
          <w:b/>
          <w:bCs/>
          <w:sz w:val="26"/>
          <w:szCs w:val="26"/>
          <w:lang w:val="en-GB"/>
        </w:rPr>
        <w:t xml:space="preserve"> and the New Testament</w:t>
      </w:r>
    </w:p>
    <w:p w:rsidR="00DA608D" w:rsidRDefault="00DA608D" w:rsidP="00DA608D">
      <w:pPr>
        <w:rPr>
          <w:rFonts w:eastAsiaTheme="majorEastAsia"/>
          <w:lang w:val="en-GB"/>
        </w:rPr>
      </w:pPr>
      <w:r>
        <w:rPr>
          <w:rFonts w:eastAsiaTheme="majorEastAsia"/>
          <w:lang w:val="en-GB"/>
        </w:rPr>
        <w:t>T</w:t>
      </w:r>
      <w:r w:rsidRPr="005A12E6">
        <w:rPr>
          <w:rFonts w:eastAsiaTheme="majorEastAsia"/>
          <w:lang w:val="en-GB"/>
        </w:rPr>
        <w:t xml:space="preserve">he New Testament </w:t>
      </w:r>
      <w:r>
        <w:rPr>
          <w:rFonts w:eastAsiaTheme="majorEastAsia"/>
          <w:lang w:val="en-GB"/>
        </w:rPr>
        <w:t>includes a number of direct quotations from Hosea to Micah and many other allusions or reflections of their language. The following are the quotations and the clearest allusions (as listed in the marginal notes of the Revised Standard Version of the Old Testament).</w:t>
      </w:r>
    </w:p>
    <w:p w:rsidR="00DA608D" w:rsidRDefault="00DA608D" w:rsidP="00DA608D">
      <w:pPr>
        <w:rPr>
          <w:rFonts w:eastAsiaTheme="majorEastAsia"/>
          <w:lang w:val="en-GB"/>
        </w:rPr>
      </w:pPr>
    </w:p>
    <w:p w:rsidR="00DA608D" w:rsidRPr="00EC7763" w:rsidRDefault="00DA608D" w:rsidP="00DA608D">
      <w:pPr>
        <w:rPr>
          <w:rFonts w:eastAsiaTheme="majorEastAsia"/>
          <w:lang w:val="en-GB"/>
        </w:rPr>
      </w:pPr>
      <w:r w:rsidRPr="00EC7763">
        <w:rPr>
          <w:rFonts w:eastAsiaTheme="majorEastAsia"/>
          <w:lang w:val="en-GB"/>
        </w:rPr>
        <w:t xml:space="preserve">Hosea </w:t>
      </w:r>
      <w:r w:rsidRPr="00EC7763">
        <w:rPr>
          <w:rFonts w:eastAsiaTheme="majorEastAsia"/>
          <w:lang w:val="en-GB"/>
        </w:rPr>
        <w:tab/>
        <w:t>1:6, 9</w:t>
      </w:r>
      <w:r w:rsidRPr="00EC7763">
        <w:rPr>
          <w:rFonts w:eastAsiaTheme="majorEastAsia"/>
          <w:lang w:val="en-GB"/>
        </w:rPr>
        <w:tab/>
      </w:r>
      <w:r w:rsidRPr="00EC7763">
        <w:rPr>
          <w:rFonts w:eastAsiaTheme="majorEastAsia"/>
          <w:lang w:val="en-GB"/>
        </w:rPr>
        <w:tab/>
        <w:t>1 Peter 2:10</w:t>
      </w:r>
    </w:p>
    <w:p w:rsidR="00DA608D" w:rsidRPr="00EC7763" w:rsidRDefault="00DA608D" w:rsidP="00DA608D">
      <w:pPr>
        <w:rPr>
          <w:rFonts w:eastAsiaTheme="majorEastAsia"/>
          <w:lang w:val="en-GB"/>
        </w:rPr>
      </w:pPr>
      <w:r w:rsidRPr="00EC7763">
        <w:rPr>
          <w:rFonts w:eastAsiaTheme="majorEastAsia"/>
          <w:lang w:val="en-GB"/>
        </w:rPr>
        <w:tab/>
      </w:r>
      <w:proofErr w:type="gramStart"/>
      <w:r w:rsidRPr="00EC7763">
        <w:rPr>
          <w:rFonts w:eastAsiaTheme="majorEastAsia"/>
          <w:lang w:val="en-GB"/>
        </w:rPr>
        <w:t>1:10; 2:1, 23.</w:t>
      </w:r>
      <w:proofErr w:type="gramEnd"/>
      <w:r w:rsidRPr="00EC7763">
        <w:rPr>
          <w:rFonts w:eastAsiaTheme="majorEastAsia"/>
          <w:lang w:val="en-GB"/>
        </w:rPr>
        <w:tab/>
        <w:t>Rom</w:t>
      </w:r>
      <w:r>
        <w:rPr>
          <w:rFonts w:eastAsiaTheme="majorEastAsia"/>
          <w:lang w:val="en-GB"/>
        </w:rPr>
        <w:t>.</w:t>
      </w:r>
      <w:r w:rsidRPr="00EC7763">
        <w:rPr>
          <w:rFonts w:eastAsiaTheme="majorEastAsia"/>
          <w:lang w:val="en-GB"/>
        </w:rPr>
        <w:t xml:space="preserve"> 9:25-26.</w:t>
      </w:r>
    </w:p>
    <w:p w:rsidR="00DA608D" w:rsidRPr="00EC7763" w:rsidRDefault="00DA608D" w:rsidP="00DA608D">
      <w:pPr>
        <w:rPr>
          <w:rFonts w:eastAsiaTheme="majorEastAsia"/>
          <w:lang w:val="en-GB"/>
        </w:rPr>
      </w:pPr>
      <w:r w:rsidRPr="00EC7763">
        <w:rPr>
          <w:rFonts w:eastAsiaTheme="majorEastAsia"/>
          <w:lang w:val="en-GB"/>
        </w:rPr>
        <w:tab/>
        <w:t>6:6</w:t>
      </w:r>
      <w:r w:rsidRPr="00EC7763">
        <w:rPr>
          <w:rFonts w:eastAsiaTheme="majorEastAsia"/>
          <w:lang w:val="en-GB"/>
        </w:rPr>
        <w:tab/>
      </w:r>
      <w:r w:rsidRPr="00EC7763">
        <w:rPr>
          <w:rFonts w:eastAsiaTheme="majorEastAsia"/>
          <w:lang w:val="en-GB"/>
        </w:rPr>
        <w:tab/>
        <w:t>Matt. 9:13; 12:7</w:t>
      </w:r>
    </w:p>
    <w:p w:rsidR="00DA608D" w:rsidRPr="00EC7763" w:rsidRDefault="00DA608D" w:rsidP="00DA608D">
      <w:pPr>
        <w:rPr>
          <w:rFonts w:eastAsiaTheme="majorEastAsia"/>
          <w:lang w:val="en-GB"/>
        </w:rPr>
      </w:pPr>
      <w:r w:rsidRPr="00EC7763">
        <w:rPr>
          <w:rFonts w:eastAsiaTheme="majorEastAsia"/>
          <w:lang w:val="en-GB"/>
        </w:rPr>
        <w:tab/>
        <w:t>9:7</w:t>
      </w:r>
      <w:r w:rsidRPr="00EC7763">
        <w:rPr>
          <w:rFonts w:eastAsiaTheme="majorEastAsia"/>
          <w:lang w:val="en-GB"/>
        </w:rPr>
        <w:tab/>
      </w:r>
      <w:r w:rsidRPr="00EC7763">
        <w:rPr>
          <w:rFonts w:eastAsiaTheme="majorEastAsia"/>
          <w:lang w:val="en-GB"/>
        </w:rPr>
        <w:tab/>
        <w:t>Luke 21:22</w:t>
      </w:r>
    </w:p>
    <w:p w:rsidR="00DA608D" w:rsidRPr="00EC7763" w:rsidRDefault="00DA608D" w:rsidP="00DA608D">
      <w:pPr>
        <w:rPr>
          <w:rFonts w:eastAsiaTheme="majorEastAsia"/>
          <w:lang w:val="en-GB"/>
        </w:rPr>
      </w:pPr>
      <w:r w:rsidRPr="00EC7763">
        <w:rPr>
          <w:rFonts w:eastAsiaTheme="majorEastAsia"/>
          <w:lang w:val="en-GB"/>
        </w:rPr>
        <w:tab/>
        <w:t>10:8</w:t>
      </w:r>
      <w:r w:rsidRPr="00EC7763">
        <w:rPr>
          <w:rFonts w:eastAsiaTheme="majorEastAsia"/>
          <w:lang w:val="en-GB"/>
        </w:rPr>
        <w:tab/>
      </w:r>
      <w:r w:rsidRPr="00EC7763">
        <w:rPr>
          <w:rFonts w:eastAsiaTheme="majorEastAsia"/>
          <w:lang w:val="en-GB"/>
        </w:rPr>
        <w:tab/>
        <w:t>Luke 23:30; Rev. 6:16</w:t>
      </w:r>
    </w:p>
    <w:p w:rsidR="00DA608D" w:rsidRPr="00EC7763" w:rsidRDefault="00DA608D" w:rsidP="00DA608D">
      <w:pPr>
        <w:rPr>
          <w:rFonts w:eastAsiaTheme="majorEastAsia"/>
          <w:lang w:val="en-GB"/>
        </w:rPr>
      </w:pPr>
      <w:r w:rsidRPr="00EC7763">
        <w:rPr>
          <w:rFonts w:eastAsiaTheme="majorEastAsia"/>
          <w:lang w:val="en-GB"/>
        </w:rPr>
        <w:tab/>
        <w:t>10:12</w:t>
      </w:r>
      <w:r w:rsidRPr="00EC7763">
        <w:rPr>
          <w:rFonts w:eastAsiaTheme="majorEastAsia"/>
          <w:lang w:val="en-GB"/>
        </w:rPr>
        <w:tab/>
      </w:r>
      <w:r w:rsidRPr="00EC7763">
        <w:rPr>
          <w:rFonts w:eastAsiaTheme="majorEastAsia"/>
          <w:lang w:val="en-GB"/>
        </w:rPr>
        <w:tab/>
        <w:t>2 Cor. 9:10</w:t>
      </w:r>
    </w:p>
    <w:p w:rsidR="00DA608D" w:rsidRPr="00EC7763" w:rsidRDefault="00DA608D" w:rsidP="00DA608D">
      <w:pPr>
        <w:rPr>
          <w:rFonts w:eastAsiaTheme="majorEastAsia"/>
          <w:lang w:val="en-GB"/>
        </w:rPr>
      </w:pPr>
      <w:r w:rsidRPr="00EC7763">
        <w:rPr>
          <w:rFonts w:eastAsiaTheme="majorEastAsia"/>
          <w:lang w:val="en-GB"/>
        </w:rPr>
        <w:tab/>
        <w:t>11:1</w:t>
      </w:r>
      <w:r w:rsidRPr="00EC7763">
        <w:rPr>
          <w:rFonts w:eastAsiaTheme="majorEastAsia"/>
          <w:lang w:val="en-GB"/>
        </w:rPr>
        <w:tab/>
      </w:r>
      <w:r w:rsidRPr="00EC7763">
        <w:rPr>
          <w:rFonts w:eastAsiaTheme="majorEastAsia"/>
          <w:lang w:val="en-GB"/>
        </w:rPr>
        <w:tab/>
        <w:t>Matt. 2:15</w:t>
      </w:r>
    </w:p>
    <w:p w:rsidR="00DA608D" w:rsidRPr="00EC7763" w:rsidRDefault="00DA608D" w:rsidP="00DA608D">
      <w:pPr>
        <w:rPr>
          <w:rFonts w:eastAsiaTheme="majorEastAsia"/>
          <w:lang w:val="en-GB"/>
        </w:rPr>
      </w:pPr>
      <w:r w:rsidRPr="00EC7763">
        <w:rPr>
          <w:rFonts w:eastAsiaTheme="majorEastAsia"/>
          <w:lang w:val="en-GB"/>
        </w:rPr>
        <w:tab/>
        <w:t>13:14</w:t>
      </w:r>
      <w:r w:rsidRPr="00EC7763">
        <w:rPr>
          <w:rFonts w:eastAsiaTheme="majorEastAsia"/>
          <w:lang w:val="en-GB"/>
        </w:rPr>
        <w:tab/>
      </w:r>
      <w:r w:rsidRPr="00EC7763">
        <w:rPr>
          <w:rFonts w:eastAsiaTheme="majorEastAsia"/>
          <w:lang w:val="en-GB"/>
        </w:rPr>
        <w:tab/>
        <w:t>1 Cor. 15:55</w:t>
      </w:r>
    </w:p>
    <w:p w:rsidR="00DA608D" w:rsidRPr="00EC7763" w:rsidRDefault="00DA608D" w:rsidP="00DA608D">
      <w:pPr>
        <w:rPr>
          <w:rFonts w:eastAsiaTheme="majorEastAsia"/>
          <w:lang w:val="en-GB"/>
        </w:rPr>
      </w:pPr>
      <w:r w:rsidRPr="00EC7763">
        <w:rPr>
          <w:rFonts w:eastAsiaTheme="majorEastAsia"/>
          <w:lang w:val="en-GB"/>
        </w:rPr>
        <w:tab/>
        <w:t>14:2</w:t>
      </w:r>
      <w:r w:rsidRPr="00EC7763">
        <w:rPr>
          <w:rFonts w:eastAsiaTheme="majorEastAsia"/>
          <w:lang w:val="en-GB"/>
        </w:rPr>
        <w:tab/>
      </w:r>
      <w:r w:rsidRPr="00EC7763">
        <w:rPr>
          <w:rFonts w:eastAsiaTheme="majorEastAsia"/>
          <w:lang w:val="en-GB"/>
        </w:rPr>
        <w:tab/>
        <w:t>Heb. 13:15</w:t>
      </w:r>
    </w:p>
    <w:p w:rsidR="00DA608D" w:rsidRPr="00EC7763" w:rsidRDefault="00DA608D" w:rsidP="00DA608D">
      <w:pPr>
        <w:rPr>
          <w:rFonts w:eastAsiaTheme="majorEastAsia"/>
          <w:lang w:val="en-GB"/>
        </w:rPr>
      </w:pPr>
      <w:r w:rsidRPr="00EC7763">
        <w:rPr>
          <w:rFonts w:eastAsiaTheme="majorEastAsia"/>
          <w:lang w:val="en-GB"/>
        </w:rPr>
        <w:t>Joel</w:t>
      </w:r>
      <w:r w:rsidRPr="00EC7763">
        <w:rPr>
          <w:rFonts w:eastAsiaTheme="majorEastAsia"/>
          <w:lang w:val="en-GB"/>
        </w:rPr>
        <w:tab/>
        <w:t>1:6; 2:4-</w:t>
      </w:r>
      <w:proofErr w:type="gramStart"/>
      <w:r w:rsidRPr="00EC7763">
        <w:rPr>
          <w:rFonts w:eastAsiaTheme="majorEastAsia"/>
          <w:lang w:val="en-GB"/>
        </w:rPr>
        <w:t>5</w:t>
      </w:r>
      <w:r w:rsidRPr="00EC7763">
        <w:rPr>
          <w:rFonts w:eastAsiaTheme="majorEastAsia"/>
          <w:lang w:val="en-GB"/>
        </w:rPr>
        <w:tab/>
        <w:t>Rev. 9:7-9</w:t>
      </w:r>
      <w:proofErr w:type="gramEnd"/>
    </w:p>
    <w:p w:rsidR="00DA608D" w:rsidRPr="00EC7763" w:rsidRDefault="00DA608D" w:rsidP="00DA608D">
      <w:pPr>
        <w:rPr>
          <w:rFonts w:eastAsiaTheme="majorEastAsia"/>
          <w:lang w:val="en-GB"/>
        </w:rPr>
      </w:pPr>
      <w:r w:rsidRPr="00EC7763">
        <w:rPr>
          <w:rFonts w:eastAsiaTheme="majorEastAsia"/>
          <w:lang w:val="en-GB"/>
        </w:rPr>
        <w:tab/>
        <w:t>2:</w:t>
      </w:r>
      <w:proofErr w:type="gramStart"/>
      <w:r w:rsidRPr="00EC7763">
        <w:rPr>
          <w:rFonts w:eastAsiaTheme="majorEastAsia"/>
          <w:lang w:val="en-GB"/>
        </w:rPr>
        <w:t>10-11</w:t>
      </w:r>
      <w:r w:rsidRPr="00EC7763">
        <w:rPr>
          <w:rFonts w:eastAsiaTheme="majorEastAsia"/>
          <w:lang w:val="en-GB"/>
        </w:rPr>
        <w:tab/>
      </w:r>
      <w:r w:rsidRPr="00EC7763">
        <w:rPr>
          <w:rFonts w:eastAsiaTheme="majorEastAsia"/>
          <w:lang w:val="en-GB"/>
        </w:rPr>
        <w:tab/>
        <w:t>Rev. 6:17</w:t>
      </w:r>
      <w:proofErr w:type="gramEnd"/>
      <w:r w:rsidRPr="00EC7763">
        <w:rPr>
          <w:rFonts w:eastAsiaTheme="majorEastAsia"/>
          <w:lang w:val="en-GB"/>
        </w:rPr>
        <w:t>; 9:2</w:t>
      </w:r>
    </w:p>
    <w:p w:rsidR="00DA608D" w:rsidRPr="00EC7763" w:rsidRDefault="00DA608D" w:rsidP="00DA608D">
      <w:pPr>
        <w:rPr>
          <w:rFonts w:eastAsiaTheme="majorEastAsia"/>
          <w:lang w:val="en-GB"/>
        </w:rPr>
      </w:pPr>
      <w:r w:rsidRPr="00EC7763">
        <w:rPr>
          <w:rFonts w:eastAsiaTheme="majorEastAsia"/>
          <w:lang w:val="en-GB"/>
        </w:rPr>
        <w:tab/>
        <w:t>2:28-32</w:t>
      </w:r>
      <w:r w:rsidRPr="00EC7763">
        <w:rPr>
          <w:rFonts w:eastAsiaTheme="majorEastAsia"/>
          <w:lang w:val="en-GB"/>
        </w:rPr>
        <w:tab/>
      </w:r>
      <w:r w:rsidRPr="00EC7763">
        <w:rPr>
          <w:rFonts w:eastAsiaTheme="majorEastAsia"/>
          <w:lang w:val="en-GB"/>
        </w:rPr>
        <w:tab/>
        <w:t>Acts 2:17-21; Rev. 6:12; Rom. 10:13</w:t>
      </w:r>
    </w:p>
    <w:p w:rsidR="00DA608D" w:rsidRPr="00EC7763" w:rsidRDefault="00DA608D" w:rsidP="00DA608D">
      <w:pPr>
        <w:rPr>
          <w:rFonts w:eastAsiaTheme="majorEastAsia"/>
          <w:lang w:val="en-GB"/>
        </w:rPr>
      </w:pPr>
      <w:r w:rsidRPr="00EC7763">
        <w:rPr>
          <w:rFonts w:eastAsiaTheme="majorEastAsia"/>
          <w:lang w:val="en-GB"/>
        </w:rPr>
        <w:tab/>
        <w:t>3:13</w:t>
      </w:r>
      <w:r>
        <w:rPr>
          <w:rFonts w:eastAsiaTheme="majorEastAsia"/>
          <w:lang w:val="en-GB"/>
        </w:rPr>
        <w:t xml:space="preserve"> [4:13]</w:t>
      </w:r>
      <w:r w:rsidRPr="00EC7763">
        <w:rPr>
          <w:rFonts w:eastAsiaTheme="majorEastAsia"/>
          <w:lang w:val="en-GB"/>
        </w:rPr>
        <w:tab/>
        <w:t>Mark 14:29; Rev. 14:15, 18-19</w:t>
      </w:r>
    </w:p>
    <w:p w:rsidR="00DA608D" w:rsidRPr="00EC7763" w:rsidRDefault="00DA608D" w:rsidP="00DA608D">
      <w:pPr>
        <w:rPr>
          <w:rFonts w:eastAsiaTheme="majorEastAsia"/>
          <w:lang w:val="en-GB"/>
        </w:rPr>
      </w:pPr>
      <w:r w:rsidRPr="00EC7763">
        <w:rPr>
          <w:rFonts w:eastAsiaTheme="majorEastAsia"/>
          <w:lang w:val="en-GB"/>
        </w:rPr>
        <w:tab/>
        <w:t>3:18</w:t>
      </w:r>
      <w:r>
        <w:rPr>
          <w:rFonts w:eastAsiaTheme="majorEastAsia"/>
          <w:lang w:val="en-GB"/>
        </w:rPr>
        <w:t xml:space="preserve"> [4:18]</w:t>
      </w:r>
      <w:r w:rsidRPr="00EC7763">
        <w:rPr>
          <w:rFonts w:eastAsiaTheme="majorEastAsia"/>
          <w:lang w:val="en-GB"/>
        </w:rPr>
        <w:tab/>
        <w:t>Rev. 22:1</w:t>
      </w:r>
    </w:p>
    <w:p w:rsidR="00DA608D" w:rsidRPr="00EC7763" w:rsidRDefault="00DA608D" w:rsidP="00DA608D">
      <w:pPr>
        <w:rPr>
          <w:rFonts w:eastAsiaTheme="majorEastAsia"/>
          <w:lang w:val="en-GB"/>
        </w:rPr>
      </w:pPr>
      <w:r w:rsidRPr="00EC7763">
        <w:rPr>
          <w:rFonts w:eastAsiaTheme="majorEastAsia"/>
          <w:lang w:val="en-GB"/>
        </w:rPr>
        <w:t>Amos</w:t>
      </w:r>
      <w:r w:rsidRPr="00EC7763">
        <w:rPr>
          <w:rFonts w:eastAsiaTheme="majorEastAsia"/>
          <w:lang w:val="en-GB"/>
        </w:rPr>
        <w:tab/>
        <w:t>3:7</w:t>
      </w:r>
      <w:r w:rsidRPr="00EC7763">
        <w:rPr>
          <w:rFonts w:eastAsiaTheme="majorEastAsia"/>
          <w:lang w:val="en-GB"/>
        </w:rPr>
        <w:tab/>
      </w:r>
      <w:r w:rsidRPr="00EC7763">
        <w:rPr>
          <w:rFonts w:eastAsiaTheme="majorEastAsia"/>
          <w:lang w:val="en-GB"/>
        </w:rPr>
        <w:tab/>
        <w:t>Rev. 10:7</w:t>
      </w:r>
    </w:p>
    <w:p w:rsidR="00DA608D" w:rsidRPr="00EC7763" w:rsidRDefault="00DA608D" w:rsidP="00DA608D">
      <w:pPr>
        <w:rPr>
          <w:rFonts w:eastAsiaTheme="majorEastAsia"/>
          <w:lang w:val="en-GB"/>
        </w:rPr>
      </w:pPr>
      <w:r w:rsidRPr="00EC7763">
        <w:rPr>
          <w:rFonts w:eastAsiaTheme="majorEastAsia"/>
          <w:lang w:val="en-GB"/>
        </w:rPr>
        <w:tab/>
        <w:t>5:25-27</w:t>
      </w:r>
      <w:r w:rsidRPr="00EC7763">
        <w:rPr>
          <w:rFonts w:eastAsiaTheme="majorEastAsia"/>
          <w:lang w:val="en-GB"/>
        </w:rPr>
        <w:tab/>
      </w:r>
      <w:r w:rsidRPr="00EC7763">
        <w:rPr>
          <w:rFonts w:eastAsiaTheme="majorEastAsia"/>
          <w:lang w:val="en-GB"/>
        </w:rPr>
        <w:tab/>
        <w:t>Acts 7:42-43</w:t>
      </w:r>
    </w:p>
    <w:p w:rsidR="00DA608D" w:rsidRPr="00EC7763" w:rsidRDefault="00DA608D" w:rsidP="00DA608D">
      <w:pPr>
        <w:rPr>
          <w:rFonts w:eastAsiaTheme="majorEastAsia"/>
          <w:lang w:val="en-GB"/>
        </w:rPr>
      </w:pPr>
      <w:r w:rsidRPr="00EC7763">
        <w:rPr>
          <w:rFonts w:eastAsiaTheme="majorEastAsia"/>
          <w:lang w:val="en-GB"/>
        </w:rPr>
        <w:tab/>
        <w:t>9:11-12</w:t>
      </w:r>
      <w:r w:rsidRPr="00EC7763">
        <w:rPr>
          <w:rFonts w:eastAsiaTheme="majorEastAsia"/>
          <w:lang w:val="en-GB"/>
        </w:rPr>
        <w:tab/>
      </w:r>
      <w:r w:rsidRPr="00EC7763">
        <w:rPr>
          <w:rFonts w:eastAsiaTheme="majorEastAsia"/>
          <w:lang w:val="en-GB"/>
        </w:rPr>
        <w:tab/>
        <w:t>Acts 15:16-17</w:t>
      </w:r>
    </w:p>
    <w:p w:rsidR="00DA608D" w:rsidRPr="00EC7763" w:rsidRDefault="00DA608D" w:rsidP="00DA608D">
      <w:pPr>
        <w:rPr>
          <w:rFonts w:eastAsiaTheme="majorEastAsia"/>
          <w:lang w:val="en-GB"/>
        </w:rPr>
      </w:pPr>
      <w:r w:rsidRPr="00EC7763">
        <w:rPr>
          <w:rFonts w:eastAsiaTheme="majorEastAsia"/>
          <w:lang w:val="en-GB"/>
        </w:rPr>
        <w:lastRenderedPageBreak/>
        <w:t>Jonah</w:t>
      </w:r>
      <w:r w:rsidRPr="00EC7763">
        <w:rPr>
          <w:rFonts w:eastAsiaTheme="majorEastAsia"/>
          <w:lang w:val="en-GB"/>
        </w:rPr>
        <w:tab/>
        <w:t>1:17</w:t>
      </w:r>
      <w:r w:rsidRPr="00EC7763">
        <w:rPr>
          <w:rFonts w:eastAsiaTheme="majorEastAsia"/>
          <w:lang w:val="en-GB"/>
        </w:rPr>
        <w:tab/>
      </w:r>
      <w:r w:rsidRPr="00EC7763">
        <w:rPr>
          <w:rFonts w:eastAsiaTheme="majorEastAsia"/>
          <w:lang w:val="en-GB"/>
        </w:rPr>
        <w:tab/>
        <w:t>Matt. 12:39-41; 16:1-4; Luke 11:29-32</w:t>
      </w:r>
    </w:p>
    <w:p w:rsidR="00DA608D" w:rsidRPr="00EC7763" w:rsidRDefault="00DA608D" w:rsidP="00DA608D">
      <w:pPr>
        <w:rPr>
          <w:rFonts w:eastAsiaTheme="majorEastAsia"/>
          <w:lang w:val="en-GB"/>
        </w:rPr>
      </w:pPr>
      <w:r w:rsidRPr="00EC7763">
        <w:rPr>
          <w:rFonts w:eastAsiaTheme="majorEastAsia"/>
          <w:lang w:val="en-GB"/>
        </w:rPr>
        <w:t>Micah</w:t>
      </w:r>
      <w:r w:rsidRPr="00EC7763">
        <w:rPr>
          <w:rFonts w:eastAsiaTheme="majorEastAsia"/>
          <w:lang w:val="en-GB"/>
        </w:rPr>
        <w:tab/>
        <w:t>5:2</w:t>
      </w:r>
      <w:r>
        <w:rPr>
          <w:rFonts w:eastAsiaTheme="majorEastAsia"/>
          <w:lang w:val="en-GB"/>
        </w:rPr>
        <w:t xml:space="preserve"> [1]</w:t>
      </w:r>
      <w:r w:rsidRPr="00EC7763">
        <w:rPr>
          <w:rFonts w:eastAsiaTheme="majorEastAsia"/>
          <w:lang w:val="en-GB"/>
        </w:rPr>
        <w:tab/>
      </w:r>
      <w:r w:rsidRPr="00EC7763">
        <w:rPr>
          <w:rFonts w:eastAsiaTheme="majorEastAsia"/>
          <w:lang w:val="en-GB"/>
        </w:rPr>
        <w:tab/>
        <w:t>Matt. 2:6; John 7:42</w:t>
      </w:r>
    </w:p>
    <w:p w:rsidR="00DA608D" w:rsidRPr="00EC7763" w:rsidRDefault="00DA608D" w:rsidP="00DA608D">
      <w:pPr>
        <w:rPr>
          <w:rFonts w:eastAsiaTheme="majorEastAsia"/>
          <w:lang w:val="en-GB"/>
        </w:rPr>
      </w:pPr>
      <w:r w:rsidRPr="00EC7763">
        <w:rPr>
          <w:rFonts w:eastAsiaTheme="majorEastAsia"/>
          <w:lang w:val="en-GB"/>
        </w:rPr>
        <w:tab/>
        <w:t>7:6</w:t>
      </w:r>
      <w:r w:rsidRPr="00EC7763">
        <w:rPr>
          <w:rFonts w:eastAsiaTheme="majorEastAsia"/>
          <w:lang w:val="en-GB"/>
        </w:rPr>
        <w:tab/>
      </w:r>
      <w:r w:rsidRPr="00EC7763">
        <w:rPr>
          <w:rFonts w:eastAsiaTheme="majorEastAsia"/>
          <w:lang w:val="en-GB"/>
        </w:rPr>
        <w:tab/>
        <w:t>Matt. 10:21, 35, 36; Mark 13:12; Luke 12:53</w:t>
      </w:r>
    </w:p>
    <w:p w:rsidR="00DA608D" w:rsidRPr="00EC7763" w:rsidRDefault="00DA608D" w:rsidP="00DA608D">
      <w:pPr>
        <w:rPr>
          <w:rFonts w:eastAsiaTheme="majorEastAsia"/>
          <w:lang w:val="en-GB"/>
        </w:rPr>
      </w:pPr>
      <w:r w:rsidRPr="00EC7763">
        <w:rPr>
          <w:rFonts w:eastAsiaTheme="majorEastAsia"/>
          <w:lang w:val="en-GB"/>
        </w:rPr>
        <w:tab/>
        <w:t>7:20</w:t>
      </w:r>
      <w:r w:rsidRPr="00EC7763">
        <w:rPr>
          <w:rFonts w:eastAsiaTheme="majorEastAsia"/>
          <w:lang w:val="en-GB"/>
        </w:rPr>
        <w:tab/>
      </w:r>
      <w:r w:rsidRPr="00EC7763">
        <w:rPr>
          <w:rFonts w:eastAsiaTheme="majorEastAsia"/>
          <w:lang w:val="en-GB"/>
        </w:rPr>
        <w:tab/>
        <w:t>Luke 1:55</w:t>
      </w:r>
    </w:p>
    <w:p w:rsidR="00DA608D" w:rsidRDefault="00DA608D" w:rsidP="00DA608D">
      <w:pPr>
        <w:rPr>
          <w:rFonts w:eastAsiaTheme="majorEastAsia"/>
          <w:lang w:val="en-GB"/>
        </w:rPr>
      </w:pPr>
    </w:p>
    <w:p w:rsidR="00DA608D" w:rsidRDefault="00DA608D" w:rsidP="00DA608D">
      <w:pPr>
        <w:rPr>
          <w:rFonts w:eastAsiaTheme="majorEastAsia"/>
        </w:rPr>
      </w:pPr>
      <w:r>
        <w:rPr>
          <w:rFonts w:eastAsiaTheme="majorEastAsia"/>
          <w:lang w:val="en-GB"/>
        </w:rPr>
        <w:t xml:space="preserve">These quotations and allusions issue from the New Testament’s treating the Prophets as a resource in connection with questions it needs to think about. They thus reflect its agenda, and they often reflect the Holy Spirit’s inspiring its writers to find significance in the prophetic text that is different from what he was communicating to the people of God when he originally inspired the </w:t>
      </w:r>
      <w:proofErr w:type="gramStart"/>
      <w:r>
        <w:rPr>
          <w:rFonts w:eastAsiaTheme="majorEastAsia"/>
          <w:lang w:val="en-GB"/>
        </w:rPr>
        <w:t>text .</w:t>
      </w:r>
      <w:proofErr w:type="gramEnd"/>
      <w:r>
        <w:rPr>
          <w:rFonts w:eastAsiaTheme="majorEastAsia"/>
          <w:lang w:val="en-GB"/>
        </w:rPr>
        <w:t xml:space="preserve"> The first passages in the list, for instance,</w:t>
      </w:r>
      <w:r>
        <w:rPr>
          <w:rFonts w:eastAsiaTheme="majorEastAsia"/>
        </w:rPr>
        <w:t xml:space="preserve"> use Hosea’s declarations about Yahweh’s intentions for Ephraim to illumine God’s intentions regarding a people of God drawn from all the nations. In this commentary </w:t>
      </w:r>
      <w:r w:rsidRPr="00D370E1">
        <w:rPr>
          <w:rFonts w:eastAsiaTheme="majorEastAsia"/>
        </w:rPr>
        <w:t>we will consider the quotations in the order they arise in the text of the six scrolls</w:t>
      </w:r>
      <w:r>
        <w:rPr>
          <w:rFonts w:eastAsiaTheme="majorEastAsia"/>
        </w:rPr>
        <w:t>, but we will mostly focus on what the Holy Spirit was originally seeking to communicate to Israel and on the ongoing theological significance of that message for us. Related to this focus is the fact that I shall refer to the Jewish Scriptures as the First Testament rather than the Old Testament—since this latter title (which came into use some centuries after Jesus) can give the impression that these Scriptures are antiquated, out of date, and superseded.</w:t>
      </w:r>
    </w:p>
    <w:p w:rsidR="00DA608D" w:rsidRPr="003F493B" w:rsidRDefault="00DA608D" w:rsidP="00DA608D">
      <w:pPr>
        <w:rPr>
          <w:rFonts w:eastAsiaTheme="majorEastAsia"/>
        </w:rPr>
      </w:pPr>
      <w:r>
        <w:rPr>
          <w:rFonts w:eastAsiaTheme="majorEastAsia"/>
        </w:rPr>
        <w:t>Christians often assume that the key to understanding the relationship of the First Testament to Jesus and to the New Testament is that the First Testament makes promises that are fulfilled in Jesus,  and o</w:t>
      </w:r>
      <w:r w:rsidRPr="003F493B">
        <w:rPr>
          <w:rFonts w:eastAsiaTheme="majorEastAsia"/>
        </w:rPr>
        <w:t xml:space="preserve">ur six Prophets </w:t>
      </w:r>
      <w:r>
        <w:rPr>
          <w:rFonts w:eastAsiaTheme="majorEastAsia"/>
        </w:rPr>
        <w:t xml:space="preserve">do </w:t>
      </w:r>
      <w:r w:rsidRPr="003F493B">
        <w:rPr>
          <w:rFonts w:eastAsiaTheme="majorEastAsia"/>
        </w:rPr>
        <w:t>include one promise of a coming ruler for the throne of David</w:t>
      </w:r>
      <w:r>
        <w:rPr>
          <w:rFonts w:eastAsiaTheme="majorEastAsia"/>
        </w:rPr>
        <w:t xml:space="preserve"> (Micah 5:2 [1]). But the fact that the Hebrew word </w:t>
      </w:r>
      <w:r>
        <w:rPr>
          <w:rFonts w:eastAsiaTheme="majorEastAsia"/>
          <w:i/>
        </w:rPr>
        <w:t>māšîaḥ</w:t>
      </w:r>
      <w:r>
        <w:rPr>
          <w:rFonts w:eastAsiaTheme="majorEastAsia"/>
        </w:rPr>
        <w:t xml:space="preserve"> doesn’t appear in the six scrolls is a sign that their focus lies elsewhere. The promise of the Messiah is not the key to understanding their relationship with Jesus and with the New Testament.</w:t>
      </w:r>
    </w:p>
    <w:p w:rsidR="00DA608D" w:rsidRDefault="00DA608D" w:rsidP="00DA608D">
      <w:pPr>
        <w:rPr>
          <w:rFonts w:eastAsiaTheme="majorEastAsia"/>
        </w:rPr>
      </w:pPr>
      <w:r>
        <w:rPr>
          <w:rFonts w:eastAsiaTheme="majorEastAsia"/>
        </w:rPr>
        <w:t xml:space="preserve">Their own focus lies on a declaration that God is going to bring catastrophic disaster upon the people of God because of its wrongdoing, and upon the nations as a whole. There are two crucial qualifications to this declaration. On one hand, whereas one can sometimes get the impression that the disaster means the actual end of the people of God, this impression is evidently false, in that they also talk about disaster not being total and not being final. And on the other hand, whereas one can sometimes get the impression that the disaster is inevitable, this impression is also evidently false, in that they also indicate that a nation or city that turns back to God will find that God relents of the intention to bring calamity. </w:t>
      </w:r>
    </w:p>
    <w:p w:rsidR="00DA608D" w:rsidRDefault="00DA608D" w:rsidP="00DA608D">
      <w:pPr>
        <w:rPr>
          <w:rFonts w:eastAsiaTheme="majorEastAsia"/>
        </w:rPr>
      </w:pPr>
      <w:r>
        <w:rPr>
          <w:rFonts w:eastAsiaTheme="majorEastAsia"/>
        </w:rPr>
        <w:t>The theological background to the declaration and to its qualifications lies in the fact that Yahweh is on one hand the God of grace and truth, of compassion and forgiveness, but also on the other hand is the God who attends to wrongdoing and does not simply remit punishment. Those descriptions go back to Exodus 34:6-7. Our prophets reflect them, while adding that he can relent of bringing disaster (Hos.</w:t>
      </w:r>
      <w:r w:rsidRPr="0040008C">
        <w:rPr>
          <w:rFonts w:eastAsiaTheme="majorEastAsia"/>
        </w:rPr>
        <w:t xml:space="preserve"> 2:19-20</w:t>
      </w:r>
      <w:r>
        <w:rPr>
          <w:rFonts w:eastAsiaTheme="majorEastAsia"/>
        </w:rPr>
        <w:t xml:space="preserve"> [21-22]; </w:t>
      </w:r>
      <w:r w:rsidRPr="0040008C">
        <w:rPr>
          <w:rFonts w:eastAsiaTheme="majorEastAsia"/>
        </w:rPr>
        <w:t>Joel 2:13</w:t>
      </w:r>
      <w:r>
        <w:rPr>
          <w:rFonts w:eastAsiaTheme="majorEastAsia"/>
        </w:rPr>
        <w:t xml:space="preserve">; </w:t>
      </w:r>
      <w:r w:rsidRPr="0040008C">
        <w:rPr>
          <w:rFonts w:eastAsiaTheme="majorEastAsia"/>
        </w:rPr>
        <w:t>Jonah 4:2</w:t>
      </w:r>
      <w:r>
        <w:rPr>
          <w:rFonts w:eastAsiaTheme="majorEastAsia"/>
        </w:rPr>
        <w:t xml:space="preserve">; </w:t>
      </w:r>
      <w:r w:rsidRPr="0040008C">
        <w:rPr>
          <w:rFonts w:eastAsiaTheme="majorEastAsia"/>
        </w:rPr>
        <w:t>Mic</w:t>
      </w:r>
      <w:r>
        <w:rPr>
          <w:rFonts w:eastAsiaTheme="majorEastAsia"/>
        </w:rPr>
        <w:t>.</w:t>
      </w:r>
      <w:r w:rsidRPr="0040008C">
        <w:rPr>
          <w:rFonts w:eastAsiaTheme="majorEastAsia"/>
        </w:rPr>
        <w:t xml:space="preserve"> 7:18-20</w:t>
      </w:r>
      <w:r>
        <w:rPr>
          <w:rFonts w:eastAsiaTheme="majorEastAsia"/>
        </w:rPr>
        <w:t>), as Exodus 32:1-14 also declared. The New Testament presupposes this theology and has nothing new to add to it, but in telling the story of Jesus it reports an epoch-making embodiment of it. The many and varied ways in which God spoke through the Prophets are now complemented, not by some new truths but by a new embodiment of the truth in his Son (Heb. 1:1).</w:t>
      </w:r>
    </w:p>
    <w:p w:rsidR="00DA608D" w:rsidRDefault="00DA608D" w:rsidP="00DA608D">
      <w:pPr>
        <w:rPr>
          <w:rFonts w:eastAsiaTheme="majorEastAsia"/>
        </w:rPr>
      </w:pPr>
      <w:r>
        <w:rPr>
          <w:rFonts w:eastAsiaTheme="majorEastAsia"/>
        </w:rPr>
        <w:t>The New Testament presupposes that God indeed brought calamity on his people, and that it still lives with the aftermath. But it declares that he is now restoring it, bringing about the fulfilment of the promises of restoration that the Prophets proclaim. Yet it also declares that the pattern whereby God also acts in judgment upon his people is by no means finished, either for the Jewish people or for the expanded version of the people of God comprised by Jews and Gentiles who believe in Jesus. The New Testament further indicates that the catastrophe the Prophets announce for worldly powers is also the designated fate of the superpower of its day, which will fall as did preceding superpowers in fulfillment of the Prophets’ warnings.</w:t>
      </w:r>
    </w:p>
    <w:p w:rsidR="00DA608D" w:rsidRDefault="00DA608D" w:rsidP="00DA608D">
      <w:pPr>
        <w:pStyle w:val="Heading2"/>
        <w:rPr>
          <w:lang w:val="en-GB"/>
        </w:rPr>
      </w:pPr>
      <w:r>
        <w:rPr>
          <w:lang w:val="en-GB"/>
        </w:rPr>
        <w:lastRenderedPageBreak/>
        <w:t>The Focus and the Setting</w:t>
      </w:r>
    </w:p>
    <w:p w:rsidR="00DA608D" w:rsidRDefault="00DA608D" w:rsidP="00DA608D">
      <w:r>
        <w:t>Individual Prophets among our six may</w:t>
      </w:r>
      <w:r w:rsidRPr="008417E6">
        <w:t xml:space="preserve"> overtly focus on Ephraim (Hosea, Amos) or on Judah (Joel, Micah) or on the other nations in Israel’s world (Obadiah, Jonah</w:t>
      </w:r>
      <w:r>
        <w:t xml:space="preserve">). But they may also relate to one of those other foci: </w:t>
      </w:r>
      <w:r w:rsidRPr="008417E6">
        <w:t xml:space="preserve">Hosea and Amos </w:t>
      </w:r>
      <w:r>
        <w:t xml:space="preserve">begin with references to Judah’s kings and subsequently </w:t>
      </w:r>
      <w:r w:rsidRPr="008417E6">
        <w:t>say something about Judah, Micah says something about E</w:t>
      </w:r>
      <w:r>
        <w:t>phraim, Obadiah and Jonah bring</w:t>
      </w:r>
      <w:r w:rsidRPr="008417E6">
        <w:t xml:space="preserve"> a message to Judah, and Joel and Amos say something about other nations</w:t>
      </w:r>
      <w:r>
        <w:t xml:space="preserve">. </w:t>
      </w:r>
    </w:p>
    <w:p w:rsidR="00DA608D" w:rsidRPr="00ED5932" w:rsidRDefault="00DA608D" w:rsidP="00DA608D">
      <w:pPr>
        <w:rPr>
          <w:lang w:val="en-GB"/>
        </w:rPr>
      </w:pPr>
      <w:r>
        <w:rPr>
          <w:lang w:val="en-GB"/>
        </w:rPr>
        <w:t>One might see The Twelve</w:t>
      </w:r>
      <w:r w:rsidRPr="008417E6">
        <w:rPr>
          <w:lang w:val="en-GB"/>
        </w:rPr>
        <w:t xml:space="preserve"> </w:t>
      </w:r>
      <w:r>
        <w:rPr>
          <w:lang w:val="en-GB"/>
        </w:rPr>
        <w:t>as snapshots or collections of snapshots from a family album, which</w:t>
      </w:r>
      <w:r w:rsidRPr="008417E6">
        <w:rPr>
          <w:lang w:val="en-GB"/>
        </w:rPr>
        <w:t xml:space="preserve"> later members of the family have </w:t>
      </w:r>
      <w:r>
        <w:rPr>
          <w:lang w:val="en-GB"/>
        </w:rPr>
        <w:t>put in a</w:t>
      </w:r>
      <w:r>
        <w:t xml:space="preserve"> roughly chronological order</w:t>
      </w:r>
      <w:r w:rsidRPr="008417E6">
        <w:t xml:space="preserve"> and in three groups. </w:t>
      </w:r>
    </w:p>
    <w:p w:rsidR="00DA608D" w:rsidRDefault="00DA608D" w:rsidP="00DA608D">
      <w:pPr>
        <w:pStyle w:val="PlainText"/>
      </w:pPr>
    </w:p>
    <w:p w:rsidR="00DA608D" w:rsidRDefault="00DA608D" w:rsidP="00DA608D">
      <w:pPr>
        <w:pStyle w:val="PlainText"/>
        <w:numPr>
          <w:ilvl w:val="0"/>
          <w:numId w:val="33"/>
        </w:numPr>
        <w:tabs>
          <w:tab w:val="left" w:pos="1440"/>
        </w:tabs>
      </w:pPr>
      <w:r w:rsidRPr="008417E6">
        <w:t>To start from the end, Haggai, Zechariah, and Malachi come from the Second Temple period</w:t>
      </w:r>
      <w:r>
        <w:t>, when Babylon has fallen to Persia</w:t>
      </w:r>
      <w:r w:rsidRPr="008417E6">
        <w:t xml:space="preserve">; </w:t>
      </w:r>
      <w:r>
        <w:t xml:space="preserve">the </w:t>
      </w:r>
      <w:r w:rsidRPr="008417E6">
        <w:t xml:space="preserve">Haggai and Zechariah </w:t>
      </w:r>
      <w:r>
        <w:t>scrolls incorporate</w:t>
      </w:r>
      <w:r w:rsidRPr="008417E6">
        <w:t xml:space="preserve"> dates in the Persian era. </w:t>
      </w:r>
    </w:p>
    <w:p w:rsidR="00DA608D" w:rsidRDefault="00DA608D" w:rsidP="00DA608D">
      <w:pPr>
        <w:pStyle w:val="PlainText"/>
        <w:numPr>
          <w:ilvl w:val="0"/>
          <w:numId w:val="33"/>
        </w:numPr>
        <w:tabs>
          <w:tab w:val="left" w:pos="1440"/>
        </w:tabs>
      </w:pPr>
      <w:r w:rsidRPr="008417E6">
        <w:t>Nahum</w:t>
      </w:r>
      <w:r>
        <w:t>, Habakkuk, and Zephaniah seem</w:t>
      </w:r>
      <w:r w:rsidRPr="008417E6">
        <w:t xml:space="preserve"> all </w:t>
      </w:r>
      <w:r>
        <w:t xml:space="preserve">to </w:t>
      </w:r>
      <w:r w:rsidRPr="008417E6">
        <w:t xml:space="preserve">come from the seventh century, when Assyria is about to fall to Babylon.  </w:t>
      </w:r>
    </w:p>
    <w:p w:rsidR="00DA608D" w:rsidRDefault="00DA608D" w:rsidP="00DA608D">
      <w:pPr>
        <w:pStyle w:val="PlainText"/>
        <w:numPr>
          <w:ilvl w:val="0"/>
          <w:numId w:val="33"/>
        </w:numPr>
        <w:tabs>
          <w:tab w:val="left" w:pos="1440"/>
        </w:tabs>
      </w:pPr>
      <w:r w:rsidRPr="008417E6">
        <w:t xml:space="preserve">Of the first six, Hosea, Amos, and Micah begin </w:t>
      </w:r>
      <w:r>
        <w:t>with references to eighth-</w:t>
      </w:r>
      <w:r w:rsidRPr="008417E6">
        <w:t>century</w:t>
      </w:r>
      <w:r>
        <w:t xml:space="preserve"> kings; all three prophets </w:t>
      </w:r>
      <w:r w:rsidRPr="008417E6">
        <w:t xml:space="preserve">thus belong to the period of Assyrian strength. </w:t>
      </w:r>
      <w:r>
        <w:t xml:space="preserve">Their scrolls come in an order that links with </w:t>
      </w:r>
      <w:r w:rsidRPr="00164E11">
        <w:t>the</w:t>
      </w:r>
      <w:r>
        <w:t>ir respective</w:t>
      </w:r>
      <w:r w:rsidRPr="00164E11">
        <w:t xml:space="preserve"> introductory notes</w:t>
      </w:r>
      <w:r>
        <w:t xml:space="preserve"> (the actual chronological questions are more complicated, and chronologically Amos comes first). Hosea 1:1 gives Hosea the widest time frame, the reigns of Uzziah, Jotham, Ahaz, and Hezekiah in Judah. </w:t>
      </w:r>
      <w:r w:rsidRPr="008F761E">
        <w:t>Amos 1:1 refers only to Uzziah</w:t>
      </w:r>
      <w:r>
        <w:t>, while</w:t>
      </w:r>
      <w:r w:rsidRPr="008F761E">
        <w:t xml:space="preserve"> Micah</w:t>
      </w:r>
      <w:r>
        <w:t xml:space="preserve"> 1:1</w:t>
      </w:r>
      <w:r w:rsidRPr="008F761E">
        <w:t xml:space="preserve"> refers only to Jotham, Ahaz, and Hezekiah.</w:t>
      </w:r>
      <w:r>
        <w:t xml:space="preserve"> These introductory notes also connect</w:t>
      </w:r>
      <w:r w:rsidRPr="00164E11">
        <w:t xml:space="preserve"> Hosea and Amos </w:t>
      </w:r>
      <w:r>
        <w:t xml:space="preserve">with the time of Jeroboam II as king of Ephraim; Jonah, too, lived in his reign (see 2 Kings 14:25), which puts him chronologically before Amos and Hosea. </w:t>
      </w:r>
    </w:p>
    <w:p w:rsidR="00DA608D" w:rsidRDefault="00DA608D" w:rsidP="00DA608D">
      <w:pPr>
        <w:pStyle w:val="PlainText"/>
        <w:numPr>
          <w:ilvl w:val="0"/>
          <w:numId w:val="33"/>
        </w:numPr>
        <w:tabs>
          <w:tab w:val="left" w:pos="1440"/>
        </w:tabs>
      </w:pPr>
      <w:r w:rsidRPr="008417E6">
        <w:t xml:space="preserve">Neither Joel nor </w:t>
      </w:r>
      <w:r>
        <w:t xml:space="preserve">Obadiah provide dates; perhaps (like </w:t>
      </w:r>
      <w:r w:rsidRPr="008360F3">
        <w:t>Haggai, Zechariah, and Malachi</w:t>
      </w:r>
      <w:r>
        <w:t>)</w:t>
      </w:r>
      <w:r w:rsidRPr="008360F3">
        <w:t xml:space="preserve"> </w:t>
      </w:r>
      <w:r>
        <w:t>they lived in</w:t>
      </w:r>
      <w:r w:rsidRPr="008417E6">
        <w:t xml:space="preserve"> a time when there were no</w:t>
      </w:r>
      <w:r>
        <w:t xml:space="preserve"> Judahite kings to date by. Joel may have found a place</w:t>
      </w:r>
      <w:r w:rsidRPr="008417E6">
        <w:t xml:space="preserve"> between Hosea and Amos on the assumption that it belongs in the eighth century and/or </w:t>
      </w:r>
      <w:r>
        <w:t xml:space="preserve">to give prominence to its stress on Yahweh’s Day and/or </w:t>
      </w:r>
      <w:r w:rsidRPr="008417E6">
        <w:t>because of its closing refer</w:t>
      </w:r>
      <w:r>
        <w:t xml:space="preserve">ence to Yahweh dwelling in Zion, </w:t>
      </w:r>
      <w:r w:rsidRPr="008417E6">
        <w:t>whic</w:t>
      </w:r>
      <w:r>
        <w:t xml:space="preserve">h is where Amos starts. </w:t>
      </w:r>
      <w:r w:rsidRPr="0023062D">
        <w:t xml:space="preserve">Obadiah’s </w:t>
      </w:r>
      <w:r>
        <w:t xml:space="preserve">preoccupation with Edom fits </w:t>
      </w:r>
      <w:r w:rsidRPr="0023062D">
        <w:t>the context of t</w:t>
      </w:r>
      <w:r>
        <w:t>he Babylonian or Persian period</w:t>
      </w:r>
      <w:r w:rsidRPr="0023062D">
        <w:t xml:space="preserve"> when Edom was a special problem for Judah</w:t>
      </w:r>
      <w:r>
        <w:t>, but it</w:t>
      </w:r>
      <w:r w:rsidRPr="0023062D">
        <w:t xml:space="preserve"> </w:t>
      </w:r>
      <w:r>
        <w:t>may follow</w:t>
      </w:r>
      <w:r w:rsidRPr="008417E6">
        <w:t xml:space="preserve"> Amos because Amos almost closes with a promise that David’s nati</w:t>
      </w:r>
      <w:r>
        <w:t>on is going to possess Edom.</w:t>
      </w:r>
      <w:r>
        <w:rPr>
          <w:rStyle w:val="FootnoteReference"/>
        </w:rPr>
        <w:footnoteReference w:id="4"/>
      </w:r>
      <w:r w:rsidRPr="00164E11">
        <w:t xml:space="preserve"> </w:t>
      </w:r>
    </w:p>
    <w:p w:rsidR="00DA608D" w:rsidRDefault="00DA608D" w:rsidP="00DA608D">
      <w:pPr>
        <w:pStyle w:val="PlainText"/>
        <w:numPr>
          <w:ilvl w:val="0"/>
          <w:numId w:val="33"/>
        </w:numPr>
        <w:tabs>
          <w:tab w:val="left" w:pos="1440"/>
        </w:tabs>
      </w:pPr>
      <w:r w:rsidRPr="00164E11">
        <w:t xml:space="preserve">The Septuagint’s </w:t>
      </w:r>
      <w:r>
        <w:t xml:space="preserve">order puts the three </w:t>
      </w:r>
      <w:r w:rsidRPr="00164E11">
        <w:t xml:space="preserve">dated scrolls </w:t>
      </w:r>
      <w:r>
        <w:t xml:space="preserve">(Hosea, Amos, </w:t>
      </w:r>
      <w:proofErr w:type="gramStart"/>
      <w:r>
        <w:t>Micah</w:t>
      </w:r>
      <w:proofErr w:type="gramEnd"/>
      <w:r>
        <w:t xml:space="preserve">) </w:t>
      </w:r>
      <w:r w:rsidRPr="00164E11">
        <w:t>together, then the three undated ones</w:t>
      </w:r>
      <w:r>
        <w:t xml:space="preserve"> (Joel, Obadiah, Jonah)</w:t>
      </w:r>
      <w:r w:rsidRPr="00164E11">
        <w:t>.</w:t>
      </w:r>
      <w:r w:rsidRPr="008417E6">
        <w:rPr>
          <w:vertAlign w:val="superscript"/>
        </w:rPr>
        <w:footnoteReference w:id="5"/>
      </w:r>
    </w:p>
    <w:p w:rsidR="00DA608D" w:rsidRPr="008417E6" w:rsidRDefault="00DA608D" w:rsidP="00DA608D">
      <w:pPr>
        <w:pStyle w:val="PlainText"/>
        <w:numPr>
          <w:ilvl w:val="0"/>
          <w:numId w:val="33"/>
        </w:numPr>
        <w:tabs>
          <w:tab w:val="left" w:pos="1440"/>
        </w:tabs>
      </w:pPr>
      <w:r>
        <w:t>It has been argued that the Qumran manuscript of the Twelve Prophets locates Jonah at the end, after Malachi.</w:t>
      </w:r>
      <w:r>
        <w:rPr>
          <w:rStyle w:val="FootnoteReference"/>
        </w:rPr>
        <w:footnoteReference w:id="6"/>
      </w:r>
    </w:p>
    <w:p w:rsidR="00DA608D" w:rsidRDefault="00DA608D" w:rsidP="00DA608D"/>
    <w:p w:rsidR="00DA608D" w:rsidRPr="008417E6" w:rsidRDefault="00DA608D" w:rsidP="00DA608D">
      <w:r>
        <w:t xml:space="preserve">Not being given the date of Joel and Jonah doesn’t hinder our understanding of them, and Obadiah provides as much indication of its background as we need to understand it. With Hosea, Amos, and Micah, things are different. </w:t>
      </w:r>
      <w:r w:rsidRPr="00755FBA">
        <w:t>After declaring that they are messages</w:t>
      </w:r>
      <w:r>
        <w:t xml:space="preserve"> from Yahweh</w:t>
      </w:r>
      <w:r w:rsidRPr="00755FBA">
        <w:t xml:space="preserve">, </w:t>
      </w:r>
      <w:r>
        <w:t xml:space="preserve">these three scrolls </w:t>
      </w:r>
      <w:r w:rsidRPr="00755FBA">
        <w:lastRenderedPageBreak/>
        <w:t>locat</w:t>
      </w:r>
      <w:r>
        <w:t>e their prophets historically during</w:t>
      </w:r>
      <w:r w:rsidRPr="00755FBA">
        <w:t xml:space="preserve"> the time of a sequence of Judahite and Ephraimite kings </w:t>
      </w:r>
      <w:r>
        <w:t xml:space="preserve">in the eighth century, </w:t>
      </w:r>
      <w:r w:rsidRPr="00755FBA">
        <w:t xml:space="preserve">the time from Uzziah to Hezekiah </w:t>
      </w:r>
      <w:r>
        <w:t xml:space="preserve">in Judah and </w:t>
      </w:r>
      <w:r w:rsidRPr="00755FBA">
        <w:t>from Jeroboam ben Joash to the fall of Samaria</w:t>
      </w:r>
      <w:r>
        <w:t xml:space="preserve"> in Ephraim. Their locating them in this way</w:t>
      </w:r>
      <w:r w:rsidRPr="00755FBA">
        <w:t xml:space="preserve"> implies that the</w:t>
      </w:r>
      <w:r>
        <w:t>ir</w:t>
      </w:r>
      <w:r w:rsidRPr="00755FBA">
        <w:t xml:space="preserve"> messages need to be understo</w:t>
      </w:r>
      <w:r>
        <w:t>od against these backgrounds, on which we</w:t>
      </w:r>
      <w:r w:rsidRPr="00755FBA">
        <w:t xml:space="preserve"> gain further i</w:t>
      </w:r>
      <w:r>
        <w:t xml:space="preserve">nformation </w:t>
      </w:r>
      <w:r w:rsidRPr="00755FBA">
        <w:t xml:space="preserve">from the contents of the scrolls themselves, from 2 Kings and 2 Chronicles, from Assyrian records, and from archeological discoveries in Canaan. </w:t>
      </w:r>
      <w:r>
        <w:t>Both 2</w:t>
      </w:r>
      <w:r w:rsidRPr="00855858">
        <w:t xml:space="preserve"> K</w:t>
      </w:r>
      <w:r>
        <w:t xml:space="preserve">ings and 2 Chronicles </w:t>
      </w:r>
      <w:r w:rsidRPr="00855858">
        <w:t xml:space="preserve">report the reigns of the </w:t>
      </w:r>
      <w:r>
        <w:t>four Judahite kings</w:t>
      </w:r>
      <w:r w:rsidRPr="00855858">
        <w:t>.</w:t>
      </w:r>
      <w:r>
        <w:t xml:space="preserve"> </w:t>
      </w:r>
      <w:r w:rsidRPr="008417E6">
        <w:t xml:space="preserve">Second Kings </w:t>
      </w:r>
      <w:r>
        <w:t xml:space="preserve">also </w:t>
      </w:r>
      <w:r w:rsidRPr="008417E6">
        <w:t xml:space="preserve">reports the long and successful reign of Jeroboam II, while noting that he continued in the wrong ways of Jeroboam I. It goes on to report the reigns of Zekariah, Shallum, Menakem, Peqahiah, Peqah, and Ephraim’s last king, Hoshea. These kings are not named in our prophets, but Hosea refers to events involving them. </w:t>
      </w:r>
      <w:r>
        <w:t>Second</w:t>
      </w:r>
      <w:r w:rsidRPr="00855858">
        <w:t xml:space="preserve"> </w:t>
      </w:r>
      <w:r>
        <w:t xml:space="preserve">Chronicles </w:t>
      </w:r>
      <w:r w:rsidRPr="00855858">
        <w:t>ignores Ephraim and its kings</w:t>
      </w:r>
      <w:r>
        <w:t xml:space="preserve"> but Ezra-Nehemiah, which in some sense continues the story in Chronicles, gives us information about the early Persian period which provides background to Joel, Obadiah, and Jonah.</w:t>
      </w:r>
    </w:p>
    <w:p w:rsidR="00DA608D" w:rsidRDefault="00DA608D" w:rsidP="00DA608D">
      <w:pPr>
        <w:pStyle w:val="Heading2"/>
      </w:pPr>
      <w:r>
        <w:t>Messages from God in a Political Context</w:t>
      </w:r>
    </w:p>
    <w:p w:rsidR="00DA608D" w:rsidRDefault="00DA608D" w:rsidP="00DA608D">
      <w:r>
        <w:t xml:space="preserve">The Hosea, Amos, and Micah scrolls follow declarations that their words come from Yahweh with lists of the kings in their day. </w:t>
      </w:r>
      <w:proofErr w:type="gramStart"/>
      <w:r>
        <w:t>Part of the background to the prophets’ work lies in its political context.</w:t>
      </w:r>
      <w:proofErr w:type="gramEnd"/>
      <w:r>
        <w:t xml:space="preserve"> </w:t>
      </w:r>
      <w:r w:rsidRPr="00392FDA">
        <w:t>An outli</w:t>
      </w:r>
      <w:r>
        <w:t>ne of the history at the background of Hosea, Amos, and Micah is as follows (though there are varying opinions about the dates).</w:t>
      </w:r>
      <w:r>
        <w:rPr>
          <w:rStyle w:val="FootnoteReference"/>
        </w:rPr>
        <w:footnoteReference w:id="7"/>
      </w:r>
      <w:r>
        <w:t xml:space="preserve"> </w:t>
      </w:r>
    </w:p>
    <w:p w:rsidR="00DA608D" w:rsidRDefault="00DA608D" w:rsidP="00DA608D">
      <w:r>
        <w:t>In 825 BC</w:t>
      </w:r>
      <w:r w:rsidRPr="00A27A7E">
        <w:t>, the Assyrian king Shalmanezer III erected an inscription with bas-relief images (the</w:t>
      </w:r>
      <w:r>
        <w:t xml:space="preserve"> “Black Obelisk”) which portrays an</w:t>
      </w:r>
      <w:r w:rsidRPr="00A27A7E">
        <w:t xml:space="preserve"> Ephraimi</w:t>
      </w:r>
      <w:r>
        <w:t xml:space="preserve">te king paying homage to him and listing the things he brought to </w:t>
      </w:r>
      <w:r w:rsidRPr="00A74C69">
        <w:t>Shalmanezer</w:t>
      </w:r>
      <w:r>
        <w:t>.</w:t>
      </w:r>
      <w:r>
        <w:rPr>
          <w:rStyle w:val="FootnoteReference"/>
        </w:rPr>
        <w:footnoteReference w:id="8"/>
      </w:r>
      <w:r>
        <w:t xml:space="preserve"> But subsequently, the reign of </w:t>
      </w:r>
      <w:r w:rsidRPr="00392FDA">
        <w:t>Jeroboam</w:t>
      </w:r>
      <w:r>
        <w:t xml:space="preserve"> II (about 790 to 750) experienced</w:t>
      </w:r>
      <w:r w:rsidRPr="00392FDA">
        <w:t xml:space="preserve"> fre</w:t>
      </w:r>
      <w:r>
        <w:t>edom from international pressure</w:t>
      </w:r>
      <w:r w:rsidRPr="00392FDA">
        <w:t xml:space="preserve">, </w:t>
      </w:r>
      <w:r>
        <w:t xml:space="preserve">national strength, and </w:t>
      </w:r>
      <w:r w:rsidRPr="00392FDA">
        <w:t>internal politi</w:t>
      </w:r>
      <w:r>
        <w:t>cal stability. It</w:t>
      </w:r>
      <w:r w:rsidRPr="00392FDA">
        <w:t xml:space="preserve"> would </w:t>
      </w:r>
      <w:r>
        <w:t xml:space="preserve">thus </w:t>
      </w:r>
      <w:r w:rsidRPr="00392FDA">
        <w:t xml:space="preserve">also be a time of prosperity. It was </w:t>
      </w:r>
      <w:r>
        <w:t>the last such period in Ephraim</w:t>
      </w:r>
      <w:r w:rsidRPr="00392FDA">
        <w:t xml:space="preserve">. The </w:t>
      </w:r>
      <w:r>
        <w:t xml:space="preserve">next </w:t>
      </w:r>
      <w:r w:rsidRPr="00392FDA">
        <w:t>thirty ye</w:t>
      </w:r>
      <w:r>
        <w:t>ars saw weakness</w:t>
      </w:r>
      <w:r w:rsidRPr="00392FDA">
        <w:t xml:space="preserve"> and invasio</w:t>
      </w:r>
      <w:r>
        <w:t xml:space="preserve">n as Assyria took increasing </w:t>
      </w:r>
      <w:r w:rsidRPr="00392FDA">
        <w:t>inter</w:t>
      </w:r>
      <w:r>
        <w:t>est in the Levant and specifical</w:t>
      </w:r>
      <w:r w:rsidRPr="00392FDA">
        <w:t>ly in Ephraim with its location on the trade routes from Mesopotamia to the Mediterranean and Egypt.</w:t>
      </w:r>
      <w:r>
        <w:t xml:space="preserve"> Internally, they saw instability and turbulence that can be indicated simply by listing the kings:</w:t>
      </w:r>
    </w:p>
    <w:p w:rsidR="00DA608D" w:rsidRDefault="00DA608D" w:rsidP="00DA608D"/>
    <w:p w:rsidR="00DA608D" w:rsidRDefault="00DA608D" w:rsidP="00DA608D">
      <w:pPr>
        <w:pStyle w:val="ListParagraph"/>
        <w:numPr>
          <w:ilvl w:val="0"/>
          <w:numId w:val="22"/>
        </w:numPr>
        <w:ind w:left="720"/>
      </w:pPr>
      <w:r>
        <w:t>Zechariah ben Jeroboam (750, assassinated)</w:t>
      </w:r>
    </w:p>
    <w:p w:rsidR="00DA608D" w:rsidRDefault="00DA608D" w:rsidP="00DA608D">
      <w:pPr>
        <w:pStyle w:val="ListParagraph"/>
        <w:numPr>
          <w:ilvl w:val="0"/>
          <w:numId w:val="22"/>
        </w:numPr>
        <w:ind w:left="720"/>
      </w:pPr>
      <w:r>
        <w:t>Shallum ben Jabesh, the assassin (750, assassinated)</w:t>
      </w:r>
    </w:p>
    <w:p w:rsidR="00DA608D" w:rsidRDefault="00DA608D" w:rsidP="00DA608D">
      <w:pPr>
        <w:pStyle w:val="ListParagraph"/>
        <w:numPr>
          <w:ilvl w:val="0"/>
          <w:numId w:val="22"/>
        </w:numPr>
        <w:ind w:left="720"/>
      </w:pPr>
      <w:r>
        <w:t>Menahem ben Gadi, the assassin (750-740)</w:t>
      </w:r>
    </w:p>
    <w:p w:rsidR="00DA608D" w:rsidRDefault="00DA608D" w:rsidP="00DA608D">
      <w:pPr>
        <w:pStyle w:val="ListParagraph"/>
        <w:ind w:left="720" w:firstLine="0"/>
      </w:pPr>
      <w:r>
        <w:t>In his time Tiglath-pileser intervened in Ephraim and imposed tribute in return for supporting Menahem</w:t>
      </w:r>
    </w:p>
    <w:p w:rsidR="00DA608D" w:rsidRDefault="00DA608D" w:rsidP="00DA608D">
      <w:pPr>
        <w:pStyle w:val="ListParagraph"/>
        <w:numPr>
          <w:ilvl w:val="0"/>
          <w:numId w:val="22"/>
        </w:numPr>
        <w:ind w:left="720"/>
      </w:pPr>
      <w:r>
        <w:t>Pekahiah ben Menahem (740-738, assassinated)</w:t>
      </w:r>
    </w:p>
    <w:p w:rsidR="00DA608D" w:rsidRDefault="00DA608D" w:rsidP="00DA608D">
      <w:pPr>
        <w:pStyle w:val="ListParagraph"/>
        <w:numPr>
          <w:ilvl w:val="0"/>
          <w:numId w:val="22"/>
        </w:numPr>
        <w:ind w:left="720"/>
      </w:pPr>
      <w:r>
        <w:t>Pekah ben Remaliah, the assassin, supported by fifty people from Gilead in Transjordan (738-732, assassinated)</w:t>
      </w:r>
    </w:p>
    <w:p w:rsidR="00DA608D" w:rsidRDefault="00DA608D" w:rsidP="00DA608D">
      <w:pPr>
        <w:pStyle w:val="ListParagraph"/>
        <w:ind w:left="720" w:firstLine="0"/>
      </w:pPr>
      <w:r>
        <w:t>He allied with Aram (Syria) against Assyria and tried to force Judah to join the alliance, but</w:t>
      </w:r>
      <w:r w:rsidRPr="000E1722">
        <w:t xml:space="preserve"> </w:t>
      </w:r>
      <w:r>
        <w:t xml:space="preserve">Assyria under </w:t>
      </w:r>
      <w:r w:rsidRPr="000E1722">
        <w:t>Tiglath-pileser invaded</w:t>
      </w:r>
      <w:r>
        <w:t xml:space="preserve"> Ephraim</w:t>
      </w:r>
      <w:r w:rsidRPr="000E1722">
        <w:t>, annexed much of northern Ephraim and Gilead, and transported many of their people</w:t>
      </w:r>
      <w:r>
        <w:t>.</w:t>
      </w:r>
    </w:p>
    <w:p w:rsidR="00DA608D" w:rsidRDefault="00DA608D" w:rsidP="00DA608D">
      <w:pPr>
        <w:pStyle w:val="ListParagraph"/>
        <w:numPr>
          <w:ilvl w:val="0"/>
          <w:numId w:val="22"/>
        </w:numPr>
        <w:ind w:left="720"/>
      </w:pPr>
      <w:r>
        <w:t>Hoshea ben Elah, the assassin (732-723, deposed)</w:t>
      </w:r>
    </w:p>
    <w:p w:rsidR="00DA608D" w:rsidRDefault="00DA608D" w:rsidP="00DA608D">
      <w:pPr>
        <w:pStyle w:val="ListParagraph"/>
        <w:ind w:left="720" w:firstLine="0"/>
      </w:pPr>
      <w:r>
        <w:t>He stopped paying Assyria tribute and sought alliance with Egypt; the next Assyrian king, Shalmanezer, invaded Ephraim, and he or his successor Sargon II took Samaria and transported many Ephraimites.</w:t>
      </w:r>
    </w:p>
    <w:p w:rsidR="00DA608D" w:rsidRDefault="00DA608D" w:rsidP="00DA608D"/>
    <w:p w:rsidR="00DA608D" w:rsidRDefault="00DA608D" w:rsidP="00DA608D">
      <w:r w:rsidRPr="001B67AF">
        <w:lastRenderedPageBreak/>
        <w:t>Judah had an easier time through this period, particularly during the reigns of Uzziah and J</w:t>
      </w:r>
      <w:r>
        <w:t>otham. Jerusalem</w:t>
      </w:r>
      <w:r w:rsidRPr="001B67AF">
        <w:t xml:space="preserve"> was off the main trade routes in the mo</w:t>
      </w:r>
      <w:r>
        <w:t>untains. But in Ahaz’s reign Assyrian pressure on Ephraim brought trouble to</w:t>
      </w:r>
      <w:r w:rsidRPr="001B67AF">
        <w:t xml:space="preserve"> Judah</w:t>
      </w:r>
      <w:r>
        <w:t xml:space="preserve"> as a side effect. Rather than join</w:t>
      </w:r>
      <w:r w:rsidRPr="001B67AF">
        <w:t xml:space="preserve"> Ephraim and Aram in resisting Assyria, </w:t>
      </w:r>
      <w:r>
        <w:t>Judah</w:t>
      </w:r>
      <w:r w:rsidRPr="001B67AF">
        <w:t xml:space="preserve"> sought Assyrian support in</w:t>
      </w:r>
      <w:r>
        <w:t xml:space="preserve"> resisting Ephraim and Aram and</w:t>
      </w:r>
      <w:r w:rsidRPr="001B67AF">
        <w:t xml:space="preserve"> thus became an Assyrian minion, which saved it from Ephraim’s fate. </w:t>
      </w:r>
    </w:p>
    <w:p w:rsidR="00DA608D" w:rsidRDefault="00DA608D" w:rsidP="00DA608D">
      <w:r>
        <w:t>Archeological discoveries indicate that the late eighth century saw Jerusalem grow considerably in population, apparently through the arrival of refugees from the conflicts and invasions of Ephraim’s last years.</w:t>
      </w:r>
      <w:r>
        <w:rPr>
          <w:rStyle w:val="FootnoteReference"/>
        </w:rPr>
        <w:footnoteReference w:id="9"/>
      </w:r>
      <w:r>
        <w:t xml:space="preserve"> But in Hezekiah’s reign Judah reneged on its subordination to Assyria and sought Egyptian support as it asserted its independence. This encouraged rather than held back Assyrian intervention in Judah, which issued in terrible devastation in the Judahite lowlands, documented by Sennacherib’s bas-reliefs of the capture of Lakish. But Sennacherib did not take Jerusalem itself.</w:t>
      </w:r>
    </w:p>
    <w:p w:rsidR="00DA608D" w:rsidRDefault="00DA608D" w:rsidP="00DA608D">
      <w:r>
        <w:t>O</w:t>
      </w:r>
      <w:r w:rsidRPr="00382060">
        <w:t>ver the next two or three centuries in Judah</w:t>
      </w:r>
      <w:r>
        <w:t xml:space="preserve">, during the </w:t>
      </w:r>
      <w:r w:rsidRPr="003D6DB1">
        <w:t>period</w:t>
      </w:r>
      <w:r>
        <w:t>s</w:t>
      </w:r>
      <w:r w:rsidRPr="003D6DB1">
        <w:t xml:space="preserve"> of Assyrian </w:t>
      </w:r>
      <w:r>
        <w:t xml:space="preserve">supremacy and </w:t>
      </w:r>
      <w:r w:rsidRPr="003D6DB1">
        <w:t>decline, of Babylonian power, and of</w:t>
      </w:r>
      <w:r>
        <w:t xml:space="preserve"> Persian control</w:t>
      </w:r>
      <w:r w:rsidRPr="003D6DB1">
        <w:t xml:space="preserve">, </w:t>
      </w:r>
      <w:r w:rsidRPr="003621EF">
        <w:t>the messages of Hosea, Amos, and Micah were no doubt being studied and perhaps amplified</w:t>
      </w:r>
      <w:r>
        <w:t>,</w:t>
      </w:r>
      <w:r w:rsidRPr="003621EF">
        <w:t xml:space="preserve"> </w:t>
      </w:r>
      <w:r>
        <w:t xml:space="preserve">but the scrolls make no concrete reference to events during those periods. </w:t>
      </w:r>
      <w:r w:rsidRPr="003D6DB1">
        <w:t xml:space="preserve">Likewise, the messages in Joel were being proclaimed and </w:t>
      </w:r>
      <w:r>
        <w:t xml:space="preserve">the story of Jonah was being told in Judah, in at least the latter part of this period. Only Obadiah makes something like definite reference to the situation in Judah as it alludes to the occupation of much Judahite territory by Edom from the sixth century onwards (see the introduction to Obadiah below). </w:t>
      </w:r>
    </w:p>
    <w:p w:rsidR="00DA608D" w:rsidRDefault="00DA608D" w:rsidP="00DA608D">
      <w:pPr>
        <w:pStyle w:val="Heading2"/>
        <w:rPr>
          <w:lang w:bidi="he-IL"/>
        </w:rPr>
      </w:pPr>
      <w:r w:rsidRPr="00D16C61">
        <w:rPr>
          <w:lang w:bidi="he-IL"/>
        </w:rPr>
        <w:t xml:space="preserve">Messages from God in a </w:t>
      </w:r>
      <w:r>
        <w:rPr>
          <w:lang w:bidi="he-IL"/>
        </w:rPr>
        <w:t xml:space="preserve">Religious and Societal </w:t>
      </w:r>
      <w:r w:rsidRPr="00D16C61">
        <w:rPr>
          <w:lang w:bidi="he-IL"/>
        </w:rPr>
        <w:t>Context</w:t>
      </w:r>
    </w:p>
    <w:p w:rsidR="00DA608D" w:rsidRDefault="00DA608D" w:rsidP="00DA608D">
      <w:pPr>
        <w:rPr>
          <w:lang w:bidi="he-IL"/>
        </w:rPr>
      </w:pPr>
      <w:r>
        <w:rPr>
          <w:lang w:bidi="he-IL"/>
        </w:rPr>
        <w:t xml:space="preserve">Hosea, Amos, and Micah also presuppose religious and societal contexts, which are interwoven with each other and with the political contexts. While the Prophets are committed to the fact that Yahweh is the only God and that Israel should be committed to acknowledging him as such, the prophetic scrolls, works such as 1 and 2 Kings, and </w:t>
      </w:r>
      <w:r w:rsidRPr="00FD4D87">
        <w:rPr>
          <w:lang w:bidi="he-IL"/>
        </w:rPr>
        <w:t>archeological discoveries</w:t>
      </w:r>
      <w:r>
        <w:rPr>
          <w:lang w:bidi="he-IL"/>
        </w:rPr>
        <w:t xml:space="preserve"> make clear that Ephraim in particular is not so committed. Perhaps it would be news to many people that they were supposed to be committed to Yahweh as the only God. On one hand, the traditional religions of the region assumed that there were a number of gods. No doubt some Ephraimite prophets, priests, kings, and other political leaders did accept an exclusive commitment to Yahweh, but</w:t>
      </w:r>
      <w:r w:rsidRPr="00214631">
        <w:rPr>
          <w:lang w:bidi="he-IL"/>
        </w:rPr>
        <w:t xml:space="preserve"> the interweaving of politics and religion </w:t>
      </w:r>
      <w:r>
        <w:rPr>
          <w:lang w:bidi="he-IL"/>
        </w:rPr>
        <w:t xml:space="preserve">likely </w:t>
      </w:r>
      <w:r w:rsidRPr="00214631">
        <w:rPr>
          <w:lang w:bidi="he-IL"/>
        </w:rPr>
        <w:t xml:space="preserve">made it hard for Ephraim to enter into political alliances with other nations without engaging in rites that involved </w:t>
      </w:r>
      <w:r>
        <w:rPr>
          <w:lang w:bidi="he-IL"/>
        </w:rPr>
        <w:t xml:space="preserve">formal </w:t>
      </w:r>
      <w:r w:rsidRPr="00214631">
        <w:rPr>
          <w:lang w:bidi="he-IL"/>
        </w:rPr>
        <w:t>a</w:t>
      </w:r>
      <w:r>
        <w:rPr>
          <w:lang w:bidi="he-IL"/>
        </w:rPr>
        <w:t xml:space="preserve">cknowledgment of </w:t>
      </w:r>
      <w:r w:rsidRPr="00214631">
        <w:rPr>
          <w:lang w:bidi="he-IL"/>
        </w:rPr>
        <w:t>their gods (see further the introduction to Hosea below).</w:t>
      </w:r>
    </w:p>
    <w:p w:rsidR="00DA608D" w:rsidRDefault="00DA608D" w:rsidP="00DA608D">
      <w:pPr>
        <w:rPr>
          <w:lang w:bidi="he-IL"/>
        </w:rPr>
      </w:pPr>
      <w:r>
        <w:rPr>
          <w:lang w:bidi="he-IL"/>
        </w:rPr>
        <w:t xml:space="preserve">Even insofar as Ephraim made that formal acknowledgment, the Prophets critiqued another aspect of its worship, which involved the use of aids to worship such as images of Yahweh. To put it in terms of the Decalogue, even if they kept the first commandment, they failed to keep the second. The use of actual images of Yahweh, especially at the sanctuaries at Beth-el and Dan, was accompanied by the use of other aids to worship of the kind that the Torah declares they should have destroyed on entering the country and not imitated. Such aids to worship easily encouraged a view of Yahweh that made him only too like other deities. </w:t>
      </w:r>
    </w:p>
    <w:p w:rsidR="00DA608D" w:rsidRDefault="00DA608D" w:rsidP="00DA608D">
      <w:pPr>
        <w:rPr>
          <w:lang w:bidi="he-IL"/>
        </w:rPr>
      </w:pPr>
      <w:r>
        <w:rPr>
          <w:lang w:bidi="he-IL"/>
        </w:rPr>
        <w:t xml:space="preserve">Worship in Ephraim was necessarily not confined to the two sanctuaries in the far north and the </w:t>
      </w:r>
      <w:proofErr w:type="gramStart"/>
      <w:r>
        <w:rPr>
          <w:lang w:bidi="he-IL"/>
        </w:rPr>
        <w:t>deep south</w:t>
      </w:r>
      <w:proofErr w:type="gramEnd"/>
      <w:r>
        <w:rPr>
          <w:lang w:bidi="he-IL"/>
        </w:rPr>
        <w:t xml:space="preserve">, which people could not easily visit more than once or twice a year. In or near their towns and villages they had shrines which constituted more practicable sites for worship—the </w:t>
      </w:r>
      <w:r>
        <w:rPr>
          <w:i/>
          <w:lang w:bidi="he-IL"/>
        </w:rPr>
        <w:t>bamot</w:t>
      </w:r>
      <w:r>
        <w:rPr>
          <w:lang w:bidi="he-IL"/>
        </w:rPr>
        <w:t>, traditionally “high places.” In Judah, there is less indication of people seeking the help of other deities, but some indication of worship that contravened the second commandment. And the problem with the existence of the shrines in Ephraim and in Judah is that they could easily become hard to distinguish from a Canaanite shrine with regard to whose help people sought there, and how they did so.</w:t>
      </w:r>
    </w:p>
    <w:p w:rsidR="00DA608D" w:rsidRDefault="00DA608D" w:rsidP="00DA608D">
      <w:pPr>
        <w:rPr>
          <w:lang w:bidi="he-IL"/>
        </w:rPr>
      </w:pPr>
      <w:r>
        <w:rPr>
          <w:lang w:bidi="he-IL"/>
        </w:rPr>
        <w:t xml:space="preserve">The societal context lying behind much of the polemic in Hosea, Amos, and Micah implies a parallel clash between the kind of society the Torah envisages and the kind that has come to exist in </w:t>
      </w:r>
      <w:r>
        <w:rPr>
          <w:lang w:bidi="he-IL"/>
        </w:rPr>
        <w:lastRenderedPageBreak/>
        <w:t xml:space="preserve">Ephraim and in Judah. The Torah’s ideal is a society that is village-based, with clans and extended families possessing the land and farming it, largely on a subsistence basis but with the implicit hope that they will produce enough </w:t>
      </w:r>
      <w:proofErr w:type="gramStart"/>
      <w:r>
        <w:rPr>
          <w:lang w:bidi="he-IL"/>
        </w:rPr>
        <w:t>surplus</w:t>
      </w:r>
      <w:proofErr w:type="gramEnd"/>
      <w:r>
        <w:rPr>
          <w:lang w:bidi="he-IL"/>
        </w:rPr>
        <w:t xml:space="preserve"> to barter for needs that they cannot fulfill for themselves, such as the acquisition of iron tools and jewelry. </w:t>
      </w:r>
    </w:p>
    <w:p w:rsidR="00DA608D" w:rsidRDefault="00DA608D" w:rsidP="00DA608D">
      <w:pPr>
        <w:rPr>
          <w:lang w:bidi="he-IL"/>
        </w:rPr>
      </w:pPr>
      <w:r>
        <w:rPr>
          <w:lang w:bidi="he-IL"/>
        </w:rPr>
        <w:t xml:space="preserve">Two related factors lie behind the malfunctioning of this system which the Prophets presuppose. One is the development of the state and the need to fund its life, its administration, its infrastructure projects, and its defense budget, with the associated need to pay imperial taxes when the Assyrians become overlords of Ephraim and then of Judah. The development of the state sees much land come under state control with ordinary people working as the administration’s servants. It also issues in the need to collect taxes and thus trim off some of the production of family farms, whether or not it is actually a surplus. </w:t>
      </w:r>
    </w:p>
    <w:p w:rsidR="00DA608D" w:rsidRPr="00633139" w:rsidRDefault="00DA608D" w:rsidP="00DA608D">
      <w:pPr>
        <w:rPr>
          <w:lang w:bidi="he-IL"/>
        </w:rPr>
      </w:pPr>
      <w:r>
        <w:rPr>
          <w:lang w:bidi="he-IL"/>
        </w:rPr>
        <w:t>The other factor is that some families manage to get control of the land of other families and thus to become large-scale landowners. At best, the people who had formerly possessed their allocation of land become servants on what was once their own farm. One factor in this development will be the economic failure of a family’s farm, through its inefficiency or laziness or bad luck. Another will be fraud on the part of the more astute landowners. The large-scale landowners thus get themselves into a position whereby they can live well, while their servants end up living poorly.</w:t>
      </w:r>
    </w:p>
    <w:p w:rsidR="00DA608D" w:rsidRDefault="00DA608D" w:rsidP="00DA608D">
      <w:pPr>
        <w:pStyle w:val="Heading2"/>
        <w:rPr>
          <w:lang w:bidi="he-IL"/>
        </w:rPr>
      </w:pPr>
      <w:r>
        <w:rPr>
          <w:lang w:bidi="he-IL"/>
        </w:rPr>
        <w:t>How a Prophet’s Words Got Known</w:t>
      </w:r>
    </w:p>
    <w:p w:rsidR="00DA608D" w:rsidRDefault="00DA608D" w:rsidP="00DA608D">
      <w:pPr>
        <w:rPr>
          <w:rFonts w:cs="Times New Roman"/>
          <w:szCs w:val="20"/>
          <w:lang w:bidi="he-IL"/>
        </w:rPr>
      </w:pPr>
      <w:r>
        <w:rPr>
          <w:rFonts w:cs="Times New Roman"/>
          <w:szCs w:val="20"/>
          <w:lang w:bidi="he-IL"/>
        </w:rPr>
        <w:t xml:space="preserve">In a modern Western context, Jews and Christians get to know the messages of the Prophets in at least two ways. Many may hear parts of the scrolls read out in worship; a few read them and study them as written texts. In the Second Temple period, something similar would be true. On one hand, synagogue lectionaries developed during this era, and the second reading in synagogue worship came from the Prophets. On the other, references from Qumran and from the New Testament indicate the practice of scholarly study. Convenient evidence surfaces in connection with Micah in the form of the Micah expositions (“pesharim”) from Qumran </w:t>
      </w:r>
      <w:r w:rsidRPr="00FD4D87">
        <w:rPr>
          <w:rFonts w:cs="Times New Roman"/>
          <w:szCs w:val="20"/>
          <w:lang w:bidi="he-IL"/>
        </w:rPr>
        <w:t>(1QpMic and 4QpMic)</w:t>
      </w:r>
      <w:r>
        <w:rPr>
          <w:rFonts w:cs="Times New Roman"/>
          <w:szCs w:val="20"/>
          <w:lang w:bidi="he-IL"/>
        </w:rPr>
        <w:t xml:space="preserve"> and in the way Jewish scholars respond to Herod’s question about where the Messiah would be born (Matt. 2:6). </w:t>
      </w:r>
    </w:p>
    <w:p w:rsidR="00DA608D" w:rsidRPr="005E662A" w:rsidRDefault="00DA608D" w:rsidP="00DA608D">
      <w:pPr>
        <w:rPr>
          <w:rFonts w:cs="Times New Roman"/>
          <w:szCs w:val="20"/>
          <w:lang w:bidi="he-IL"/>
        </w:rPr>
      </w:pPr>
      <w:r>
        <w:rPr>
          <w:rFonts w:cs="Times New Roman"/>
          <w:szCs w:val="20"/>
          <w:lang w:bidi="he-IL"/>
        </w:rPr>
        <w:t xml:space="preserve">The two dynamics (hearing and studying) correspond to data within the scrolls themselves. On one hand, the prophets are portrayed as something like preachers: see e.g., Amos 7:10-17; Jonah; the frequent exhortation to “listen”; and the prophets’ attention to rhetoric. Such data within these six scrolls corresponds to the picture one gets extensively from Jeremiah and Ezekiel, and also from Isaiah, Haggai, and Zechariah. </w:t>
      </w:r>
      <w:r w:rsidRPr="005E662A">
        <w:rPr>
          <w:rFonts w:cs="Times New Roman"/>
          <w:szCs w:val="20"/>
          <w:lang w:val="en-GB" w:bidi="he-IL"/>
        </w:rPr>
        <w:t>The scrolls hint at three places where the prophets might seek to gain a hearing for these messages. Hosea and Amos refer a number of times to the Ephraimite capital, Samaria, and refer also to Beth-el, the sanctuary-town nearer Samaria, to which Amos makes more reference and which was where he got into trouble (Amos 7:1-17). One can picture Hosea preaching in the square in front of the town gate in Samaria when people were gathering there, and Amos preaching in the sanctuary courtyard in Beth-el when people were assembled for a festival there. One can similarly imagine Joel, Obadiah, and Micah preaching in Jerusalem in the square or in the temple courtyards on such occasions—and one can imagine a storyteller telling Jonah’s story there.</w:t>
      </w:r>
    </w:p>
    <w:p w:rsidR="00DA608D" w:rsidRDefault="00DA608D" w:rsidP="00DA608D">
      <w:pPr>
        <w:rPr>
          <w:rFonts w:cs="Times New Roman"/>
          <w:szCs w:val="20"/>
          <w:lang w:bidi="he-IL"/>
        </w:rPr>
      </w:pPr>
      <w:r>
        <w:rPr>
          <w:rFonts w:cs="Times New Roman"/>
          <w:szCs w:val="20"/>
          <w:lang w:bidi="he-IL"/>
        </w:rPr>
        <w:t xml:space="preserve">On the other hand, the </w:t>
      </w:r>
      <w:r w:rsidRPr="00286C67">
        <w:rPr>
          <w:rFonts w:cs="Times New Roman"/>
          <w:szCs w:val="20"/>
          <w:lang w:bidi="he-IL"/>
        </w:rPr>
        <w:t>scroll</w:t>
      </w:r>
      <w:r>
        <w:rPr>
          <w:rFonts w:cs="Times New Roman"/>
          <w:szCs w:val="20"/>
          <w:lang w:bidi="he-IL"/>
        </w:rPr>
        <w:t xml:space="preserve">s manifest </w:t>
      </w:r>
      <w:r w:rsidRPr="00286C67">
        <w:rPr>
          <w:rFonts w:cs="Times New Roman"/>
          <w:szCs w:val="20"/>
          <w:lang w:bidi="he-IL"/>
        </w:rPr>
        <w:t>logical structuring</w:t>
      </w:r>
      <w:r>
        <w:rPr>
          <w:rFonts w:cs="Times New Roman"/>
          <w:szCs w:val="20"/>
          <w:lang w:bidi="he-IL"/>
        </w:rPr>
        <w:t>,</w:t>
      </w:r>
      <w:r w:rsidRPr="00286C67">
        <w:rPr>
          <w:rFonts w:cs="Times New Roman"/>
          <w:szCs w:val="20"/>
          <w:lang w:bidi="he-IL"/>
        </w:rPr>
        <w:t xml:space="preserve"> </w:t>
      </w:r>
      <w:r>
        <w:rPr>
          <w:rFonts w:cs="Times New Roman"/>
          <w:szCs w:val="20"/>
          <w:lang w:bidi="he-IL"/>
        </w:rPr>
        <w:t xml:space="preserve">and the messages they preserve are mostly expressed in poetry, much of whose effect would not come across in a one-time oral presentation in the midst of the crowd in the temple courtyards or the city square. These characteristics imply the expectation of study. Jeremiah 26:17-19 suggests that at least some of the contents of the Micah scroll were available for study to “the elders of the country” in Jeremiah’s day and/or that the notion of appealing to them would make sense to people listening to this story about Jeremiah when it was being told a few decades later. Likewise 1 Kings 22:28 has Micah’s near-namesake Micaiah </w:t>
      </w:r>
      <w:r>
        <w:rPr>
          <w:rFonts w:cs="Times New Roman"/>
          <w:szCs w:val="20"/>
          <w:lang w:bidi="he-IL"/>
        </w:rPr>
        <w:lastRenderedPageBreak/>
        <w:t>“quoting” Micah’s opening words as they appear in the scroll, “Listen, you peoples, all of them” (Mic. 1:2).</w:t>
      </w:r>
    </w:p>
    <w:p w:rsidR="00DA608D" w:rsidRDefault="00DA608D" w:rsidP="00DA608D">
      <w:pPr>
        <w:rPr>
          <w:rFonts w:cs="Times New Roman"/>
          <w:szCs w:val="20"/>
          <w:lang w:bidi="he-IL"/>
        </w:rPr>
      </w:pPr>
      <w:r>
        <w:rPr>
          <w:rFonts w:cs="Times New Roman"/>
          <w:szCs w:val="20"/>
          <w:lang w:bidi="he-IL"/>
        </w:rPr>
        <w:t xml:space="preserve">Another passage within Micah points in a different but complementary direction. While we have no accounts of prophets writing down individual messages, Micah 4:1-3 may imply that they did. The verses are a variant of a message that also comes in Isaiah 2:2-4; it may have derived from Micah or from Isaiah or from another prophet. It anyway apparently existed in a form that was stable enough to have found its way into both the Micah and the Isaiah scrolls, though malleable enough to be adapted by both—either in writing or in oral form. It wouldn’t be surprising if many individual messages </w:t>
      </w:r>
      <w:r w:rsidRPr="00A34E45">
        <w:rPr>
          <w:rFonts w:cs="Times New Roman"/>
          <w:szCs w:val="20"/>
          <w:lang w:bidi="he-IL"/>
        </w:rPr>
        <w:t>from prophets such as Mi</w:t>
      </w:r>
      <w:r>
        <w:rPr>
          <w:rFonts w:cs="Times New Roman"/>
          <w:szCs w:val="20"/>
          <w:lang w:bidi="he-IL"/>
        </w:rPr>
        <w:t xml:space="preserve">cah, Hosea, Amos, and Joel, messages of varying lengths and in stable but adaptable form, were in circulation in Ephraim and Judah. </w:t>
      </w:r>
    </w:p>
    <w:p w:rsidR="00DA608D" w:rsidRDefault="00DA608D" w:rsidP="00DA608D">
      <w:pPr>
        <w:pStyle w:val="Heading2"/>
        <w:rPr>
          <w:lang w:bidi="he-IL"/>
        </w:rPr>
      </w:pPr>
      <w:r>
        <w:rPr>
          <w:lang w:bidi="he-IL"/>
        </w:rPr>
        <w:t>How Prophets Spoke</w:t>
      </w:r>
    </w:p>
    <w:p w:rsidR="00DA608D" w:rsidRDefault="00DA608D" w:rsidP="00DA608D">
      <w:pPr>
        <w:rPr>
          <w:rFonts w:cs="Times New Roman"/>
          <w:szCs w:val="20"/>
          <w:lang w:bidi="he-IL"/>
        </w:rPr>
      </w:pPr>
      <w:r>
        <w:rPr>
          <w:rFonts w:cs="Times New Roman"/>
          <w:szCs w:val="20"/>
          <w:lang w:bidi="he-IL"/>
        </w:rPr>
        <w:t xml:space="preserve">One might then imagine </w:t>
      </w:r>
      <w:r w:rsidRPr="0092540E">
        <w:rPr>
          <w:rFonts w:cs="Times New Roman"/>
          <w:szCs w:val="20"/>
          <w:lang w:bidi="he-IL"/>
        </w:rPr>
        <w:t xml:space="preserve">the generation of the scrolls </w:t>
      </w:r>
      <w:r>
        <w:rPr>
          <w:rFonts w:cs="Times New Roman"/>
          <w:szCs w:val="20"/>
          <w:lang w:bidi="he-IL"/>
        </w:rPr>
        <w:t xml:space="preserve">issuing from a four-stage process. </w:t>
      </w:r>
    </w:p>
    <w:p w:rsidR="00DA608D" w:rsidRDefault="00DA608D" w:rsidP="00DA608D">
      <w:pPr>
        <w:rPr>
          <w:rFonts w:cs="Times New Roman"/>
          <w:szCs w:val="20"/>
          <w:lang w:bidi="he-IL"/>
        </w:rPr>
      </w:pPr>
      <w:r>
        <w:rPr>
          <w:lang w:bidi="he-IL"/>
        </w:rPr>
        <w:t xml:space="preserve">First, the prophets delivered </w:t>
      </w:r>
      <w:r w:rsidRPr="00195D56">
        <w:rPr>
          <w:rFonts w:cs="Times New Roman"/>
          <w:szCs w:val="20"/>
          <w:lang w:bidi="he-IL"/>
        </w:rPr>
        <w:t>oral messages of varying length</w:t>
      </w:r>
      <w:r>
        <w:rPr>
          <w:rFonts w:cs="Times New Roman"/>
          <w:szCs w:val="20"/>
          <w:lang w:bidi="he-IL"/>
        </w:rPr>
        <w:t>, from a couple of lines to the extensive dimensions of the pronouncement beginning in Amos 1:3 and stretching well into chapter 2</w:t>
      </w:r>
      <w:r w:rsidRPr="00195D56">
        <w:rPr>
          <w:rFonts w:cs="Times New Roman"/>
          <w:szCs w:val="20"/>
          <w:lang w:bidi="he-IL"/>
        </w:rPr>
        <w:t xml:space="preserve">. </w:t>
      </w:r>
    </w:p>
    <w:p w:rsidR="00DA608D" w:rsidRDefault="00DA608D" w:rsidP="00DA608D">
      <w:pPr>
        <w:rPr>
          <w:lang w:bidi="he-IL"/>
        </w:rPr>
      </w:pPr>
      <w:r>
        <w:rPr>
          <w:lang w:val="en-GB" w:bidi="he-IL"/>
        </w:rPr>
        <w:t xml:space="preserve">The bulk of this preaching by the prophets took poetic form. Prophetic poetry is less regular in form than the poetry of Proverbs and Job, while the Psalms come in between. Perhaps it was more orally-composed and less deliberate. </w:t>
      </w:r>
      <w:r w:rsidRPr="008417E6">
        <w:rPr>
          <w:lang w:val="en-GB" w:bidi="he-IL"/>
        </w:rPr>
        <w:t xml:space="preserve">Most of the material in the six scrolls divides naturally into </w:t>
      </w:r>
      <w:r>
        <w:rPr>
          <w:lang w:val="en-GB" w:bidi="he-IL"/>
        </w:rPr>
        <w:t xml:space="preserve">lines averaging about six words, though the difference between the way Hebrew and English work means that they involve more words in English: “A lion has roared” (Amos 3:8), for instance, is only two words in Hebrew. A poetic line then commonly divides into two halves or cola; along with the characteristic length of lines, this arrangement </w:t>
      </w:r>
      <w:r w:rsidRPr="008417E6">
        <w:rPr>
          <w:lang w:val="en-GB" w:bidi="he-IL"/>
        </w:rPr>
        <w:t xml:space="preserve">is a </w:t>
      </w:r>
      <w:r>
        <w:rPr>
          <w:lang w:val="en-GB" w:bidi="he-IL"/>
        </w:rPr>
        <w:t xml:space="preserve">further </w:t>
      </w:r>
      <w:r w:rsidRPr="008417E6">
        <w:rPr>
          <w:lang w:val="en-GB" w:bidi="he-IL"/>
        </w:rPr>
        <w:t>formal sign that the material is verse rather than prose. M</w:t>
      </w:r>
      <w:r w:rsidRPr="008417E6">
        <w:rPr>
          <w:lang w:bidi="he-IL"/>
        </w:rPr>
        <w:t xml:space="preserve">any </w:t>
      </w:r>
      <w:r>
        <w:rPr>
          <w:lang w:bidi="he-IL"/>
        </w:rPr>
        <w:t>such “</w:t>
      </w:r>
      <w:r w:rsidRPr="008417E6">
        <w:rPr>
          <w:lang w:bidi="he-IL"/>
        </w:rPr>
        <w:t>bicola</w:t>
      </w:r>
      <w:r>
        <w:rPr>
          <w:lang w:bidi="he-IL"/>
        </w:rPr>
        <w:t>”</w:t>
      </w:r>
      <w:r w:rsidRPr="008417E6">
        <w:rPr>
          <w:lang w:bidi="he-IL"/>
        </w:rPr>
        <w:t xml:space="preserve"> manifest “synthetic parallelism” whereby the second colon</w:t>
      </w:r>
      <w:r>
        <w:rPr>
          <w:lang w:bidi="he-IL"/>
        </w:rPr>
        <w:t xml:space="preserve"> restates the first in some way</w:t>
      </w:r>
      <w:r w:rsidRPr="008417E6">
        <w:rPr>
          <w:lang w:bidi="he-IL"/>
        </w:rPr>
        <w:t xml:space="preserve"> while also nuancing it or adding to it. In other bicola the second colon expands on or completes the </w:t>
      </w:r>
      <w:r>
        <w:rPr>
          <w:lang w:bidi="he-IL"/>
        </w:rPr>
        <w:t>first</w:t>
      </w:r>
      <w:r w:rsidRPr="00E35394">
        <w:rPr>
          <w:lang w:bidi="he-IL"/>
        </w:rPr>
        <w:t xml:space="preserve">. </w:t>
      </w:r>
      <w:r w:rsidRPr="008417E6">
        <w:rPr>
          <w:lang w:bidi="he-IL"/>
        </w:rPr>
        <w:t xml:space="preserve">Hebrew </w:t>
      </w:r>
      <w:r>
        <w:rPr>
          <w:lang w:bidi="he-IL"/>
        </w:rPr>
        <w:t>syntax in poetry</w:t>
      </w:r>
      <w:r w:rsidRPr="008417E6">
        <w:rPr>
          <w:lang w:bidi="he-IL"/>
        </w:rPr>
        <w:t xml:space="preserve"> </w:t>
      </w:r>
      <w:r>
        <w:rPr>
          <w:lang w:bidi="he-IL"/>
        </w:rPr>
        <w:t>also differs from syntax in prose. It</w:t>
      </w:r>
      <w:r w:rsidRPr="008417E6">
        <w:rPr>
          <w:lang w:bidi="he-IL"/>
        </w:rPr>
        <w:t xml:space="preserve"> make</w:t>
      </w:r>
      <w:r>
        <w:rPr>
          <w:lang w:bidi="he-IL"/>
        </w:rPr>
        <w:t>s</w:t>
      </w:r>
      <w:r w:rsidRPr="008417E6">
        <w:rPr>
          <w:lang w:bidi="he-IL"/>
        </w:rPr>
        <w:t xml:space="preserve"> </w:t>
      </w:r>
      <w:r>
        <w:rPr>
          <w:lang w:bidi="he-IL"/>
        </w:rPr>
        <w:t xml:space="preserve">less </w:t>
      </w:r>
      <w:r w:rsidRPr="008417E6">
        <w:rPr>
          <w:lang w:bidi="he-IL"/>
        </w:rPr>
        <w:t>use o</w:t>
      </w:r>
      <w:r>
        <w:rPr>
          <w:lang w:bidi="he-IL"/>
        </w:rPr>
        <w:t>f the little words that facilitate</w:t>
      </w:r>
      <w:r w:rsidRPr="008417E6">
        <w:rPr>
          <w:lang w:bidi="he-IL"/>
        </w:rPr>
        <w:t xml:space="preserve"> immediate communication in prose, such as the object marker, the relative parti</w:t>
      </w:r>
      <w:r>
        <w:rPr>
          <w:lang w:bidi="he-IL"/>
        </w:rPr>
        <w:t>cle, and the definite article; and it makes less</w:t>
      </w:r>
      <w:r w:rsidRPr="008417E6">
        <w:rPr>
          <w:lang w:bidi="he-IL"/>
        </w:rPr>
        <w:t xml:space="preserve"> use</w:t>
      </w:r>
      <w:r>
        <w:rPr>
          <w:lang w:bidi="he-IL"/>
        </w:rPr>
        <w:t xml:space="preserve"> of</w:t>
      </w:r>
      <w:r w:rsidRPr="008417E6">
        <w:rPr>
          <w:lang w:bidi="he-IL"/>
        </w:rPr>
        <w:t xml:space="preserve"> </w:t>
      </w:r>
      <w:r w:rsidRPr="008417E6">
        <w:rPr>
          <w:i/>
          <w:lang w:bidi="he-IL"/>
        </w:rPr>
        <w:t>waw</w:t>
      </w:r>
      <w:r>
        <w:rPr>
          <w:lang w:bidi="he-IL"/>
        </w:rPr>
        <w:t xml:space="preserve">-consecutive. </w:t>
      </w:r>
    </w:p>
    <w:p w:rsidR="00DA608D" w:rsidRPr="008417E6" w:rsidRDefault="00DA608D" w:rsidP="00DA608D">
      <w:pPr>
        <w:rPr>
          <w:lang w:val="en-GB" w:bidi="he-IL"/>
        </w:rPr>
      </w:pPr>
      <w:r>
        <w:rPr>
          <w:lang w:bidi="he-IL"/>
        </w:rPr>
        <w:t xml:space="preserve">These characteristics apply less to Hosea, Amos, and Micah than to the other three scrolls. Indeed, </w:t>
      </w:r>
      <w:r>
        <w:rPr>
          <w:rFonts w:cs="Times New Roman"/>
          <w:szCs w:val="20"/>
          <w:lang w:val="en-GB" w:bidi="he-IL"/>
        </w:rPr>
        <w:t>the prophets themselves may not have thought thus</w:t>
      </w:r>
      <w:r w:rsidRPr="008417E6">
        <w:rPr>
          <w:rFonts w:cs="Times New Roman"/>
          <w:szCs w:val="20"/>
          <w:lang w:val="en-GB" w:bidi="he-IL"/>
        </w:rPr>
        <w:t xml:space="preserve"> in terms of a difference between what we call poetry and what we call prose, wh</w:t>
      </w:r>
      <w:r>
        <w:rPr>
          <w:rFonts w:cs="Times New Roman"/>
          <w:szCs w:val="20"/>
          <w:lang w:val="en-GB" w:bidi="he-IL"/>
        </w:rPr>
        <w:t>ich might link with the way it’</w:t>
      </w:r>
      <w:r w:rsidRPr="008417E6">
        <w:rPr>
          <w:rFonts w:cs="Times New Roman"/>
          <w:szCs w:val="20"/>
          <w:lang w:val="en-GB" w:bidi="he-IL"/>
        </w:rPr>
        <w:t>s sometimes hard to be sure whether to lay out the m</w:t>
      </w:r>
      <w:r>
        <w:rPr>
          <w:rFonts w:cs="Times New Roman"/>
          <w:szCs w:val="20"/>
          <w:lang w:val="en-GB" w:bidi="he-IL"/>
        </w:rPr>
        <w:t>aterial as prose or as poetry; t</w:t>
      </w:r>
      <w:r w:rsidRPr="008417E6">
        <w:rPr>
          <w:rFonts w:cs="Times New Roman"/>
          <w:szCs w:val="20"/>
          <w:lang w:val="en-GB" w:bidi="he-IL"/>
        </w:rPr>
        <w:t xml:space="preserve">here is prosaic poetry and poetic prose. </w:t>
      </w:r>
      <w:r>
        <w:rPr>
          <w:rFonts w:cs="Times New Roman"/>
          <w:szCs w:val="20"/>
          <w:lang w:val="en-GB" w:bidi="he-IL"/>
        </w:rPr>
        <w:t>A</w:t>
      </w:r>
      <w:r w:rsidRPr="00BA023E">
        <w:rPr>
          <w:rFonts w:cs="Times New Roman"/>
          <w:szCs w:val="20"/>
          <w:lang w:val="en-GB" w:bidi="he-IL"/>
        </w:rPr>
        <w:t>nd Hebrew manuscripts do not make such a distinction</w:t>
      </w:r>
      <w:r>
        <w:rPr>
          <w:rFonts w:cs="Times New Roman"/>
          <w:szCs w:val="20"/>
          <w:lang w:val="en-GB" w:bidi="he-IL"/>
        </w:rPr>
        <w:t>.</w:t>
      </w:r>
      <w:r w:rsidRPr="00BA023E">
        <w:rPr>
          <w:rFonts w:cs="Times New Roman"/>
          <w:szCs w:val="20"/>
          <w:lang w:val="en-GB" w:bidi="he-IL"/>
        </w:rPr>
        <w:t xml:space="preserve"> </w:t>
      </w:r>
      <w:r w:rsidRPr="008417E6">
        <w:rPr>
          <w:rFonts w:cs="Times New Roman"/>
          <w:szCs w:val="20"/>
          <w:lang w:val="en-GB" w:bidi="he-IL"/>
        </w:rPr>
        <w:t xml:space="preserve">While the average length of a line may be about six words, each colon </w:t>
      </w:r>
      <w:r>
        <w:rPr>
          <w:rFonts w:cs="Times New Roman"/>
          <w:szCs w:val="20"/>
          <w:lang w:val="en-GB" w:bidi="he-IL"/>
        </w:rPr>
        <w:t>can be two, three, or four words</w:t>
      </w:r>
      <w:r w:rsidRPr="008417E6">
        <w:rPr>
          <w:rFonts w:cs="Times New Roman"/>
          <w:szCs w:val="20"/>
          <w:lang w:val="en-GB" w:bidi="he-IL"/>
        </w:rPr>
        <w:t xml:space="preserve">—or rather, two, three, or four stresses, because the </w:t>
      </w:r>
      <w:r>
        <w:rPr>
          <w:rFonts w:cs="Times New Roman"/>
          <w:szCs w:val="20"/>
          <w:lang w:val="en-GB" w:bidi="he-IL"/>
        </w:rPr>
        <w:t xml:space="preserve">Masoretic Hebrew </w:t>
      </w:r>
      <w:r w:rsidRPr="008417E6">
        <w:rPr>
          <w:rFonts w:cs="Times New Roman"/>
          <w:szCs w:val="20"/>
          <w:lang w:val="en-GB" w:bidi="he-IL"/>
        </w:rPr>
        <w:t>text can hyphenate two words so that between them</w:t>
      </w:r>
      <w:r>
        <w:rPr>
          <w:rFonts w:cs="Times New Roman"/>
          <w:szCs w:val="20"/>
          <w:lang w:val="en-GB" w:bidi="he-IL"/>
        </w:rPr>
        <w:t xml:space="preserve"> they have only one stress. So</w:t>
      </w:r>
      <w:r w:rsidRPr="008417E6">
        <w:rPr>
          <w:rFonts w:cs="Times New Roman"/>
          <w:szCs w:val="20"/>
          <w:lang w:val="en-GB" w:bidi="he-IL"/>
        </w:rPr>
        <w:t xml:space="preserve"> a line can comprise between four and eight </w:t>
      </w:r>
      <w:r>
        <w:rPr>
          <w:rFonts w:cs="Times New Roman"/>
          <w:szCs w:val="20"/>
          <w:lang w:val="en-GB" w:bidi="he-IL"/>
        </w:rPr>
        <w:t xml:space="preserve">Hebrew </w:t>
      </w:r>
      <w:r w:rsidRPr="008417E6">
        <w:rPr>
          <w:rFonts w:cs="Times New Roman"/>
          <w:szCs w:val="20"/>
          <w:lang w:val="en-GB" w:bidi="he-IL"/>
        </w:rPr>
        <w:t>words</w:t>
      </w:r>
      <w:r>
        <w:rPr>
          <w:rFonts w:cs="Times New Roman"/>
          <w:szCs w:val="20"/>
          <w:lang w:val="en-GB" w:bidi="he-IL"/>
        </w:rPr>
        <w:t xml:space="preserve"> or stresses</w:t>
      </w:r>
      <w:r w:rsidRPr="008417E6">
        <w:rPr>
          <w:rFonts w:cs="Times New Roman"/>
          <w:szCs w:val="20"/>
          <w:lang w:val="en-GB" w:bidi="he-IL"/>
        </w:rPr>
        <w:t>. Very occasionally a col</w:t>
      </w:r>
      <w:r>
        <w:rPr>
          <w:rFonts w:cs="Times New Roman"/>
          <w:szCs w:val="20"/>
          <w:lang w:val="en-GB" w:bidi="he-IL"/>
        </w:rPr>
        <w:t>on may comprise only one stress</w:t>
      </w:r>
      <w:r w:rsidRPr="008417E6">
        <w:rPr>
          <w:rFonts w:cs="Times New Roman"/>
          <w:szCs w:val="20"/>
          <w:lang w:val="en-GB" w:bidi="he-IL"/>
        </w:rPr>
        <w:t xml:space="preserve"> or </w:t>
      </w:r>
      <w:r>
        <w:rPr>
          <w:rFonts w:cs="Times New Roman"/>
          <w:szCs w:val="20"/>
          <w:lang w:val="en-GB" w:bidi="he-IL"/>
        </w:rPr>
        <w:t xml:space="preserve">as many as </w:t>
      </w:r>
      <w:r w:rsidRPr="008417E6">
        <w:rPr>
          <w:rFonts w:cs="Times New Roman"/>
          <w:szCs w:val="20"/>
          <w:lang w:val="en-GB" w:bidi="he-IL"/>
        </w:rPr>
        <w:t xml:space="preserve">five stresses, which is then also a mark of emphasis (or a point at which I am tempted to rework MT’s punctuation). Lines with short (two-stress) cola, especially in their second half, often </w:t>
      </w:r>
      <w:r>
        <w:rPr>
          <w:rFonts w:cs="Times New Roman"/>
          <w:szCs w:val="20"/>
          <w:lang w:val="en-GB" w:bidi="he-IL"/>
        </w:rPr>
        <w:t>suggest anguish or “agitation”</w:t>
      </w:r>
      <w:r>
        <w:rPr>
          <w:rStyle w:val="FootnoteReference"/>
          <w:rFonts w:cs="Times New Roman"/>
          <w:szCs w:val="20"/>
          <w:lang w:val="en-GB" w:bidi="he-IL"/>
        </w:rPr>
        <w:footnoteReference w:id="10"/>
      </w:r>
      <w:r>
        <w:rPr>
          <w:rFonts w:cs="Times New Roman"/>
          <w:szCs w:val="20"/>
          <w:lang w:val="en-GB" w:bidi="he-IL"/>
        </w:rPr>
        <w:t xml:space="preserve"> rather than joy. Phrases such as “(Yahweh has said this” commonly don’t count within the meter.</w:t>
      </w:r>
    </w:p>
    <w:p w:rsidR="00DA608D" w:rsidRPr="00C703F5" w:rsidRDefault="00DA608D" w:rsidP="00DA608D">
      <w:pPr>
        <w:rPr>
          <w:rFonts w:cs="Times New Roman"/>
          <w:szCs w:val="20"/>
          <w:lang w:bidi="he-IL"/>
        </w:rPr>
      </w:pPr>
      <w:r w:rsidRPr="008417E6">
        <w:rPr>
          <w:rFonts w:cs="Times New Roman"/>
          <w:szCs w:val="20"/>
          <w:lang w:val="en-GB" w:bidi="he-IL"/>
        </w:rPr>
        <w:t>Some lines divide into</w:t>
      </w:r>
      <w:r>
        <w:rPr>
          <w:rFonts w:cs="Times New Roman"/>
          <w:szCs w:val="20"/>
          <w:lang w:val="en-GB" w:bidi="he-IL"/>
        </w:rPr>
        <w:t xml:space="preserve"> three cola (they are tricola); such lines </w:t>
      </w:r>
      <w:r w:rsidRPr="008417E6">
        <w:rPr>
          <w:rFonts w:cs="Times New Roman"/>
          <w:szCs w:val="20"/>
          <w:lang w:val="en-GB" w:bidi="he-IL"/>
        </w:rPr>
        <w:t>characteristically come at significant points in the text such as the beginning and end of subsections or other points of emphasis</w:t>
      </w:r>
      <w:r w:rsidRPr="008417E6">
        <w:rPr>
          <w:rFonts w:cs="Times New Roman"/>
          <w:szCs w:val="20"/>
          <w:lang w:bidi="he-IL"/>
        </w:rPr>
        <w:t xml:space="preserve">. </w:t>
      </w:r>
      <w:r w:rsidRPr="00E35394">
        <w:rPr>
          <w:rFonts w:cs="Times New Roman"/>
          <w:szCs w:val="20"/>
          <w:lang w:bidi="he-IL"/>
        </w:rPr>
        <w:t>MT’s verse divisions imply the existence of many other tricola, but my suspicious herm</w:t>
      </w:r>
      <w:r>
        <w:rPr>
          <w:rFonts w:cs="Times New Roman"/>
          <w:szCs w:val="20"/>
          <w:lang w:bidi="he-IL"/>
        </w:rPr>
        <w:t xml:space="preserve">eneutic questions many of them and I look to see whether the verse division is open to being reworked (see e.g., Hos. 2:10-11 [12-13]). </w:t>
      </w:r>
      <w:r w:rsidRPr="008417E6">
        <w:rPr>
          <w:rFonts w:cs="Times New Roman"/>
          <w:szCs w:val="20"/>
          <w:lang w:bidi="he-IL"/>
        </w:rPr>
        <w:t xml:space="preserve">Some lines are not self-contained and/or their cola do not really relate to each other because the line’s main relationship is with the previous </w:t>
      </w:r>
      <w:r>
        <w:rPr>
          <w:rFonts w:cs="Times New Roman"/>
          <w:szCs w:val="20"/>
          <w:lang w:bidi="he-IL"/>
        </w:rPr>
        <w:t>line (</w:t>
      </w:r>
      <w:r w:rsidRPr="008417E6">
        <w:rPr>
          <w:rFonts w:cs="Times New Roman"/>
          <w:szCs w:val="20"/>
          <w:lang w:bidi="he-IL"/>
        </w:rPr>
        <w:t>e.g., Joel 1:11, 18): in other words, th</w:t>
      </w:r>
      <w:r>
        <w:rPr>
          <w:rFonts w:cs="Times New Roman"/>
          <w:szCs w:val="20"/>
          <w:lang w:bidi="he-IL"/>
        </w:rPr>
        <w:t xml:space="preserve">e two lines form a quadricolon—or more than four lines may belong together in this way (e.g., Hos. 2:2-3 [4-5]; </w:t>
      </w:r>
      <w:r>
        <w:rPr>
          <w:rFonts w:cs="Times New Roman"/>
          <w:szCs w:val="20"/>
          <w:lang w:bidi="he-IL"/>
        </w:rPr>
        <w:lastRenderedPageBreak/>
        <w:t>and a number of times in Amos). A</w:t>
      </w:r>
      <w:r w:rsidRPr="0098490A">
        <w:rPr>
          <w:rFonts w:cs="Times New Roman"/>
          <w:szCs w:val="20"/>
          <w:lang w:bidi="he-IL"/>
        </w:rPr>
        <w:t>nd s</w:t>
      </w:r>
      <w:r>
        <w:rPr>
          <w:rFonts w:cs="Times New Roman"/>
          <w:szCs w:val="20"/>
          <w:lang w:bidi="he-IL"/>
        </w:rPr>
        <w:t xml:space="preserve">ometimes </w:t>
      </w:r>
      <w:r w:rsidRPr="0098490A">
        <w:rPr>
          <w:rFonts w:cs="Times New Roman"/>
          <w:szCs w:val="20"/>
          <w:lang w:bidi="he-IL"/>
        </w:rPr>
        <w:t>parallelism works between lines rather than between cola</w:t>
      </w:r>
      <w:r>
        <w:rPr>
          <w:rFonts w:cs="Times New Roman"/>
          <w:szCs w:val="20"/>
          <w:lang w:bidi="he-IL"/>
        </w:rPr>
        <w:t>.</w:t>
      </w:r>
    </w:p>
    <w:p w:rsidR="00DA608D" w:rsidRPr="00E71B88" w:rsidRDefault="00DA608D" w:rsidP="00DA608D">
      <w:pPr>
        <w:rPr>
          <w:rFonts w:eastAsia="Times New Roman"/>
        </w:rPr>
      </w:pPr>
      <w:r w:rsidRPr="00350EB4">
        <w:rPr>
          <w:rFonts w:cs="Times New Roman"/>
          <w:szCs w:val="20"/>
          <w:lang w:bidi="he-IL"/>
        </w:rPr>
        <w:t>Positive features of the prophets’ diction are their fondness for paronomasia, which suggests links between things that might not seem to be linked, and their concentrated use of imagery (see further the section on “Poetry and Rhetoric in Hosea,” below), on which they focus more than they do on formal features such as rhythm a</w:t>
      </w:r>
      <w:r>
        <w:rPr>
          <w:rFonts w:cs="Times New Roman"/>
          <w:szCs w:val="20"/>
          <w:lang w:bidi="he-IL"/>
        </w:rPr>
        <w:t>nd the syntactical features we have</w:t>
      </w:r>
      <w:r w:rsidRPr="00350EB4">
        <w:rPr>
          <w:rFonts w:cs="Times New Roman"/>
          <w:szCs w:val="20"/>
          <w:lang w:bidi="he-IL"/>
        </w:rPr>
        <w:t xml:space="preserve"> noted.</w:t>
      </w:r>
      <w:r>
        <w:rPr>
          <w:rFonts w:cs="Times New Roman"/>
          <w:szCs w:val="20"/>
          <w:lang w:bidi="he-IL"/>
        </w:rPr>
        <w:t xml:space="preserve"> </w:t>
      </w:r>
      <w:r w:rsidRPr="008417E6">
        <w:rPr>
          <w:rFonts w:cs="Times New Roman"/>
          <w:szCs w:val="20"/>
          <w:lang w:bidi="he-IL"/>
        </w:rPr>
        <w:t xml:space="preserve">Prophets </w:t>
      </w:r>
      <w:r>
        <w:rPr>
          <w:rFonts w:cs="Times New Roman"/>
          <w:szCs w:val="20"/>
          <w:lang w:bidi="he-IL"/>
        </w:rPr>
        <w:t>can speak as Yahweh’s mouthpiece</w:t>
      </w:r>
      <w:r w:rsidRPr="008417E6">
        <w:rPr>
          <w:rFonts w:cs="Times New Roman"/>
          <w:szCs w:val="20"/>
          <w:lang w:bidi="he-IL"/>
        </w:rPr>
        <w:t xml:space="preserve"> and therefore speak in the first person as people </w:t>
      </w:r>
      <w:r>
        <w:rPr>
          <w:rFonts w:cs="Times New Roman"/>
          <w:szCs w:val="20"/>
          <w:lang w:bidi="he-IL"/>
        </w:rPr>
        <w:t>uttering what “I,” Yahweh, say—</w:t>
      </w:r>
      <w:r w:rsidRPr="008417E6">
        <w:rPr>
          <w:rFonts w:cs="Times New Roman"/>
          <w:szCs w:val="20"/>
          <w:lang w:bidi="he-IL"/>
        </w:rPr>
        <w:t>b</w:t>
      </w:r>
      <w:r>
        <w:rPr>
          <w:rFonts w:cs="Times New Roman"/>
          <w:szCs w:val="20"/>
          <w:lang w:bidi="he-IL"/>
        </w:rPr>
        <w:t xml:space="preserve">ecause their words are </w:t>
      </w:r>
      <w:r w:rsidRPr="008417E6">
        <w:rPr>
          <w:rFonts w:cs="Times New Roman"/>
          <w:szCs w:val="20"/>
          <w:lang w:bidi="he-IL"/>
        </w:rPr>
        <w:t>Yahweh’s. But they also know that they stand between Yahweh and</w:t>
      </w:r>
      <w:r>
        <w:rPr>
          <w:rFonts w:cs="Times New Roman"/>
          <w:szCs w:val="20"/>
          <w:lang w:bidi="he-IL"/>
        </w:rPr>
        <w:t xml:space="preserve"> their people and they can thus </w:t>
      </w:r>
      <w:r w:rsidRPr="008417E6">
        <w:rPr>
          <w:rFonts w:cs="Times New Roman"/>
          <w:szCs w:val="20"/>
          <w:lang w:bidi="he-IL"/>
        </w:rPr>
        <w:t>speak of Yah</w:t>
      </w:r>
      <w:r>
        <w:rPr>
          <w:rFonts w:cs="Times New Roman"/>
          <w:szCs w:val="20"/>
          <w:lang w:bidi="he-IL"/>
        </w:rPr>
        <w:t>weh in the third person, as “he,” a</w:t>
      </w:r>
      <w:r w:rsidRPr="008417E6">
        <w:rPr>
          <w:rFonts w:cs="Times New Roman"/>
          <w:szCs w:val="20"/>
          <w:lang w:bidi="he-IL"/>
        </w:rPr>
        <w:t>nd they can move easily betw</w:t>
      </w:r>
      <w:r>
        <w:rPr>
          <w:rFonts w:cs="Times New Roman"/>
          <w:szCs w:val="20"/>
          <w:lang w:bidi="he-IL"/>
        </w:rPr>
        <w:t xml:space="preserve">een the two ways of speaking. It might also be natural </w:t>
      </w:r>
      <w:r w:rsidRPr="00C7740B">
        <w:rPr>
          <w:rFonts w:cs="Times New Roman"/>
          <w:szCs w:val="20"/>
          <w:lang w:bidi="he-IL"/>
        </w:rPr>
        <w:t>to sp</w:t>
      </w:r>
      <w:r>
        <w:rPr>
          <w:rFonts w:cs="Times New Roman"/>
          <w:szCs w:val="20"/>
          <w:lang w:bidi="he-IL"/>
        </w:rPr>
        <w:t>eak of Yahweh as “he” when the prophet</w:t>
      </w:r>
      <w:r w:rsidRPr="00C7740B">
        <w:rPr>
          <w:rFonts w:cs="Times New Roman"/>
          <w:szCs w:val="20"/>
          <w:lang w:bidi="he-IL"/>
        </w:rPr>
        <w:t xml:space="preserve"> is c</w:t>
      </w:r>
      <w:r>
        <w:rPr>
          <w:rFonts w:cs="Times New Roman"/>
          <w:szCs w:val="20"/>
          <w:lang w:bidi="he-IL"/>
        </w:rPr>
        <w:t>onsciously formulating something, rath</w:t>
      </w:r>
      <w:r w:rsidRPr="00C7740B">
        <w:rPr>
          <w:rFonts w:cs="Times New Roman"/>
          <w:szCs w:val="20"/>
          <w:lang w:bidi="he-IL"/>
        </w:rPr>
        <w:t xml:space="preserve">er than </w:t>
      </w:r>
      <w:r>
        <w:rPr>
          <w:rFonts w:cs="Times New Roman"/>
          <w:szCs w:val="20"/>
          <w:lang w:bidi="he-IL"/>
        </w:rPr>
        <w:t>having a sense of receiving actual words</w:t>
      </w:r>
      <w:r w:rsidRPr="00C7740B">
        <w:rPr>
          <w:rFonts w:cs="Times New Roman"/>
          <w:szCs w:val="20"/>
          <w:lang w:bidi="he-IL"/>
        </w:rPr>
        <w:t xml:space="preserve"> from Yahweh. </w:t>
      </w:r>
      <w:r>
        <w:rPr>
          <w:rFonts w:cs="Times New Roman"/>
          <w:szCs w:val="20"/>
          <w:lang w:bidi="he-IL"/>
        </w:rPr>
        <w:t>Conversely, prophets</w:t>
      </w:r>
      <w:r>
        <w:rPr>
          <w:rFonts w:eastAsia="Times New Roman"/>
        </w:rPr>
        <w:t xml:space="preserve"> move easily between addressing Ephraim or Judah as “you” and speaking about Ephraim or Judah in the third person (e.g., Hos. 2:6 [8])</w:t>
      </w:r>
      <w:r w:rsidRPr="00C7740B">
        <w:rPr>
          <w:rFonts w:eastAsia="Times New Roman"/>
        </w:rPr>
        <w:t>,</w:t>
      </w:r>
      <w:r>
        <w:rPr>
          <w:rFonts w:eastAsia="Times New Roman"/>
        </w:rPr>
        <w:t xml:space="preserve"> and</w:t>
      </w:r>
      <w:r w:rsidRPr="00C7740B">
        <w:rPr>
          <w:rFonts w:eastAsia="Times New Roman"/>
        </w:rPr>
        <w:t xml:space="preserve"> move easily between speaking of (e.g.) Ephraim or Samaria in the singular (as he, it, or she), and in the plural (as they). </w:t>
      </w:r>
      <w:r>
        <w:rPr>
          <w:rFonts w:eastAsia="Times New Roman"/>
        </w:rPr>
        <w:t xml:space="preserve">Yet further, like other </w:t>
      </w:r>
      <w:r w:rsidRPr="00C7740B">
        <w:rPr>
          <w:rFonts w:eastAsia="Times New Roman"/>
        </w:rPr>
        <w:t xml:space="preserve">First </w:t>
      </w:r>
      <w:r>
        <w:rPr>
          <w:rFonts w:eastAsia="Times New Roman"/>
        </w:rPr>
        <w:t xml:space="preserve">Testament characters they </w:t>
      </w:r>
      <w:r w:rsidRPr="00C7740B">
        <w:rPr>
          <w:rFonts w:eastAsia="Times New Roman"/>
        </w:rPr>
        <w:t>can refer to themselves in the third person, which allows some distancing and a broader angle of perception than obtains when one speaks in the first person.</w:t>
      </w:r>
      <w:r w:rsidRPr="00C7740B">
        <w:rPr>
          <w:rFonts w:eastAsia="Times New Roman"/>
          <w:vertAlign w:val="superscript"/>
        </w:rPr>
        <w:footnoteReference w:id="11"/>
      </w:r>
      <w:r w:rsidRPr="00C7740B">
        <w:rPr>
          <w:rFonts w:eastAsia="Times New Roman"/>
        </w:rPr>
        <w:t xml:space="preserve"> It is partic</w:t>
      </w:r>
      <w:r>
        <w:rPr>
          <w:rFonts w:eastAsia="Times New Roman"/>
        </w:rPr>
        <w:t>ularly common for kings to speak in this way</w:t>
      </w:r>
      <w:r w:rsidRPr="00C7740B">
        <w:rPr>
          <w:rFonts w:eastAsia="Times New Roman"/>
        </w:rPr>
        <w:t xml:space="preserve">, as an aspect of royal style, and it is thus natural for Yahweh to do so (e.g., </w:t>
      </w:r>
      <w:r>
        <w:rPr>
          <w:rFonts w:eastAsia="Times New Roman"/>
        </w:rPr>
        <w:t xml:space="preserve">Hos. </w:t>
      </w:r>
      <w:r w:rsidRPr="00C7740B">
        <w:rPr>
          <w:rFonts w:eastAsia="Times New Roman"/>
        </w:rPr>
        <w:t xml:space="preserve">2:20 [22]; 3:1; 4:10). </w:t>
      </w:r>
      <w:r>
        <w:rPr>
          <w:rFonts w:eastAsia="Times New Roman"/>
        </w:rPr>
        <w:t xml:space="preserve">All these different ways of speaking have different rhetorical effects. Ancient and modern translations often rework the text to make the prophets more consistent, but another significance of the differences is that they are also an example of the way </w:t>
      </w:r>
      <w:r>
        <w:rPr>
          <w:rStyle w:val="Emphasis"/>
        </w:rPr>
        <w:t>“f</w:t>
      </w:r>
      <w:r w:rsidRPr="00A51E44">
        <w:rPr>
          <w:rStyle w:val="Emphasis"/>
        </w:rPr>
        <w:t>ractures of syntax</w:t>
      </w:r>
      <w:r>
        <w:rPr>
          <w:rStyle w:val="Emphasis"/>
        </w:rPr>
        <w:t>… are metaphors for the disintegration of the order of the world.”</w:t>
      </w:r>
      <w:r>
        <w:rPr>
          <w:rStyle w:val="FootnoteReference"/>
          <w:iCs/>
        </w:rPr>
        <w:footnoteReference w:id="12"/>
      </w:r>
      <w:r>
        <w:rPr>
          <w:rStyle w:val="Emphasis"/>
        </w:rPr>
        <w:t xml:space="preserve"> </w:t>
      </w:r>
    </w:p>
    <w:p w:rsidR="00DA608D" w:rsidRDefault="00DA608D" w:rsidP="00DA608D">
      <w:pPr>
        <w:pStyle w:val="Heading2"/>
        <w:rPr>
          <w:lang w:bidi="he-IL"/>
        </w:rPr>
      </w:pPr>
      <w:r>
        <w:rPr>
          <w:lang w:bidi="he-IL"/>
        </w:rPr>
        <w:t xml:space="preserve">How Words Spoken Became a Message Written </w:t>
      </w:r>
    </w:p>
    <w:p w:rsidR="00DA608D" w:rsidRDefault="00DA608D" w:rsidP="00DA608D">
      <w:pPr>
        <w:rPr>
          <w:rFonts w:cs="Times New Roman"/>
          <w:szCs w:val="20"/>
          <w:lang w:bidi="he-IL"/>
        </w:rPr>
      </w:pPr>
      <w:r>
        <w:rPr>
          <w:rFonts w:cs="Times New Roman"/>
          <w:szCs w:val="20"/>
          <w:lang w:bidi="he-IL"/>
        </w:rPr>
        <w:t>S</w:t>
      </w:r>
      <w:r w:rsidRPr="00350EB4">
        <w:rPr>
          <w:rFonts w:cs="Times New Roman"/>
          <w:szCs w:val="20"/>
          <w:lang w:bidi="he-IL"/>
        </w:rPr>
        <w:t>tage one in the generation of a prophetic scroll</w:t>
      </w:r>
      <w:r>
        <w:rPr>
          <w:rFonts w:cs="Times New Roman"/>
          <w:szCs w:val="20"/>
          <w:lang w:bidi="he-IL"/>
        </w:rPr>
        <w:t>, then,</w:t>
      </w:r>
      <w:r w:rsidRPr="00350EB4">
        <w:rPr>
          <w:rFonts w:cs="Times New Roman"/>
          <w:szCs w:val="20"/>
          <w:lang w:bidi="he-IL"/>
        </w:rPr>
        <w:t xml:space="preserve"> is that prophets speak and they or their disciples remember their individual messages and/or put individual messages into writing.</w:t>
      </w:r>
      <w:r>
        <w:rPr>
          <w:rFonts w:cs="Times New Roman"/>
          <w:szCs w:val="20"/>
          <w:lang w:bidi="he-IL"/>
        </w:rPr>
        <w:t xml:space="preserve"> Stage two is that the prophet’s collected words find their way into writing. </w:t>
      </w:r>
    </w:p>
    <w:p w:rsidR="00DA608D" w:rsidRDefault="00DA608D" w:rsidP="00DA608D">
      <w:pPr>
        <w:rPr>
          <w:lang w:bidi="he-IL"/>
        </w:rPr>
      </w:pPr>
      <w:r w:rsidRPr="00C703F5">
        <w:rPr>
          <w:rFonts w:cs="Times New Roman"/>
          <w:szCs w:val="20"/>
          <w:lang w:bidi="he-IL"/>
        </w:rPr>
        <w:t>The Latter Prophets are often called the Writin</w:t>
      </w:r>
      <w:r>
        <w:rPr>
          <w:rFonts w:cs="Times New Roman"/>
          <w:szCs w:val="20"/>
          <w:lang w:bidi="he-IL"/>
        </w:rPr>
        <w:t xml:space="preserve">g Prophets, but they were preachers and they do </w:t>
      </w:r>
      <w:r w:rsidRPr="00C703F5">
        <w:rPr>
          <w:rFonts w:cs="Times New Roman"/>
          <w:szCs w:val="20"/>
          <w:lang w:bidi="he-IL"/>
        </w:rPr>
        <w:t>not refer to writing.</w:t>
      </w:r>
      <w:r>
        <w:rPr>
          <w:rFonts w:cs="Times New Roman"/>
          <w:szCs w:val="20"/>
          <w:lang w:bidi="he-IL"/>
        </w:rPr>
        <w:t xml:space="preserve"> </w:t>
      </w:r>
      <w:r w:rsidRPr="00C703F5">
        <w:rPr>
          <w:rFonts w:cs="Times New Roman"/>
          <w:szCs w:val="20"/>
          <w:lang w:bidi="he-IL"/>
        </w:rPr>
        <w:t>Our six scrolls</w:t>
      </w:r>
      <w:r>
        <w:rPr>
          <w:rFonts w:cs="Times New Roman"/>
          <w:szCs w:val="20"/>
          <w:lang w:bidi="he-IL"/>
        </w:rPr>
        <w:t xml:space="preserve"> do not tell us how and why they came into being, but</w:t>
      </w:r>
      <w:r w:rsidRPr="00C703F5">
        <w:rPr>
          <w:rFonts w:cs="Times New Roman"/>
          <w:szCs w:val="20"/>
          <w:lang w:bidi="he-IL"/>
        </w:rPr>
        <w:t xml:space="preserve"> Isaiah </w:t>
      </w:r>
      <w:r>
        <w:rPr>
          <w:rFonts w:cs="Times New Roman"/>
          <w:szCs w:val="20"/>
          <w:lang w:bidi="he-IL"/>
        </w:rPr>
        <w:t>8:16 and Jeremiah 36 describe how Isaiah and Jeremiah</w:t>
      </w:r>
      <w:r w:rsidRPr="00C703F5">
        <w:rPr>
          <w:rFonts w:cs="Times New Roman"/>
          <w:szCs w:val="20"/>
          <w:lang w:bidi="he-IL"/>
        </w:rPr>
        <w:t xml:space="preserve"> took action to have their messages tr</w:t>
      </w:r>
      <w:r>
        <w:rPr>
          <w:rFonts w:cs="Times New Roman"/>
          <w:szCs w:val="20"/>
          <w:lang w:bidi="he-IL"/>
        </w:rPr>
        <w:t>anscribed by secretaries</w:t>
      </w:r>
      <w:r w:rsidRPr="00C703F5">
        <w:rPr>
          <w:rFonts w:cs="Times New Roman"/>
          <w:szCs w:val="20"/>
          <w:lang w:bidi="he-IL"/>
        </w:rPr>
        <w:t>. Like Jeremiah 26</w:t>
      </w:r>
      <w:r>
        <w:rPr>
          <w:rFonts w:cs="Times New Roman"/>
          <w:szCs w:val="20"/>
          <w:lang w:bidi="he-IL"/>
        </w:rPr>
        <w:t xml:space="preserve"> with its mention of Micah</w:t>
      </w:r>
      <w:r w:rsidRPr="00C703F5">
        <w:rPr>
          <w:rFonts w:cs="Times New Roman"/>
          <w:szCs w:val="20"/>
          <w:lang w:bidi="he-IL"/>
        </w:rPr>
        <w:t>, the enthralling and entertaining story in Jeremiah 36 may not be a simple transcript of an eve</w:t>
      </w:r>
      <w:r>
        <w:rPr>
          <w:rFonts w:cs="Times New Roman"/>
          <w:szCs w:val="20"/>
          <w:lang w:bidi="he-IL"/>
        </w:rPr>
        <w:t>nt, but as a story it</w:t>
      </w:r>
      <w:r w:rsidRPr="00C703F5">
        <w:rPr>
          <w:rFonts w:cs="Times New Roman"/>
          <w:szCs w:val="20"/>
          <w:lang w:bidi="he-IL"/>
        </w:rPr>
        <w:t xml:space="preserve"> provided an account that </w:t>
      </w:r>
      <w:r>
        <w:rPr>
          <w:rFonts w:cs="Times New Roman"/>
          <w:szCs w:val="20"/>
          <w:lang w:bidi="he-IL"/>
        </w:rPr>
        <w:t xml:space="preserve">apparently </w:t>
      </w:r>
      <w:r w:rsidRPr="00C703F5">
        <w:rPr>
          <w:rFonts w:cs="Times New Roman"/>
          <w:szCs w:val="20"/>
          <w:lang w:bidi="he-IL"/>
        </w:rPr>
        <w:t>would no</w:t>
      </w:r>
      <w:r>
        <w:rPr>
          <w:rFonts w:cs="Times New Roman"/>
          <w:szCs w:val="20"/>
          <w:lang w:bidi="he-IL"/>
        </w:rPr>
        <w:t xml:space="preserve">t seem historically outrageous. It provides a way of thinking about how Amos, Hosea, Joel, Amos, Obadiah, and Micah could have </w:t>
      </w:r>
      <w:r>
        <w:rPr>
          <w:lang w:bidi="he-IL"/>
        </w:rPr>
        <w:t>commissioned the compilation of a scroll containing their messages</w:t>
      </w:r>
      <w:r w:rsidRPr="00731289">
        <w:rPr>
          <w:lang w:bidi="he-IL"/>
        </w:rPr>
        <w:t xml:space="preserve">; </w:t>
      </w:r>
      <w:r>
        <w:rPr>
          <w:lang w:bidi="he-IL"/>
        </w:rPr>
        <w:t>t</w:t>
      </w:r>
      <w:r w:rsidRPr="00915122">
        <w:rPr>
          <w:lang w:bidi="he-IL"/>
        </w:rPr>
        <w:t>he eighth century may have been the time when writing scrolls as resources for teaching (as opposed to writing inscriptions or letters or records) began in Israel.</w:t>
      </w:r>
      <w:r w:rsidRPr="00915122">
        <w:rPr>
          <w:vertAlign w:val="superscript"/>
          <w:lang w:bidi="he-IL"/>
        </w:rPr>
        <w:footnoteReference w:id="13"/>
      </w:r>
      <w:r w:rsidRPr="00915122">
        <w:rPr>
          <w:lang w:bidi="he-IL"/>
        </w:rPr>
        <w:t xml:space="preserve"> </w:t>
      </w:r>
    </w:p>
    <w:p w:rsidR="00DA608D" w:rsidRPr="005F3C6C" w:rsidRDefault="00DA608D" w:rsidP="00DA608D">
      <w:pPr>
        <w:rPr>
          <w:lang w:bidi="he-IL"/>
        </w:rPr>
      </w:pPr>
      <w:r>
        <w:rPr>
          <w:lang w:bidi="he-IL"/>
        </w:rPr>
        <w:t>Further, i</w:t>
      </w:r>
      <w:r w:rsidRPr="00731289">
        <w:rPr>
          <w:lang w:bidi="he-IL"/>
        </w:rPr>
        <w:t xml:space="preserve">t wouldn’t be surprising </w:t>
      </w:r>
      <w:r>
        <w:rPr>
          <w:lang w:bidi="he-IL"/>
        </w:rPr>
        <w:t xml:space="preserve">if this process </w:t>
      </w:r>
      <w:r w:rsidRPr="00731289">
        <w:rPr>
          <w:lang w:bidi="he-IL"/>
        </w:rPr>
        <w:t xml:space="preserve">involved some </w:t>
      </w:r>
      <w:r>
        <w:rPr>
          <w:lang w:bidi="he-IL"/>
        </w:rPr>
        <w:t>structuring, rethinking, reformulation, and expansion of the prophets’ messages (as opposed to a simple transcription in random or in chronological order), and that this is what we have in Hosea, Joel, Amos, Obadiah, and Micah. All five manifest some structure and some correlation of sayings that might originally have been separate</w:t>
      </w:r>
      <w:r w:rsidRPr="00731289">
        <w:rPr>
          <w:lang w:bidi="he-IL"/>
        </w:rPr>
        <w:t xml:space="preserve">. </w:t>
      </w:r>
      <w:r>
        <w:rPr>
          <w:lang w:bidi="he-IL"/>
        </w:rPr>
        <w:t xml:space="preserve">We can picture </w:t>
      </w:r>
      <w:r w:rsidRPr="00740122">
        <w:rPr>
          <w:lang w:bidi="he-IL"/>
        </w:rPr>
        <w:t>Hosea</w:t>
      </w:r>
      <w:r>
        <w:rPr>
          <w:lang w:bidi="he-IL"/>
        </w:rPr>
        <w:t xml:space="preserve"> and Amos reaching</w:t>
      </w:r>
      <w:r w:rsidRPr="00740122">
        <w:rPr>
          <w:lang w:bidi="he-IL"/>
        </w:rPr>
        <w:t xml:space="preserve"> a point where (not least in light of the rejection of their preaching) they dictated a collection of their messages in a coherent order to a friendly Ephraimite scribe. </w:t>
      </w:r>
      <w:r>
        <w:rPr>
          <w:lang w:bidi="he-IL"/>
        </w:rPr>
        <w:t xml:space="preserve">Like </w:t>
      </w:r>
      <w:r w:rsidRPr="00740122">
        <w:rPr>
          <w:lang w:bidi="he-IL"/>
        </w:rPr>
        <w:t>Isaiah and Jeremiah</w:t>
      </w:r>
      <w:r>
        <w:rPr>
          <w:lang w:bidi="he-IL"/>
        </w:rPr>
        <w:t>, they would take</w:t>
      </w:r>
      <w:r w:rsidRPr="00740122">
        <w:rPr>
          <w:lang w:bidi="he-IL"/>
        </w:rPr>
        <w:t xml:space="preserve"> their action in order to get their message into writing against the day when Yahweh did what they had said (whereby it and they would be vindicated), and/or in order to fix it in writing and thereby make its fulfillment even more certain, and/or in order to allow </w:t>
      </w:r>
      <w:r w:rsidRPr="00740122">
        <w:rPr>
          <w:lang w:bidi="he-IL"/>
        </w:rPr>
        <w:lastRenderedPageBreak/>
        <w:t>the written form of the message to confront the people it</w:t>
      </w:r>
      <w:r>
        <w:rPr>
          <w:lang w:bidi="he-IL"/>
        </w:rPr>
        <w:t xml:space="preserve"> concerned. Such a move would make it possible for</w:t>
      </w:r>
      <w:r w:rsidRPr="005F3C6C">
        <w:rPr>
          <w:lang w:bidi="he-IL"/>
        </w:rPr>
        <w:t xml:space="preserve"> a record of the</w:t>
      </w:r>
      <w:r>
        <w:rPr>
          <w:lang w:bidi="he-IL"/>
        </w:rPr>
        <w:t>ir message to reach</w:t>
      </w:r>
      <w:r w:rsidRPr="005F3C6C">
        <w:rPr>
          <w:lang w:bidi="he-IL"/>
        </w:rPr>
        <w:t xml:space="preserve"> Jerusalem, the fall of Samaria having vindicated much of their message.</w:t>
      </w:r>
    </w:p>
    <w:p w:rsidR="00DA608D" w:rsidRDefault="00DA608D" w:rsidP="00DA608D">
      <w:pPr>
        <w:rPr>
          <w:lang w:bidi="he-IL"/>
        </w:rPr>
      </w:pPr>
      <w:r>
        <w:rPr>
          <w:lang w:bidi="he-IL"/>
        </w:rPr>
        <w:t>The nearest we get to an explicit indication of a prophet’s involvement in bringing one of these six scrolls into being is the resumptive one-word expression “so I said” in Micah 3:1. The Micah scroll gives the impression that much of Micah’s messages comprised a smallish number of the “verses” into which they were eventually divided, but that they were then assembled not in random order but in related sequences. Micah 3 links onto Micah 2 and Micah’s “so I said” looks like his link between these two chapters in the scroll.</w:t>
      </w:r>
      <w:r>
        <w:rPr>
          <w:rStyle w:val="FootnoteReference"/>
          <w:lang w:bidi="he-IL"/>
        </w:rPr>
        <w:footnoteReference w:id="14"/>
      </w:r>
      <w:r>
        <w:rPr>
          <w:lang w:bidi="he-IL"/>
        </w:rPr>
        <w:t xml:space="preserve"> The</w:t>
      </w:r>
      <w:r w:rsidRPr="00740122">
        <w:rPr>
          <w:lang w:bidi="he-IL"/>
        </w:rPr>
        <w:t xml:space="preserve"> process </w:t>
      </w:r>
      <w:r>
        <w:rPr>
          <w:lang w:bidi="he-IL"/>
        </w:rPr>
        <w:t>whereby spoken words became a written message dictated to disciples could</w:t>
      </w:r>
      <w:r w:rsidRPr="00740122">
        <w:rPr>
          <w:lang w:bidi="he-IL"/>
        </w:rPr>
        <w:t xml:space="preserve"> provide </w:t>
      </w:r>
      <w:r>
        <w:rPr>
          <w:lang w:bidi="he-IL"/>
        </w:rPr>
        <w:t>a further aspect</w:t>
      </w:r>
      <w:r w:rsidRPr="00740122">
        <w:rPr>
          <w:lang w:bidi="he-IL"/>
        </w:rPr>
        <w:t xml:space="preserve"> of</w:t>
      </w:r>
      <w:r>
        <w:rPr>
          <w:lang w:bidi="he-IL"/>
        </w:rPr>
        <w:t xml:space="preserve"> the explanation for some of the scroll</w:t>
      </w:r>
      <w:r w:rsidRPr="00740122">
        <w:rPr>
          <w:lang w:bidi="he-IL"/>
        </w:rPr>
        <w:t>s</w:t>
      </w:r>
      <w:r>
        <w:rPr>
          <w:lang w:bidi="he-IL"/>
        </w:rPr>
        <w:t>’</w:t>
      </w:r>
      <w:r w:rsidRPr="00740122">
        <w:rPr>
          <w:lang w:bidi="he-IL"/>
        </w:rPr>
        <w:t xml:space="preserve"> jerkiness</w:t>
      </w:r>
      <w:r>
        <w:rPr>
          <w:lang w:bidi="he-IL"/>
        </w:rPr>
        <w:t xml:space="preserve"> in moving between first, second, and third person, and between singular and plural, between a </w:t>
      </w:r>
      <w:r w:rsidRPr="005F3C6C">
        <w:rPr>
          <w:lang w:bidi="he-IL"/>
        </w:rPr>
        <w:t xml:space="preserve">manner of speech when addressing Ephraim </w:t>
      </w:r>
      <w:r>
        <w:rPr>
          <w:lang w:bidi="he-IL"/>
        </w:rPr>
        <w:t xml:space="preserve">or Judah and a different manner of speech when speaking about Ephraim or Judah to disciples and </w:t>
      </w:r>
      <w:r w:rsidRPr="009D7AB1">
        <w:rPr>
          <w:lang w:bidi="he-IL"/>
        </w:rPr>
        <w:t>p</w:t>
      </w:r>
      <w:r>
        <w:rPr>
          <w:lang w:bidi="he-IL"/>
        </w:rPr>
        <w:t>otential readers</w:t>
      </w:r>
      <w:r w:rsidRPr="009D7AB1">
        <w:rPr>
          <w:lang w:bidi="he-IL"/>
        </w:rPr>
        <w:t xml:space="preserve">. </w:t>
      </w:r>
    </w:p>
    <w:p w:rsidR="00DA608D" w:rsidRPr="008417E6" w:rsidRDefault="00DA608D" w:rsidP="00DA608D">
      <w:pPr>
        <w:rPr>
          <w:lang w:bidi="he-IL"/>
        </w:rPr>
      </w:pPr>
      <w:r w:rsidRPr="00740122">
        <w:rPr>
          <w:lang w:val="en-GB" w:bidi="he-IL"/>
        </w:rPr>
        <w:t xml:space="preserve">There’s no reason to think that </w:t>
      </w:r>
      <w:r>
        <w:rPr>
          <w:lang w:val="en-GB" w:bidi="he-IL"/>
        </w:rPr>
        <w:t>the scrolls include</w:t>
      </w:r>
      <w:r w:rsidRPr="00740122">
        <w:rPr>
          <w:lang w:val="en-GB" w:bidi="he-IL"/>
        </w:rPr>
        <w:t xml:space="preserve"> all</w:t>
      </w:r>
      <w:r>
        <w:rPr>
          <w:lang w:val="en-GB" w:bidi="he-IL"/>
        </w:rPr>
        <w:t xml:space="preserve"> the messages that each of these six prophets ever delivered or</w:t>
      </w:r>
      <w:r w:rsidRPr="00740122">
        <w:rPr>
          <w:lang w:val="en-GB" w:bidi="he-IL"/>
        </w:rPr>
        <w:t xml:space="preserve"> all the messag</w:t>
      </w:r>
      <w:r>
        <w:rPr>
          <w:lang w:val="en-GB" w:bidi="he-IL"/>
        </w:rPr>
        <w:t>es God ever gave them. I</w:t>
      </w:r>
      <w:r w:rsidRPr="00740122">
        <w:rPr>
          <w:lang w:val="en-GB" w:bidi="he-IL"/>
        </w:rPr>
        <w:t xml:space="preserve">t seems unlikely that (say) Obadiah simply delivered his one message and that was it. Nor is there any reason to think that the preaching </w:t>
      </w:r>
      <w:r>
        <w:rPr>
          <w:lang w:val="en-GB" w:bidi="he-IL"/>
        </w:rPr>
        <w:t>that lies behind these short scroll</w:t>
      </w:r>
      <w:r w:rsidRPr="00740122">
        <w:rPr>
          <w:lang w:val="en-GB" w:bidi="he-IL"/>
        </w:rPr>
        <w:t>s took place over only a short period</w:t>
      </w:r>
      <w:r>
        <w:rPr>
          <w:lang w:val="en-GB" w:bidi="he-IL"/>
        </w:rPr>
        <w:t xml:space="preserve">, </w:t>
      </w:r>
      <w:r w:rsidRPr="007B6BE7">
        <w:rPr>
          <w:lang w:val="en-GB" w:bidi="he-IL"/>
        </w:rPr>
        <w:t xml:space="preserve">whereas the preaching of the “Major </w:t>
      </w:r>
      <w:r>
        <w:rPr>
          <w:lang w:val="en-GB" w:bidi="he-IL"/>
        </w:rPr>
        <w:t>Prophets” extended over decades.</w:t>
      </w:r>
      <w:r w:rsidRPr="00740122">
        <w:rPr>
          <w:lang w:val="en-GB" w:bidi="he-IL"/>
        </w:rPr>
        <w:t xml:space="preserve"> Maybe (say) Micah preached </w:t>
      </w:r>
      <w:r>
        <w:rPr>
          <w:lang w:val="en-GB" w:bidi="he-IL"/>
        </w:rPr>
        <w:t>more than Isaiah. W</w:t>
      </w:r>
      <w:r w:rsidRPr="00740122">
        <w:rPr>
          <w:lang w:val="en-GB" w:bidi="he-IL"/>
        </w:rPr>
        <w:t>hat we have in each prophetic scroll is a collection of the material that this prophet and/or his disciples thought was really important for the future and not just for the moment, and that the community recognized as such.</w:t>
      </w:r>
    </w:p>
    <w:p w:rsidR="00DA608D" w:rsidRDefault="00DA608D" w:rsidP="00DA608D">
      <w:pPr>
        <w:pStyle w:val="Heading2"/>
        <w:rPr>
          <w:lang w:bidi="he-IL"/>
        </w:rPr>
      </w:pPr>
      <w:r>
        <w:rPr>
          <w:lang w:bidi="he-IL"/>
        </w:rPr>
        <w:t>How Words Written Became a Message Affirmed</w:t>
      </w:r>
    </w:p>
    <w:p w:rsidR="00DA608D" w:rsidRDefault="00DA608D" w:rsidP="00DA608D">
      <w:r>
        <w:t>The opening words in this commentary are not mine</w:t>
      </w:r>
      <w:r w:rsidRPr="00821861">
        <w:t xml:space="preserve">; they are </w:t>
      </w:r>
      <w:r>
        <w:t>a preface by its editors, the same preface</w:t>
      </w:r>
      <w:r w:rsidRPr="00821861">
        <w:t xml:space="preserve"> </w:t>
      </w:r>
      <w:r>
        <w:t xml:space="preserve">will appear </w:t>
      </w:r>
      <w:r w:rsidRPr="00821861">
        <w:t>in all the volume</w:t>
      </w:r>
      <w:r>
        <w:t>s in the series to which my book</w:t>
      </w:r>
      <w:r w:rsidRPr="00821861">
        <w:t xml:space="preserve"> belongs. In Hosea, the opening words are, “Yahweh’s message that came to Hosea son of Be’eri in the days of Uzziah, Jotham, Ahaz, and Hezekiah, kings of Judah, and in the days of Jeroboam son of Joash king of Israel.” </w:t>
      </w:r>
      <w:r w:rsidRPr="00821861">
        <w:rPr>
          <w:vertAlign w:val="superscript"/>
        </w:rPr>
        <w:t xml:space="preserve"> </w:t>
      </w:r>
      <w:r>
        <w:t>Prefaces expressed in similar words come at the beginning of Amos and Micah (and Isaiah and Jeremiah). The similarity plus the</w:t>
      </w:r>
      <w:r w:rsidRPr="00821861">
        <w:t xml:space="preserve"> </w:t>
      </w:r>
      <w:r>
        <w:t>third-</w:t>
      </w:r>
      <w:r w:rsidRPr="004A21D3">
        <w:t xml:space="preserve">person </w:t>
      </w:r>
      <w:r>
        <w:t>form of the prefaces suggest</w:t>
      </w:r>
      <w:r w:rsidRPr="00821861">
        <w:t xml:space="preserve"> they </w:t>
      </w:r>
      <w:r>
        <w:t>are like the preface to my book,</w:t>
      </w:r>
      <w:r w:rsidRPr="00821861">
        <w:t xml:space="preserve"> the work of th</w:t>
      </w:r>
      <w:r>
        <w:t>e people who “published” the scrolls, who</w:t>
      </w:r>
      <w:r w:rsidRPr="00821861">
        <w:t xml:space="preserve"> had</w:t>
      </w:r>
      <w:r>
        <w:t xml:space="preserve"> a set way of introducing one</w:t>
      </w:r>
      <w:r w:rsidRPr="00821861">
        <w:t xml:space="preserve">. </w:t>
      </w:r>
    </w:p>
    <w:p w:rsidR="00DA608D" w:rsidRPr="00821861" w:rsidRDefault="00DA608D" w:rsidP="00DA608D">
      <w:r>
        <w:t>In scholarly parlance these people</w:t>
      </w:r>
      <w:r w:rsidRPr="00821861">
        <w:t xml:space="preserve"> are known as the Deuteronomists, but that’s just a way of saying we don’t</w:t>
      </w:r>
      <w:r>
        <w:t xml:space="preserve"> know who they were. One could call them </w:t>
      </w:r>
      <w:r w:rsidRPr="00821861">
        <w:t>t</w:t>
      </w:r>
      <w:r>
        <w:t>he scrolls’ editors, but editors may not</w:t>
      </w:r>
      <w:r w:rsidRPr="00821861">
        <w:t xml:space="preserve"> care much about </w:t>
      </w:r>
      <w:r>
        <w:t xml:space="preserve">or to agree with </w:t>
      </w:r>
      <w:r w:rsidRPr="00821861">
        <w:t>what they edit, and these were people</w:t>
      </w:r>
      <w:r>
        <w:t xml:space="preserve"> who believed that the</w:t>
      </w:r>
      <w:r w:rsidRPr="00821861">
        <w:t xml:space="preserve"> prophets</w:t>
      </w:r>
      <w:r>
        <w:t xml:space="preserve">’ words were </w:t>
      </w:r>
      <w:r w:rsidRPr="00821861">
        <w:t>important, not just for their own day but for the people of God in the future. They wanted to make</w:t>
      </w:r>
      <w:r>
        <w:t xml:space="preserve"> sure that their message</w:t>
      </w:r>
      <w:r w:rsidRPr="00821861">
        <w:t xml:space="preserve"> didn’t get lost. T</w:t>
      </w:r>
      <w:r>
        <w:t xml:space="preserve">hey were more like </w:t>
      </w:r>
      <w:r w:rsidRPr="00821861">
        <w:t>t</w:t>
      </w:r>
      <w:r>
        <w:t xml:space="preserve">hese prophets’ disciples (Isa. 8:16 uses that word), even if they </w:t>
      </w:r>
      <w:r w:rsidRPr="00821861">
        <w:t>didn’t live in the prophets’ o</w:t>
      </w:r>
      <w:r>
        <w:t>wn day. In the prefaces</w:t>
      </w:r>
      <w:r w:rsidRPr="00821861">
        <w:t xml:space="preserve"> they give </w:t>
      </w:r>
      <w:r>
        <w:t xml:space="preserve">guidance to </w:t>
      </w:r>
      <w:r w:rsidRPr="00821861">
        <w:t xml:space="preserve">the </w:t>
      </w:r>
      <w:r>
        <w:t xml:space="preserve">scrolls’ </w:t>
      </w:r>
      <w:r w:rsidRPr="00821861">
        <w:t>p</w:t>
      </w:r>
      <w:r>
        <w:t xml:space="preserve">otential readers </w:t>
      </w:r>
      <w:r w:rsidRPr="00821861">
        <w:t xml:space="preserve">about </w:t>
      </w:r>
      <w:r>
        <w:t>how to read them,</w:t>
      </w:r>
      <w:r w:rsidRPr="00821861">
        <w:t xml:space="preserve"> guidance about hermeneutics. </w:t>
      </w:r>
      <w:r>
        <w:t>To call them “disciples” is to give a name to a role rather than to identify a group of people.</w:t>
      </w:r>
    </w:p>
    <w:p w:rsidR="00DA608D" w:rsidRDefault="00DA608D" w:rsidP="00DA608D">
      <w:r>
        <w:t xml:space="preserve">It was presumably through the taking of the collected messages of Hosea and Amos to Jerusalem that they gained prefaces beginning with references to </w:t>
      </w:r>
      <w:r w:rsidRPr="00821861">
        <w:rPr>
          <w:i/>
        </w:rPr>
        <w:t>Judahite</w:t>
      </w:r>
      <w:r>
        <w:t xml:space="preserve"> kings. Taking the messages to Judah</w:t>
      </w:r>
      <w:r w:rsidRPr="00F70B7C">
        <w:t xml:space="preserve"> implies the awareness that they were of significance beyond the particular context o</w:t>
      </w:r>
      <w:r>
        <w:t>f their delivery in Ephraim, and it</w:t>
      </w:r>
      <w:r w:rsidRPr="00F70B7C">
        <w:t xml:space="preserve"> evidently carried con</w:t>
      </w:r>
      <w:r>
        <w:t>viction in Judah.</w:t>
      </w:r>
      <w:r w:rsidRPr="002B7078">
        <w:rPr>
          <w:lang w:bidi="he-IL"/>
        </w:rPr>
        <w:t xml:space="preserve"> </w:t>
      </w:r>
      <w:r>
        <w:rPr>
          <w:lang w:bidi="he-IL"/>
        </w:rPr>
        <w:t>T</w:t>
      </w:r>
      <w:r w:rsidRPr="002B7078">
        <w:t xml:space="preserve">he process whereby </w:t>
      </w:r>
      <w:r>
        <w:t xml:space="preserve">the Holy Spirit inspired the </w:t>
      </w:r>
      <w:r w:rsidRPr="002B7078">
        <w:t>scroll</w:t>
      </w:r>
      <w:r>
        <w:t>s</w:t>
      </w:r>
      <w:r w:rsidRPr="002B7078">
        <w:t xml:space="preserve"> </w:t>
      </w:r>
      <w:r>
        <w:t xml:space="preserve">then </w:t>
      </w:r>
      <w:r w:rsidRPr="002B7078">
        <w:t xml:space="preserve">included </w:t>
      </w:r>
      <w:r>
        <w:t>enabling the prophets or their disciples to see th</w:t>
      </w:r>
      <w:r w:rsidRPr="002B7078">
        <w:t xml:space="preserve">e implications </w:t>
      </w:r>
      <w:r>
        <w:t xml:space="preserve">of their message </w:t>
      </w:r>
      <w:r w:rsidRPr="002B7078">
        <w:t>for Judah</w:t>
      </w:r>
      <w:r>
        <w:t xml:space="preserve"> and to incorporate some references to those implications</w:t>
      </w:r>
      <w:r w:rsidRPr="002B7078">
        <w:t xml:space="preserve">. </w:t>
      </w:r>
      <w:r>
        <w:t>That awareness</w:t>
      </w:r>
      <w:r w:rsidRPr="00F70B7C">
        <w:t xml:space="preserve"> </w:t>
      </w:r>
      <w:r w:rsidRPr="00293DA4">
        <w:t xml:space="preserve">of </w:t>
      </w:r>
      <w:r>
        <w:t xml:space="preserve">their </w:t>
      </w:r>
      <w:r w:rsidRPr="00293DA4">
        <w:t xml:space="preserve">significance </w:t>
      </w:r>
      <w:r w:rsidRPr="00F70B7C">
        <w:t>received f</w:t>
      </w:r>
      <w:r>
        <w:t>urther expression in the scroll</w:t>
      </w:r>
      <w:r w:rsidRPr="00F70B7C">
        <w:t>s</w:t>
      </w:r>
      <w:r>
        <w:t>’</w:t>
      </w:r>
      <w:r w:rsidRPr="00F70B7C">
        <w:t xml:space="preserve"> finding a place in Judah’s collection of mate</w:t>
      </w:r>
      <w:r>
        <w:t>rials that it hu</w:t>
      </w:r>
      <w:r w:rsidRPr="00F70B7C">
        <w:t>ng onto as messages from Yahweh that</w:t>
      </w:r>
      <w:r>
        <w:t xml:space="preserve"> were of continuing importance</w:t>
      </w:r>
      <w:r w:rsidRPr="00F70B7C">
        <w:t>—in other words, the collection that came to be called the Scriptures.</w:t>
      </w:r>
    </w:p>
    <w:p w:rsidR="00DA608D" w:rsidRPr="00821861" w:rsidRDefault="00DA608D" w:rsidP="00DA608D">
      <w:pPr>
        <w:rPr>
          <w:rFonts w:cs="Times New Roman"/>
          <w:szCs w:val="20"/>
          <w:lang w:bidi="he-IL"/>
        </w:rPr>
      </w:pPr>
      <w:r>
        <w:rPr>
          <w:lang w:bidi="he-IL"/>
        </w:rPr>
        <w:lastRenderedPageBreak/>
        <w:t xml:space="preserve">In Hosea 1, Amos 7, and Jonah (and in Isaiah, and much more extensively in Jeremiah) the scrolls speak at some length in the third </w:t>
      </w:r>
      <w:r w:rsidRPr="00915122">
        <w:rPr>
          <w:lang w:bidi="he-IL"/>
        </w:rPr>
        <w:t>person about the</w:t>
      </w:r>
      <w:r>
        <w:rPr>
          <w:lang w:bidi="he-IL"/>
        </w:rPr>
        <w:t>ir</w:t>
      </w:r>
      <w:r w:rsidRPr="00915122">
        <w:rPr>
          <w:lang w:bidi="he-IL"/>
        </w:rPr>
        <w:t xml:space="preserve"> prophets</w:t>
      </w:r>
      <w:r>
        <w:rPr>
          <w:lang w:bidi="he-IL"/>
        </w:rPr>
        <w:t>. Such passages</w:t>
      </w:r>
      <w:r w:rsidRPr="00915122">
        <w:rPr>
          <w:lang w:bidi="he-IL"/>
        </w:rPr>
        <w:t xml:space="preserve"> indicate </w:t>
      </w:r>
      <w:r>
        <w:rPr>
          <w:lang w:bidi="he-IL"/>
        </w:rPr>
        <w:t xml:space="preserve">a more substantial way in which </w:t>
      </w:r>
      <w:r w:rsidRPr="00915122">
        <w:rPr>
          <w:lang w:bidi="he-IL"/>
        </w:rPr>
        <w:t>their disciples were involved in the generatio</w:t>
      </w:r>
      <w:r>
        <w:rPr>
          <w:lang w:bidi="he-IL"/>
        </w:rPr>
        <w:t>n of the scrolls</w:t>
      </w:r>
      <w:r w:rsidRPr="00915122">
        <w:rPr>
          <w:lang w:bidi="he-IL"/>
        </w:rPr>
        <w:t xml:space="preserve">. </w:t>
      </w:r>
      <w:r>
        <w:rPr>
          <w:lang w:bidi="he-IL"/>
        </w:rPr>
        <w:t>M</w:t>
      </w:r>
      <w:r w:rsidRPr="00915122">
        <w:rPr>
          <w:lang w:bidi="he-IL"/>
        </w:rPr>
        <w:t>y wor</w:t>
      </w:r>
      <w:r>
        <w:rPr>
          <w:lang w:bidi="he-IL"/>
        </w:rPr>
        <w:t>king hypothesis is that Hosea</w:t>
      </w:r>
      <w:r w:rsidRPr="00915122">
        <w:rPr>
          <w:lang w:bidi="he-IL"/>
        </w:rPr>
        <w:t xml:space="preserve"> 1—3 </w:t>
      </w:r>
      <w:r>
        <w:rPr>
          <w:lang w:bidi="he-IL"/>
        </w:rPr>
        <w:t>as a unit issued from the work of Hosea’</w:t>
      </w:r>
      <w:r w:rsidRPr="00915122">
        <w:rPr>
          <w:lang w:bidi="he-IL"/>
        </w:rPr>
        <w:t>s disciples and were designed to introduce the main body of Hosea’s own message in a way that highlighted and developed its promissory aspect, perhaps in light of the message’s vindication by the fall of Samaria, while chapters 4—14 are more or less the result of Hosea’s own having his work put into writing. Amos 7 includes a story about Amos apparently told by a disciple, as well as Amos’s own accounts of dealings Yahweh had with him, both of which complement the messages that his scroll also preserves. Jonah simply comprises a story about</w:t>
      </w:r>
      <w:r>
        <w:rPr>
          <w:lang w:bidi="he-IL"/>
        </w:rPr>
        <w:t xml:space="preserve"> the prophet, though it is </w:t>
      </w:r>
      <w:r w:rsidRPr="00915122">
        <w:rPr>
          <w:lang w:bidi="he-IL"/>
        </w:rPr>
        <w:t>paradoxical to call its author a disciple of the prophet.</w:t>
      </w:r>
    </w:p>
    <w:p w:rsidR="00DA608D" w:rsidRDefault="00DA608D" w:rsidP="00DA608D">
      <w:pPr>
        <w:rPr>
          <w:lang w:bidi="he-IL"/>
        </w:rPr>
      </w:pPr>
      <w:r>
        <w:rPr>
          <w:lang w:bidi="he-IL"/>
        </w:rPr>
        <w:t xml:space="preserve">While </w:t>
      </w:r>
      <w:r w:rsidRPr="00E24AB1">
        <w:rPr>
          <w:lang w:bidi="he-IL"/>
        </w:rPr>
        <w:t>Hosea, Amos, Jonah, and Micah</w:t>
      </w:r>
      <w:r>
        <w:rPr>
          <w:lang w:bidi="he-IL"/>
        </w:rPr>
        <w:t xml:space="preserve"> themselves belong to the </w:t>
      </w:r>
      <w:r w:rsidRPr="00E24AB1">
        <w:rPr>
          <w:lang w:bidi="he-IL"/>
        </w:rPr>
        <w:t>eighth cen</w:t>
      </w:r>
      <w:r>
        <w:rPr>
          <w:lang w:bidi="he-IL"/>
        </w:rPr>
        <w:t>tury</w:t>
      </w:r>
      <w:r w:rsidRPr="00E24AB1">
        <w:rPr>
          <w:lang w:bidi="he-IL"/>
        </w:rPr>
        <w:t>, this fact carries no necessary implications regarding the time when t</w:t>
      </w:r>
      <w:r>
        <w:rPr>
          <w:lang w:bidi="he-IL"/>
        </w:rPr>
        <w:t xml:space="preserve">he scrolls bearing their names </w:t>
      </w:r>
      <w:r w:rsidRPr="00E24AB1">
        <w:rPr>
          <w:lang w:bidi="he-IL"/>
        </w:rPr>
        <w:t>came into exi</w:t>
      </w:r>
      <w:r>
        <w:rPr>
          <w:lang w:bidi="he-IL"/>
        </w:rPr>
        <w:t>stence</w:t>
      </w:r>
      <w:r w:rsidRPr="00E24AB1">
        <w:rPr>
          <w:lang w:bidi="he-IL"/>
        </w:rPr>
        <w:t xml:space="preserve">. </w:t>
      </w:r>
      <w:r>
        <w:rPr>
          <w:lang w:bidi="he-IL"/>
        </w:rPr>
        <w:t>The Isaiah scroll indicates that a prophet’s disciples could continue a process of reformulation and expansion over several centuries; the original compiling of a prophet’s work might be</w:t>
      </w:r>
      <w:r w:rsidRPr="00740122">
        <w:rPr>
          <w:lang w:bidi="he-IL"/>
        </w:rPr>
        <w:t xml:space="preserve"> o</w:t>
      </w:r>
      <w:r>
        <w:rPr>
          <w:lang w:bidi="he-IL"/>
        </w:rPr>
        <w:t xml:space="preserve">nly the beginning of such a process. I would see (some of) Isaiah’s disciples </w:t>
      </w:r>
      <w:r w:rsidRPr="00740122">
        <w:rPr>
          <w:lang w:bidi="he-IL"/>
        </w:rPr>
        <w:t>als</w:t>
      </w:r>
      <w:r>
        <w:rPr>
          <w:lang w:bidi="he-IL"/>
        </w:rPr>
        <w:t>o as prophets, extending his message</w:t>
      </w:r>
      <w:r w:rsidRPr="00740122">
        <w:rPr>
          <w:lang w:bidi="he-IL"/>
        </w:rPr>
        <w:t xml:space="preserve"> by addin</w:t>
      </w:r>
      <w:r>
        <w:rPr>
          <w:lang w:bidi="he-IL"/>
        </w:rPr>
        <w:t xml:space="preserve">g </w:t>
      </w:r>
      <w:r w:rsidRPr="00740122">
        <w:rPr>
          <w:lang w:bidi="he-IL"/>
        </w:rPr>
        <w:t>further proph</w:t>
      </w:r>
      <w:r>
        <w:rPr>
          <w:lang w:bidi="he-IL"/>
        </w:rPr>
        <w:t>ecies inspired by his as well as providing information about him</w:t>
      </w:r>
      <w:r w:rsidRPr="00740122">
        <w:rPr>
          <w:lang w:bidi="he-IL"/>
        </w:rPr>
        <w:t>. One function o</w:t>
      </w:r>
      <w:r>
        <w:rPr>
          <w:lang w:bidi="he-IL"/>
        </w:rPr>
        <w:t>f such prophetic work would be to make more explicit</w:t>
      </w:r>
      <w:r w:rsidRPr="00740122">
        <w:rPr>
          <w:lang w:bidi="he-IL"/>
        </w:rPr>
        <w:t xml:space="preserve"> that the broadly threatening nature of the prophet’s words was not the end of what Yahweh had to say; the fulfillment of the threats opened up the possibility of Yahweh acting to restore his people.</w:t>
      </w:r>
      <w:r>
        <w:rPr>
          <w:lang w:bidi="he-IL"/>
        </w:rPr>
        <w:t xml:space="preserve"> Something similar might be true about the shorter prophets, though there are not the concrete indications of it that appear in the Isaiah scroll. </w:t>
      </w:r>
    </w:p>
    <w:p w:rsidR="00DA608D" w:rsidRDefault="00DA608D" w:rsidP="00DA608D">
      <w:pPr>
        <w:pStyle w:val="Heading2"/>
        <w:rPr>
          <w:lang w:bidi="he-IL"/>
        </w:rPr>
      </w:pPr>
      <w:r>
        <w:rPr>
          <w:lang w:bidi="he-IL"/>
        </w:rPr>
        <w:t>How Messages Affirmed Became the Scrolls We Know</w:t>
      </w:r>
    </w:p>
    <w:p w:rsidR="00DA608D" w:rsidRDefault="00DA608D" w:rsidP="00DA608D">
      <w:pPr>
        <w:rPr>
          <w:rFonts w:cs="Times New Roman"/>
          <w:szCs w:val="20"/>
          <w:lang w:bidi="he-IL"/>
        </w:rPr>
      </w:pPr>
      <w:r>
        <w:rPr>
          <w:rFonts w:cs="Times New Roman"/>
          <w:szCs w:val="20"/>
          <w:lang w:bidi="he-IL"/>
        </w:rPr>
        <w:t xml:space="preserve">Western scholarship over the past century and a half has put much energy into seeking to trace the process whereby the scrolls developed. In the case of Hosea, Amos, and Micah this might involve the expansion of the original collection of their work in the time of Josiah </w:t>
      </w:r>
      <w:r>
        <w:rPr>
          <w:lang w:bidi="he-IL"/>
        </w:rPr>
        <w:t xml:space="preserve">at the end of the seventh century, </w:t>
      </w:r>
      <w:r w:rsidRPr="0065466C">
        <w:rPr>
          <w:lang w:bidi="he-IL"/>
        </w:rPr>
        <w:t xml:space="preserve">after the fall of Jerusalem </w:t>
      </w:r>
      <w:r>
        <w:rPr>
          <w:lang w:bidi="he-IL"/>
        </w:rPr>
        <w:t xml:space="preserve">in the sixth century, and then in the Persian period. </w:t>
      </w:r>
      <w:r>
        <w:t xml:space="preserve">Different processes (perhaps less complex) can be envisaged for Joel, Obadiah, and Jonah. But one scholar has commented that </w:t>
      </w:r>
      <w:r>
        <w:rPr>
          <w:rFonts w:cs="Times New Roman"/>
          <w:szCs w:val="20"/>
          <w:lang w:bidi="he-IL"/>
        </w:rPr>
        <w:t>the “ongoing scholarly debate on the emergence and composition of the book of Micah… has not yet reached a consensus,”</w:t>
      </w:r>
      <w:r>
        <w:rPr>
          <w:rStyle w:val="FootnoteReference"/>
          <w:rFonts w:cs="Times New Roman"/>
          <w:szCs w:val="20"/>
          <w:lang w:bidi="he-IL"/>
        </w:rPr>
        <w:footnoteReference w:id="15"/>
      </w:r>
      <w:r>
        <w:rPr>
          <w:rFonts w:cs="Times New Roman"/>
          <w:szCs w:val="20"/>
          <w:lang w:bidi="he-IL"/>
        </w:rPr>
        <w:t xml:space="preserve"> and that comment could also be made about the other scrolls. Further, the word “yet” is a giveaway. There is no reason to think there ever will be a consensus.</w:t>
      </w:r>
    </w:p>
    <w:p w:rsidR="00DA608D" w:rsidRPr="002835F5" w:rsidRDefault="00DA608D" w:rsidP="00DA608D">
      <w:pPr>
        <w:rPr>
          <w:rFonts w:cs="Times New Roman"/>
          <w:szCs w:val="20"/>
          <w:lang w:bidi="he-IL"/>
        </w:rPr>
      </w:pPr>
      <w:r>
        <w:rPr>
          <w:rFonts w:cs="Times New Roman"/>
          <w:szCs w:val="20"/>
          <w:lang w:bidi="he-IL"/>
        </w:rPr>
        <w:t xml:space="preserve">One reason is that the focus on tracing the development of the material and linking it with different historical contexts comes from an agenda that emerged from modernity. That fact in itself is not a fault; agenda from readers’ contexts can be a way in to a text’s own agenda. But in this case the modern agenda obscures as much as it illumines. These six scrolls do not overtly draw attention to contexts other than those of the prophet whose name appears in them. </w:t>
      </w:r>
      <w:r w:rsidRPr="008B1F1C">
        <w:rPr>
          <w:rFonts w:cs="Times New Roman"/>
          <w:szCs w:val="20"/>
          <w:lang w:bidi="he-IL"/>
        </w:rPr>
        <w:t xml:space="preserve">Whereas the Isaiah scroll incorporates messages </w:t>
      </w:r>
      <w:r w:rsidRPr="0065466C">
        <w:rPr>
          <w:rFonts w:cs="Times New Roman"/>
          <w:szCs w:val="20"/>
          <w:lang w:bidi="he-IL"/>
        </w:rPr>
        <w:t xml:space="preserve">referring to the fall of Jerusalem as an event long past and to the Medo-Persian king Cyrus as a figure of the present </w:t>
      </w:r>
      <w:r>
        <w:rPr>
          <w:rFonts w:cs="Times New Roman"/>
          <w:szCs w:val="20"/>
          <w:lang w:bidi="he-IL"/>
        </w:rPr>
        <w:t xml:space="preserve">and thus </w:t>
      </w:r>
      <w:r w:rsidRPr="008B1F1C">
        <w:rPr>
          <w:rFonts w:cs="Times New Roman"/>
          <w:szCs w:val="20"/>
          <w:lang w:bidi="he-IL"/>
        </w:rPr>
        <w:t>m</w:t>
      </w:r>
      <w:r>
        <w:rPr>
          <w:rFonts w:cs="Times New Roman"/>
          <w:szCs w:val="20"/>
          <w:lang w:bidi="he-IL"/>
        </w:rPr>
        <w:t>ore or less explicitly declaring</w:t>
      </w:r>
      <w:r w:rsidRPr="008B1F1C">
        <w:rPr>
          <w:rFonts w:cs="Times New Roman"/>
          <w:szCs w:val="20"/>
          <w:lang w:bidi="he-IL"/>
        </w:rPr>
        <w:t xml:space="preserve"> that they come from a time later than Isaiah ben </w:t>
      </w:r>
      <w:r>
        <w:rPr>
          <w:rFonts w:cs="Times New Roman"/>
          <w:szCs w:val="20"/>
          <w:lang w:bidi="he-IL"/>
        </w:rPr>
        <w:t>Amoz</w:t>
      </w:r>
      <w:r w:rsidRPr="008B1F1C">
        <w:rPr>
          <w:rFonts w:cs="Times New Roman"/>
          <w:szCs w:val="20"/>
          <w:lang w:bidi="he-IL"/>
        </w:rPr>
        <w:t xml:space="preserve">, there are no comparable data in our six scrolls. </w:t>
      </w:r>
      <w:r w:rsidRPr="002835F5">
        <w:rPr>
          <w:rFonts w:cs="Times New Roman"/>
          <w:szCs w:val="20"/>
          <w:lang w:bidi="he-IL"/>
        </w:rPr>
        <w:t>Scholarly study has often focused on discovering which parts of the scrolls are “authentic</w:t>
      </w:r>
      <w:r w:rsidRPr="002835F5">
        <w:rPr>
          <w:rFonts w:cs="Times New Roman"/>
          <w:szCs w:val="20"/>
          <w:lang w:val="en-GB" w:bidi="he-IL"/>
        </w:rPr>
        <w:t>,”</w:t>
      </w:r>
      <w:r w:rsidRPr="002835F5">
        <w:rPr>
          <w:rFonts w:cs="Times New Roman"/>
          <w:szCs w:val="20"/>
          <w:vertAlign w:val="superscript"/>
          <w:lang w:val="en-GB" w:bidi="he-IL"/>
        </w:rPr>
        <w:footnoteReference w:id="16"/>
      </w:r>
      <w:r w:rsidRPr="002835F5">
        <w:rPr>
          <w:rFonts w:cs="Times New Roman"/>
          <w:szCs w:val="20"/>
          <w:lang w:val="en-GB" w:bidi="he-IL"/>
        </w:rPr>
        <w:t xml:space="preserve"> by which it means do they go back to the prophet whose name appears at the beginning of the book. And if it were possible, discovering the answer to that question would be an interesting exercise. It is not possible; but it is the scroll as a whole that is authentic. </w:t>
      </w:r>
    </w:p>
    <w:p w:rsidR="00DA608D" w:rsidRDefault="00DA608D" w:rsidP="00DA608D">
      <w:pPr>
        <w:rPr>
          <w:rFonts w:cs="Times New Roman"/>
          <w:szCs w:val="20"/>
          <w:lang w:bidi="he-IL"/>
        </w:rPr>
      </w:pPr>
      <w:r>
        <w:rPr>
          <w:rFonts w:cs="Times New Roman"/>
          <w:szCs w:val="20"/>
          <w:lang w:bidi="he-IL"/>
        </w:rPr>
        <w:lastRenderedPageBreak/>
        <w:t>If our own context gives us a primary concern with historical questions, we are free to search the text for answers to those questions, but w</w:t>
      </w:r>
      <w:r w:rsidRPr="008B1F1C">
        <w:rPr>
          <w:rFonts w:cs="Times New Roman"/>
          <w:szCs w:val="20"/>
          <w:lang w:bidi="he-IL"/>
        </w:rPr>
        <w:t xml:space="preserve">e </w:t>
      </w:r>
      <w:r>
        <w:rPr>
          <w:rFonts w:cs="Times New Roman"/>
          <w:szCs w:val="20"/>
          <w:lang w:bidi="he-IL"/>
        </w:rPr>
        <w:t xml:space="preserve">then </w:t>
      </w:r>
      <w:r w:rsidRPr="008B1F1C">
        <w:rPr>
          <w:rFonts w:cs="Times New Roman"/>
          <w:szCs w:val="20"/>
          <w:lang w:bidi="he-IL"/>
        </w:rPr>
        <w:t>resemble people reading Shakespeare for information on English history, who miss the plays’ own agenda.</w:t>
      </w:r>
      <w:r>
        <w:rPr>
          <w:rFonts w:cs="Times New Roman"/>
          <w:szCs w:val="20"/>
          <w:lang w:bidi="he-IL"/>
        </w:rPr>
        <w:t xml:space="preserve"> And focusing on questions about the process seems to have issued only in academic debate and in conclusions that do not carry conviction with other people, not in answers; the scholar who makes that observation about Micah continues, “I </w:t>
      </w:r>
      <w:r w:rsidRPr="008B1F1C">
        <w:rPr>
          <w:rFonts w:cs="Times New Roman"/>
          <w:szCs w:val="20"/>
          <w:lang w:bidi="he-IL"/>
        </w:rPr>
        <w:t>therefore feel free to offer my personal view</w:t>
      </w:r>
      <w:r>
        <w:rPr>
          <w:rFonts w:cs="Times New Roman"/>
          <w:szCs w:val="20"/>
          <w:lang w:bidi="he-IL"/>
        </w:rPr>
        <w:t>.” The d</w:t>
      </w:r>
      <w:r w:rsidRPr="003F16B4">
        <w:rPr>
          <w:rFonts w:cs="Times New Roman"/>
          <w:szCs w:val="20"/>
          <w:lang w:bidi="he-IL"/>
        </w:rPr>
        <w:t>ifference</w:t>
      </w:r>
      <w:r>
        <w:rPr>
          <w:rFonts w:cs="Times New Roman"/>
          <w:szCs w:val="20"/>
          <w:lang w:bidi="he-IL"/>
        </w:rPr>
        <w:t>s of opinion about the process</w:t>
      </w:r>
      <w:r w:rsidRPr="003F16B4">
        <w:rPr>
          <w:rFonts w:cs="Times New Roman"/>
          <w:szCs w:val="20"/>
          <w:lang w:bidi="he-IL"/>
        </w:rPr>
        <w:t xml:space="preserve"> reflect differences in personality and faith on the part of scholars (e.g., a more conservative or a more adventurous instinct)</w:t>
      </w:r>
      <w:r>
        <w:rPr>
          <w:rFonts w:cs="Times New Roman"/>
          <w:szCs w:val="20"/>
          <w:lang w:bidi="he-IL"/>
        </w:rPr>
        <w:t>,</w:t>
      </w:r>
      <w:r w:rsidRPr="003F16B4">
        <w:rPr>
          <w:rFonts w:cs="Times New Roman"/>
          <w:szCs w:val="20"/>
          <w:lang w:bidi="he-IL"/>
        </w:rPr>
        <w:t xml:space="preserve"> and changes in scholarly fashion, more than ha</w:t>
      </w:r>
      <w:r>
        <w:rPr>
          <w:rFonts w:cs="Times New Roman"/>
          <w:szCs w:val="20"/>
          <w:lang w:bidi="he-IL"/>
        </w:rPr>
        <w:t xml:space="preserve">rd evidence within the scrolls. </w:t>
      </w:r>
    </w:p>
    <w:p w:rsidR="00DA608D" w:rsidRDefault="00DA608D" w:rsidP="00DA608D">
      <w:pPr>
        <w:rPr>
          <w:rFonts w:cs="Times New Roman"/>
          <w:szCs w:val="20"/>
          <w:lang w:bidi="he-IL"/>
        </w:rPr>
      </w:pPr>
      <w:r>
        <w:rPr>
          <w:rFonts w:cs="Times New Roman"/>
          <w:szCs w:val="20"/>
          <w:lang w:bidi="he-IL"/>
        </w:rPr>
        <w:t>Further, while s</w:t>
      </w:r>
      <w:r w:rsidRPr="009118C2">
        <w:rPr>
          <w:rFonts w:cs="Times New Roman"/>
          <w:szCs w:val="20"/>
          <w:lang w:bidi="he-IL"/>
        </w:rPr>
        <w:t xml:space="preserve">ome references to Judah </w:t>
      </w:r>
      <w:r>
        <w:rPr>
          <w:rFonts w:cs="Times New Roman"/>
          <w:szCs w:val="20"/>
          <w:lang w:bidi="he-IL"/>
        </w:rPr>
        <w:t xml:space="preserve">in Hosea and Amos </w:t>
      </w:r>
      <w:r w:rsidRPr="009118C2">
        <w:rPr>
          <w:rFonts w:cs="Times New Roman"/>
          <w:szCs w:val="20"/>
          <w:lang w:bidi="he-IL"/>
        </w:rPr>
        <w:t>may be glosses to an earlier versio</w:t>
      </w:r>
      <w:r>
        <w:rPr>
          <w:rFonts w:cs="Times New Roman"/>
          <w:szCs w:val="20"/>
          <w:lang w:bidi="he-IL"/>
        </w:rPr>
        <w:t xml:space="preserve">n of these scrolls, </w:t>
      </w:r>
      <w:r w:rsidRPr="0065466C">
        <w:rPr>
          <w:rFonts w:cs="Times New Roman"/>
          <w:szCs w:val="20"/>
          <w:lang w:bidi="he-IL"/>
        </w:rPr>
        <w:t>there seems no</w:t>
      </w:r>
      <w:r>
        <w:rPr>
          <w:rFonts w:cs="Times New Roman"/>
          <w:szCs w:val="20"/>
          <w:lang w:bidi="he-IL"/>
        </w:rPr>
        <w:t xml:space="preserve"> advantage in hypothesizing</w:t>
      </w:r>
      <w:r w:rsidRPr="0065466C">
        <w:rPr>
          <w:rFonts w:cs="Times New Roman"/>
          <w:szCs w:val="20"/>
          <w:lang w:bidi="he-IL"/>
        </w:rPr>
        <w:t xml:space="preserve"> </w:t>
      </w:r>
      <w:r w:rsidRPr="00CB0A44">
        <w:rPr>
          <w:rFonts w:cs="Times New Roman"/>
          <w:szCs w:val="20"/>
          <w:lang w:bidi="he-IL"/>
        </w:rPr>
        <w:t>a more thoroughgoing process of redaction</w:t>
      </w:r>
      <w:r>
        <w:rPr>
          <w:rFonts w:cs="Times New Roman"/>
          <w:szCs w:val="20"/>
          <w:lang w:bidi="he-IL"/>
        </w:rPr>
        <w:t>.</w:t>
      </w:r>
      <w:r w:rsidRPr="009118C2">
        <w:rPr>
          <w:rFonts w:cs="Times New Roman"/>
          <w:szCs w:val="20"/>
          <w:lang w:bidi="he-IL"/>
        </w:rPr>
        <w:t xml:space="preserve"> I</w:t>
      </w:r>
      <w:r>
        <w:rPr>
          <w:rFonts w:cs="Times New Roman"/>
          <w:szCs w:val="20"/>
          <w:lang w:bidi="he-IL"/>
        </w:rPr>
        <w:t>n this commentary, then,</w:t>
      </w:r>
      <w:r w:rsidRPr="009118C2">
        <w:rPr>
          <w:rFonts w:cs="Times New Roman"/>
          <w:szCs w:val="20"/>
          <w:lang w:bidi="he-IL"/>
        </w:rPr>
        <w:t xml:space="preserve"> </w:t>
      </w:r>
      <w:r>
        <w:rPr>
          <w:rFonts w:cs="Times New Roman"/>
          <w:szCs w:val="20"/>
          <w:lang w:bidi="he-IL"/>
        </w:rPr>
        <w:t xml:space="preserve">I </w:t>
      </w:r>
      <w:r w:rsidRPr="009118C2">
        <w:rPr>
          <w:rFonts w:cs="Times New Roman"/>
          <w:szCs w:val="20"/>
          <w:lang w:bidi="he-IL"/>
        </w:rPr>
        <w:t xml:space="preserve">submit such theories to </w:t>
      </w:r>
      <w:proofErr w:type="gramStart"/>
      <w:r w:rsidRPr="009118C2">
        <w:rPr>
          <w:rFonts w:cs="Times New Roman"/>
          <w:szCs w:val="20"/>
          <w:lang w:bidi="he-IL"/>
        </w:rPr>
        <w:t>Occam’s Razor</w:t>
      </w:r>
      <w:proofErr w:type="gramEnd"/>
      <w:r w:rsidRPr="009118C2">
        <w:rPr>
          <w:rFonts w:cs="Times New Roman"/>
          <w:szCs w:val="20"/>
          <w:lang w:bidi="he-IL"/>
        </w:rPr>
        <w:t xml:space="preserve"> and deal with the text as we have it.</w:t>
      </w:r>
      <w:r>
        <w:rPr>
          <w:rFonts w:cs="Times New Roman"/>
          <w:szCs w:val="20"/>
          <w:lang w:bidi="he-IL"/>
        </w:rPr>
        <w:t xml:space="preserve"> Which is not so different from the stance implicitly commended by a scholar who especially emphasizes the creative work on the scrolls undertaken in the Persian period but who nevertheless observes that </w:t>
      </w:r>
      <w:r w:rsidRPr="00E6533B">
        <w:rPr>
          <w:rFonts w:cs="Times New Roman"/>
          <w:szCs w:val="20"/>
          <w:lang w:bidi="he-IL"/>
        </w:rPr>
        <w:t xml:space="preserve">Micah </w:t>
      </w:r>
      <w:r>
        <w:rPr>
          <w:rFonts w:cs="Times New Roman"/>
          <w:szCs w:val="20"/>
          <w:lang w:bidi="he-IL"/>
        </w:rPr>
        <w:t>1:1, in introducing</w:t>
      </w:r>
      <w:r w:rsidRPr="00E6533B">
        <w:rPr>
          <w:rFonts w:cs="Times New Roman"/>
          <w:szCs w:val="20"/>
          <w:lang w:bidi="he-IL"/>
        </w:rPr>
        <w:t xml:space="preserve"> </w:t>
      </w:r>
      <w:r>
        <w:rPr>
          <w:rFonts w:cs="Times New Roman"/>
          <w:szCs w:val="20"/>
          <w:lang w:bidi="he-IL"/>
        </w:rPr>
        <w:t>its scroll to its readers, “</w:t>
      </w:r>
      <w:r w:rsidRPr="00E6533B">
        <w:rPr>
          <w:rFonts w:cs="Times New Roman"/>
          <w:szCs w:val="20"/>
          <w:lang w:bidi="he-IL"/>
        </w:rPr>
        <w:t>asks them to associate the entire book with the figure of Micah the Morashtite.”</w:t>
      </w:r>
      <w:r w:rsidRPr="00E6533B">
        <w:rPr>
          <w:rFonts w:cs="Times New Roman"/>
          <w:szCs w:val="20"/>
          <w:vertAlign w:val="superscript"/>
          <w:lang w:bidi="he-IL"/>
        </w:rPr>
        <w:footnoteReference w:id="17"/>
      </w:r>
      <w:r>
        <w:rPr>
          <w:rFonts w:cs="Times New Roman"/>
          <w:szCs w:val="20"/>
          <w:lang w:bidi="he-IL"/>
        </w:rPr>
        <w:t xml:space="preserve"> Micah 1:1 “places </w:t>
      </w:r>
      <w:r>
        <w:rPr>
          <w:rFonts w:cs="Times New Roman"/>
          <w:i/>
          <w:szCs w:val="20"/>
          <w:lang w:bidi="he-IL"/>
        </w:rPr>
        <w:t xml:space="preserve">readers </w:t>
      </w:r>
      <w:r>
        <w:rPr>
          <w:rFonts w:cs="Times New Roman"/>
          <w:szCs w:val="20"/>
          <w:lang w:bidi="he-IL"/>
        </w:rPr>
        <w:t>of the entire book in the reigns of the kings that are cited therein.”</w:t>
      </w:r>
      <w:r>
        <w:rPr>
          <w:rStyle w:val="FootnoteReference"/>
          <w:rFonts w:cs="Times New Roman"/>
          <w:szCs w:val="20"/>
          <w:lang w:bidi="he-IL"/>
        </w:rPr>
        <w:footnoteReference w:id="18"/>
      </w:r>
      <w:r>
        <w:rPr>
          <w:rFonts w:cs="Times New Roman"/>
          <w:szCs w:val="20"/>
          <w:lang w:bidi="he-IL"/>
        </w:rPr>
        <w:t xml:space="preserve"> The point can be extended to the other five scrolls. T</w:t>
      </w:r>
      <w:r w:rsidRPr="009118C2">
        <w:rPr>
          <w:rFonts w:cs="Times New Roman"/>
          <w:szCs w:val="20"/>
          <w:lang w:bidi="he-IL"/>
        </w:rPr>
        <w:t xml:space="preserve">he Hosea, </w:t>
      </w:r>
      <w:r>
        <w:rPr>
          <w:rFonts w:cs="Times New Roman"/>
          <w:szCs w:val="20"/>
          <w:lang w:bidi="he-IL"/>
        </w:rPr>
        <w:t xml:space="preserve">Amos, and Micah scrolls </w:t>
      </w:r>
      <w:r w:rsidRPr="009118C2">
        <w:rPr>
          <w:rFonts w:cs="Times New Roman"/>
          <w:szCs w:val="20"/>
          <w:lang w:bidi="he-IL"/>
        </w:rPr>
        <w:t xml:space="preserve">invite their readers to imagine themselves hearing their messages as the preaching of these prophets in Ephraim in the time of Jeroboam or in Judah in the time of Uzziah, a little in the way in which </w:t>
      </w:r>
      <w:r>
        <w:rPr>
          <w:rFonts w:cs="Times New Roman"/>
          <w:szCs w:val="20"/>
          <w:lang w:bidi="he-IL"/>
        </w:rPr>
        <w:t xml:space="preserve">a movie such as </w:t>
      </w:r>
      <w:r w:rsidRPr="009118C2">
        <w:rPr>
          <w:rFonts w:cs="Times New Roman"/>
          <w:i/>
          <w:szCs w:val="20"/>
          <w:lang w:bidi="he-IL"/>
        </w:rPr>
        <w:t>Bridge of Spies</w:t>
      </w:r>
      <w:r w:rsidRPr="009118C2">
        <w:rPr>
          <w:rFonts w:cs="Times New Roman"/>
          <w:szCs w:val="20"/>
          <w:lang w:bidi="he-IL"/>
        </w:rPr>
        <w:t xml:space="preserve"> invites moviegoers to imagine themselves in the United States and in Germany during the Cold War. </w:t>
      </w:r>
      <w:r>
        <w:rPr>
          <w:rFonts w:cs="Times New Roman"/>
          <w:szCs w:val="20"/>
          <w:lang w:bidi="he-IL"/>
        </w:rPr>
        <w:t xml:space="preserve">While I shall occasionally note points where the prophets’ disciples may have been inspired to expand on or reapply their master’s work, I shall mostly follow that invitation. </w:t>
      </w:r>
    </w:p>
    <w:p w:rsidR="00DA608D" w:rsidRPr="003B1917" w:rsidRDefault="00DA608D" w:rsidP="00DA608D">
      <w:pPr>
        <w:rPr>
          <w:rFonts w:cs="Times New Roman"/>
          <w:szCs w:val="20"/>
          <w:lang w:bidi="he-IL"/>
        </w:rPr>
      </w:pPr>
      <w:r>
        <w:rPr>
          <w:rFonts w:cs="Times New Roman"/>
          <w:szCs w:val="20"/>
          <w:lang w:bidi="he-IL"/>
        </w:rPr>
        <w:t>A related consideration applies to the Twelve Prophets as a collection. The heading “The Twelve” both holds these shorter prophets</w:t>
      </w:r>
      <w:r w:rsidRPr="008417E6">
        <w:rPr>
          <w:rFonts w:cs="Times New Roman"/>
          <w:szCs w:val="20"/>
          <w:lang w:bidi="he-IL"/>
        </w:rPr>
        <w:t xml:space="preserve"> together and recognizes th</w:t>
      </w:r>
      <w:r>
        <w:rPr>
          <w:rFonts w:cs="Times New Roman"/>
          <w:szCs w:val="20"/>
          <w:lang w:bidi="he-IL"/>
        </w:rPr>
        <w:t>at they are distinct entities, each with</w:t>
      </w:r>
      <w:r w:rsidRPr="008417E6">
        <w:rPr>
          <w:rFonts w:cs="Times New Roman"/>
          <w:szCs w:val="20"/>
          <w:lang w:bidi="he-IL"/>
        </w:rPr>
        <w:t xml:space="preserve"> its own </w:t>
      </w:r>
      <w:r>
        <w:rPr>
          <w:rFonts w:cs="Times New Roman"/>
          <w:szCs w:val="20"/>
          <w:lang w:bidi="he-IL"/>
        </w:rPr>
        <w:t xml:space="preserve">preface. Possibly </w:t>
      </w:r>
      <w:r w:rsidRPr="008417E6">
        <w:rPr>
          <w:rFonts w:cs="Times New Roman"/>
          <w:szCs w:val="20"/>
          <w:lang w:bidi="he-IL"/>
        </w:rPr>
        <w:t xml:space="preserve">the </w:t>
      </w:r>
      <w:r>
        <w:rPr>
          <w:rFonts w:cs="Times New Roman"/>
          <w:szCs w:val="20"/>
          <w:lang w:bidi="he-IL"/>
        </w:rPr>
        <w:t xml:space="preserve">expanding of the </w:t>
      </w:r>
      <w:r w:rsidRPr="008417E6">
        <w:rPr>
          <w:rFonts w:cs="Times New Roman"/>
          <w:szCs w:val="20"/>
          <w:lang w:bidi="he-IL"/>
        </w:rPr>
        <w:t>wor</w:t>
      </w:r>
      <w:r>
        <w:rPr>
          <w:rFonts w:cs="Times New Roman"/>
          <w:szCs w:val="20"/>
          <w:lang w:bidi="he-IL"/>
        </w:rPr>
        <w:t>ds of the prophets who are named</w:t>
      </w:r>
      <w:r w:rsidRPr="008417E6">
        <w:rPr>
          <w:rFonts w:cs="Times New Roman"/>
          <w:szCs w:val="20"/>
          <w:lang w:bidi="he-IL"/>
        </w:rPr>
        <w:t xml:space="preserve"> in the </w:t>
      </w:r>
      <w:r>
        <w:rPr>
          <w:rFonts w:cs="Times New Roman"/>
          <w:szCs w:val="20"/>
          <w:lang w:bidi="he-IL"/>
        </w:rPr>
        <w:t>prefaces has generated further links between the scrolls and contributed to the Twelve becoming one unit. But here, too, tracing the process involves building hypotheses on limited data, and t</w:t>
      </w:r>
      <w:r w:rsidRPr="008417E6">
        <w:rPr>
          <w:rFonts w:cs="Times New Roman"/>
          <w:szCs w:val="20"/>
          <w:lang w:bidi="he-IL"/>
        </w:rPr>
        <w:t xml:space="preserve">he eventual compilers of each scroll </w:t>
      </w:r>
      <w:r>
        <w:rPr>
          <w:rFonts w:cs="Times New Roman"/>
          <w:szCs w:val="20"/>
          <w:lang w:bidi="he-IL"/>
        </w:rPr>
        <w:t xml:space="preserve">(e.g., of Hosea or Joel) </w:t>
      </w:r>
      <w:r w:rsidRPr="008417E6">
        <w:rPr>
          <w:rFonts w:cs="Times New Roman"/>
          <w:szCs w:val="20"/>
          <w:lang w:bidi="he-IL"/>
        </w:rPr>
        <w:t xml:space="preserve">have presented it as </w:t>
      </w:r>
      <w:r>
        <w:rPr>
          <w:rFonts w:cs="Times New Roman"/>
          <w:szCs w:val="20"/>
          <w:lang w:bidi="he-IL"/>
        </w:rPr>
        <w:t xml:space="preserve">a </w:t>
      </w:r>
      <w:r w:rsidRPr="008417E6">
        <w:rPr>
          <w:rFonts w:cs="Times New Roman"/>
          <w:szCs w:val="20"/>
          <w:lang w:bidi="he-IL"/>
        </w:rPr>
        <w:t>discrete unit over against the material out of which it was compiled and over against the other scrolls with which it came to be associated.</w:t>
      </w:r>
      <w:r>
        <w:rPr>
          <w:rStyle w:val="FootnoteReference"/>
          <w:rFonts w:cs="Times New Roman"/>
          <w:szCs w:val="20"/>
          <w:lang w:bidi="he-IL"/>
        </w:rPr>
        <w:footnoteReference w:id="19"/>
      </w:r>
      <w:r>
        <w:rPr>
          <w:rFonts w:cs="Times New Roman"/>
          <w:szCs w:val="20"/>
          <w:lang w:bidi="he-IL"/>
        </w:rPr>
        <w:t xml:space="preserve"> I shall pay more attention to the individual scrolls than to possible links between them.</w:t>
      </w:r>
    </w:p>
    <w:p w:rsidR="00DA608D" w:rsidRPr="008417E6" w:rsidRDefault="00DA608D" w:rsidP="00DA608D">
      <w:pPr>
        <w:keepNext/>
        <w:keepLines/>
        <w:spacing w:before="200" w:after="120"/>
        <w:outlineLvl w:val="1"/>
        <w:rPr>
          <w:rFonts w:asciiTheme="majorHAnsi" w:eastAsiaTheme="majorEastAsia" w:hAnsiTheme="majorHAnsi" w:cstheme="majorBidi"/>
          <w:b/>
          <w:bCs/>
          <w:sz w:val="26"/>
          <w:szCs w:val="26"/>
        </w:rPr>
      </w:pPr>
      <w:r>
        <w:rPr>
          <w:rFonts w:asciiTheme="majorHAnsi" w:eastAsiaTheme="majorEastAsia" w:hAnsiTheme="majorHAnsi" w:cstheme="majorBidi"/>
          <w:b/>
          <w:bCs/>
          <w:sz w:val="26"/>
          <w:szCs w:val="26"/>
        </w:rPr>
        <w:t xml:space="preserve">The </w:t>
      </w:r>
      <w:r w:rsidRPr="008417E6">
        <w:rPr>
          <w:rFonts w:asciiTheme="majorHAnsi" w:eastAsiaTheme="majorEastAsia" w:hAnsiTheme="majorHAnsi" w:cstheme="majorBidi"/>
          <w:b/>
          <w:bCs/>
          <w:sz w:val="26"/>
          <w:szCs w:val="26"/>
        </w:rPr>
        <w:t>Text</w:t>
      </w:r>
      <w:r>
        <w:rPr>
          <w:rStyle w:val="FootnoteReference"/>
          <w:rFonts w:asciiTheme="majorHAnsi" w:eastAsiaTheme="majorEastAsia" w:hAnsiTheme="majorHAnsi" w:cstheme="majorBidi"/>
          <w:b/>
          <w:bCs/>
          <w:sz w:val="26"/>
          <w:szCs w:val="26"/>
        </w:rPr>
        <w:footnoteReference w:id="20"/>
      </w:r>
      <w:r>
        <w:rPr>
          <w:rFonts w:asciiTheme="majorHAnsi" w:eastAsiaTheme="majorEastAsia" w:hAnsiTheme="majorHAnsi" w:cstheme="majorBidi"/>
          <w:b/>
          <w:bCs/>
          <w:sz w:val="26"/>
          <w:szCs w:val="26"/>
        </w:rPr>
        <w:t xml:space="preserve"> </w:t>
      </w:r>
    </w:p>
    <w:p w:rsidR="00DA608D" w:rsidRPr="008417E6" w:rsidRDefault="00DA608D" w:rsidP="00DA608D">
      <w:r w:rsidRPr="008417E6">
        <w:t xml:space="preserve">The oldest complete </w:t>
      </w:r>
      <w:r>
        <w:t xml:space="preserve">or nearly-complete </w:t>
      </w:r>
      <w:r w:rsidRPr="008417E6">
        <w:t>Hebrew manuscripts of the Twelve Prophets are the three Masoretic manuscripts from about the tenth century A.D., the Cairo, Aleppo, and Leningrad Codices</w:t>
      </w:r>
      <w:r>
        <w:t xml:space="preserve"> (but Aleppo lacks Amos 8:12—Micah 5:1)</w:t>
      </w:r>
      <w:r w:rsidRPr="008417E6">
        <w:t>, which are named after the cities where they were long kept. I refer to them as MT (C), MT</w:t>
      </w:r>
      <w:r>
        <w:t xml:space="preserve"> (A), and MT (L). There are much earlier fragments of these P</w:t>
      </w:r>
      <w:r w:rsidRPr="008417E6">
        <w:t>rophets among the Q</w:t>
      </w:r>
      <w:r>
        <w:t>umran scrolls, 4QXII or 4QMinor Prophets,</w:t>
      </w:r>
      <w:r>
        <w:rPr>
          <w:rStyle w:val="FootnoteReference"/>
        </w:rPr>
        <w:footnoteReference w:id="21"/>
      </w:r>
      <w:r>
        <w:t xml:space="preserve"> and </w:t>
      </w:r>
      <w:r w:rsidRPr="008417E6">
        <w:t xml:space="preserve">a fragmentary manuscript of the Twelve Prophets </w:t>
      </w:r>
      <w:r>
        <w:t xml:space="preserve">(including much of Joel to Micah) </w:t>
      </w:r>
      <w:r w:rsidRPr="008417E6">
        <w:t>dating from the Sec</w:t>
      </w:r>
      <w:r>
        <w:t xml:space="preserve">ond Jewish Revolt in 132-35, </w:t>
      </w:r>
      <w:r>
        <w:lastRenderedPageBreak/>
        <w:t>found among discoveries from</w:t>
      </w:r>
      <w:r w:rsidRPr="008417E6">
        <w:t xml:space="preserve"> Wadi Murabba‘at, ten miles south of Qumran</w:t>
      </w:r>
      <w:r>
        <w:t>, and known as Mur88.</w:t>
      </w:r>
      <w:r>
        <w:rPr>
          <w:rStyle w:val="FootnoteReference"/>
        </w:rPr>
        <w:footnoteReference w:id="22"/>
      </w:r>
      <w:r>
        <w:t xml:space="preserve"> F</w:t>
      </w:r>
      <w:r w:rsidRPr="00CF77CD">
        <w:t xml:space="preserve">rom the same period as the Qumran scrolls </w:t>
      </w:r>
      <w:r>
        <w:t>there is also a fragmentary manuscript of a Greek translation of the Twelve, found a little further south again in Nahal (Wadi) Hever, and known as 8HevXIIgr.</w:t>
      </w:r>
      <w:r>
        <w:rPr>
          <w:rStyle w:val="FootnoteReference"/>
        </w:rPr>
        <w:footnoteReference w:id="23"/>
      </w:r>
    </w:p>
    <w:p w:rsidR="00DA608D" w:rsidRPr="008417E6" w:rsidRDefault="00DA608D" w:rsidP="00DA608D">
      <w:r w:rsidRPr="008417E6">
        <w:t>Oddly, we have manuscripts of the Septuagint translation of the Twelve Prophets into Greek that are older than the Masoretic Hebrew</w:t>
      </w:r>
      <w:r>
        <w:t xml:space="preserve"> codices. From about 350 come</w:t>
      </w:r>
      <w:r w:rsidRPr="008417E6">
        <w:t xml:space="preserve"> the Sinai Codex (so named because it was long kept in St Catherine’s Monastery in Sinai) and the Vatican Codex (so called because it is in the Vatican Library), and from about 450 the Alexandrian Codex (so called because it w</w:t>
      </w:r>
      <w:r>
        <w:t xml:space="preserve">as long kept in Alexandria, </w:t>
      </w:r>
      <w:r w:rsidRPr="008417E6">
        <w:t>traditional</w:t>
      </w:r>
      <w:r>
        <w:t xml:space="preserve">ly the location where the </w:t>
      </w:r>
      <w:r w:rsidRPr="008417E6">
        <w:t xml:space="preserve">translation was made). We also have a manuscript of Jerome’s translation into Latin, the Vulgate, which is older than the Masoretic manuscripts. The oldest manuscripts of Targum Jonathan, the Aramaic translation of the Prophets, are not as old as the Masoretic manuscripts. </w:t>
      </w:r>
    </w:p>
    <w:p w:rsidR="00DA608D" w:rsidRDefault="00DA608D" w:rsidP="00DA608D">
      <w:r w:rsidRPr="008417E6">
        <w:t>It is customary to treat the Masoretic Text as the starting point for translating and studying the First Testament, and I have followed that custo</w:t>
      </w:r>
      <w:r>
        <w:t>m, though sometimes it is hard to make sense of the Masoretic Text, especially in Hosea, also in Micah. Jerome comments that you need the Holy Spirit’s aid in interpreting all the prophets, but especially Hosea.</w:t>
      </w:r>
      <w:r>
        <w:rPr>
          <w:rStyle w:val="FootnoteReference"/>
        </w:rPr>
        <w:footnoteReference w:id="24"/>
      </w:r>
      <w:r>
        <w:t xml:space="preserve"> </w:t>
      </w:r>
      <w:r w:rsidRPr="008417E6">
        <w:t>Possibly its text has suffered more from accidental alteration, or possibly its difficulties reflect its background in Ephraim with its distinctive dialect rather than in Judah,</w:t>
      </w:r>
      <w:r w:rsidRPr="008417E6">
        <w:rPr>
          <w:vertAlign w:val="superscript"/>
        </w:rPr>
        <w:footnoteReference w:id="25"/>
      </w:r>
      <w:r w:rsidRPr="008417E6">
        <w:t xml:space="preserve"> or possibly they indicate that the prophet-poet Hosea spoke more allusively than (say) his contemporary Amos who also worked in Ephraim but was himself a Judahite.</w:t>
      </w:r>
    </w:p>
    <w:p w:rsidR="00DA608D" w:rsidRPr="008417E6" w:rsidRDefault="00DA608D" w:rsidP="00DA608D">
      <w:r>
        <w:t xml:space="preserve"> It seems </w:t>
      </w:r>
      <w:r w:rsidRPr="008417E6">
        <w:t xml:space="preserve">hazardous to assume </w:t>
      </w:r>
      <w:r>
        <w:t xml:space="preserve">both </w:t>
      </w:r>
      <w:r w:rsidRPr="008417E6">
        <w:t>that the difficulties in the text do resul</w:t>
      </w:r>
      <w:r>
        <w:t>t from accidental alteration but also</w:t>
      </w:r>
      <w:r w:rsidRPr="008417E6">
        <w:t xml:space="preserve"> that we are in a position </w:t>
      </w:r>
      <w:r>
        <w:t>not only to identify such alterations but also to</w:t>
      </w:r>
      <w:r w:rsidRPr="008417E6">
        <w:t xml:space="preserve"> correct them. I remind my students that </w:t>
      </w:r>
      <w:r w:rsidRPr="008417E6">
        <w:rPr>
          <w:iCs/>
        </w:rPr>
        <w:t>ten percent of what I say is wrong</w:t>
      </w:r>
      <w:r w:rsidRPr="008417E6">
        <w:t>; the trouble is, I don't know wh</w:t>
      </w:r>
      <w:r>
        <w:t>ich ten percent—but that it's like</w:t>
      </w:r>
      <w:r w:rsidRPr="008417E6">
        <w:t xml:space="preserve">ly not </w:t>
      </w:r>
      <w:r>
        <w:t xml:space="preserve">to be </w:t>
      </w:r>
      <w:r w:rsidRPr="008417E6">
        <w:t xml:space="preserve">the ten percent that they think. Perhaps ten percent </w:t>
      </w:r>
      <w:r>
        <w:t xml:space="preserve">(or more likely one per cent) </w:t>
      </w:r>
      <w:r w:rsidRPr="008417E6">
        <w:t>of the Masoretes’ work is wrong, but</w:t>
      </w:r>
      <w:r>
        <w:t xml:space="preserve"> I don’t think we can be confident about </w:t>
      </w:r>
      <w:r w:rsidRPr="008417E6">
        <w:t>identify</w:t>
      </w:r>
      <w:r>
        <w:t>ing it correctly, and putting right</w:t>
      </w:r>
      <w:r w:rsidRPr="008417E6">
        <w:t xml:space="preserve"> what we think is wrong is likely to generate a text that is further away from (say) Hosea than the one we start with.</w:t>
      </w:r>
      <w:r w:rsidRPr="008417E6">
        <w:rPr>
          <w:vertAlign w:val="superscript"/>
        </w:rPr>
        <w:footnoteReference w:id="26"/>
      </w:r>
      <w:r w:rsidRPr="008417E6">
        <w:t xml:space="preserve"> I therefore nearly always work with the text as it appears in MT, though I note many interesting renderings in the Septuagint, the Vulgate, and the Targum.</w:t>
      </w:r>
    </w:p>
    <w:p w:rsidR="00DA608D" w:rsidRDefault="00DA608D" w:rsidP="00DA608D">
      <w:pPr>
        <w:pStyle w:val="Heading2"/>
      </w:pPr>
      <w:r>
        <w:t>Resources for Text and Interpretation</w:t>
      </w:r>
    </w:p>
    <w:p w:rsidR="00DA608D" w:rsidRDefault="00DA608D" w:rsidP="00DA608D">
      <w:r>
        <w:t>I like the account J. Gerald Janzen once gave of how he goes about interpretation, formulated in connection with Hosea:</w:t>
      </w:r>
    </w:p>
    <w:p w:rsidR="00DA608D" w:rsidRPr="002C14C2" w:rsidRDefault="00DA608D" w:rsidP="00DA608D"/>
    <w:p w:rsidR="00DA608D" w:rsidRPr="002C14C2" w:rsidRDefault="00DA608D" w:rsidP="00DA608D">
      <w:pPr>
        <w:ind w:left="1080" w:firstLine="0"/>
        <w:rPr>
          <w:rFonts w:ascii="Calibri" w:hAnsi="Calibri"/>
          <w:iCs/>
          <w:color w:val="000000" w:themeColor="text1"/>
          <w:lang w:val="en-GB" w:bidi="he-IL"/>
        </w:rPr>
      </w:pPr>
      <w:r w:rsidRPr="008417E6">
        <w:rPr>
          <w:rFonts w:ascii="Calibri" w:hAnsi="Calibri"/>
          <w:iCs/>
          <w:color w:val="000000" w:themeColor="text1"/>
          <w:lang w:val="en-GB" w:bidi="he-IL"/>
        </w:rPr>
        <w:t>I characteristically try to approach a text with no specific posture or strategy, but with a sor</w:t>
      </w:r>
      <w:r>
        <w:rPr>
          <w:rFonts w:ascii="Calibri" w:hAnsi="Calibri"/>
          <w:iCs/>
          <w:color w:val="000000" w:themeColor="text1"/>
          <w:lang w:val="en-GB" w:bidi="he-IL"/>
        </w:rPr>
        <w:t>t of general alert emptiness…</w:t>
      </w:r>
      <w:r w:rsidRPr="008417E6">
        <w:rPr>
          <w:rFonts w:ascii="Calibri" w:hAnsi="Calibri"/>
          <w:iCs/>
          <w:color w:val="000000" w:themeColor="text1"/>
          <w:lang w:val="en-GB" w:bidi="he-IL"/>
        </w:rPr>
        <w:t xml:space="preserve"> in which the sum total of what I know about things sleeps in readiness within me. The general intention is to allow the text to set the agenda </w:t>
      </w:r>
      <w:r>
        <w:rPr>
          <w:rFonts w:ascii="Calibri" w:hAnsi="Calibri"/>
          <w:iCs/>
          <w:color w:val="000000" w:themeColor="text1"/>
          <w:lang w:val="en-GB" w:bidi="he-IL"/>
        </w:rPr>
        <w:t xml:space="preserve">by raising </w:t>
      </w:r>
      <w:r w:rsidRPr="008417E6">
        <w:rPr>
          <w:rFonts w:ascii="Calibri" w:hAnsi="Calibri"/>
          <w:iCs/>
          <w:color w:val="000000" w:themeColor="text1"/>
          <w:lang w:val="en-GB" w:bidi="he-IL"/>
        </w:rPr>
        <w:t xml:space="preserve">questions or posing issues or opening perspectives through the specific elements of the text which claim my special interest. When such interest has been awakened, I pursue it in whatever fashion, or with whatever combination of resources of understanding, seems to </w:t>
      </w:r>
      <w:r w:rsidRPr="008417E6">
        <w:rPr>
          <w:rFonts w:ascii="Calibri" w:hAnsi="Calibri"/>
          <w:iCs/>
          <w:color w:val="000000" w:themeColor="text1"/>
          <w:lang w:val="en-GB" w:bidi="he-IL"/>
        </w:rPr>
        <w:lastRenderedPageBreak/>
        <w:t xml:space="preserve">offer promise of illuminating the text. The control on such a pursuit </w:t>
      </w:r>
      <w:r>
        <w:rPr>
          <w:rFonts w:ascii="Calibri" w:hAnsi="Calibri"/>
          <w:iCs/>
          <w:color w:val="000000" w:themeColor="text1"/>
          <w:lang w:val="en-GB" w:bidi="he-IL"/>
        </w:rPr>
        <w:t>is, of course, the text itself.</w:t>
      </w:r>
      <w:r>
        <w:rPr>
          <w:rStyle w:val="FootnoteReference"/>
          <w:rFonts w:ascii="Calibri" w:hAnsi="Calibri"/>
          <w:iCs/>
          <w:color w:val="000000" w:themeColor="text1"/>
          <w:lang w:val="en-GB" w:bidi="he-IL"/>
        </w:rPr>
        <w:footnoteReference w:id="27"/>
      </w:r>
    </w:p>
    <w:p w:rsidR="00DA608D" w:rsidRPr="008417E6" w:rsidRDefault="00DA608D" w:rsidP="00DA608D"/>
    <w:p w:rsidR="00DA608D" w:rsidRPr="008417E6" w:rsidRDefault="00DA608D" w:rsidP="00DA608D">
      <w:r w:rsidRPr="008417E6">
        <w:t>Our resources for understandin</w:t>
      </w:r>
      <w:r>
        <w:t>g how Jews interpreted the Prophets</w:t>
      </w:r>
      <w:r w:rsidRPr="008417E6">
        <w:t xml:space="preserve"> begin with references in the Qumran documents and in the New Testament, and then with the interpretive translation in the Targum of the Prophets, which comes from sometime after the fall of Jerusalem—though its origins “remain shrouded in heavy mist.”</w:t>
      </w:r>
      <w:r w:rsidRPr="008417E6">
        <w:rPr>
          <w:vertAlign w:val="superscript"/>
        </w:rPr>
        <w:footnoteReference w:id="28"/>
      </w:r>
    </w:p>
    <w:p w:rsidR="00DA608D" w:rsidRDefault="00DA608D" w:rsidP="00DA608D">
      <w:r w:rsidRPr="008417E6">
        <w:t>The period during which the</w:t>
      </w:r>
      <w:r>
        <w:t xml:space="preserve"> Septuagint codices were copied</w:t>
      </w:r>
      <w:r w:rsidRPr="008417E6">
        <w:t xml:space="preserve"> was also the era of the first surviving Christian commentaries, and I have used the commentaries </w:t>
      </w:r>
      <w:r>
        <w:t>on the Twelve Prophets by</w:t>
      </w:r>
      <w:r w:rsidRPr="008417E6">
        <w:t xml:space="preserve"> Jerome</w:t>
      </w:r>
      <w:r>
        <w:t xml:space="preserve"> the great translator</w:t>
      </w:r>
      <w:r w:rsidRPr="008417E6">
        <w:t>,</w:t>
      </w:r>
      <w:r>
        <w:rPr>
          <w:rStyle w:val="FootnoteReference"/>
        </w:rPr>
        <w:footnoteReference w:id="29"/>
      </w:r>
      <w:r>
        <w:t xml:space="preserve"> Theodore of Mopsuestia, </w:t>
      </w:r>
      <w:r w:rsidRPr="008417E6">
        <w:t xml:space="preserve">Theodoret of Cyrus, </w:t>
      </w:r>
      <w:r>
        <w:t xml:space="preserve">and Cyril of Alexandria, </w:t>
      </w:r>
      <w:r w:rsidRPr="008417E6">
        <w:t xml:space="preserve">who were all born in the fourth century and died in the fifth, as well as </w:t>
      </w:r>
      <w:r>
        <w:t xml:space="preserve">occasionally </w:t>
      </w:r>
      <w:r w:rsidRPr="008417E6">
        <w:t xml:space="preserve">noting references to the six prophets in other church fathers. Their writings are also significant for their quotations from the other Greek translations of the First Testament dating from the second century, Aquila, Theodotion, and Symmachus, which (like the Septuagint) are interesting for the way they interpret passages as well as for text-critical purposes. </w:t>
      </w:r>
    </w:p>
    <w:p w:rsidR="00DA608D" w:rsidRDefault="00DA608D" w:rsidP="00DA608D">
      <w:r w:rsidRPr="008417E6">
        <w:t>The period during which the Masoretic codices were copied is also the era from which come the commentaries by Jewish scholars such as Rashi (R. Shlomo Yitzhaki), Abraham Ibn Ezra, and David Qimchi (Radak)</w:t>
      </w:r>
      <w:r>
        <w:t xml:space="preserve">, which were immortalized through being included in </w:t>
      </w:r>
      <w:r>
        <w:rPr>
          <w:i/>
        </w:rPr>
        <w:t>M</w:t>
      </w:r>
      <w:r w:rsidRPr="001E2C3D">
        <w:rPr>
          <w:i/>
        </w:rPr>
        <w:t>iqrā’ôt gədôlôt</w:t>
      </w:r>
      <w:r>
        <w:t>, the “Rabbinic Bible”—the Hebrew Bible plus the Targum and such classic commentaries</w:t>
      </w:r>
      <w:r>
        <w:rPr>
          <w:i/>
        </w:rPr>
        <w:t xml:space="preserve"> </w:t>
      </w:r>
      <w:r w:rsidRPr="008417E6">
        <w:t xml:space="preserve">. </w:t>
      </w:r>
    </w:p>
    <w:p w:rsidR="00DA608D" w:rsidRPr="008417E6" w:rsidRDefault="00DA608D" w:rsidP="00DA608D">
      <w:r w:rsidRPr="008417E6">
        <w:t>The sixteenth-century Reformation was a next creative era of</w:t>
      </w:r>
      <w:r>
        <w:t xml:space="preserve"> commentary-making, and I have consulted </w:t>
      </w:r>
      <w:r w:rsidRPr="008417E6">
        <w:t>the work</w:t>
      </w:r>
      <w:r>
        <w:t>s</w:t>
      </w:r>
      <w:r w:rsidRPr="008417E6">
        <w:t xml:space="preserve"> of Martin Luther and John Calvin on</w:t>
      </w:r>
      <w:r>
        <w:t xml:space="preserve"> the six prophets as well as some of the Puritans. I also </w:t>
      </w:r>
      <w:r w:rsidRPr="008417E6">
        <w:t>refer to the work o</w:t>
      </w:r>
      <w:r>
        <w:t>f some modern commentators, to s</w:t>
      </w:r>
      <w:r w:rsidRPr="008417E6">
        <w:t>ome modern translations (</w:t>
      </w:r>
      <w:r>
        <w:t xml:space="preserve">especially </w:t>
      </w:r>
      <w:r w:rsidRPr="008417E6">
        <w:t xml:space="preserve">NRSV, JPSV, </w:t>
      </w:r>
      <w:r>
        <w:t>T</w:t>
      </w:r>
      <w:r w:rsidRPr="008417E6">
        <w:t>NIV), and to the treatment of the six prophets in Karl Barth.</w:t>
      </w:r>
    </w:p>
    <w:p w:rsidR="00DA608D" w:rsidRPr="00EC626B" w:rsidRDefault="00DA608D" w:rsidP="00DA608D">
      <w:r w:rsidRPr="008417E6">
        <w:rPr>
          <w:rFonts w:cs="Times New Roman"/>
          <w:szCs w:val="20"/>
          <w:lang w:val="en-GB" w:bidi="he-IL"/>
        </w:rPr>
        <w:t xml:space="preserve">Books commonly refer to the difference between the chapter divisions in the Hebrew Bible and in English Bibles, by which they mean the chapter divisions in printed Hebrew Bibles which are a variant on the system in printed English Bibles and do not go back to the Masoretes. The Masoretes </w:t>
      </w:r>
      <w:r>
        <w:rPr>
          <w:rFonts w:cs="Times New Roman"/>
          <w:szCs w:val="20"/>
          <w:lang w:val="en-GB" w:bidi="he-IL"/>
        </w:rPr>
        <w:t xml:space="preserve">themselves </w:t>
      </w:r>
      <w:r w:rsidRPr="008417E6">
        <w:rPr>
          <w:rFonts w:cs="Times New Roman"/>
          <w:szCs w:val="20"/>
          <w:lang w:val="en-GB" w:bidi="he-IL"/>
        </w:rPr>
        <w:t xml:space="preserve">divide the text by adding P or S at the end of what </w:t>
      </w:r>
      <w:r>
        <w:rPr>
          <w:rFonts w:cs="Times New Roman"/>
          <w:szCs w:val="20"/>
          <w:lang w:val="en-GB" w:bidi="he-IL"/>
        </w:rPr>
        <w:t>we might call sections and subsection</w:t>
      </w:r>
      <w:r w:rsidRPr="008417E6">
        <w:rPr>
          <w:rFonts w:cs="Times New Roman"/>
          <w:szCs w:val="20"/>
          <w:lang w:val="en-GB" w:bidi="he-IL"/>
        </w:rPr>
        <w:t>s, and I have paid attention to these markers in</w:t>
      </w:r>
      <w:r>
        <w:rPr>
          <w:rFonts w:cs="Times New Roman"/>
          <w:szCs w:val="20"/>
          <w:lang w:val="en-GB" w:bidi="he-IL"/>
        </w:rPr>
        <w:t xml:space="preserve"> seeking to discern </w:t>
      </w:r>
      <w:r w:rsidRPr="008417E6">
        <w:rPr>
          <w:rFonts w:cs="Times New Roman"/>
          <w:szCs w:val="20"/>
          <w:lang w:val="en-GB" w:bidi="he-IL"/>
        </w:rPr>
        <w:t xml:space="preserve">divisions in the text. The </w:t>
      </w:r>
      <w:r>
        <w:rPr>
          <w:rFonts w:cs="Times New Roman"/>
          <w:szCs w:val="20"/>
          <w:lang w:val="en-GB" w:bidi="he-IL"/>
        </w:rPr>
        <w:t xml:space="preserve">Masoretic </w:t>
      </w:r>
      <w:r w:rsidRPr="008417E6">
        <w:rPr>
          <w:rFonts w:cs="Times New Roman"/>
          <w:szCs w:val="20"/>
          <w:lang w:val="en-GB" w:bidi="he-IL"/>
        </w:rPr>
        <w:t xml:space="preserve">divisions are much older than the Masoretes’ </w:t>
      </w:r>
      <w:r>
        <w:rPr>
          <w:rFonts w:cs="Times New Roman"/>
          <w:szCs w:val="20"/>
          <w:lang w:val="en-GB" w:bidi="he-IL"/>
        </w:rPr>
        <w:t xml:space="preserve">own </w:t>
      </w:r>
      <w:r w:rsidRPr="008417E6">
        <w:rPr>
          <w:rFonts w:cs="Times New Roman"/>
          <w:szCs w:val="20"/>
          <w:lang w:val="en-GB" w:bidi="he-IL"/>
        </w:rPr>
        <w:t xml:space="preserve">work; equivalent markers appear in Qumran manuscripts in the form of a space left open at the end of a line followed by a new line (hence </w:t>
      </w:r>
      <w:r w:rsidRPr="008417E6">
        <w:rPr>
          <w:rFonts w:cs="Times New Roman"/>
          <w:szCs w:val="20"/>
          <w:lang w:bidi="he-IL"/>
        </w:rPr>
        <w:t xml:space="preserve">P stands for petuhah, “open”) and a space in the middle of a line followed by the continuing text (hence S stands for setumah, “closed”). </w:t>
      </w:r>
      <w:r w:rsidRPr="008417E6">
        <w:rPr>
          <w:rFonts w:eastAsiaTheme="majorEastAsia"/>
        </w:rPr>
        <w:br w:type="page"/>
      </w:r>
    </w:p>
    <w:p w:rsidR="00BB3DC1" w:rsidRDefault="00BB3DC1">
      <w:bookmarkStart w:id="0" w:name="_GoBack"/>
      <w:bookmarkEnd w:id="0"/>
    </w:p>
    <w:sectPr w:rsidR="00BB3DC1" w:rsidSect="005973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597" w:rsidRDefault="00E20597" w:rsidP="00DA608D">
      <w:r>
        <w:separator/>
      </w:r>
    </w:p>
  </w:endnote>
  <w:endnote w:type="continuationSeparator" w:id="0">
    <w:p w:rsidR="00E20597" w:rsidRDefault="00E20597" w:rsidP="00DA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597" w:rsidRDefault="00E20597" w:rsidP="00DA608D">
      <w:r>
        <w:separator/>
      </w:r>
    </w:p>
  </w:footnote>
  <w:footnote w:type="continuationSeparator" w:id="0">
    <w:p w:rsidR="00E20597" w:rsidRDefault="00E20597" w:rsidP="00DA608D">
      <w:r>
        <w:continuationSeparator/>
      </w:r>
    </w:p>
  </w:footnote>
  <w:footnote w:id="1">
    <w:p w:rsidR="00DA608D" w:rsidRDefault="00DA608D" w:rsidP="00DA608D">
      <w:pPr>
        <w:pStyle w:val="FootnoteText"/>
      </w:pPr>
      <w:r>
        <w:rPr>
          <w:rStyle w:val="FootnoteReference"/>
        </w:rPr>
        <w:footnoteRef/>
      </w:r>
      <w:r>
        <w:t xml:space="preserve"> Both the Prophets and modern writers often</w:t>
      </w:r>
      <w:r w:rsidRPr="00C620DB">
        <w:t xml:space="preserve"> refer to </w:t>
      </w:r>
      <w:r>
        <w:t>the northern kingdom</w:t>
      </w:r>
      <w:r w:rsidRPr="00C620DB">
        <w:t xml:space="preserve"> as </w:t>
      </w:r>
      <w:r>
        <w:t>“</w:t>
      </w:r>
      <w:r w:rsidRPr="00C620DB">
        <w:t>Israel,</w:t>
      </w:r>
      <w:r>
        <w:t>”</w:t>
      </w:r>
      <w:r w:rsidRPr="00C620DB">
        <w:t xml:space="preserve"> which is </w:t>
      </w:r>
      <w:r>
        <w:t xml:space="preserve">correct as it was its regular designation as a nation but </w:t>
      </w:r>
      <w:r w:rsidRPr="00C620DB">
        <w:t>confusing because that name also applies to the people of God as a whole</w:t>
      </w:r>
      <w:r>
        <w:t xml:space="preserve"> and is sometimes used this way in Hosea to Micah</w:t>
      </w:r>
      <w:r w:rsidRPr="00C620DB">
        <w:t xml:space="preserve">. </w:t>
      </w:r>
      <w:r>
        <w:t xml:space="preserve">But in this passage and elsewhere, Hosea also </w:t>
      </w:r>
      <w:r w:rsidRPr="00C620DB">
        <w:t>refer</w:t>
      </w:r>
      <w:r>
        <w:t>s</w:t>
      </w:r>
      <w:r w:rsidRPr="00C620DB">
        <w:t xml:space="preserve"> to the northern kingdom as “Ephraim</w:t>
      </w:r>
      <w:r>
        <w:t>,” which balances the name “Judah” for the southern kingdom; i</w:t>
      </w:r>
      <w:r w:rsidRPr="00A21EBC">
        <w:t>n both cases the name of a dominant clan out of the twe</w:t>
      </w:r>
      <w:r>
        <w:t>lve clans became</w:t>
      </w:r>
      <w:r w:rsidRPr="00A21EBC">
        <w:t xml:space="preserve"> the name for the nation</w:t>
      </w:r>
      <w:r>
        <w:t xml:space="preserve"> as a whole</w:t>
      </w:r>
      <w:r w:rsidRPr="00A21EBC">
        <w:t>. I</w:t>
      </w:r>
      <w:r>
        <w:t xml:space="preserve"> shall follow Hosea’s</w:t>
      </w:r>
      <w:r w:rsidRPr="00A21EBC">
        <w:t xml:space="preserve"> example</w:t>
      </w:r>
      <w:r>
        <w:t xml:space="preserve"> here</w:t>
      </w:r>
      <w:r w:rsidRPr="00A21EBC">
        <w:t>,</w:t>
      </w:r>
      <w:r>
        <w:t xml:space="preserve"> and </w:t>
      </w:r>
      <w:r w:rsidRPr="00C620DB">
        <w:t xml:space="preserve">keep the name </w:t>
      </w:r>
      <w:r>
        <w:t>“</w:t>
      </w:r>
      <w:r w:rsidRPr="00C620DB">
        <w:t>Israel</w:t>
      </w:r>
      <w:r>
        <w:t>”</w:t>
      </w:r>
      <w:r w:rsidRPr="00C620DB">
        <w:t xml:space="preserve"> fo</w:t>
      </w:r>
      <w:r>
        <w:t>r the people of God as a whole.</w:t>
      </w:r>
    </w:p>
  </w:footnote>
  <w:footnote w:id="2">
    <w:p w:rsidR="00DA608D" w:rsidRPr="002A54F4" w:rsidRDefault="00DA608D" w:rsidP="00DA608D">
      <w:pPr>
        <w:pStyle w:val="FootnoteText"/>
      </w:pPr>
      <w:r>
        <w:rPr>
          <w:rStyle w:val="FootnoteReference"/>
        </w:rPr>
        <w:footnoteRef/>
      </w:r>
      <w:r>
        <w:t xml:space="preserve"> </w:t>
      </w:r>
      <w:proofErr w:type="gramStart"/>
      <w:r>
        <w:t xml:space="preserve">A comment about Amos by Carroll, </w:t>
      </w:r>
      <w:r>
        <w:rPr>
          <w:i/>
        </w:rPr>
        <w:t>Contexts for Amos</w:t>
      </w:r>
      <w:r>
        <w:t>, 287.</w:t>
      </w:r>
      <w:proofErr w:type="gramEnd"/>
    </w:p>
  </w:footnote>
  <w:footnote w:id="3">
    <w:p w:rsidR="00DA608D" w:rsidRPr="00EA0F1F" w:rsidRDefault="00DA608D" w:rsidP="00DA608D">
      <w:pPr>
        <w:pStyle w:val="FootnoteText"/>
      </w:pPr>
      <w:r>
        <w:rPr>
          <w:rStyle w:val="FootnoteReference"/>
        </w:rPr>
        <w:footnoteRef/>
      </w:r>
      <w:r>
        <w:t xml:space="preserve"> Cf. the discussion in David Clines, “Metacommentating Amos,” in </w:t>
      </w:r>
      <w:r>
        <w:rPr>
          <w:i/>
        </w:rPr>
        <w:t>Interested Parties</w:t>
      </w:r>
      <w:r>
        <w:t xml:space="preserve"> (Sheffield: Sheffield Academic Press, 1995), 76-93.</w:t>
      </w:r>
    </w:p>
  </w:footnote>
  <w:footnote w:id="4">
    <w:p w:rsidR="00DA608D" w:rsidRDefault="00DA608D" w:rsidP="00DA608D">
      <w:pPr>
        <w:pStyle w:val="FootnoteText"/>
      </w:pPr>
      <w:r>
        <w:rPr>
          <w:rStyle w:val="FootnoteReference"/>
        </w:rPr>
        <w:footnoteRef/>
      </w:r>
      <w:r>
        <w:t xml:space="preserve"> James D. Nogalski suggests many more links between Amos 9 and Obadiah (“Not Just </w:t>
      </w:r>
      <w:proofErr w:type="gramStart"/>
      <w:r>
        <w:t>Another</w:t>
      </w:r>
      <w:proofErr w:type="gramEnd"/>
      <w:r>
        <w:t xml:space="preserve"> Nation,” in </w:t>
      </w:r>
      <w:r w:rsidRPr="00102C5D">
        <w:t xml:space="preserve">Albertz and others (eds.), </w:t>
      </w:r>
      <w:r w:rsidRPr="00102C5D">
        <w:rPr>
          <w:i/>
        </w:rPr>
        <w:t>Perspectives on the Formation of the Book of the Twelve</w:t>
      </w:r>
      <w:r w:rsidRPr="00102C5D">
        <w:t>,</w:t>
      </w:r>
      <w:r>
        <w:t xml:space="preserve"> 89-107.</w:t>
      </w:r>
    </w:p>
  </w:footnote>
  <w:footnote w:id="5">
    <w:p w:rsidR="00DA608D" w:rsidRPr="00934EC5" w:rsidRDefault="00DA608D" w:rsidP="00DA608D">
      <w:pPr>
        <w:pStyle w:val="FootnoteText"/>
      </w:pPr>
      <w:r>
        <w:rPr>
          <w:rStyle w:val="FootnoteReference"/>
        </w:rPr>
        <w:footnoteRef/>
      </w:r>
      <w:r>
        <w:t xml:space="preserve"> See further e.g., Marvin A. Sweeney, “Sequence and Interpretation in the Book of the Twelve,” in Nogalski/Sweeney</w:t>
      </w:r>
      <w:r w:rsidRPr="003517E3">
        <w:t xml:space="preserve"> </w:t>
      </w:r>
      <w:r>
        <w:t>(</w:t>
      </w:r>
      <w:r w:rsidRPr="003517E3">
        <w:t>eds.</w:t>
      </w:r>
      <w:r>
        <w:t>),</w:t>
      </w:r>
      <w:r w:rsidRPr="003517E3">
        <w:t xml:space="preserve"> </w:t>
      </w:r>
      <w:r w:rsidRPr="003517E3">
        <w:rPr>
          <w:i/>
          <w:iCs/>
        </w:rPr>
        <w:t>Reading and Hearing the Book of the Twelve</w:t>
      </w:r>
      <w:r>
        <w:rPr>
          <w:iCs/>
        </w:rPr>
        <w:t xml:space="preserve">, 49-64; </w:t>
      </w:r>
      <w:r>
        <w:t>“Synchronic and Diachronic Concerns in Reading the Book of the Twelve Prophets,” in Albertz and others (eds.),</w:t>
      </w:r>
      <w:r w:rsidRPr="00934EC5">
        <w:t xml:space="preserve"> </w:t>
      </w:r>
      <w:r w:rsidRPr="00934EC5">
        <w:rPr>
          <w:i/>
        </w:rPr>
        <w:t>Perspectives on the Formation of the Book of the Twelve</w:t>
      </w:r>
      <w:r>
        <w:t>, 21-34 (25-30).</w:t>
      </w:r>
    </w:p>
  </w:footnote>
  <w:footnote w:id="6">
    <w:p w:rsidR="00DA608D" w:rsidRPr="00353A3C" w:rsidRDefault="00DA608D" w:rsidP="00DA608D">
      <w:pPr>
        <w:pStyle w:val="FootnoteText"/>
        <w:rPr>
          <w:bCs/>
        </w:rPr>
      </w:pPr>
      <w:r>
        <w:rPr>
          <w:rStyle w:val="FootnoteReference"/>
        </w:rPr>
        <w:footnoteRef/>
      </w:r>
      <w:r>
        <w:t xml:space="preserve"> For </w:t>
      </w:r>
      <w:r w:rsidRPr="00353A3C">
        <w:t xml:space="preserve">discussion of this possibility, see e.g., </w:t>
      </w:r>
      <w:r w:rsidRPr="00353A3C">
        <w:rPr>
          <w:bCs/>
        </w:rPr>
        <w:t>Philippe Guillaume, “The Unlikely Malachi-Jonah Sequence (4QXII</w:t>
      </w:r>
      <w:r w:rsidRPr="00353A3C">
        <w:rPr>
          <w:vertAlign w:val="superscript"/>
        </w:rPr>
        <w:t>a</w:t>
      </w:r>
      <w:r w:rsidRPr="00353A3C">
        <w:t xml:space="preserve">),” </w:t>
      </w:r>
      <w:r w:rsidRPr="00353A3C">
        <w:rPr>
          <w:i/>
        </w:rPr>
        <w:t>JHS</w:t>
      </w:r>
      <w:r w:rsidRPr="00353A3C">
        <w:t xml:space="preserve"> 7/15 (2007).</w:t>
      </w:r>
    </w:p>
    <w:p w:rsidR="00DA608D" w:rsidRDefault="00DA608D" w:rsidP="00DA608D">
      <w:pPr>
        <w:pStyle w:val="FootnoteText"/>
      </w:pPr>
    </w:p>
  </w:footnote>
  <w:footnote w:id="7">
    <w:p w:rsidR="00DA608D" w:rsidRPr="006E3A57" w:rsidRDefault="00DA608D" w:rsidP="00DA608D">
      <w:pPr>
        <w:pStyle w:val="FootnoteText"/>
      </w:pPr>
      <w:r>
        <w:rPr>
          <w:rStyle w:val="FootnoteReference"/>
        </w:rPr>
        <w:footnoteRef/>
      </w:r>
      <w:r>
        <w:t xml:space="preserve"> See e.g., </w:t>
      </w:r>
      <w:r w:rsidRPr="006E3A57">
        <w:t xml:space="preserve">Finkelstein, </w:t>
      </w:r>
      <w:r w:rsidRPr="006E3A57">
        <w:rPr>
          <w:i/>
        </w:rPr>
        <w:t>Forgotten Kingdom</w:t>
      </w:r>
      <w:r>
        <w:t>, 129-39.</w:t>
      </w:r>
    </w:p>
  </w:footnote>
  <w:footnote w:id="8">
    <w:p w:rsidR="00DA608D" w:rsidRPr="0027168C" w:rsidRDefault="00DA608D" w:rsidP="00DA608D">
      <w:pPr>
        <w:pStyle w:val="FootnoteText"/>
      </w:pPr>
      <w:r>
        <w:rPr>
          <w:rStyle w:val="FootnoteReference"/>
        </w:rPr>
        <w:footnoteRef/>
      </w:r>
      <w:r>
        <w:t xml:space="preserve"> </w:t>
      </w:r>
      <w:proofErr w:type="gramStart"/>
      <w:r>
        <w:rPr>
          <w:i/>
        </w:rPr>
        <w:t>ANET</w:t>
      </w:r>
      <w:r>
        <w:t>, 281.</w:t>
      </w:r>
      <w:proofErr w:type="gramEnd"/>
    </w:p>
  </w:footnote>
  <w:footnote w:id="9">
    <w:p w:rsidR="00DA608D" w:rsidRPr="006E3A57" w:rsidRDefault="00DA608D" w:rsidP="00DA608D">
      <w:pPr>
        <w:pStyle w:val="FootnoteText"/>
      </w:pPr>
      <w:r>
        <w:rPr>
          <w:rStyle w:val="FootnoteReference"/>
        </w:rPr>
        <w:footnoteRef/>
      </w:r>
      <w:r>
        <w:t xml:space="preserve"> See e.g., </w:t>
      </w:r>
      <w:r w:rsidRPr="006E3A57">
        <w:t xml:space="preserve">Finkelstein, </w:t>
      </w:r>
      <w:r w:rsidRPr="006E3A57">
        <w:rPr>
          <w:i/>
        </w:rPr>
        <w:t>Forgotten Kingdom</w:t>
      </w:r>
      <w:r>
        <w:t>, 154-55.</w:t>
      </w:r>
    </w:p>
  </w:footnote>
  <w:footnote w:id="10">
    <w:p w:rsidR="00DA608D" w:rsidRPr="003E68BD" w:rsidRDefault="00DA608D" w:rsidP="00DA608D">
      <w:pPr>
        <w:pStyle w:val="FootnoteText"/>
      </w:pPr>
      <w:r>
        <w:rPr>
          <w:rStyle w:val="FootnoteReference"/>
        </w:rPr>
        <w:footnoteRef/>
      </w:r>
      <w:r>
        <w:t xml:space="preserve"> </w:t>
      </w:r>
      <w:proofErr w:type="gramStart"/>
      <w:r>
        <w:t xml:space="preserve">Andersen/Freedman, </w:t>
      </w:r>
      <w:r>
        <w:rPr>
          <w:i/>
        </w:rPr>
        <w:t>Micah</w:t>
      </w:r>
      <w:r>
        <w:t>, 564.</w:t>
      </w:r>
      <w:proofErr w:type="gramEnd"/>
    </w:p>
  </w:footnote>
  <w:footnote w:id="11">
    <w:p w:rsidR="00DA608D" w:rsidRDefault="00DA608D" w:rsidP="00DA608D">
      <w:pPr>
        <w:pStyle w:val="FootnoteText"/>
      </w:pPr>
      <w:r>
        <w:rPr>
          <w:rStyle w:val="FootnoteReference"/>
        </w:rPr>
        <w:footnoteRef/>
      </w:r>
      <w:r>
        <w:t xml:space="preserve"> C</w:t>
      </w:r>
      <w:r w:rsidRPr="00A564B7">
        <w:t xml:space="preserve">f. Barbara Leung Lai, </w:t>
      </w:r>
      <w:r w:rsidRPr="00A564B7">
        <w:rPr>
          <w:i/>
        </w:rPr>
        <w:t>Through the “I”-Window</w:t>
      </w:r>
      <w:r>
        <w:t xml:space="preserve"> (</w:t>
      </w:r>
      <w:r w:rsidRPr="00A564B7">
        <w:t>Sheffield: Sheffield Phoenix, 2011)</w:t>
      </w:r>
      <w:r>
        <w:t>.</w:t>
      </w:r>
    </w:p>
  </w:footnote>
  <w:footnote w:id="12">
    <w:p w:rsidR="00DA608D" w:rsidRDefault="00DA608D" w:rsidP="00DA608D">
      <w:pPr>
        <w:pStyle w:val="FootnoteText"/>
      </w:pPr>
      <w:r>
        <w:rPr>
          <w:rStyle w:val="FootnoteReference"/>
        </w:rPr>
        <w:footnoteRef/>
      </w:r>
      <w:r>
        <w:t xml:space="preserve"> </w:t>
      </w:r>
      <w:proofErr w:type="gramStart"/>
      <w:r w:rsidRPr="00A51E44">
        <w:t xml:space="preserve">Landy, </w:t>
      </w:r>
      <w:r w:rsidRPr="00A51E44">
        <w:rPr>
          <w:i/>
        </w:rPr>
        <w:t>Beauty and the Enigma</w:t>
      </w:r>
      <w:r>
        <w:t>, 281.</w:t>
      </w:r>
      <w:proofErr w:type="gramEnd"/>
    </w:p>
  </w:footnote>
  <w:footnote w:id="13">
    <w:p w:rsidR="00DA608D" w:rsidRPr="006E3A57" w:rsidRDefault="00DA608D" w:rsidP="00DA608D">
      <w:pPr>
        <w:pStyle w:val="FootnoteText"/>
      </w:pPr>
      <w:r>
        <w:rPr>
          <w:rStyle w:val="FootnoteReference"/>
        </w:rPr>
        <w:footnoteRef/>
      </w:r>
      <w:r>
        <w:t xml:space="preserve"> See e.g., Finkelstein,</w:t>
      </w:r>
      <w:r w:rsidRPr="006E3A57">
        <w:t xml:space="preserve"> </w:t>
      </w:r>
      <w:r w:rsidRPr="006E3A57">
        <w:rPr>
          <w:i/>
        </w:rPr>
        <w:t>Forgotten Kingdom</w:t>
      </w:r>
      <w:r>
        <w:t>, 162-63.</w:t>
      </w:r>
    </w:p>
  </w:footnote>
  <w:footnote w:id="14">
    <w:p w:rsidR="00DA608D" w:rsidRPr="00DF2B3B" w:rsidRDefault="00DA608D" w:rsidP="00DA608D">
      <w:pPr>
        <w:pStyle w:val="FootnoteText"/>
      </w:pPr>
      <w:r>
        <w:rPr>
          <w:rStyle w:val="FootnoteReference"/>
        </w:rPr>
        <w:footnoteRef/>
      </w:r>
      <w:r>
        <w:t xml:space="preserve"> Cf. Wolff, </w:t>
      </w:r>
      <w:r>
        <w:rPr>
          <w:i/>
        </w:rPr>
        <w:t>Micah</w:t>
      </w:r>
      <w:r>
        <w:t>, 95.</w:t>
      </w:r>
    </w:p>
  </w:footnote>
  <w:footnote w:id="15">
    <w:p w:rsidR="00DA608D" w:rsidRPr="0024548D" w:rsidRDefault="00DA608D" w:rsidP="00DA608D">
      <w:pPr>
        <w:pStyle w:val="FootnoteText"/>
      </w:pPr>
      <w:r>
        <w:rPr>
          <w:rStyle w:val="FootnoteReference"/>
        </w:rPr>
        <w:footnoteRef/>
      </w:r>
      <w:r>
        <w:t xml:space="preserve"> Bob Becking, “Micah in Neo-Assyrian Light,” in </w:t>
      </w:r>
      <w:r w:rsidRPr="0024548D">
        <w:t>Gordon/Barstad</w:t>
      </w:r>
      <w:r>
        <w:t xml:space="preserve"> (eds.),</w:t>
      </w:r>
      <w:r w:rsidRPr="0024548D">
        <w:rPr>
          <w:i/>
        </w:rPr>
        <w:t xml:space="preserve"> </w:t>
      </w:r>
      <w:r>
        <w:rPr>
          <w:i/>
        </w:rPr>
        <w:t>“Thus Speaks Ishtar of Arbela,</w:t>
      </w:r>
      <w:proofErr w:type="gramStart"/>
      <w:r>
        <w:rPr>
          <w:i/>
        </w:rPr>
        <w:t xml:space="preserve">” </w:t>
      </w:r>
      <w:r>
        <w:t xml:space="preserve"> 111</w:t>
      </w:r>
      <w:proofErr w:type="gramEnd"/>
      <w:r>
        <w:t>-28 (111).</w:t>
      </w:r>
    </w:p>
  </w:footnote>
  <w:footnote w:id="16">
    <w:p w:rsidR="00DA608D" w:rsidRPr="00762917" w:rsidRDefault="00DA608D" w:rsidP="00DA608D">
      <w:pPr>
        <w:pStyle w:val="FootnoteText"/>
      </w:pPr>
      <w:r>
        <w:rPr>
          <w:rStyle w:val="FootnoteReference"/>
        </w:rPr>
        <w:footnoteRef/>
      </w:r>
      <w:r>
        <w:t xml:space="preserve"> See e.g., Soggin’s comment on Amos 3:1b (</w:t>
      </w:r>
      <w:r>
        <w:rPr>
          <w:i/>
        </w:rPr>
        <w:t>Amos</w:t>
      </w:r>
      <w:r>
        <w:t>, 55) and Andersen/Freedman’s comment on Micah 2:12-13 (</w:t>
      </w:r>
      <w:r>
        <w:rPr>
          <w:i/>
        </w:rPr>
        <w:t>Micah</w:t>
      </w:r>
      <w:r>
        <w:t>, 332).</w:t>
      </w:r>
    </w:p>
  </w:footnote>
  <w:footnote w:id="17">
    <w:p w:rsidR="00DA608D" w:rsidRPr="00DD68F9" w:rsidRDefault="00DA608D" w:rsidP="00DA608D">
      <w:pPr>
        <w:pStyle w:val="FootnoteText"/>
      </w:pPr>
      <w:r>
        <w:rPr>
          <w:rStyle w:val="FootnoteReference"/>
        </w:rPr>
        <w:footnoteRef/>
      </w:r>
      <w:r>
        <w:t xml:space="preserve"> Ben Zvi, </w:t>
      </w:r>
      <w:r>
        <w:rPr>
          <w:i/>
        </w:rPr>
        <w:t>Micah</w:t>
      </w:r>
      <w:r>
        <w:t>, 17.</w:t>
      </w:r>
    </w:p>
  </w:footnote>
  <w:footnote w:id="18">
    <w:p w:rsidR="00DA608D" w:rsidRPr="003B1A52" w:rsidRDefault="00DA608D" w:rsidP="00DA608D">
      <w:pPr>
        <w:pStyle w:val="FootnoteText"/>
      </w:pPr>
      <w:r>
        <w:rPr>
          <w:rStyle w:val="FootnoteReference"/>
        </w:rPr>
        <w:footnoteRef/>
      </w:r>
      <w:r>
        <w:t xml:space="preserve"> </w:t>
      </w:r>
      <w:proofErr w:type="gramStart"/>
      <w:r>
        <w:t xml:space="preserve">Fretheim, </w:t>
      </w:r>
      <w:r w:rsidRPr="003B1A52">
        <w:rPr>
          <w:i/>
        </w:rPr>
        <w:t>Reading Hosea-Micah</w:t>
      </w:r>
      <w:r>
        <w:t>, 205.</w:t>
      </w:r>
      <w:proofErr w:type="gramEnd"/>
    </w:p>
  </w:footnote>
  <w:footnote w:id="19">
    <w:p w:rsidR="00DA608D" w:rsidRPr="00B24F74" w:rsidRDefault="00DA608D" w:rsidP="00DA608D">
      <w:pPr>
        <w:pStyle w:val="FootnoteText"/>
      </w:pPr>
      <w:r>
        <w:rPr>
          <w:rStyle w:val="FootnoteReference"/>
        </w:rPr>
        <w:footnoteRef/>
      </w:r>
      <w:r>
        <w:t xml:space="preserve"> See e.g. the arguments of Ehud Ben Zvi, “Twelve Prophetic Books or ‘The Twelve,’” in J. W. Watts and P. R. House (eds.), </w:t>
      </w:r>
      <w:r>
        <w:rPr>
          <w:i/>
        </w:rPr>
        <w:t>Forming Prophetic Literature</w:t>
      </w:r>
      <w:r>
        <w:t xml:space="preserve"> (John D. W. Watts Festschrift; Sheffield: Sheffield Academic Press, 1996, )125-56, and Francis Landy, “Three Sides of a Coin,” </w:t>
      </w:r>
      <w:r>
        <w:rPr>
          <w:i/>
        </w:rPr>
        <w:t>JHS</w:t>
      </w:r>
      <w:r>
        <w:t xml:space="preserve"> 10/11 (2010).</w:t>
      </w:r>
    </w:p>
  </w:footnote>
  <w:footnote w:id="20">
    <w:p w:rsidR="00DA608D" w:rsidRPr="00CF77CD" w:rsidRDefault="00DA608D" w:rsidP="00DA608D">
      <w:pPr>
        <w:pStyle w:val="FootnoteText"/>
      </w:pPr>
      <w:r>
        <w:rPr>
          <w:rStyle w:val="FootnoteReference"/>
        </w:rPr>
        <w:footnoteRef/>
      </w:r>
      <w:r>
        <w:t xml:space="preserve"> See Ernst Würthwein, </w:t>
      </w:r>
      <w:r>
        <w:rPr>
          <w:i/>
        </w:rPr>
        <w:t>The Text of the Old Testament</w:t>
      </w:r>
      <w:r>
        <w:t xml:space="preserve"> (3</w:t>
      </w:r>
      <w:r w:rsidRPr="00CF77CD">
        <w:rPr>
          <w:vertAlign w:val="superscript"/>
        </w:rPr>
        <w:t>rd</w:t>
      </w:r>
      <w:r>
        <w:t xml:space="preserve"> ed., revised and expanded by A. A. Fischer; Grand Rapids/Cambridge, UK: Eerdmans, 2014).</w:t>
      </w:r>
    </w:p>
  </w:footnote>
  <w:footnote w:id="21">
    <w:p w:rsidR="00DA608D" w:rsidRDefault="00DA608D" w:rsidP="00DA608D">
      <w:pPr>
        <w:pStyle w:val="FootnoteText"/>
      </w:pPr>
      <w:r>
        <w:rPr>
          <w:rStyle w:val="FootnoteReference"/>
        </w:rPr>
        <w:footnoteRef/>
      </w:r>
      <w:r>
        <w:t xml:space="preserve"> See Fuller, “The Twelve.”</w:t>
      </w:r>
    </w:p>
  </w:footnote>
  <w:footnote w:id="22">
    <w:p w:rsidR="00DA608D" w:rsidRDefault="00DA608D" w:rsidP="00DA608D">
      <w:pPr>
        <w:pStyle w:val="FootnoteText"/>
      </w:pPr>
      <w:r>
        <w:rPr>
          <w:rStyle w:val="FootnoteReference"/>
        </w:rPr>
        <w:footnoteRef/>
      </w:r>
      <w:r>
        <w:t xml:space="preserve"> See J. T. Milik, “Rouleau des Douze Prophètes,” in </w:t>
      </w:r>
      <w:r w:rsidRPr="00CA6C6B">
        <w:t xml:space="preserve">Benoit and others, </w:t>
      </w:r>
      <w:r w:rsidRPr="00CA6C6B">
        <w:rPr>
          <w:i/>
        </w:rPr>
        <w:t>Les G</w:t>
      </w:r>
      <w:r>
        <w:rPr>
          <w:i/>
        </w:rPr>
        <w:t>rottes de Murabba</w:t>
      </w:r>
      <w:r w:rsidRPr="00CA6C6B">
        <w:rPr>
          <w:i/>
        </w:rPr>
        <w:t>‘ât</w:t>
      </w:r>
      <w:r w:rsidRPr="00CA6C6B">
        <w:t>, 181-205</w:t>
      </w:r>
      <w:r>
        <w:t>; Russell, “The Twelve.”</w:t>
      </w:r>
    </w:p>
  </w:footnote>
  <w:footnote w:id="23">
    <w:p w:rsidR="00DA608D" w:rsidRDefault="00DA608D" w:rsidP="00DA608D">
      <w:pPr>
        <w:pStyle w:val="FootnoteText"/>
      </w:pPr>
      <w:r>
        <w:rPr>
          <w:rStyle w:val="FootnoteReference"/>
        </w:rPr>
        <w:footnoteRef/>
      </w:r>
      <w:r>
        <w:t xml:space="preserve"> See Tov and others, </w:t>
      </w:r>
      <w:r w:rsidRPr="00A061F1">
        <w:rPr>
          <w:rStyle w:val="a-size-extra-large"/>
          <w:i/>
        </w:rPr>
        <w:t>The Greek Minor Prophets Scroll from Nahal Hever (8HevXIIgr)</w:t>
      </w:r>
      <w:r>
        <w:rPr>
          <w:rStyle w:val="a-size-extra-large"/>
        </w:rPr>
        <w:t>.</w:t>
      </w:r>
    </w:p>
  </w:footnote>
  <w:footnote w:id="24">
    <w:p w:rsidR="00DA608D" w:rsidRPr="00D8122E" w:rsidRDefault="00DA608D" w:rsidP="00DA608D">
      <w:pPr>
        <w:pStyle w:val="FootnoteText"/>
      </w:pPr>
      <w:r>
        <w:rPr>
          <w:rStyle w:val="FootnoteReference"/>
        </w:rPr>
        <w:footnoteRef/>
      </w:r>
      <w:r>
        <w:t xml:space="preserve"> </w:t>
      </w:r>
      <w:proofErr w:type="gramStart"/>
      <w:r w:rsidRPr="00D8122E">
        <w:rPr>
          <w:i/>
        </w:rPr>
        <w:t>In Osee prophetam</w:t>
      </w:r>
      <w:r>
        <w:t xml:space="preserve">, PL 25, column 815a (cf. Jeremias, </w:t>
      </w:r>
      <w:r>
        <w:rPr>
          <w:i/>
        </w:rPr>
        <w:t>Hosea</w:t>
      </w:r>
      <w:r>
        <w:t>, 15).</w:t>
      </w:r>
      <w:proofErr w:type="gramEnd"/>
    </w:p>
  </w:footnote>
  <w:footnote w:id="25">
    <w:p w:rsidR="00DA608D" w:rsidRPr="00273609" w:rsidRDefault="00DA608D" w:rsidP="00DA608D">
      <w:pPr>
        <w:pStyle w:val="FootnoteText"/>
      </w:pPr>
      <w:r>
        <w:rPr>
          <w:rStyle w:val="FootnoteReference"/>
        </w:rPr>
        <w:footnoteRef/>
      </w:r>
      <w:r>
        <w:t xml:space="preserve"> See e.g., </w:t>
      </w:r>
      <w:r w:rsidRPr="00273609">
        <w:t>Macintosh</w:t>
      </w:r>
      <w:r>
        <w:rPr>
          <w:i/>
        </w:rPr>
        <w:t>, Hosea</w:t>
      </w:r>
      <w:r>
        <w:t>, liii-lxi, 585-93.</w:t>
      </w:r>
    </w:p>
  </w:footnote>
  <w:footnote w:id="26">
    <w:p w:rsidR="00DA608D" w:rsidRPr="00E16A17" w:rsidRDefault="00DA608D" w:rsidP="00DA608D">
      <w:pPr>
        <w:pStyle w:val="FootnoteText"/>
      </w:pPr>
      <w:r>
        <w:rPr>
          <w:rStyle w:val="FootnoteReference"/>
        </w:rPr>
        <w:footnoteRef/>
      </w:r>
      <w:r>
        <w:t xml:space="preserve"> Cf. T</w:t>
      </w:r>
      <w:r>
        <w:rPr>
          <w:bCs/>
        </w:rPr>
        <w:t>homas E. McC</w:t>
      </w:r>
      <w:r w:rsidRPr="00E16A17">
        <w:rPr>
          <w:bCs/>
        </w:rPr>
        <w:t>omiskey</w:t>
      </w:r>
      <w:r>
        <w:rPr>
          <w:bCs/>
        </w:rPr>
        <w:t>, “H</w:t>
      </w:r>
      <w:r>
        <w:t>os 9:13 and the Integrity of the Masoretic Tradition in the Prophecy of H</w:t>
      </w:r>
      <w:r w:rsidRPr="00E16A17">
        <w:t>osea</w:t>
      </w:r>
      <w:r>
        <w:t xml:space="preserve">,” </w:t>
      </w:r>
      <w:r>
        <w:rPr>
          <w:i/>
        </w:rPr>
        <w:t>JETS</w:t>
      </w:r>
      <w:r>
        <w:t xml:space="preserve"> 33 (1990): 155-60 (155-56).</w:t>
      </w:r>
    </w:p>
  </w:footnote>
  <w:footnote w:id="27">
    <w:p w:rsidR="00DA608D" w:rsidRDefault="00DA608D" w:rsidP="00DA608D">
      <w:pPr>
        <w:pStyle w:val="FootnoteText"/>
      </w:pPr>
      <w:r>
        <w:rPr>
          <w:rStyle w:val="FootnoteReference"/>
        </w:rPr>
        <w:footnoteRef/>
      </w:r>
      <w:r>
        <w:t xml:space="preserve"> </w:t>
      </w:r>
      <w:r w:rsidRPr="002C14C2">
        <w:t xml:space="preserve">“Metaphor and Reality in Hosea 11,” </w:t>
      </w:r>
      <w:r w:rsidRPr="002C14C2">
        <w:rPr>
          <w:i/>
        </w:rPr>
        <w:t>Semeia</w:t>
      </w:r>
      <w:r w:rsidRPr="002C14C2">
        <w:t xml:space="preserve"> 24 (1982): 7-44 (7-8)</w:t>
      </w:r>
      <w:r>
        <w:t>.</w:t>
      </w:r>
    </w:p>
  </w:footnote>
  <w:footnote w:id="28">
    <w:p w:rsidR="00DA608D" w:rsidRPr="004045E3" w:rsidRDefault="00DA608D" w:rsidP="00DA608D">
      <w:pPr>
        <w:pStyle w:val="FootnoteText"/>
      </w:pPr>
      <w:r>
        <w:rPr>
          <w:rStyle w:val="FootnoteReference"/>
        </w:rPr>
        <w:footnoteRef/>
      </w:r>
      <w:r>
        <w:t xml:space="preserve"> </w:t>
      </w:r>
      <w:proofErr w:type="gramStart"/>
      <w:r w:rsidRPr="004045E3">
        <w:t xml:space="preserve">Cathcart/Gordon, </w:t>
      </w:r>
      <w:r w:rsidRPr="004045E3">
        <w:rPr>
          <w:i/>
        </w:rPr>
        <w:t>Targum of the Minor Prophets</w:t>
      </w:r>
      <w:r>
        <w:t>, 1.</w:t>
      </w:r>
      <w:proofErr w:type="gramEnd"/>
    </w:p>
  </w:footnote>
  <w:footnote w:id="29">
    <w:p w:rsidR="00DA608D" w:rsidRPr="00EE05E1" w:rsidRDefault="00DA608D" w:rsidP="00DA608D">
      <w:pPr>
        <w:pStyle w:val="FootnoteText"/>
        <w:rPr>
          <w:iCs/>
        </w:rPr>
      </w:pPr>
      <w:r>
        <w:rPr>
          <w:rStyle w:val="FootnoteReference"/>
        </w:rPr>
        <w:footnoteRef/>
      </w:r>
      <w:r>
        <w:t xml:space="preserve"> The first half of these have now been translated into English (</w:t>
      </w:r>
      <w:r w:rsidRPr="00EE05E1">
        <w:rPr>
          <w:i/>
          <w:iCs/>
        </w:rPr>
        <w:t>Commentary on the Twelve Prophets Volume 1</w:t>
      </w:r>
      <w:r w:rsidRPr="00EE05E1">
        <w:rPr>
          <w:iCs/>
        </w:rPr>
        <w:t xml:space="preserve"> </w:t>
      </w:r>
      <w:r>
        <w:rPr>
          <w:iCs/>
        </w:rPr>
        <w:t>[</w:t>
      </w:r>
      <w:r w:rsidRPr="00EE05E1">
        <w:rPr>
          <w:iCs/>
        </w:rPr>
        <w:t>Downers Grove</w:t>
      </w:r>
      <w:r>
        <w:rPr>
          <w:iCs/>
        </w:rPr>
        <w:t>, IL</w:t>
      </w:r>
      <w:r w:rsidRPr="00EE05E1">
        <w:rPr>
          <w:iCs/>
        </w:rPr>
        <w:t>: Inter-Varsity, 2016</w:t>
      </w:r>
      <w:r>
        <w:rPr>
          <w:iCs/>
        </w:rPr>
        <w:t>])</w:t>
      </w:r>
      <w:r w:rsidRPr="00EE05E1">
        <w:rPr>
          <w:iCs/>
        </w:rPr>
        <w:t>.</w:t>
      </w:r>
    </w:p>
    <w:p w:rsidR="00DA608D" w:rsidRDefault="00DA608D" w:rsidP="00DA608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86C"/>
    <w:multiLevelType w:val="hybridMultilevel"/>
    <w:tmpl w:val="5E323CC8"/>
    <w:lvl w:ilvl="0" w:tplc="1B3E8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4152F7"/>
    <w:multiLevelType w:val="hybridMultilevel"/>
    <w:tmpl w:val="479EF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5E32E6"/>
    <w:multiLevelType w:val="hybridMultilevel"/>
    <w:tmpl w:val="59767AFC"/>
    <w:lvl w:ilvl="0" w:tplc="0150A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722B38"/>
    <w:multiLevelType w:val="hybridMultilevel"/>
    <w:tmpl w:val="BCB4C794"/>
    <w:lvl w:ilvl="0" w:tplc="D3027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0272A6"/>
    <w:multiLevelType w:val="hybridMultilevel"/>
    <w:tmpl w:val="1606657C"/>
    <w:lvl w:ilvl="0" w:tplc="9D82286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nsid w:val="0B8E6AE1"/>
    <w:multiLevelType w:val="hybridMultilevel"/>
    <w:tmpl w:val="2AD20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9926EB"/>
    <w:multiLevelType w:val="hybridMultilevel"/>
    <w:tmpl w:val="1D885F44"/>
    <w:lvl w:ilvl="0" w:tplc="DE10A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A106B4"/>
    <w:multiLevelType w:val="hybridMultilevel"/>
    <w:tmpl w:val="8454ECFC"/>
    <w:lvl w:ilvl="0" w:tplc="AD529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9F7789"/>
    <w:multiLevelType w:val="hybridMultilevel"/>
    <w:tmpl w:val="BCE2D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2C0471"/>
    <w:multiLevelType w:val="hybridMultilevel"/>
    <w:tmpl w:val="2660B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542459C"/>
    <w:multiLevelType w:val="hybridMultilevel"/>
    <w:tmpl w:val="8D3CD6EA"/>
    <w:lvl w:ilvl="0" w:tplc="691E0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04006F"/>
    <w:multiLevelType w:val="hybridMultilevel"/>
    <w:tmpl w:val="C0D8B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9E23ADE"/>
    <w:multiLevelType w:val="hybridMultilevel"/>
    <w:tmpl w:val="10025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E7E76A1"/>
    <w:multiLevelType w:val="hybridMultilevel"/>
    <w:tmpl w:val="DC1A7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501026"/>
    <w:multiLevelType w:val="hybridMultilevel"/>
    <w:tmpl w:val="36C22108"/>
    <w:lvl w:ilvl="0" w:tplc="21D2E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EC3646"/>
    <w:multiLevelType w:val="hybridMultilevel"/>
    <w:tmpl w:val="A708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76627E"/>
    <w:multiLevelType w:val="hybridMultilevel"/>
    <w:tmpl w:val="F8D6ADF8"/>
    <w:lvl w:ilvl="0" w:tplc="12BAD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507EAE"/>
    <w:multiLevelType w:val="hybridMultilevel"/>
    <w:tmpl w:val="A17A6864"/>
    <w:lvl w:ilvl="0" w:tplc="4CF24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EA1B56"/>
    <w:multiLevelType w:val="hybridMultilevel"/>
    <w:tmpl w:val="AE4C1360"/>
    <w:lvl w:ilvl="0" w:tplc="3D82F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516542"/>
    <w:multiLevelType w:val="hybridMultilevel"/>
    <w:tmpl w:val="CF3CC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CC7457"/>
    <w:multiLevelType w:val="hybridMultilevel"/>
    <w:tmpl w:val="BEC8B362"/>
    <w:lvl w:ilvl="0" w:tplc="4FC0E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A8E260F"/>
    <w:multiLevelType w:val="hybridMultilevel"/>
    <w:tmpl w:val="DD1AD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F11BA9"/>
    <w:multiLevelType w:val="hybridMultilevel"/>
    <w:tmpl w:val="012664FE"/>
    <w:lvl w:ilvl="0" w:tplc="CA300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97130B"/>
    <w:multiLevelType w:val="hybridMultilevel"/>
    <w:tmpl w:val="6EAE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5A1516"/>
    <w:multiLevelType w:val="hybridMultilevel"/>
    <w:tmpl w:val="DD4EA510"/>
    <w:lvl w:ilvl="0" w:tplc="D9D69210">
      <w:start w:val="1"/>
      <w:numFmt w:val="decimal"/>
      <w:lvlText w:val="%1."/>
      <w:lvlJc w:val="left"/>
      <w:pPr>
        <w:ind w:left="720" w:hanging="360"/>
      </w:pPr>
      <w:rPr>
        <w:rFonts w:asciiTheme="minorHAnsi" w:eastAsiaTheme="minorEastAsia"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D27900"/>
    <w:multiLevelType w:val="hybridMultilevel"/>
    <w:tmpl w:val="A9FE2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0093269"/>
    <w:multiLevelType w:val="hybridMultilevel"/>
    <w:tmpl w:val="2118D66E"/>
    <w:lvl w:ilvl="0" w:tplc="30164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B76F1B"/>
    <w:multiLevelType w:val="hybridMultilevel"/>
    <w:tmpl w:val="CE648132"/>
    <w:lvl w:ilvl="0" w:tplc="B79A3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47F32BF"/>
    <w:multiLevelType w:val="hybridMultilevel"/>
    <w:tmpl w:val="E7A2DE7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9">
    <w:nsid w:val="69AF2C4D"/>
    <w:multiLevelType w:val="hybridMultilevel"/>
    <w:tmpl w:val="112E90A0"/>
    <w:lvl w:ilvl="0" w:tplc="C7EC56D2">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177D65"/>
    <w:multiLevelType w:val="hybridMultilevel"/>
    <w:tmpl w:val="2CB228DE"/>
    <w:lvl w:ilvl="0" w:tplc="B0482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A86425"/>
    <w:multiLevelType w:val="hybridMultilevel"/>
    <w:tmpl w:val="5204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34C7FDC"/>
    <w:multiLevelType w:val="hybridMultilevel"/>
    <w:tmpl w:val="3E5EEBD0"/>
    <w:lvl w:ilvl="0" w:tplc="ADD0A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4617F10"/>
    <w:multiLevelType w:val="hybridMultilevel"/>
    <w:tmpl w:val="95185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5963F71"/>
    <w:multiLevelType w:val="hybridMultilevel"/>
    <w:tmpl w:val="26200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88B43F2"/>
    <w:multiLevelType w:val="hybridMultilevel"/>
    <w:tmpl w:val="623E67D4"/>
    <w:lvl w:ilvl="0" w:tplc="DFCC5286">
      <w:start w:val="1"/>
      <w:numFmt w:val="decimal"/>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A170AF4"/>
    <w:multiLevelType w:val="hybridMultilevel"/>
    <w:tmpl w:val="AEA0DAA8"/>
    <w:lvl w:ilvl="0" w:tplc="E71CD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F076BC"/>
    <w:multiLevelType w:val="hybridMultilevel"/>
    <w:tmpl w:val="6630C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2"/>
  </w:num>
  <w:num w:numId="3">
    <w:abstractNumId w:val="36"/>
  </w:num>
  <w:num w:numId="4">
    <w:abstractNumId w:val="4"/>
  </w:num>
  <w:num w:numId="5">
    <w:abstractNumId w:val="26"/>
  </w:num>
  <w:num w:numId="6">
    <w:abstractNumId w:val="3"/>
  </w:num>
  <w:num w:numId="7">
    <w:abstractNumId w:val="20"/>
  </w:num>
  <w:num w:numId="8">
    <w:abstractNumId w:val="21"/>
  </w:num>
  <w:num w:numId="9">
    <w:abstractNumId w:val="18"/>
  </w:num>
  <w:num w:numId="10">
    <w:abstractNumId w:val="6"/>
  </w:num>
  <w:num w:numId="11">
    <w:abstractNumId w:val="24"/>
  </w:num>
  <w:num w:numId="12">
    <w:abstractNumId w:val="32"/>
  </w:num>
  <w:num w:numId="13">
    <w:abstractNumId w:val="8"/>
  </w:num>
  <w:num w:numId="14">
    <w:abstractNumId w:val="35"/>
  </w:num>
  <w:num w:numId="15">
    <w:abstractNumId w:val="27"/>
  </w:num>
  <w:num w:numId="16">
    <w:abstractNumId w:val="28"/>
  </w:num>
  <w:num w:numId="17">
    <w:abstractNumId w:val="30"/>
  </w:num>
  <w:num w:numId="18">
    <w:abstractNumId w:val="5"/>
  </w:num>
  <w:num w:numId="19">
    <w:abstractNumId w:val="0"/>
  </w:num>
  <w:num w:numId="20">
    <w:abstractNumId w:val="10"/>
  </w:num>
  <w:num w:numId="21">
    <w:abstractNumId w:val="31"/>
  </w:num>
  <w:num w:numId="22">
    <w:abstractNumId w:val="19"/>
  </w:num>
  <w:num w:numId="23">
    <w:abstractNumId w:val="37"/>
  </w:num>
  <w:num w:numId="24">
    <w:abstractNumId w:val="1"/>
  </w:num>
  <w:num w:numId="25">
    <w:abstractNumId w:val="29"/>
  </w:num>
  <w:num w:numId="26">
    <w:abstractNumId w:val="7"/>
  </w:num>
  <w:num w:numId="27">
    <w:abstractNumId w:val="9"/>
  </w:num>
  <w:num w:numId="28">
    <w:abstractNumId w:val="14"/>
  </w:num>
  <w:num w:numId="29">
    <w:abstractNumId w:val="34"/>
  </w:num>
  <w:num w:numId="30">
    <w:abstractNumId w:val="16"/>
  </w:num>
  <w:num w:numId="31">
    <w:abstractNumId w:val="2"/>
  </w:num>
  <w:num w:numId="32">
    <w:abstractNumId w:val="12"/>
  </w:num>
  <w:num w:numId="33">
    <w:abstractNumId w:val="15"/>
  </w:num>
  <w:num w:numId="34">
    <w:abstractNumId w:val="11"/>
  </w:num>
  <w:num w:numId="35">
    <w:abstractNumId w:val="25"/>
  </w:num>
  <w:num w:numId="36">
    <w:abstractNumId w:val="23"/>
  </w:num>
  <w:num w:numId="37">
    <w:abstractNumId w:val="3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08D"/>
    <w:rsid w:val="000000A8"/>
    <w:rsid w:val="00004878"/>
    <w:rsid w:val="00012094"/>
    <w:rsid w:val="000121B2"/>
    <w:rsid w:val="00020247"/>
    <w:rsid w:val="00023CE3"/>
    <w:rsid w:val="000276AF"/>
    <w:rsid w:val="00031B76"/>
    <w:rsid w:val="0003248D"/>
    <w:rsid w:val="00035983"/>
    <w:rsid w:val="00047F98"/>
    <w:rsid w:val="00051515"/>
    <w:rsid w:val="00052B3D"/>
    <w:rsid w:val="000556A4"/>
    <w:rsid w:val="0005705D"/>
    <w:rsid w:val="000577E1"/>
    <w:rsid w:val="0006378E"/>
    <w:rsid w:val="00065861"/>
    <w:rsid w:val="00070564"/>
    <w:rsid w:val="000708C7"/>
    <w:rsid w:val="00074EF4"/>
    <w:rsid w:val="0007676F"/>
    <w:rsid w:val="00081D91"/>
    <w:rsid w:val="00082BF5"/>
    <w:rsid w:val="00086A2F"/>
    <w:rsid w:val="00092060"/>
    <w:rsid w:val="000941B1"/>
    <w:rsid w:val="00095DFC"/>
    <w:rsid w:val="000A2CA9"/>
    <w:rsid w:val="000A5AA9"/>
    <w:rsid w:val="000B26A2"/>
    <w:rsid w:val="000B4468"/>
    <w:rsid w:val="000B5392"/>
    <w:rsid w:val="000B6921"/>
    <w:rsid w:val="000C2D0E"/>
    <w:rsid w:val="000D37E1"/>
    <w:rsid w:val="000D5005"/>
    <w:rsid w:val="000E0E78"/>
    <w:rsid w:val="000E0F4A"/>
    <w:rsid w:val="000E4585"/>
    <w:rsid w:val="000E6E11"/>
    <w:rsid w:val="000F6D97"/>
    <w:rsid w:val="0010052B"/>
    <w:rsid w:val="00100FC6"/>
    <w:rsid w:val="001027F2"/>
    <w:rsid w:val="00103E77"/>
    <w:rsid w:val="0010459A"/>
    <w:rsid w:val="00104E13"/>
    <w:rsid w:val="0011772D"/>
    <w:rsid w:val="00124135"/>
    <w:rsid w:val="00124DB1"/>
    <w:rsid w:val="00133011"/>
    <w:rsid w:val="001340C3"/>
    <w:rsid w:val="00135A33"/>
    <w:rsid w:val="001419EA"/>
    <w:rsid w:val="001528A3"/>
    <w:rsid w:val="0015684E"/>
    <w:rsid w:val="00176C84"/>
    <w:rsid w:val="00177AF8"/>
    <w:rsid w:val="001817D8"/>
    <w:rsid w:val="00196D65"/>
    <w:rsid w:val="001A3991"/>
    <w:rsid w:val="001A3FF2"/>
    <w:rsid w:val="001A6963"/>
    <w:rsid w:val="001A6B9F"/>
    <w:rsid w:val="001B0F8F"/>
    <w:rsid w:val="001B32F0"/>
    <w:rsid w:val="001B47C8"/>
    <w:rsid w:val="001C0166"/>
    <w:rsid w:val="001D100E"/>
    <w:rsid w:val="001D24DF"/>
    <w:rsid w:val="001D39C2"/>
    <w:rsid w:val="001E20DA"/>
    <w:rsid w:val="001E346C"/>
    <w:rsid w:val="001E5785"/>
    <w:rsid w:val="001F0113"/>
    <w:rsid w:val="001F57DF"/>
    <w:rsid w:val="001F5915"/>
    <w:rsid w:val="001F618F"/>
    <w:rsid w:val="001F6B86"/>
    <w:rsid w:val="00202C5F"/>
    <w:rsid w:val="00202EB7"/>
    <w:rsid w:val="00205100"/>
    <w:rsid w:val="00210636"/>
    <w:rsid w:val="00213CE4"/>
    <w:rsid w:val="0021531A"/>
    <w:rsid w:val="0022051B"/>
    <w:rsid w:val="00222B74"/>
    <w:rsid w:val="0022571F"/>
    <w:rsid w:val="0023084D"/>
    <w:rsid w:val="00233F41"/>
    <w:rsid w:val="00237A46"/>
    <w:rsid w:val="0024042F"/>
    <w:rsid w:val="002410D6"/>
    <w:rsid w:val="00241D45"/>
    <w:rsid w:val="002538AE"/>
    <w:rsid w:val="00253919"/>
    <w:rsid w:val="00254892"/>
    <w:rsid w:val="00255553"/>
    <w:rsid w:val="00261D72"/>
    <w:rsid w:val="00261D86"/>
    <w:rsid w:val="002627E3"/>
    <w:rsid w:val="002634D3"/>
    <w:rsid w:val="002670EC"/>
    <w:rsid w:val="00274A65"/>
    <w:rsid w:val="00276976"/>
    <w:rsid w:val="00276DF9"/>
    <w:rsid w:val="00281CC4"/>
    <w:rsid w:val="0028255B"/>
    <w:rsid w:val="00285021"/>
    <w:rsid w:val="002911D1"/>
    <w:rsid w:val="00294EB7"/>
    <w:rsid w:val="00295D4B"/>
    <w:rsid w:val="002B2366"/>
    <w:rsid w:val="002B4116"/>
    <w:rsid w:val="002C0CD6"/>
    <w:rsid w:val="002C5FF1"/>
    <w:rsid w:val="002D209F"/>
    <w:rsid w:val="002D243D"/>
    <w:rsid w:val="002D4F18"/>
    <w:rsid w:val="002E0D33"/>
    <w:rsid w:val="002E3878"/>
    <w:rsid w:val="002E3EB8"/>
    <w:rsid w:val="002F57F1"/>
    <w:rsid w:val="0030485E"/>
    <w:rsid w:val="0031176A"/>
    <w:rsid w:val="00311E97"/>
    <w:rsid w:val="003122DC"/>
    <w:rsid w:val="00314076"/>
    <w:rsid w:val="003159F2"/>
    <w:rsid w:val="003273F8"/>
    <w:rsid w:val="0034508E"/>
    <w:rsid w:val="00351797"/>
    <w:rsid w:val="0035361D"/>
    <w:rsid w:val="0035393B"/>
    <w:rsid w:val="00353B10"/>
    <w:rsid w:val="003607E4"/>
    <w:rsid w:val="00363EA7"/>
    <w:rsid w:val="00366273"/>
    <w:rsid w:val="00371E85"/>
    <w:rsid w:val="00374036"/>
    <w:rsid w:val="0037416D"/>
    <w:rsid w:val="00374588"/>
    <w:rsid w:val="00380463"/>
    <w:rsid w:val="0038329C"/>
    <w:rsid w:val="00385D73"/>
    <w:rsid w:val="003A1AEB"/>
    <w:rsid w:val="003A2E4B"/>
    <w:rsid w:val="003A36F1"/>
    <w:rsid w:val="003A4033"/>
    <w:rsid w:val="003B2D47"/>
    <w:rsid w:val="003B715E"/>
    <w:rsid w:val="003B7632"/>
    <w:rsid w:val="003B76DC"/>
    <w:rsid w:val="003B77E9"/>
    <w:rsid w:val="003B7E3E"/>
    <w:rsid w:val="003C1194"/>
    <w:rsid w:val="003C2B37"/>
    <w:rsid w:val="003C6C0B"/>
    <w:rsid w:val="003C6DC0"/>
    <w:rsid w:val="003D3762"/>
    <w:rsid w:val="003D5F5F"/>
    <w:rsid w:val="003E304D"/>
    <w:rsid w:val="003E343D"/>
    <w:rsid w:val="003E3E61"/>
    <w:rsid w:val="003E58E8"/>
    <w:rsid w:val="003E7216"/>
    <w:rsid w:val="003F23A8"/>
    <w:rsid w:val="003F6682"/>
    <w:rsid w:val="00423201"/>
    <w:rsid w:val="004234C0"/>
    <w:rsid w:val="004272B1"/>
    <w:rsid w:val="00430520"/>
    <w:rsid w:val="00431D01"/>
    <w:rsid w:val="004326F1"/>
    <w:rsid w:val="0043499A"/>
    <w:rsid w:val="00434C87"/>
    <w:rsid w:val="00436965"/>
    <w:rsid w:val="0044075D"/>
    <w:rsid w:val="00446BE3"/>
    <w:rsid w:val="00446E31"/>
    <w:rsid w:val="004478AF"/>
    <w:rsid w:val="004524C5"/>
    <w:rsid w:val="00452A87"/>
    <w:rsid w:val="0045367A"/>
    <w:rsid w:val="00457988"/>
    <w:rsid w:val="00461530"/>
    <w:rsid w:val="0046160A"/>
    <w:rsid w:val="004620AA"/>
    <w:rsid w:val="0047165E"/>
    <w:rsid w:val="00472A43"/>
    <w:rsid w:val="00474336"/>
    <w:rsid w:val="00481F16"/>
    <w:rsid w:val="00483119"/>
    <w:rsid w:val="00483E2F"/>
    <w:rsid w:val="004844C4"/>
    <w:rsid w:val="00485743"/>
    <w:rsid w:val="004A12EE"/>
    <w:rsid w:val="004A214C"/>
    <w:rsid w:val="004B211C"/>
    <w:rsid w:val="004B2D4D"/>
    <w:rsid w:val="004C1635"/>
    <w:rsid w:val="004C75CD"/>
    <w:rsid w:val="004D0B75"/>
    <w:rsid w:val="004D2290"/>
    <w:rsid w:val="004E1EC5"/>
    <w:rsid w:val="004E43F4"/>
    <w:rsid w:val="004F0B9F"/>
    <w:rsid w:val="004F14CB"/>
    <w:rsid w:val="004F5472"/>
    <w:rsid w:val="005031FB"/>
    <w:rsid w:val="005061DC"/>
    <w:rsid w:val="00507451"/>
    <w:rsid w:val="00507574"/>
    <w:rsid w:val="00510F34"/>
    <w:rsid w:val="00511B37"/>
    <w:rsid w:val="0051457D"/>
    <w:rsid w:val="00523F4E"/>
    <w:rsid w:val="005267AE"/>
    <w:rsid w:val="00526D1F"/>
    <w:rsid w:val="005326FD"/>
    <w:rsid w:val="00534304"/>
    <w:rsid w:val="005424A7"/>
    <w:rsid w:val="00581E9A"/>
    <w:rsid w:val="00582FAD"/>
    <w:rsid w:val="00584AE6"/>
    <w:rsid w:val="0058658A"/>
    <w:rsid w:val="00587F8E"/>
    <w:rsid w:val="00590609"/>
    <w:rsid w:val="00597320"/>
    <w:rsid w:val="005A461A"/>
    <w:rsid w:val="005B2C81"/>
    <w:rsid w:val="005B66BF"/>
    <w:rsid w:val="005C1070"/>
    <w:rsid w:val="005C2C5D"/>
    <w:rsid w:val="005C337D"/>
    <w:rsid w:val="005C37E2"/>
    <w:rsid w:val="005C6C8C"/>
    <w:rsid w:val="005D4576"/>
    <w:rsid w:val="005E7BBB"/>
    <w:rsid w:val="005F3B2F"/>
    <w:rsid w:val="005F5ACB"/>
    <w:rsid w:val="00601A6A"/>
    <w:rsid w:val="00603440"/>
    <w:rsid w:val="00607DDE"/>
    <w:rsid w:val="00607EB2"/>
    <w:rsid w:val="006160B8"/>
    <w:rsid w:val="00622ACB"/>
    <w:rsid w:val="00624616"/>
    <w:rsid w:val="00624FAA"/>
    <w:rsid w:val="00642C63"/>
    <w:rsid w:val="00644F48"/>
    <w:rsid w:val="006543CB"/>
    <w:rsid w:val="00655CA4"/>
    <w:rsid w:val="00656DC6"/>
    <w:rsid w:val="00663AEF"/>
    <w:rsid w:val="00675435"/>
    <w:rsid w:val="00677CDC"/>
    <w:rsid w:val="00677D38"/>
    <w:rsid w:val="00682793"/>
    <w:rsid w:val="00683943"/>
    <w:rsid w:val="00692061"/>
    <w:rsid w:val="006920E1"/>
    <w:rsid w:val="00694482"/>
    <w:rsid w:val="006955D3"/>
    <w:rsid w:val="00695F9B"/>
    <w:rsid w:val="006964F3"/>
    <w:rsid w:val="006A107C"/>
    <w:rsid w:val="006A1C91"/>
    <w:rsid w:val="006A2D8F"/>
    <w:rsid w:val="006B2D89"/>
    <w:rsid w:val="006B5855"/>
    <w:rsid w:val="006C1186"/>
    <w:rsid w:val="006C2032"/>
    <w:rsid w:val="006C355A"/>
    <w:rsid w:val="006C64D4"/>
    <w:rsid w:val="006C7C4D"/>
    <w:rsid w:val="006D32DC"/>
    <w:rsid w:val="006D400D"/>
    <w:rsid w:val="006E380C"/>
    <w:rsid w:val="006E6CA7"/>
    <w:rsid w:val="006F363A"/>
    <w:rsid w:val="006F51C0"/>
    <w:rsid w:val="006F6F9E"/>
    <w:rsid w:val="007044AA"/>
    <w:rsid w:val="00710737"/>
    <w:rsid w:val="00711823"/>
    <w:rsid w:val="00714924"/>
    <w:rsid w:val="00717712"/>
    <w:rsid w:val="00720043"/>
    <w:rsid w:val="00721E1F"/>
    <w:rsid w:val="007242A3"/>
    <w:rsid w:val="00726B5B"/>
    <w:rsid w:val="00737C1C"/>
    <w:rsid w:val="00744568"/>
    <w:rsid w:val="007452E5"/>
    <w:rsid w:val="0074553F"/>
    <w:rsid w:val="00752DC7"/>
    <w:rsid w:val="0075616C"/>
    <w:rsid w:val="00757AB8"/>
    <w:rsid w:val="00762A9E"/>
    <w:rsid w:val="00764ABA"/>
    <w:rsid w:val="007672A2"/>
    <w:rsid w:val="00770713"/>
    <w:rsid w:val="00771A74"/>
    <w:rsid w:val="00771C76"/>
    <w:rsid w:val="00772C15"/>
    <w:rsid w:val="00773D58"/>
    <w:rsid w:val="00796A88"/>
    <w:rsid w:val="007A0257"/>
    <w:rsid w:val="007A2E23"/>
    <w:rsid w:val="007A6F87"/>
    <w:rsid w:val="007B2BF2"/>
    <w:rsid w:val="007B6C94"/>
    <w:rsid w:val="007B7122"/>
    <w:rsid w:val="007C0D6E"/>
    <w:rsid w:val="007C1915"/>
    <w:rsid w:val="007C2000"/>
    <w:rsid w:val="007D36EB"/>
    <w:rsid w:val="007D7059"/>
    <w:rsid w:val="007F141D"/>
    <w:rsid w:val="007F257D"/>
    <w:rsid w:val="007F3418"/>
    <w:rsid w:val="007F51D1"/>
    <w:rsid w:val="007F5D55"/>
    <w:rsid w:val="0080125B"/>
    <w:rsid w:val="00801A7D"/>
    <w:rsid w:val="00802B60"/>
    <w:rsid w:val="0080381E"/>
    <w:rsid w:val="008041E5"/>
    <w:rsid w:val="008060F8"/>
    <w:rsid w:val="00806F2E"/>
    <w:rsid w:val="00806FA3"/>
    <w:rsid w:val="00807F7A"/>
    <w:rsid w:val="008220B8"/>
    <w:rsid w:val="00835F62"/>
    <w:rsid w:val="00841D4D"/>
    <w:rsid w:val="0084326C"/>
    <w:rsid w:val="00847730"/>
    <w:rsid w:val="0085035B"/>
    <w:rsid w:val="00857D49"/>
    <w:rsid w:val="00862163"/>
    <w:rsid w:val="008628CD"/>
    <w:rsid w:val="00863448"/>
    <w:rsid w:val="00864B28"/>
    <w:rsid w:val="00864F46"/>
    <w:rsid w:val="00866485"/>
    <w:rsid w:val="008670AC"/>
    <w:rsid w:val="00877E12"/>
    <w:rsid w:val="008805B6"/>
    <w:rsid w:val="00880A6D"/>
    <w:rsid w:val="0088170F"/>
    <w:rsid w:val="008821AE"/>
    <w:rsid w:val="0089374C"/>
    <w:rsid w:val="0089414B"/>
    <w:rsid w:val="00894BAE"/>
    <w:rsid w:val="00896232"/>
    <w:rsid w:val="008971C4"/>
    <w:rsid w:val="008A26D9"/>
    <w:rsid w:val="008A76BE"/>
    <w:rsid w:val="008B56AF"/>
    <w:rsid w:val="008B63C7"/>
    <w:rsid w:val="008B6FB0"/>
    <w:rsid w:val="008C1F81"/>
    <w:rsid w:val="008C55F4"/>
    <w:rsid w:val="008C5D13"/>
    <w:rsid w:val="008C6B07"/>
    <w:rsid w:val="008C6C3C"/>
    <w:rsid w:val="008C7092"/>
    <w:rsid w:val="008D3537"/>
    <w:rsid w:val="008D3F7E"/>
    <w:rsid w:val="008E354A"/>
    <w:rsid w:val="008E3C41"/>
    <w:rsid w:val="008E60CE"/>
    <w:rsid w:val="008F27D2"/>
    <w:rsid w:val="008F2E98"/>
    <w:rsid w:val="008F670E"/>
    <w:rsid w:val="00905A77"/>
    <w:rsid w:val="0091234C"/>
    <w:rsid w:val="0091250B"/>
    <w:rsid w:val="009128CE"/>
    <w:rsid w:val="00913D9F"/>
    <w:rsid w:val="009203F5"/>
    <w:rsid w:val="00921D51"/>
    <w:rsid w:val="00921DAA"/>
    <w:rsid w:val="00923937"/>
    <w:rsid w:val="00923E14"/>
    <w:rsid w:val="00926E5B"/>
    <w:rsid w:val="009335CE"/>
    <w:rsid w:val="00934546"/>
    <w:rsid w:val="009378C6"/>
    <w:rsid w:val="0094280A"/>
    <w:rsid w:val="0094456F"/>
    <w:rsid w:val="00952438"/>
    <w:rsid w:val="00954029"/>
    <w:rsid w:val="0095404C"/>
    <w:rsid w:val="00966186"/>
    <w:rsid w:val="00970D80"/>
    <w:rsid w:val="009718D6"/>
    <w:rsid w:val="009804A1"/>
    <w:rsid w:val="0098460E"/>
    <w:rsid w:val="00984915"/>
    <w:rsid w:val="00986120"/>
    <w:rsid w:val="009925A4"/>
    <w:rsid w:val="00993912"/>
    <w:rsid w:val="0099515B"/>
    <w:rsid w:val="00997AC2"/>
    <w:rsid w:val="009A0616"/>
    <w:rsid w:val="009A5065"/>
    <w:rsid w:val="009A5B14"/>
    <w:rsid w:val="009B024A"/>
    <w:rsid w:val="009B3934"/>
    <w:rsid w:val="009D148F"/>
    <w:rsid w:val="009D30F2"/>
    <w:rsid w:val="009E5BA7"/>
    <w:rsid w:val="009E77F0"/>
    <w:rsid w:val="009F1C4A"/>
    <w:rsid w:val="009F5348"/>
    <w:rsid w:val="009F60B2"/>
    <w:rsid w:val="00A015C9"/>
    <w:rsid w:val="00A04074"/>
    <w:rsid w:val="00A07A26"/>
    <w:rsid w:val="00A11B47"/>
    <w:rsid w:val="00A25760"/>
    <w:rsid w:val="00A30211"/>
    <w:rsid w:val="00A35234"/>
    <w:rsid w:val="00A3535E"/>
    <w:rsid w:val="00A41AD2"/>
    <w:rsid w:val="00A4234F"/>
    <w:rsid w:val="00A4251E"/>
    <w:rsid w:val="00A44F78"/>
    <w:rsid w:val="00A45C89"/>
    <w:rsid w:val="00A45DC1"/>
    <w:rsid w:val="00A5050C"/>
    <w:rsid w:val="00A521E7"/>
    <w:rsid w:val="00A525EE"/>
    <w:rsid w:val="00A5732B"/>
    <w:rsid w:val="00A573A4"/>
    <w:rsid w:val="00A573B0"/>
    <w:rsid w:val="00A61982"/>
    <w:rsid w:val="00A70217"/>
    <w:rsid w:val="00A70506"/>
    <w:rsid w:val="00A70607"/>
    <w:rsid w:val="00A7596C"/>
    <w:rsid w:val="00A84236"/>
    <w:rsid w:val="00A939D2"/>
    <w:rsid w:val="00A95A5B"/>
    <w:rsid w:val="00AA1128"/>
    <w:rsid w:val="00AA599F"/>
    <w:rsid w:val="00AA7016"/>
    <w:rsid w:val="00AB1428"/>
    <w:rsid w:val="00AB1D89"/>
    <w:rsid w:val="00AB20E2"/>
    <w:rsid w:val="00AB7B26"/>
    <w:rsid w:val="00AB7BC6"/>
    <w:rsid w:val="00AC4EA5"/>
    <w:rsid w:val="00AD6516"/>
    <w:rsid w:val="00AE468B"/>
    <w:rsid w:val="00AF2F08"/>
    <w:rsid w:val="00AF5830"/>
    <w:rsid w:val="00AF6DFB"/>
    <w:rsid w:val="00B01502"/>
    <w:rsid w:val="00B02213"/>
    <w:rsid w:val="00B05C71"/>
    <w:rsid w:val="00B11999"/>
    <w:rsid w:val="00B2153C"/>
    <w:rsid w:val="00B21D47"/>
    <w:rsid w:val="00B22763"/>
    <w:rsid w:val="00B35346"/>
    <w:rsid w:val="00B4098B"/>
    <w:rsid w:val="00B4163D"/>
    <w:rsid w:val="00B41F38"/>
    <w:rsid w:val="00B43515"/>
    <w:rsid w:val="00B4587C"/>
    <w:rsid w:val="00B5092D"/>
    <w:rsid w:val="00B5478D"/>
    <w:rsid w:val="00B639A7"/>
    <w:rsid w:val="00B66806"/>
    <w:rsid w:val="00B72545"/>
    <w:rsid w:val="00B735F7"/>
    <w:rsid w:val="00B73AD1"/>
    <w:rsid w:val="00B750A9"/>
    <w:rsid w:val="00B756E6"/>
    <w:rsid w:val="00B764CD"/>
    <w:rsid w:val="00B76902"/>
    <w:rsid w:val="00B85AD4"/>
    <w:rsid w:val="00B86D10"/>
    <w:rsid w:val="00BA0454"/>
    <w:rsid w:val="00BA2217"/>
    <w:rsid w:val="00BA5231"/>
    <w:rsid w:val="00BA55CF"/>
    <w:rsid w:val="00BA7342"/>
    <w:rsid w:val="00BA79C5"/>
    <w:rsid w:val="00BB044D"/>
    <w:rsid w:val="00BB095E"/>
    <w:rsid w:val="00BB386E"/>
    <w:rsid w:val="00BB3DC1"/>
    <w:rsid w:val="00BB6D8D"/>
    <w:rsid w:val="00BC1CEA"/>
    <w:rsid w:val="00BC4BF7"/>
    <w:rsid w:val="00BD2873"/>
    <w:rsid w:val="00BD3D36"/>
    <w:rsid w:val="00BD693B"/>
    <w:rsid w:val="00BD6B78"/>
    <w:rsid w:val="00BE2E3E"/>
    <w:rsid w:val="00BE55D4"/>
    <w:rsid w:val="00BF12B1"/>
    <w:rsid w:val="00BF2FB0"/>
    <w:rsid w:val="00BF364D"/>
    <w:rsid w:val="00BF5AF8"/>
    <w:rsid w:val="00C0782B"/>
    <w:rsid w:val="00C11FB6"/>
    <w:rsid w:val="00C2223F"/>
    <w:rsid w:val="00C244AD"/>
    <w:rsid w:val="00C307D7"/>
    <w:rsid w:val="00C31F9B"/>
    <w:rsid w:val="00C57B77"/>
    <w:rsid w:val="00C617D7"/>
    <w:rsid w:val="00C65433"/>
    <w:rsid w:val="00C65BA7"/>
    <w:rsid w:val="00C7051E"/>
    <w:rsid w:val="00C73F40"/>
    <w:rsid w:val="00C757AE"/>
    <w:rsid w:val="00C807E5"/>
    <w:rsid w:val="00C80CD9"/>
    <w:rsid w:val="00C8146E"/>
    <w:rsid w:val="00C86A2D"/>
    <w:rsid w:val="00C86EE7"/>
    <w:rsid w:val="00C93FC9"/>
    <w:rsid w:val="00C96368"/>
    <w:rsid w:val="00CA3F89"/>
    <w:rsid w:val="00CB727C"/>
    <w:rsid w:val="00CB7C53"/>
    <w:rsid w:val="00CC4898"/>
    <w:rsid w:val="00CC6EFC"/>
    <w:rsid w:val="00CD12BA"/>
    <w:rsid w:val="00CE1C4B"/>
    <w:rsid w:val="00CE3DA3"/>
    <w:rsid w:val="00CE536A"/>
    <w:rsid w:val="00CE71EE"/>
    <w:rsid w:val="00CE7DDC"/>
    <w:rsid w:val="00CF30F5"/>
    <w:rsid w:val="00CF376C"/>
    <w:rsid w:val="00CF4D4F"/>
    <w:rsid w:val="00D105AC"/>
    <w:rsid w:val="00D143B6"/>
    <w:rsid w:val="00D17993"/>
    <w:rsid w:val="00D17D0D"/>
    <w:rsid w:val="00D238B5"/>
    <w:rsid w:val="00D23C8A"/>
    <w:rsid w:val="00D34F57"/>
    <w:rsid w:val="00D37B1B"/>
    <w:rsid w:val="00D4411D"/>
    <w:rsid w:val="00D546E9"/>
    <w:rsid w:val="00D5527A"/>
    <w:rsid w:val="00D56E50"/>
    <w:rsid w:val="00D63E30"/>
    <w:rsid w:val="00D64A59"/>
    <w:rsid w:val="00D7003F"/>
    <w:rsid w:val="00D713AF"/>
    <w:rsid w:val="00D812F7"/>
    <w:rsid w:val="00D818CC"/>
    <w:rsid w:val="00D83B89"/>
    <w:rsid w:val="00D86430"/>
    <w:rsid w:val="00D90676"/>
    <w:rsid w:val="00D91B83"/>
    <w:rsid w:val="00D95DAD"/>
    <w:rsid w:val="00D96952"/>
    <w:rsid w:val="00DA4C48"/>
    <w:rsid w:val="00DA608D"/>
    <w:rsid w:val="00DB0779"/>
    <w:rsid w:val="00DB0CE6"/>
    <w:rsid w:val="00DC017B"/>
    <w:rsid w:val="00DC09C0"/>
    <w:rsid w:val="00DC20D7"/>
    <w:rsid w:val="00DC2C52"/>
    <w:rsid w:val="00DD0ACD"/>
    <w:rsid w:val="00DD19C8"/>
    <w:rsid w:val="00DD3446"/>
    <w:rsid w:val="00DE2BCD"/>
    <w:rsid w:val="00DE5421"/>
    <w:rsid w:val="00DE54EE"/>
    <w:rsid w:val="00DE6C83"/>
    <w:rsid w:val="00DE7B59"/>
    <w:rsid w:val="00DF3038"/>
    <w:rsid w:val="00DF3FDE"/>
    <w:rsid w:val="00DF6C95"/>
    <w:rsid w:val="00E0736E"/>
    <w:rsid w:val="00E136C6"/>
    <w:rsid w:val="00E15C61"/>
    <w:rsid w:val="00E20597"/>
    <w:rsid w:val="00E22EBE"/>
    <w:rsid w:val="00E23FAC"/>
    <w:rsid w:val="00E375FF"/>
    <w:rsid w:val="00E42C64"/>
    <w:rsid w:val="00E42E0D"/>
    <w:rsid w:val="00E44804"/>
    <w:rsid w:val="00E460C7"/>
    <w:rsid w:val="00E46712"/>
    <w:rsid w:val="00E51B33"/>
    <w:rsid w:val="00E54BB2"/>
    <w:rsid w:val="00E55F0F"/>
    <w:rsid w:val="00E60298"/>
    <w:rsid w:val="00E610E8"/>
    <w:rsid w:val="00E62D77"/>
    <w:rsid w:val="00E71980"/>
    <w:rsid w:val="00E84339"/>
    <w:rsid w:val="00E87835"/>
    <w:rsid w:val="00E949DE"/>
    <w:rsid w:val="00EA13D2"/>
    <w:rsid w:val="00EA4396"/>
    <w:rsid w:val="00EB071E"/>
    <w:rsid w:val="00EB3394"/>
    <w:rsid w:val="00EB4507"/>
    <w:rsid w:val="00EB4D29"/>
    <w:rsid w:val="00EB6D3A"/>
    <w:rsid w:val="00EC5CCE"/>
    <w:rsid w:val="00EC7B0E"/>
    <w:rsid w:val="00ED0D78"/>
    <w:rsid w:val="00EE155F"/>
    <w:rsid w:val="00EE1C5F"/>
    <w:rsid w:val="00EE1EE7"/>
    <w:rsid w:val="00EE616D"/>
    <w:rsid w:val="00EE628C"/>
    <w:rsid w:val="00EE7259"/>
    <w:rsid w:val="00EF184E"/>
    <w:rsid w:val="00EF4AFF"/>
    <w:rsid w:val="00EF5F20"/>
    <w:rsid w:val="00F01169"/>
    <w:rsid w:val="00F024E9"/>
    <w:rsid w:val="00F212FF"/>
    <w:rsid w:val="00F21675"/>
    <w:rsid w:val="00F24FAB"/>
    <w:rsid w:val="00F30C2E"/>
    <w:rsid w:val="00F34761"/>
    <w:rsid w:val="00F36700"/>
    <w:rsid w:val="00F43367"/>
    <w:rsid w:val="00F45E12"/>
    <w:rsid w:val="00F50EDA"/>
    <w:rsid w:val="00F54629"/>
    <w:rsid w:val="00F5535A"/>
    <w:rsid w:val="00F557A1"/>
    <w:rsid w:val="00F56255"/>
    <w:rsid w:val="00F72BD4"/>
    <w:rsid w:val="00F738AF"/>
    <w:rsid w:val="00F75C84"/>
    <w:rsid w:val="00F76C0E"/>
    <w:rsid w:val="00F830E6"/>
    <w:rsid w:val="00F8505B"/>
    <w:rsid w:val="00F94075"/>
    <w:rsid w:val="00FA00E2"/>
    <w:rsid w:val="00FA18FB"/>
    <w:rsid w:val="00FA730E"/>
    <w:rsid w:val="00FC3E8A"/>
    <w:rsid w:val="00FC5973"/>
    <w:rsid w:val="00FD7266"/>
    <w:rsid w:val="00FE29BE"/>
    <w:rsid w:val="00FE3852"/>
    <w:rsid w:val="00FE6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08D"/>
    <w:pPr>
      <w:spacing w:after="0" w:line="240" w:lineRule="auto"/>
      <w:ind w:firstLine="720"/>
    </w:pPr>
    <w:rPr>
      <w:rFonts w:eastAsiaTheme="minorEastAsia"/>
    </w:rPr>
  </w:style>
  <w:style w:type="paragraph" w:styleId="Heading1">
    <w:name w:val="heading 1"/>
    <w:basedOn w:val="Normal"/>
    <w:next w:val="Normal"/>
    <w:link w:val="Heading1Char"/>
    <w:autoRedefine/>
    <w:uiPriority w:val="9"/>
    <w:qFormat/>
    <w:rsid w:val="009128CE"/>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81E9A"/>
    <w:pPr>
      <w:keepNext/>
      <w:keepLines/>
      <w:spacing w:before="200" w:after="120"/>
      <w:ind w:firstLine="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2E0D33"/>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255553"/>
    <w:pPr>
      <w:ind w:left="720" w:firstLine="0"/>
    </w:pPr>
    <w:rPr>
      <w:rFonts w:ascii="Calibri" w:hAnsi="Calibri"/>
      <w:iCs/>
      <w:color w:val="000000" w:themeColor="text1"/>
      <w:lang w:bidi="he-IL"/>
    </w:rPr>
  </w:style>
  <w:style w:type="character" w:customStyle="1" w:styleId="QuoteChar">
    <w:name w:val="Quote Char"/>
    <w:basedOn w:val="DefaultParagraphFont"/>
    <w:link w:val="Quote"/>
    <w:uiPriority w:val="29"/>
    <w:rsid w:val="00255553"/>
    <w:rPr>
      <w:rFonts w:ascii="Calibri" w:eastAsiaTheme="minorEastAsia" w:hAnsi="Calibri"/>
      <w:iCs/>
      <w:color w:val="000000" w:themeColor="text1"/>
      <w:lang w:bidi="he-IL"/>
    </w:rPr>
  </w:style>
  <w:style w:type="paragraph" w:styleId="ListParagraph">
    <w:name w:val="List Paragraph"/>
    <w:basedOn w:val="Normal"/>
    <w:uiPriority w:val="34"/>
    <w:qFormat/>
    <w:rsid w:val="00801A7D"/>
    <w:pPr>
      <w:ind w:left="288" w:hanging="288"/>
    </w:pPr>
    <w:rPr>
      <w:rFonts w:ascii="Calibri" w:eastAsia="Times New Roman" w:hAnsi="Calibri" w:cs="Times New Roman"/>
      <w:szCs w:val="20"/>
    </w:rPr>
  </w:style>
  <w:style w:type="paragraph" w:styleId="NoSpacing">
    <w:name w:val="No Spacing"/>
    <w:uiPriority w:val="1"/>
    <w:qFormat/>
    <w:rsid w:val="006964F3"/>
    <w:pPr>
      <w:spacing w:after="0" w:line="240" w:lineRule="auto"/>
    </w:pPr>
    <w:rPr>
      <w:rFonts w:eastAsiaTheme="minorEastAsia"/>
    </w:rPr>
  </w:style>
  <w:style w:type="character" w:customStyle="1" w:styleId="Heading1Char">
    <w:name w:val="Heading 1 Char"/>
    <w:basedOn w:val="DefaultParagraphFont"/>
    <w:link w:val="Heading1"/>
    <w:uiPriority w:val="9"/>
    <w:rsid w:val="009128C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81E9A"/>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42E0D"/>
    <w:pPr>
      <w:widowControl w:val="0"/>
      <w:pBdr>
        <w:bottom w:val="single" w:sz="8" w:space="4" w:color="4F81BD" w:themeColor="accent1"/>
      </w:pBdr>
      <w:autoSpaceDE w:val="0"/>
      <w:autoSpaceDN w:val="0"/>
      <w:adjustRightInd w:val="0"/>
      <w:spacing w:after="300"/>
      <w:ind w:firstLine="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42E0D"/>
    <w:rPr>
      <w:rFonts w:asciiTheme="majorHAnsi" w:eastAsiaTheme="majorEastAsia" w:hAnsiTheme="majorHAnsi" w:cstheme="majorBidi"/>
      <w:spacing w:val="5"/>
      <w:kern w:val="28"/>
      <w:sz w:val="52"/>
      <w:szCs w:val="52"/>
    </w:rPr>
  </w:style>
  <w:style w:type="character" w:customStyle="1" w:styleId="Heading3Char">
    <w:name w:val="Heading 3 Char"/>
    <w:basedOn w:val="DefaultParagraphFont"/>
    <w:link w:val="Heading3"/>
    <w:uiPriority w:val="9"/>
    <w:rsid w:val="002E0D33"/>
    <w:rPr>
      <w:rFonts w:asciiTheme="majorHAnsi" w:eastAsiaTheme="majorEastAsia" w:hAnsiTheme="majorHAnsi" w:cstheme="majorBidi"/>
      <w:b/>
      <w:bCs/>
    </w:rPr>
  </w:style>
  <w:style w:type="paragraph" w:styleId="PlainText">
    <w:name w:val="Plain Text"/>
    <w:basedOn w:val="Normal"/>
    <w:link w:val="PlainTextChar"/>
    <w:autoRedefine/>
    <w:unhideWhenUsed/>
    <w:qFormat/>
    <w:rsid w:val="001F57DF"/>
    <w:pPr>
      <w:ind w:firstLine="0"/>
    </w:pPr>
    <w:rPr>
      <w:rFonts w:cs="Times New Roman"/>
      <w:szCs w:val="20"/>
      <w:lang w:bidi="he-IL"/>
    </w:rPr>
  </w:style>
  <w:style w:type="character" w:customStyle="1" w:styleId="PlainTextChar">
    <w:name w:val="Plain Text Char"/>
    <w:basedOn w:val="DefaultParagraphFont"/>
    <w:link w:val="PlainText"/>
    <w:rsid w:val="001F57DF"/>
    <w:rPr>
      <w:rFonts w:eastAsiaTheme="minorEastAsia" w:cs="Times New Roman"/>
      <w:szCs w:val="20"/>
      <w:lang w:val="en-GB" w:bidi="he-IL"/>
    </w:rPr>
  </w:style>
  <w:style w:type="paragraph" w:customStyle="1" w:styleId="Default">
    <w:name w:val="Default"/>
    <w:rsid w:val="00DA608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DA608D"/>
    <w:rPr>
      <w:sz w:val="20"/>
      <w:szCs w:val="20"/>
    </w:rPr>
  </w:style>
  <w:style w:type="character" w:customStyle="1" w:styleId="FootnoteTextChar">
    <w:name w:val="Footnote Text Char"/>
    <w:basedOn w:val="DefaultParagraphFont"/>
    <w:link w:val="FootnoteText"/>
    <w:uiPriority w:val="99"/>
    <w:rsid w:val="00DA608D"/>
    <w:rPr>
      <w:rFonts w:eastAsiaTheme="minorEastAsia"/>
      <w:sz w:val="20"/>
      <w:szCs w:val="20"/>
    </w:rPr>
  </w:style>
  <w:style w:type="character" w:styleId="FootnoteReference">
    <w:name w:val="footnote reference"/>
    <w:basedOn w:val="DefaultParagraphFont"/>
    <w:uiPriority w:val="99"/>
    <w:semiHidden/>
    <w:unhideWhenUsed/>
    <w:rsid w:val="00DA608D"/>
    <w:rPr>
      <w:vertAlign w:val="superscript"/>
    </w:rPr>
  </w:style>
  <w:style w:type="character" w:styleId="CommentReference">
    <w:name w:val="annotation reference"/>
    <w:basedOn w:val="DefaultParagraphFont"/>
    <w:uiPriority w:val="99"/>
    <w:semiHidden/>
    <w:unhideWhenUsed/>
    <w:rsid w:val="00DA608D"/>
    <w:rPr>
      <w:sz w:val="16"/>
      <w:szCs w:val="16"/>
    </w:rPr>
  </w:style>
  <w:style w:type="paragraph" w:styleId="CommentText">
    <w:name w:val="annotation text"/>
    <w:basedOn w:val="Normal"/>
    <w:link w:val="CommentTextChar"/>
    <w:uiPriority w:val="99"/>
    <w:semiHidden/>
    <w:unhideWhenUsed/>
    <w:rsid w:val="00DA608D"/>
    <w:rPr>
      <w:sz w:val="20"/>
      <w:szCs w:val="20"/>
    </w:rPr>
  </w:style>
  <w:style w:type="character" w:customStyle="1" w:styleId="CommentTextChar">
    <w:name w:val="Comment Text Char"/>
    <w:basedOn w:val="DefaultParagraphFont"/>
    <w:link w:val="CommentText"/>
    <w:uiPriority w:val="99"/>
    <w:semiHidden/>
    <w:rsid w:val="00DA608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A608D"/>
    <w:rPr>
      <w:b/>
      <w:bCs/>
    </w:rPr>
  </w:style>
  <w:style w:type="character" w:customStyle="1" w:styleId="CommentSubjectChar">
    <w:name w:val="Comment Subject Char"/>
    <w:basedOn w:val="CommentTextChar"/>
    <w:link w:val="CommentSubject"/>
    <w:uiPriority w:val="99"/>
    <w:semiHidden/>
    <w:rsid w:val="00DA608D"/>
    <w:rPr>
      <w:rFonts w:eastAsiaTheme="minorEastAsia"/>
      <w:b/>
      <w:bCs/>
      <w:sz w:val="20"/>
      <w:szCs w:val="20"/>
    </w:rPr>
  </w:style>
  <w:style w:type="paragraph" w:styleId="BalloonText">
    <w:name w:val="Balloon Text"/>
    <w:basedOn w:val="Normal"/>
    <w:link w:val="BalloonTextChar"/>
    <w:uiPriority w:val="99"/>
    <w:semiHidden/>
    <w:unhideWhenUsed/>
    <w:rsid w:val="00DA608D"/>
    <w:rPr>
      <w:rFonts w:ascii="Tahoma" w:hAnsi="Tahoma" w:cs="Tahoma"/>
      <w:sz w:val="16"/>
      <w:szCs w:val="16"/>
    </w:rPr>
  </w:style>
  <w:style w:type="character" w:customStyle="1" w:styleId="BalloonTextChar">
    <w:name w:val="Balloon Text Char"/>
    <w:basedOn w:val="DefaultParagraphFont"/>
    <w:link w:val="BalloonText"/>
    <w:uiPriority w:val="99"/>
    <w:semiHidden/>
    <w:rsid w:val="00DA608D"/>
    <w:rPr>
      <w:rFonts w:ascii="Tahoma" w:eastAsiaTheme="minorEastAsia" w:hAnsi="Tahoma" w:cs="Tahoma"/>
      <w:sz w:val="16"/>
      <w:szCs w:val="16"/>
    </w:rPr>
  </w:style>
  <w:style w:type="paragraph" w:styleId="Header">
    <w:name w:val="header"/>
    <w:basedOn w:val="Normal"/>
    <w:link w:val="HeaderChar"/>
    <w:uiPriority w:val="99"/>
    <w:unhideWhenUsed/>
    <w:rsid w:val="00DA608D"/>
    <w:pPr>
      <w:tabs>
        <w:tab w:val="center" w:pos="4680"/>
        <w:tab w:val="right" w:pos="9360"/>
      </w:tabs>
    </w:pPr>
  </w:style>
  <w:style w:type="character" w:customStyle="1" w:styleId="HeaderChar">
    <w:name w:val="Header Char"/>
    <w:basedOn w:val="DefaultParagraphFont"/>
    <w:link w:val="Header"/>
    <w:uiPriority w:val="99"/>
    <w:rsid w:val="00DA608D"/>
    <w:rPr>
      <w:rFonts w:eastAsiaTheme="minorEastAsia"/>
    </w:rPr>
  </w:style>
  <w:style w:type="paragraph" w:styleId="Footer">
    <w:name w:val="footer"/>
    <w:basedOn w:val="Normal"/>
    <w:link w:val="FooterChar"/>
    <w:uiPriority w:val="99"/>
    <w:unhideWhenUsed/>
    <w:rsid w:val="00DA608D"/>
    <w:pPr>
      <w:tabs>
        <w:tab w:val="center" w:pos="4680"/>
        <w:tab w:val="right" w:pos="9360"/>
      </w:tabs>
    </w:pPr>
  </w:style>
  <w:style w:type="character" w:customStyle="1" w:styleId="FooterChar">
    <w:name w:val="Footer Char"/>
    <w:basedOn w:val="DefaultParagraphFont"/>
    <w:link w:val="Footer"/>
    <w:uiPriority w:val="99"/>
    <w:rsid w:val="00DA608D"/>
    <w:rPr>
      <w:rFonts w:eastAsiaTheme="minorEastAsia"/>
    </w:rPr>
  </w:style>
  <w:style w:type="paragraph" w:customStyle="1" w:styleId="Footnote">
    <w:name w:val="Footnote"/>
    <w:basedOn w:val="FootnoteText"/>
    <w:link w:val="FootnoteChar"/>
    <w:qFormat/>
    <w:rsid w:val="00DA608D"/>
  </w:style>
  <w:style w:type="character" w:customStyle="1" w:styleId="FootnoteChar">
    <w:name w:val="Footnote Char"/>
    <w:basedOn w:val="FootnoteTextChar"/>
    <w:link w:val="Footnote"/>
    <w:rsid w:val="00DA608D"/>
    <w:rPr>
      <w:rFonts w:eastAsiaTheme="minorEastAsia"/>
      <w:sz w:val="20"/>
      <w:szCs w:val="20"/>
    </w:rPr>
  </w:style>
  <w:style w:type="character" w:customStyle="1" w:styleId="st">
    <w:name w:val="st"/>
    <w:basedOn w:val="DefaultParagraphFont"/>
    <w:rsid w:val="00DA608D"/>
  </w:style>
  <w:style w:type="character" w:styleId="Emphasis">
    <w:name w:val="Emphasis"/>
    <w:basedOn w:val="DefaultParagraphFont"/>
    <w:uiPriority w:val="20"/>
    <w:qFormat/>
    <w:rsid w:val="00DA608D"/>
    <w:rPr>
      <w:i/>
      <w:iCs/>
    </w:rPr>
  </w:style>
  <w:style w:type="character" w:styleId="PlaceholderText">
    <w:name w:val="Placeholder Text"/>
    <w:basedOn w:val="DefaultParagraphFont"/>
    <w:uiPriority w:val="99"/>
    <w:semiHidden/>
    <w:rsid w:val="00DA608D"/>
    <w:rPr>
      <w:color w:val="808080"/>
    </w:rPr>
  </w:style>
  <w:style w:type="character" w:styleId="LineNumber">
    <w:name w:val="line number"/>
    <w:basedOn w:val="DefaultParagraphFont"/>
    <w:uiPriority w:val="99"/>
    <w:semiHidden/>
    <w:unhideWhenUsed/>
    <w:rsid w:val="00DA608D"/>
  </w:style>
  <w:style w:type="character" w:styleId="Strong">
    <w:name w:val="Strong"/>
    <w:basedOn w:val="DefaultParagraphFont"/>
    <w:uiPriority w:val="22"/>
    <w:qFormat/>
    <w:rsid w:val="00DA608D"/>
    <w:rPr>
      <w:b/>
      <w:bCs/>
    </w:rPr>
  </w:style>
  <w:style w:type="character" w:customStyle="1" w:styleId="pb">
    <w:name w:val="pb"/>
    <w:basedOn w:val="DefaultParagraphFont"/>
    <w:rsid w:val="00DA608D"/>
  </w:style>
  <w:style w:type="character" w:styleId="Hyperlink">
    <w:name w:val="Hyperlink"/>
    <w:basedOn w:val="DefaultParagraphFont"/>
    <w:uiPriority w:val="99"/>
    <w:unhideWhenUsed/>
    <w:rsid w:val="00DA608D"/>
    <w:rPr>
      <w:color w:val="0000FF"/>
      <w:u w:val="single"/>
    </w:rPr>
  </w:style>
  <w:style w:type="character" w:customStyle="1" w:styleId="itempublisher">
    <w:name w:val="itempublisher"/>
    <w:basedOn w:val="DefaultParagraphFont"/>
    <w:rsid w:val="00DA608D"/>
  </w:style>
  <w:style w:type="paragraph" w:styleId="List">
    <w:name w:val="List"/>
    <w:basedOn w:val="Normal"/>
    <w:uiPriority w:val="99"/>
    <w:unhideWhenUsed/>
    <w:rsid w:val="00DA608D"/>
    <w:pPr>
      <w:ind w:left="360" w:hanging="360"/>
      <w:contextualSpacing/>
    </w:pPr>
  </w:style>
  <w:style w:type="character" w:customStyle="1" w:styleId="titlemain">
    <w:name w:val="titlemain"/>
    <w:basedOn w:val="DefaultParagraphFont"/>
    <w:rsid w:val="00DA608D"/>
  </w:style>
  <w:style w:type="character" w:customStyle="1" w:styleId="s19">
    <w:name w:val="s19"/>
    <w:basedOn w:val="DefaultParagraphFont"/>
    <w:rsid w:val="00DA608D"/>
  </w:style>
  <w:style w:type="character" w:customStyle="1" w:styleId="s10">
    <w:name w:val="s10"/>
    <w:basedOn w:val="DefaultParagraphFont"/>
    <w:rsid w:val="00DA608D"/>
  </w:style>
  <w:style w:type="character" w:customStyle="1" w:styleId="s20">
    <w:name w:val="s20"/>
    <w:basedOn w:val="DefaultParagraphFont"/>
    <w:rsid w:val="00DA608D"/>
  </w:style>
  <w:style w:type="paragraph" w:customStyle="1" w:styleId="par-l-main-text">
    <w:name w:val="par-l-main-text"/>
    <w:basedOn w:val="Normal"/>
    <w:rsid w:val="00DA608D"/>
    <w:pPr>
      <w:spacing w:before="100" w:beforeAutospacing="1" w:after="100" w:afterAutospacing="1"/>
      <w:ind w:firstLine="0"/>
    </w:pPr>
    <w:rPr>
      <w:rFonts w:ascii="Times New Roman" w:eastAsia="Times New Roman" w:hAnsi="Times New Roman" w:cs="Times New Roman"/>
      <w:sz w:val="24"/>
      <w:szCs w:val="24"/>
    </w:rPr>
  </w:style>
  <w:style w:type="character" w:customStyle="1" w:styleId="s22">
    <w:name w:val="s22"/>
    <w:basedOn w:val="DefaultParagraphFont"/>
    <w:rsid w:val="00DA608D"/>
  </w:style>
  <w:style w:type="character" w:customStyle="1" w:styleId="medium-font">
    <w:name w:val="medium-font"/>
    <w:basedOn w:val="DefaultParagraphFont"/>
    <w:rsid w:val="00DA608D"/>
  </w:style>
  <w:style w:type="character" w:customStyle="1" w:styleId="a-size-extra-large">
    <w:name w:val="a-size-extra-large"/>
    <w:basedOn w:val="DefaultParagraphFont"/>
    <w:rsid w:val="00DA60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08D"/>
    <w:pPr>
      <w:spacing w:after="0" w:line="240" w:lineRule="auto"/>
      <w:ind w:firstLine="720"/>
    </w:pPr>
    <w:rPr>
      <w:rFonts w:eastAsiaTheme="minorEastAsia"/>
    </w:rPr>
  </w:style>
  <w:style w:type="paragraph" w:styleId="Heading1">
    <w:name w:val="heading 1"/>
    <w:basedOn w:val="Normal"/>
    <w:next w:val="Normal"/>
    <w:link w:val="Heading1Char"/>
    <w:autoRedefine/>
    <w:uiPriority w:val="9"/>
    <w:qFormat/>
    <w:rsid w:val="009128CE"/>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81E9A"/>
    <w:pPr>
      <w:keepNext/>
      <w:keepLines/>
      <w:spacing w:before="200" w:after="120"/>
      <w:ind w:firstLine="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2E0D33"/>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255553"/>
    <w:pPr>
      <w:ind w:left="720" w:firstLine="0"/>
    </w:pPr>
    <w:rPr>
      <w:rFonts w:ascii="Calibri" w:hAnsi="Calibri"/>
      <w:iCs/>
      <w:color w:val="000000" w:themeColor="text1"/>
      <w:lang w:bidi="he-IL"/>
    </w:rPr>
  </w:style>
  <w:style w:type="character" w:customStyle="1" w:styleId="QuoteChar">
    <w:name w:val="Quote Char"/>
    <w:basedOn w:val="DefaultParagraphFont"/>
    <w:link w:val="Quote"/>
    <w:uiPriority w:val="29"/>
    <w:rsid w:val="00255553"/>
    <w:rPr>
      <w:rFonts w:ascii="Calibri" w:eastAsiaTheme="minorEastAsia" w:hAnsi="Calibri"/>
      <w:iCs/>
      <w:color w:val="000000" w:themeColor="text1"/>
      <w:lang w:bidi="he-IL"/>
    </w:rPr>
  </w:style>
  <w:style w:type="paragraph" w:styleId="ListParagraph">
    <w:name w:val="List Paragraph"/>
    <w:basedOn w:val="Normal"/>
    <w:uiPriority w:val="34"/>
    <w:qFormat/>
    <w:rsid w:val="00801A7D"/>
    <w:pPr>
      <w:ind w:left="288" w:hanging="288"/>
    </w:pPr>
    <w:rPr>
      <w:rFonts w:ascii="Calibri" w:eastAsia="Times New Roman" w:hAnsi="Calibri" w:cs="Times New Roman"/>
      <w:szCs w:val="20"/>
    </w:rPr>
  </w:style>
  <w:style w:type="paragraph" w:styleId="NoSpacing">
    <w:name w:val="No Spacing"/>
    <w:uiPriority w:val="1"/>
    <w:qFormat/>
    <w:rsid w:val="006964F3"/>
    <w:pPr>
      <w:spacing w:after="0" w:line="240" w:lineRule="auto"/>
    </w:pPr>
    <w:rPr>
      <w:rFonts w:eastAsiaTheme="minorEastAsia"/>
    </w:rPr>
  </w:style>
  <w:style w:type="character" w:customStyle="1" w:styleId="Heading1Char">
    <w:name w:val="Heading 1 Char"/>
    <w:basedOn w:val="DefaultParagraphFont"/>
    <w:link w:val="Heading1"/>
    <w:uiPriority w:val="9"/>
    <w:rsid w:val="009128C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81E9A"/>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42E0D"/>
    <w:pPr>
      <w:widowControl w:val="0"/>
      <w:pBdr>
        <w:bottom w:val="single" w:sz="8" w:space="4" w:color="4F81BD" w:themeColor="accent1"/>
      </w:pBdr>
      <w:autoSpaceDE w:val="0"/>
      <w:autoSpaceDN w:val="0"/>
      <w:adjustRightInd w:val="0"/>
      <w:spacing w:after="300"/>
      <w:ind w:firstLine="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42E0D"/>
    <w:rPr>
      <w:rFonts w:asciiTheme="majorHAnsi" w:eastAsiaTheme="majorEastAsia" w:hAnsiTheme="majorHAnsi" w:cstheme="majorBidi"/>
      <w:spacing w:val="5"/>
      <w:kern w:val="28"/>
      <w:sz w:val="52"/>
      <w:szCs w:val="52"/>
    </w:rPr>
  </w:style>
  <w:style w:type="character" w:customStyle="1" w:styleId="Heading3Char">
    <w:name w:val="Heading 3 Char"/>
    <w:basedOn w:val="DefaultParagraphFont"/>
    <w:link w:val="Heading3"/>
    <w:uiPriority w:val="9"/>
    <w:rsid w:val="002E0D33"/>
    <w:rPr>
      <w:rFonts w:asciiTheme="majorHAnsi" w:eastAsiaTheme="majorEastAsia" w:hAnsiTheme="majorHAnsi" w:cstheme="majorBidi"/>
      <w:b/>
      <w:bCs/>
    </w:rPr>
  </w:style>
  <w:style w:type="paragraph" w:styleId="PlainText">
    <w:name w:val="Plain Text"/>
    <w:basedOn w:val="Normal"/>
    <w:link w:val="PlainTextChar"/>
    <w:autoRedefine/>
    <w:unhideWhenUsed/>
    <w:qFormat/>
    <w:rsid w:val="001F57DF"/>
    <w:pPr>
      <w:ind w:firstLine="0"/>
    </w:pPr>
    <w:rPr>
      <w:rFonts w:cs="Times New Roman"/>
      <w:szCs w:val="20"/>
      <w:lang w:bidi="he-IL"/>
    </w:rPr>
  </w:style>
  <w:style w:type="character" w:customStyle="1" w:styleId="PlainTextChar">
    <w:name w:val="Plain Text Char"/>
    <w:basedOn w:val="DefaultParagraphFont"/>
    <w:link w:val="PlainText"/>
    <w:rsid w:val="001F57DF"/>
    <w:rPr>
      <w:rFonts w:eastAsiaTheme="minorEastAsia" w:cs="Times New Roman"/>
      <w:szCs w:val="20"/>
      <w:lang w:val="en-GB" w:bidi="he-IL"/>
    </w:rPr>
  </w:style>
  <w:style w:type="paragraph" w:customStyle="1" w:styleId="Default">
    <w:name w:val="Default"/>
    <w:rsid w:val="00DA608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DA608D"/>
    <w:rPr>
      <w:sz w:val="20"/>
      <w:szCs w:val="20"/>
    </w:rPr>
  </w:style>
  <w:style w:type="character" w:customStyle="1" w:styleId="FootnoteTextChar">
    <w:name w:val="Footnote Text Char"/>
    <w:basedOn w:val="DefaultParagraphFont"/>
    <w:link w:val="FootnoteText"/>
    <w:uiPriority w:val="99"/>
    <w:rsid w:val="00DA608D"/>
    <w:rPr>
      <w:rFonts w:eastAsiaTheme="minorEastAsia"/>
      <w:sz w:val="20"/>
      <w:szCs w:val="20"/>
    </w:rPr>
  </w:style>
  <w:style w:type="character" w:styleId="FootnoteReference">
    <w:name w:val="footnote reference"/>
    <w:basedOn w:val="DefaultParagraphFont"/>
    <w:uiPriority w:val="99"/>
    <w:semiHidden/>
    <w:unhideWhenUsed/>
    <w:rsid w:val="00DA608D"/>
    <w:rPr>
      <w:vertAlign w:val="superscript"/>
    </w:rPr>
  </w:style>
  <w:style w:type="character" w:styleId="CommentReference">
    <w:name w:val="annotation reference"/>
    <w:basedOn w:val="DefaultParagraphFont"/>
    <w:uiPriority w:val="99"/>
    <w:semiHidden/>
    <w:unhideWhenUsed/>
    <w:rsid w:val="00DA608D"/>
    <w:rPr>
      <w:sz w:val="16"/>
      <w:szCs w:val="16"/>
    </w:rPr>
  </w:style>
  <w:style w:type="paragraph" w:styleId="CommentText">
    <w:name w:val="annotation text"/>
    <w:basedOn w:val="Normal"/>
    <w:link w:val="CommentTextChar"/>
    <w:uiPriority w:val="99"/>
    <w:semiHidden/>
    <w:unhideWhenUsed/>
    <w:rsid w:val="00DA608D"/>
    <w:rPr>
      <w:sz w:val="20"/>
      <w:szCs w:val="20"/>
    </w:rPr>
  </w:style>
  <w:style w:type="character" w:customStyle="1" w:styleId="CommentTextChar">
    <w:name w:val="Comment Text Char"/>
    <w:basedOn w:val="DefaultParagraphFont"/>
    <w:link w:val="CommentText"/>
    <w:uiPriority w:val="99"/>
    <w:semiHidden/>
    <w:rsid w:val="00DA608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A608D"/>
    <w:rPr>
      <w:b/>
      <w:bCs/>
    </w:rPr>
  </w:style>
  <w:style w:type="character" w:customStyle="1" w:styleId="CommentSubjectChar">
    <w:name w:val="Comment Subject Char"/>
    <w:basedOn w:val="CommentTextChar"/>
    <w:link w:val="CommentSubject"/>
    <w:uiPriority w:val="99"/>
    <w:semiHidden/>
    <w:rsid w:val="00DA608D"/>
    <w:rPr>
      <w:rFonts w:eastAsiaTheme="minorEastAsia"/>
      <w:b/>
      <w:bCs/>
      <w:sz w:val="20"/>
      <w:szCs w:val="20"/>
    </w:rPr>
  </w:style>
  <w:style w:type="paragraph" w:styleId="BalloonText">
    <w:name w:val="Balloon Text"/>
    <w:basedOn w:val="Normal"/>
    <w:link w:val="BalloonTextChar"/>
    <w:uiPriority w:val="99"/>
    <w:semiHidden/>
    <w:unhideWhenUsed/>
    <w:rsid w:val="00DA608D"/>
    <w:rPr>
      <w:rFonts w:ascii="Tahoma" w:hAnsi="Tahoma" w:cs="Tahoma"/>
      <w:sz w:val="16"/>
      <w:szCs w:val="16"/>
    </w:rPr>
  </w:style>
  <w:style w:type="character" w:customStyle="1" w:styleId="BalloonTextChar">
    <w:name w:val="Balloon Text Char"/>
    <w:basedOn w:val="DefaultParagraphFont"/>
    <w:link w:val="BalloonText"/>
    <w:uiPriority w:val="99"/>
    <w:semiHidden/>
    <w:rsid w:val="00DA608D"/>
    <w:rPr>
      <w:rFonts w:ascii="Tahoma" w:eastAsiaTheme="minorEastAsia" w:hAnsi="Tahoma" w:cs="Tahoma"/>
      <w:sz w:val="16"/>
      <w:szCs w:val="16"/>
    </w:rPr>
  </w:style>
  <w:style w:type="paragraph" w:styleId="Header">
    <w:name w:val="header"/>
    <w:basedOn w:val="Normal"/>
    <w:link w:val="HeaderChar"/>
    <w:uiPriority w:val="99"/>
    <w:unhideWhenUsed/>
    <w:rsid w:val="00DA608D"/>
    <w:pPr>
      <w:tabs>
        <w:tab w:val="center" w:pos="4680"/>
        <w:tab w:val="right" w:pos="9360"/>
      </w:tabs>
    </w:pPr>
  </w:style>
  <w:style w:type="character" w:customStyle="1" w:styleId="HeaderChar">
    <w:name w:val="Header Char"/>
    <w:basedOn w:val="DefaultParagraphFont"/>
    <w:link w:val="Header"/>
    <w:uiPriority w:val="99"/>
    <w:rsid w:val="00DA608D"/>
    <w:rPr>
      <w:rFonts w:eastAsiaTheme="minorEastAsia"/>
    </w:rPr>
  </w:style>
  <w:style w:type="paragraph" w:styleId="Footer">
    <w:name w:val="footer"/>
    <w:basedOn w:val="Normal"/>
    <w:link w:val="FooterChar"/>
    <w:uiPriority w:val="99"/>
    <w:unhideWhenUsed/>
    <w:rsid w:val="00DA608D"/>
    <w:pPr>
      <w:tabs>
        <w:tab w:val="center" w:pos="4680"/>
        <w:tab w:val="right" w:pos="9360"/>
      </w:tabs>
    </w:pPr>
  </w:style>
  <w:style w:type="character" w:customStyle="1" w:styleId="FooterChar">
    <w:name w:val="Footer Char"/>
    <w:basedOn w:val="DefaultParagraphFont"/>
    <w:link w:val="Footer"/>
    <w:uiPriority w:val="99"/>
    <w:rsid w:val="00DA608D"/>
    <w:rPr>
      <w:rFonts w:eastAsiaTheme="minorEastAsia"/>
    </w:rPr>
  </w:style>
  <w:style w:type="paragraph" w:customStyle="1" w:styleId="Footnote">
    <w:name w:val="Footnote"/>
    <w:basedOn w:val="FootnoteText"/>
    <w:link w:val="FootnoteChar"/>
    <w:qFormat/>
    <w:rsid w:val="00DA608D"/>
  </w:style>
  <w:style w:type="character" w:customStyle="1" w:styleId="FootnoteChar">
    <w:name w:val="Footnote Char"/>
    <w:basedOn w:val="FootnoteTextChar"/>
    <w:link w:val="Footnote"/>
    <w:rsid w:val="00DA608D"/>
    <w:rPr>
      <w:rFonts w:eastAsiaTheme="minorEastAsia"/>
      <w:sz w:val="20"/>
      <w:szCs w:val="20"/>
    </w:rPr>
  </w:style>
  <w:style w:type="character" w:customStyle="1" w:styleId="st">
    <w:name w:val="st"/>
    <w:basedOn w:val="DefaultParagraphFont"/>
    <w:rsid w:val="00DA608D"/>
  </w:style>
  <w:style w:type="character" w:styleId="Emphasis">
    <w:name w:val="Emphasis"/>
    <w:basedOn w:val="DefaultParagraphFont"/>
    <w:uiPriority w:val="20"/>
    <w:qFormat/>
    <w:rsid w:val="00DA608D"/>
    <w:rPr>
      <w:i/>
      <w:iCs/>
    </w:rPr>
  </w:style>
  <w:style w:type="character" w:styleId="PlaceholderText">
    <w:name w:val="Placeholder Text"/>
    <w:basedOn w:val="DefaultParagraphFont"/>
    <w:uiPriority w:val="99"/>
    <w:semiHidden/>
    <w:rsid w:val="00DA608D"/>
    <w:rPr>
      <w:color w:val="808080"/>
    </w:rPr>
  </w:style>
  <w:style w:type="character" w:styleId="LineNumber">
    <w:name w:val="line number"/>
    <w:basedOn w:val="DefaultParagraphFont"/>
    <w:uiPriority w:val="99"/>
    <w:semiHidden/>
    <w:unhideWhenUsed/>
    <w:rsid w:val="00DA608D"/>
  </w:style>
  <w:style w:type="character" w:styleId="Strong">
    <w:name w:val="Strong"/>
    <w:basedOn w:val="DefaultParagraphFont"/>
    <w:uiPriority w:val="22"/>
    <w:qFormat/>
    <w:rsid w:val="00DA608D"/>
    <w:rPr>
      <w:b/>
      <w:bCs/>
    </w:rPr>
  </w:style>
  <w:style w:type="character" w:customStyle="1" w:styleId="pb">
    <w:name w:val="pb"/>
    <w:basedOn w:val="DefaultParagraphFont"/>
    <w:rsid w:val="00DA608D"/>
  </w:style>
  <w:style w:type="character" w:styleId="Hyperlink">
    <w:name w:val="Hyperlink"/>
    <w:basedOn w:val="DefaultParagraphFont"/>
    <w:uiPriority w:val="99"/>
    <w:unhideWhenUsed/>
    <w:rsid w:val="00DA608D"/>
    <w:rPr>
      <w:color w:val="0000FF"/>
      <w:u w:val="single"/>
    </w:rPr>
  </w:style>
  <w:style w:type="character" w:customStyle="1" w:styleId="itempublisher">
    <w:name w:val="itempublisher"/>
    <w:basedOn w:val="DefaultParagraphFont"/>
    <w:rsid w:val="00DA608D"/>
  </w:style>
  <w:style w:type="paragraph" w:styleId="List">
    <w:name w:val="List"/>
    <w:basedOn w:val="Normal"/>
    <w:uiPriority w:val="99"/>
    <w:unhideWhenUsed/>
    <w:rsid w:val="00DA608D"/>
    <w:pPr>
      <w:ind w:left="360" w:hanging="360"/>
      <w:contextualSpacing/>
    </w:pPr>
  </w:style>
  <w:style w:type="character" w:customStyle="1" w:styleId="titlemain">
    <w:name w:val="titlemain"/>
    <w:basedOn w:val="DefaultParagraphFont"/>
    <w:rsid w:val="00DA608D"/>
  </w:style>
  <w:style w:type="character" w:customStyle="1" w:styleId="s19">
    <w:name w:val="s19"/>
    <w:basedOn w:val="DefaultParagraphFont"/>
    <w:rsid w:val="00DA608D"/>
  </w:style>
  <w:style w:type="character" w:customStyle="1" w:styleId="s10">
    <w:name w:val="s10"/>
    <w:basedOn w:val="DefaultParagraphFont"/>
    <w:rsid w:val="00DA608D"/>
  </w:style>
  <w:style w:type="character" w:customStyle="1" w:styleId="s20">
    <w:name w:val="s20"/>
    <w:basedOn w:val="DefaultParagraphFont"/>
    <w:rsid w:val="00DA608D"/>
  </w:style>
  <w:style w:type="paragraph" w:customStyle="1" w:styleId="par-l-main-text">
    <w:name w:val="par-l-main-text"/>
    <w:basedOn w:val="Normal"/>
    <w:rsid w:val="00DA608D"/>
    <w:pPr>
      <w:spacing w:before="100" w:beforeAutospacing="1" w:after="100" w:afterAutospacing="1"/>
      <w:ind w:firstLine="0"/>
    </w:pPr>
    <w:rPr>
      <w:rFonts w:ascii="Times New Roman" w:eastAsia="Times New Roman" w:hAnsi="Times New Roman" w:cs="Times New Roman"/>
      <w:sz w:val="24"/>
      <w:szCs w:val="24"/>
    </w:rPr>
  </w:style>
  <w:style w:type="character" w:customStyle="1" w:styleId="s22">
    <w:name w:val="s22"/>
    <w:basedOn w:val="DefaultParagraphFont"/>
    <w:rsid w:val="00DA608D"/>
  </w:style>
  <w:style w:type="character" w:customStyle="1" w:styleId="medium-font">
    <w:name w:val="medium-font"/>
    <w:basedOn w:val="DefaultParagraphFont"/>
    <w:rsid w:val="00DA608D"/>
  </w:style>
  <w:style w:type="character" w:customStyle="1" w:styleId="a-size-extra-large">
    <w:name w:val="a-size-extra-large"/>
    <w:basedOn w:val="DefaultParagraphFont"/>
    <w:rsid w:val="00DA6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7435</Words>
  <Characters>42384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49720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1</cp:revision>
  <dcterms:created xsi:type="dcterms:W3CDTF">2016-11-09T21:23:00Z</dcterms:created>
  <dcterms:modified xsi:type="dcterms:W3CDTF">2016-11-09T21:23:00Z</dcterms:modified>
</cp:coreProperties>
</file>