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BB" w:rsidRDefault="006C53D6" w:rsidP="007A7FA3">
      <w:pPr>
        <w:pStyle w:val="Heading1"/>
      </w:pPr>
      <w:r>
        <w:t xml:space="preserve">Isaiah 56 </w:t>
      </w:r>
      <w:r w:rsidR="000D424E">
        <w:t>–</w:t>
      </w:r>
      <w:r w:rsidR="000B57BB">
        <w:t xml:space="preserve"> 66: An </w:t>
      </w:r>
      <w:proofErr w:type="spellStart"/>
      <w:r w:rsidR="000B57BB">
        <w:t>Isaianic</w:t>
      </w:r>
      <w:proofErr w:type="spellEnd"/>
      <w:r w:rsidR="000B57BB">
        <w:t xml:space="preserve"> and a Postcolonial Reading </w:t>
      </w:r>
    </w:p>
    <w:p w:rsidR="006C53D6" w:rsidRDefault="000B57BB" w:rsidP="007A7FA3">
      <w:pPr>
        <w:pStyle w:val="Heading1"/>
      </w:pPr>
      <w:r>
        <w:t>John Goldingay</w:t>
      </w:r>
      <w:r>
        <w:rPr>
          <w:rStyle w:val="FootnoteReference"/>
        </w:rPr>
        <w:footnoteReference w:id="1"/>
      </w:r>
    </w:p>
    <w:p w:rsidR="000B57BB" w:rsidRDefault="000B57BB" w:rsidP="003D2010">
      <w:r>
        <w:t xml:space="preserve">What are effective approaches to the interpretation of Isaiah 56 – 66?  </w:t>
      </w:r>
    </w:p>
    <w:p w:rsidR="000B57BB" w:rsidRDefault="000B57BB" w:rsidP="003D2010"/>
    <w:p w:rsidR="000B57BB" w:rsidRDefault="004B722C" w:rsidP="003D2010">
      <w:r>
        <w:t>I start from the standard c</w:t>
      </w:r>
      <w:r w:rsidR="000B57BB">
        <w:t>ritical view that these chapters</w:t>
      </w:r>
      <w:r>
        <w:t xml:space="preserve"> </w:t>
      </w:r>
      <w:r w:rsidR="000B57BB">
        <w:t>form</w:t>
      </w:r>
      <w:r w:rsidR="00B9304B">
        <w:t xml:space="preserve"> a coh</w:t>
      </w:r>
      <w:r w:rsidR="002019AE">
        <w:t>erent and relatively self-contained</w:t>
      </w:r>
      <w:r w:rsidR="00B9304B">
        <w:t xml:space="preserve"> unit within the book of Isaiah,</w:t>
      </w:r>
      <w:r>
        <w:t xml:space="preserve"> </w:t>
      </w:r>
      <w:r w:rsidR="000B57BB">
        <w:t xml:space="preserve">a collection of prophecies </w:t>
      </w:r>
      <w:r w:rsidR="00760295">
        <w:t xml:space="preserve">from the Second Temple period.  </w:t>
      </w:r>
      <w:r w:rsidR="000B57BB">
        <w:t>It is</w:t>
      </w:r>
      <w:r w:rsidR="00EB4345">
        <w:t xml:space="preserve"> also a widely-held view that the chapters are arranged as a chiasm</w:t>
      </w:r>
      <w:r w:rsidR="00CB1098">
        <w:t>, a concentric</w:t>
      </w:r>
      <w:r w:rsidR="00B9304B">
        <w:t xml:space="preserve"> structure</w:t>
      </w:r>
      <w:r w:rsidR="000B57BB">
        <w:t>, and this is</w:t>
      </w:r>
      <w:r w:rsidR="00B9304B">
        <w:t xml:space="preserve"> </w:t>
      </w:r>
      <w:proofErr w:type="gramStart"/>
      <w:r w:rsidR="00B9304B">
        <w:t>one evidence</w:t>
      </w:r>
      <w:proofErr w:type="gramEnd"/>
      <w:r w:rsidR="00B9304B">
        <w:t xml:space="preserve"> of their being a distinguishable unit within the book</w:t>
      </w:r>
      <w:r w:rsidR="00760295">
        <w:t>.  Now Old Testament scholars can find chiasm</w:t>
      </w:r>
      <w:r w:rsidR="00070ABD">
        <w:t>s under every bush, but this example</w:t>
      </w:r>
      <w:r w:rsidR="00760295">
        <w:t xml:space="preserve"> looks more secure than most and </w:t>
      </w:r>
      <w:r w:rsidR="000B57BB">
        <w:t>in broad terms it is</w:t>
      </w:r>
      <w:r w:rsidR="00760295">
        <w:t xml:space="preserve"> more widely recognized than most, though there are differing views </w:t>
      </w:r>
      <w:r w:rsidR="00070ABD">
        <w:t>about the detail</w:t>
      </w:r>
      <w:r w:rsidR="00EB4345">
        <w:t>s</w:t>
      </w:r>
      <w:r w:rsidR="00070ABD">
        <w:t xml:space="preserve"> and about</w:t>
      </w:r>
      <w:r w:rsidR="00760295">
        <w:t xml:space="preserve"> its significance.  </w:t>
      </w:r>
      <w:r w:rsidR="000B57BB">
        <w:t>I outline the chapters as follows.</w:t>
      </w:r>
    </w:p>
    <w:p w:rsidR="000B57BB" w:rsidRDefault="000B57BB" w:rsidP="003D2010"/>
    <w:p w:rsidR="000B57BB" w:rsidRDefault="000B57BB" w:rsidP="000B57BB">
      <w:pPr>
        <w:rPr>
          <w:rFonts w:ascii="Calibri" w:eastAsia="Calibri" w:hAnsi="Calibri" w:cs="Times New Roman"/>
        </w:rPr>
      </w:pPr>
      <w:r>
        <w:rPr>
          <w:rFonts w:ascii="Calibri" w:eastAsia="Calibri" w:hAnsi="Calibri" w:cs="Times New Roman"/>
        </w:rPr>
        <w:t>56:1-8 Preface: the place of foreigners in the service of Y</w:t>
      </w:r>
      <w:r>
        <w:t>a</w:t>
      </w:r>
      <w:r>
        <w:rPr>
          <w:rFonts w:ascii="Calibri" w:eastAsia="Calibri" w:hAnsi="Calibri" w:cs="Times New Roman"/>
        </w:rPr>
        <w:t>hw</w:t>
      </w:r>
      <w:r>
        <w:t>e</w:t>
      </w:r>
      <w:r>
        <w:rPr>
          <w:rFonts w:ascii="Calibri" w:eastAsia="Calibri" w:hAnsi="Calibri" w:cs="Times New Roman"/>
        </w:rPr>
        <w:t xml:space="preserve">h  </w:t>
      </w:r>
      <w:r>
        <w:tab/>
        <w:t xml:space="preserve">      </w:t>
      </w:r>
    </w:p>
    <w:p w:rsidR="000B57BB" w:rsidRDefault="000B57BB" w:rsidP="000B57BB">
      <w:pPr>
        <w:rPr>
          <w:rFonts w:ascii="Calibri" w:eastAsia="Calibri" w:hAnsi="Calibri" w:cs="Times New Roman"/>
        </w:rPr>
      </w:pPr>
      <w:r>
        <w:rPr>
          <w:rFonts w:ascii="Calibri" w:eastAsia="Calibri" w:hAnsi="Calibri" w:cs="Times New Roman"/>
        </w:rPr>
        <w:t xml:space="preserve">      56:9 – 59:8 </w:t>
      </w:r>
      <w:r>
        <w:t>Yahweh</w:t>
      </w:r>
      <w:r>
        <w:rPr>
          <w:rFonts w:ascii="Calibri" w:eastAsia="Calibri" w:hAnsi="Calibri" w:cs="Times New Roman"/>
        </w:rPr>
        <w:t>’s challenges concerning the Jerusalem community’s life</w:t>
      </w:r>
      <w:r>
        <w:rPr>
          <w:rFonts w:ascii="Calibri" w:eastAsia="Calibri" w:hAnsi="Calibri" w:cs="Times New Roman"/>
        </w:rPr>
        <w:tab/>
      </w:r>
      <w:r>
        <w:rPr>
          <w:rFonts w:ascii="Calibri" w:eastAsia="Calibri" w:hAnsi="Calibri" w:cs="Times New Roman"/>
        </w:rPr>
        <w:tab/>
        <w:t xml:space="preserve">      </w:t>
      </w:r>
    </w:p>
    <w:p w:rsidR="000B57BB" w:rsidRDefault="000B57BB" w:rsidP="000B57BB">
      <w:pPr>
        <w:rPr>
          <w:rFonts w:ascii="Calibri" w:eastAsia="Calibri" w:hAnsi="Calibri" w:cs="Times New Roman"/>
        </w:rPr>
      </w:pPr>
      <w:r>
        <w:rPr>
          <w:rFonts w:ascii="Calibri" w:eastAsia="Calibri" w:hAnsi="Calibri" w:cs="Times New Roman"/>
        </w:rPr>
        <w:t xml:space="preserve">            59:9-15a Prayers for </w:t>
      </w:r>
      <w:r>
        <w:t>Yahweh</w:t>
      </w:r>
      <w:r>
        <w:rPr>
          <w:rFonts w:ascii="Calibri" w:eastAsia="Calibri" w:hAnsi="Calibri" w:cs="Times New Roman"/>
        </w:rPr>
        <w:t>’s forgiveness and restoration</w:t>
      </w:r>
      <w:r>
        <w:rPr>
          <w:rFonts w:ascii="Calibri" w:eastAsia="Calibri" w:hAnsi="Calibri" w:cs="Times New Roman"/>
        </w:rPr>
        <w:tab/>
        <w:t xml:space="preserve">    </w:t>
      </w:r>
    </w:p>
    <w:p w:rsidR="000B57BB" w:rsidRDefault="000B57BB" w:rsidP="000B57BB">
      <w:pPr>
        <w:rPr>
          <w:rFonts w:ascii="Calibri" w:eastAsia="Calibri" w:hAnsi="Calibri" w:cs="Times New Roman"/>
        </w:rPr>
      </w:pPr>
      <w:r>
        <w:rPr>
          <w:rFonts w:ascii="Calibri" w:eastAsia="Calibri" w:hAnsi="Calibri" w:cs="Times New Roman"/>
        </w:rPr>
        <w:t xml:space="preserve">                  59:15b-21 Vision of </w:t>
      </w:r>
      <w:r>
        <w:t>Yahweh</w:t>
      </w:r>
      <w:r>
        <w:rPr>
          <w:rFonts w:ascii="Calibri" w:eastAsia="Calibri" w:hAnsi="Calibri" w:cs="Times New Roman"/>
        </w:rPr>
        <w:t xml:space="preserve"> acting in judgment         </w:t>
      </w:r>
    </w:p>
    <w:p w:rsidR="000B57BB" w:rsidRDefault="000B57BB" w:rsidP="000B57BB">
      <w:pPr>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t xml:space="preserve">        60:</w:t>
      </w:r>
      <w:proofErr w:type="gramStart"/>
      <w:r>
        <w:rPr>
          <w:rFonts w:ascii="Calibri" w:eastAsia="Calibri" w:hAnsi="Calibri" w:cs="Times New Roman"/>
        </w:rPr>
        <w:t>1-22 Vision of Jerusalem</w:t>
      </w:r>
      <w:proofErr w:type="gramEnd"/>
      <w:r>
        <w:rPr>
          <w:rFonts w:ascii="Calibri" w:eastAsia="Calibri" w:hAnsi="Calibri" w:cs="Times New Roman"/>
        </w:rPr>
        <w:t xml:space="preserve"> restored</w:t>
      </w:r>
    </w:p>
    <w:p w:rsidR="000B57BB" w:rsidRDefault="000B57BB" w:rsidP="000B57BB">
      <w:pPr>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t xml:space="preserve">       </w:t>
      </w:r>
      <w:r>
        <w:rPr>
          <w:rFonts w:ascii="Calibri" w:eastAsia="Calibri" w:hAnsi="Calibri" w:cs="Times New Roman"/>
        </w:rPr>
        <w:tab/>
        <w:t xml:space="preserve">61:1-9 </w:t>
      </w:r>
      <w:proofErr w:type="gramStart"/>
      <w:r>
        <w:rPr>
          <w:rFonts w:ascii="Calibri" w:eastAsia="Calibri" w:hAnsi="Calibri" w:cs="Times New Roman"/>
        </w:rPr>
        <w:t>The</w:t>
      </w:r>
      <w:proofErr w:type="gramEnd"/>
      <w:r>
        <w:rPr>
          <w:rFonts w:ascii="Calibri" w:eastAsia="Calibri" w:hAnsi="Calibri" w:cs="Times New Roman"/>
        </w:rPr>
        <w:t xml:space="preserve"> prophet’s commission</w:t>
      </w:r>
    </w:p>
    <w:p w:rsidR="000B57BB" w:rsidRDefault="000B57BB" w:rsidP="000B57BB">
      <w:pPr>
        <w:rPr>
          <w:rFonts w:ascii="Calibri" w:eastAsia="Calibri" w:hAnsi="Calibri" w:cs="Times New Roman"/>
        </w:rPr>
      </w:pPr>
      <w:r>
        <w:rPr>
          <w:rFonts w:ascii="Calibri" w:eastAsia="Calibri" w:hAnsi="Calibri" w:cs="Times New Roman"/>
        </w:rPr>
        <w:t xml:space="preserve">                       61:10 – 62:12 Vision of Jerusalem restored        </w:t>
      </w:r>
    </w:p>
    <w:p w:rsidR="000B57BB" w:rsidRDefault="000B57BB" w:rsidP="000B57BB">
      <w:pPr>
        <w:rPr>
          <w:rFonts w:ascii="Calibri" w:eastAsia="Calibri" w:hAnsi="Calibri" w:cs="Times New Roman"/>
        </w:rPr>
      </w:pPr>
      <w:r>
        <w:rPr>
          <w:rFonts w:ascii="Calibri" w:eastAsia="Calibri" w:hAnsi="Calibri" w:cs="Times New Roman"/>
        </w:rPr>
        <w:t xml:space="preserve">                  63:1-6 Vision of </w:t>
      </w:r>
      <w:r>
        <w:t>Yahweh</w:t>
      </w:r>
      <w:r>
        <w:rPr>
          <w:rFonts w:ascii="Calibri" w:eastAsia="Calibri" w:hAnsi="Calibri" w:cs="Times New Roman"/>
        </w:rPr>
        <w:t xml:space="preserve"> acting in judgment</w:t>
      </w:r>
    </w:p>
    <w:p w:rsidR="000B57BB" w:rsidRDefault="000B57BB" w:rsidP="000B57BB">
      <w:pPr>
        <w:rPr>
          <w:rFonts w:ascii="Calibri" w:eastAsia="Calibri" w:hAnsi="Calibri" w:cs="Times New Roman"/>
        </w:rPr>
      </w:pPr>
      <w:r>
        <w:rPr>
          <w:rFonts w:ascii="Calibri" w:eastAsia="Calibri" w:hAnsi="Calibri" w:cs="Times New Roman"/>
        </w:rPr>
        <w:t xml:space="preserve">             63:7 – 64:11 Prayers for </w:t>
      </w:r>
      <w:r>
        <w:t>Yahweh</w:t>
      </w:r>
      <w:r>
        <w:rPr>
          <w:rFonts w:ascii="Calibri" w:eastAsia="Calibri" w:hAnsi="Calibri" w:cs="Times New Roman"/>
        </w:rPr>
        <w:t>’s forgiveness and restoration</w:t>
      </w:r>
    </w:p>
    <w:p w:rsidR="000B57BB" w:rsidRDefault="000B57BB" w:rsidP="000B57BB">
      <w:pPr>
        <w:rPr>
          <w:rFonts w:ascii="Calibri" w:eastAsia="Calibri" w:hAnsi="Calibri" w:cs="Times New Roman"/>
        </w:rPr>
      </w:pPr>
      <w:r>
        <w:rPr>
          <w:rFonts w:ascii="Calibri" w:eastAsia="Calibri" w:hAnsi="Calibri" w:cs="Times New Roman"/>
        </w:rPr>
        <w:t xml:space="preserve">      65:1 – 66:17 </w:t>
      </w:r>
      <w:r>
        <w:t>Yahweh</w:t>
      </w:r>
      <w:r>
        <w:rPr>
          <w:rFonts w:ascii="Calibri" w:eastAsia="Calibri" w:hAnsi="Calibri" w:cs="Times New Roman"/>
        </w:rPr>
        <w:t>’s challenges concerning the Jerusalem community’s life</w:t>
      </w:r>
    </w:p>
    <w:p w:rsidR="000B57BB" w:rsidRDefault="000B57BB" w:rsidP="000B57BB">
      <w:pPr>
        <w:rPr>
          <w:rFonts w:ascii="Calibri" w:eastAsia="Calibri" w:hAnsi="Calibri" w:cs="Times New Roman"/>
        </w:rPr>
      </w:pPr>
      <w:r>
        <w:rPr>
          <w:rFonts w:ascii="Calibri" w:eastAsia="Calibri" w:hAnsi="Calibri" w:cs="Times New Roman"/>
        </w:rPr>
        <w:t>66:18-24 Postscript: the place of foreigners in the service of Y</w:t>
      </w:r>
      <w:r>
        <w:t>a</w:t>
      </w:r>
      <w:r>
        <w:rPr>
          <w:rFonts w:ascii="Calibri" w:eastAsia="Calibri" w:hAnsi="Calibri" w:cs="Times New Roman"/>
        </w:rPr>
        <w:t>hw</w:t>
      </w:r>
      <w:r>
        <w:t>e</w:t>
      </w:r>
      <w:r>
        <w:rPr>
          <w:rFonts w:ascii="Calibri" w:eastAsia="Calibri" w:hAnsi="Calibri" w:cs="Times New Roman"/>
        </w:rPr>
        <w:t xml:space="preserve">h </w:t>
      </w:r>
    </w:p>
    <w:p w:rsidR="000B57BB" w:rsidRDefault="000B57BB" w:rsidP="003D2010"/>
    <w:p w:rsidR="003143F7" w:rsidRDefault="00637ED6" w:rsidP="003D2010">
      <w:r>
        <w:t>At the center</w:t>
      </w:r>
      <w:r w:rsidR="00B9304B">
        <w:t xml:space="preserve"> is the prophet’s account </w:t>
      </w:r>
      <w:r w:rsidR="000B57BB">
        <w:t>of his call; in a chiasm there i</w:t>
      </w:r>
      <w:r w:rsidR="00B9304B">
        <w:t xml:space="preserve">s a logic about its </w:t>
      </w:r>
      <w:r w:rsidR="00EB4345">
        <w:t>being located</w:t>
      </w:r>
      <w:r w:rsidR="00B9304B">
        <w:t xml:space="preserve"> here, whereas in a more linear structure an equivalent account </w:t>
      </w:r>
      <w:r w:rsidR="00EB4345">
        <w:t xml:space="preserve">of a call </w:t>
      </w:r>
      <w:r w:rsidR="00B9304B">
        <w:t>might come at the beginning</w:t>
      </w:r>
      <w:r w:rsidR="00EB4345">
        <w:t>, as it does in Jeremiah and Ezekiel</w:t>
      </w:r>
      <w:r>
        <w:t>.  Outside that center</w:t>
      </w:r>
      <w:r w:rsidR="00B9304B">
        <w:t xml:space="preserve"> are visions of the restored Jerusalem that rep</w:t>
      </w:r>
      <w:r w:rsidR="00EB4345">
        <w:t xml:space="preserve">eat in more glorious </w:t>
      </w:r>
      <w:proofErr w:type="spellStart"/>
      <w:proofErr w:type="gramStart"/>
      <w:r w:rsidR="00EB4345">
        <w:t>technicolo</w:t>
      </w:r>
      <w:r w:rsidR="00B9304B">
        <w:t>r</w:t>
      </w:r>
      <w:proofErr w:type="spellEnd"/>
      <w:proofErr w:type="gramEnd"/>
      <w:r w:rsidR="00B9304B">
        <w:t xml:space="preserve"> the kind of promises that appeared in Isaiah 40 – 55, with their concomitant promise of Yahweh’s acting in judgment on the people’s oppressors.  Outside these visions are prayers that essentially plead with Yahweh to do what the visions portray.  Outside these prayers is a</w:t>
      </w:r>
      <w:r w:rsidR="00EB4345">
        <w:t xml:space="preserve"> double</w:t>
      </w:r>
      <w:r w:rsidR="00B9304B">
        <w:t xml:space="preserve"> series of challenges and warnings about the com</w:t>
      </w:r>
      <w:r w:rsidR="000B57BB">
        <w:t>munity’s life in both its societal</w:t>
      </w:r>
      <w:r w:rsidR="00B9304B">
        <w:t xml:space="preserve"> and worship aspects.  </w:t>
      </w:r>
      <w:r w:rsidR="00070ABD">
        <w:t xml:space="preserve">Finally, the outer frame comprises </w:t>
      </w:r>
      <w:r w:rsidR="000B57BB">
        <w:t xml:space="preserve">more </w:t>
      </w:r>
      <w:r w:rsidR="000540D7">
        <w:t>material</w:t>
      </w:r>
      <w:r w:rsidR="000B57BB">
        <w:t>s that are more miscellaneous but</w:t>
      </w:r>
      <w:r w:rsidR="00EB4345">
        <w:t xml:space="preserve"> </w:t>
      </w:r>
      <w:r w:rsidR="000540D7">
        <w:t>have in common a concern with the place of people from other nations in relation to Judah.</w:t>
      </w:r>
      <w:r w:rsidR="00B9304B">
        <w:t xml:space="preserve">  </w:t>
      </w:r>
    </w:p>
    <w:p w:rsidR="00CB1098" w:rsidRDefault="00CB1098" w:rsidP="00CB1098"/>
    <w:p w:rsidR="00CB1098" w:rsidRDefault="00CB1098" w:rsidP="00CB1098">
      <w:proofErr w:type="gramStart"/>
      <w:r>
        <w:t>l</w:t>
      </w:r>
      <w:proofErr w:type="gramEnd"/>
      <w:r>
        <w:t xml:space="preserve"> will first say something about two approaches to the interpretation of the chapters that have dominated scholarly work for the past generation, then talk abo</w:t>
      </w:r>
      <w:r w:rsidR="00AC7E0E">
        <w:t xml:space="preserve">ut two other approaches </w:t>
      </w:r>
      <w:r>
        <w:t xml:space="preserve">that </w:t>
      </w:r>
      <w:r w:rsidR="00AC7E0E">
        <w:t>seem to me to me more effective in opening up the chapters’ interpretation</w:t>
      </w:r>
      <w:r>
        <w:t>.</w:t>
      </w:r>
    </w:p>
    <w:p w:rsidR="00CB1098" w:rsidRDefault="00CB1098" w:rsidP="00CB1098">
      <w:pPr>
        <w:pStyle w:val="Heading2"/>
      </w:pPr>
      <w:r>
        <w:t>A Redaction-historical Reading</w:t>
      </w:r>
      <w:r w:rsidR="00DA4F0A">
        <w:t xml:space="preserve"> or a Sociological Reading</w:t>
      </w:r>
    </w:p>
    <w:p w:rsidR="00CB1098" w:rsidRDefault="00CB1098" w:rsidP="00CB1098"/>
    <w:p w:rsidR="00CB1098" w:rsidRDefault="00AC7E0E" w:rsidP="00CB1098">
      <w:r>
        <w:lastRenderedPageBreak/>
        <w:t>The first of th</w:t>
      </w:r>
      <w:r w:rsidR="00CB1098">
        <w:t xml:space="preserve">e dominant approaches is a redaction-critical reading, which seeks to trace the process whereby the chapters developed and reached the form they now have.  The idea of tracing this process promises much insight, but the problem is that analysts who attempt it come to quite different conclusions. </w:t>
      </w:r>
    </w:p>
    <w:p w:rsidR="00CB1098" w:rsidRDefault="00CB1098" w:rsidP="00CB1098"/>
    <w:p w:rsidR="00CB1098" w:rsidRDefault="00CB1098" w:rsidP="00CB1098">
      <w:r>
        <w:t xml:space="preserve">In a number of these studies of the chapters a motif recurs.  One could almost call it a </w:t>
      </w:r>
      <w:proofErr w:type="spellStart"/>
      <w:r w:rsidRPr="00CC7D84">
        <w:rPr>
          <w:i/>
        </w:rPr>
        <w:t>Gattung</w:t>
      </w:r>
      <w:proofErr w:type="spellEnd"/>
      <w:r>
        <w:t xml:space="preserve"> or form, as in form-criticism; specifically, it is a subset of a salvation oracle.  The form has three elements.  First, there is a lament, at the scholarly impasse over dating the chapters.  Second, there is a prophetic claim, that the key to understanding has now been revealed.  Third, there is an oracle, announcing the true answer about dating.  The trouble is that when each new scholar announces his oracle (I think each time it has been “he”), it has not been received with faith by subsequent scholar-prophets.  One of them will then declare that the impasse persists and will present </w:t>
      </w:r>
      <w:proofErr w:type="gramStart"/>
      <w:r>
        <w:t>his own</w:t>
      </w:r>
      <w:proofErr w:type="gramEnd"/>
      <w:r>
        <w:t xml:space="preserve"> suggestion regarding the way through it.  </w:t>
      </w:r>
      <w:r w:rsidR="00AC7E0E">
        <w:t xml:space="preserve">The persistence of this pattern in the recent history of the chapters’ interpretation </w:t>
      </w:r>
      <w:proofErr w:type="gramStart"/>
      <w:r w:rsidR="00AC7E0E">
        <w:t>make</w:t>
      </w:r>
      <w:proofErr w:type="gramEnd"/>
      <w:r w:rsidR="00AC7E0E">
        <w:t xml:space="preserve"> it seem</w:t>
      </w:r>
      <w:r>
        <w:t xml:space="preserve"> unlikely that </w:t>
      </w:r>
      <w:r w:rsidR="00AC7E0E">
        <w:t>redaction-critical study will ever</w:t>
      </w:r>
      <w:r>
        <w:t xml:space="preserve"> generate an interpretation of the chapters as a whole that carries conviction.</w:t>
      </w:r>
    </w:p>
    <w:p w:rsidR="00CB1098" w:rsidRPr="00DB6AE9" w:rsidRDefault="00CB1098" w:rsidP="00CB1098">
      <w:pPr>
        <w:rPr>
          <w:rFonts w:cs="Calibri"/>
        </w:rPr>
      </w:pPr>
    </w:p>
    <w:p w:rsidR="00CB1098" w:rsidRDefault="00CB1098" w:rsidP="00CB1098">
      <w:r>
        <w:t>One fact underlying the impasse is that Isaiah 56 – 66 differs from the other major sections of the book in not referring to any specific people or events.  Its comments on political and social conditions and on the religious situation could fit many contexts.  While for the most part we can surely read the chapters against the background of the Persian period, we cannot read them on the basis of relating them to particular periods within these parameters.  When we seek to set them in a more precise historical context, we are working against the grain of the material, which declines to provide the information that would enable us to do what we want to do.  We do not know when the proph</w:t>
      </w:r>
      <w:r w:rsidR="00AC7E0E">
        <w:t>ecies were uttered.  This conclus</w:t>
      </w:r>
      <w:r>
        <w:t xml:space="preserve">ion is not a gloomy admission of defeat but an acknowledgment that opens up the possibility of focusing study on questions that we might be able to answer.  </w:t>
      </w:r>
    </w:p>
    <w:p w:rsidR="00CB1098" w:rsidRDefault="00CB1098" w:rsidP="00CB1098"/>
    <w:p w:rsidR="00CB1098" w:rsidRDefault="00CB1098" w:rsidP="00CB1098">
      <w:pPr>
        <w:rPr>
          <w:rFonts w:cs="Calibri"/>
        </w:rPr>
      </w:pPr>
      <w:r>
        <w:t xml:space="preserve">Redaction-critical approaches commonly read Isaiah 56 – 66 in light of conflicts within the Second Temple </w:t>
      </w:r>
      <w:proofErr w:type="gramStart"/>
      <w:r>
        <w:t>community,</w:t>
      </w:r>
      <w:proofErr w:type="gramEnd"/>
      <w:r>
        <w:t xml:space="preserve"> and analysis of these conflicts has been a second dominant approach in studying these chapters.   </w:t>
      </w:r>
      <w:r>
        <w:rPr>
          <w:rFonts w:cs="Calibri"/>
        </w:rPr>
        <w:t xml:space="preserve">It has been an aspect of the sociological turn in the study of the Second Temple period over the past forty years. </w:t>
      </w:r>
    </w:p>
    <w:p w:rsidR="00CB1098" w:rsidRDefault="00CB1098" w:rsidP="00CB1098">
      <w:pPr>
        <w:rPr>
          <w:rFonts w:cs="Calibri"/>
        </w:rPr>
      </w:pPr>
    </w:p>
    <w:p w:rsidR="00CB1098" w:rsidRPr="00FE1A14" w:rsidRDefault="00CB1098" w:rsidP="00CB1098">
      <w:r>
        <w:rPr>
          <w:rFonts w:cs="Calibri"/>
        </w:rPr>
        <w:t xml:space="preserve"> </w:t>
      </w:r>
      <w:r>
        <w:t>The books of Ezra and Nehemiah make clear that there certainly were such conflicts within the Second Temple community, and Isaiah 56 – 66 gives considerable space to confronting other groups within the community.  The scholarly world has generated two main accounts of the conflict in the Second Temple community.  Morton Smith speaks of the two groups as the “Yahweh-alone party” and the “syncretistic party,”</w:t>
      </w:r>
      <w:r w:rsidR="00AC7E0E">
        <w:rPr>
          <w:rStyle w:val="FootnoteReference"/>
        </w:rPr>
        <w:footnoteReference w:id="2"/>
      </w:r>
      <w:r>
        <w:t xml:space="preserve"> and his understanding seems to me likely </w:t>
      </w:r>
      <w:r w:rsidR="00AC7E0E">
        <w:t>to be on the right lines.  M</w:t>
      </w:r>
      <w:r>
        <w:t xml:space="preserve">ore scholarly interest has attached to the work of Paul </w:t>
      </w:r>
      <w:r w:rsidR="00C27609">
        <w:t xml:space="preserve">D. </w:t>
      </w:r>
      <w:r>
        <w:t xml:space="preserve">Hanson, who </w:t>
      </w:r>
      <w:r>
        <w:rPr>
          <w:rFonts w:cs="Calibri"/>
        </w:rPr>
        <w:t>sees the conflict as involving prophets over against priests and/or people with some power who believe that God is active in the present over against people outside the power structure who can only look for God’s action in the future.</w:t>
      </w:r>
      <w:r w:rsidR="00AC7E0E">
        <w:rPr>
          <w:rStyle w:val="FootnoteReference"/>
          <w:rFonts w:cs="Calibri"/>
        </w:rPr>
        <w:footnoteReference w:id="3"/>
      </w:r>
      <w:r>
        <w:rPr>
          <w:rFonts w:cs="Calibri"/>
        </w:rPr>
        <w:t xml:space="preserve">  </w:t>
      </w:r>
      <w:r>
        <w:t>Part of the background to Han</w:t>
      </w:r>
      <w:r w:rsidR="00FE1A14">
        <w:t xml:space="preserve">son’s work is </w:t>
      </w:r>
      <w:r w:rsidR="00AC7E0E">
        <w:t xml:space="preserve">the fact </w:t>
      </w:r>
      <w:r w:rsidR="00FE1A14">
        <w:t xml:space="preserve">that we have </w:t>
      </w:r>
      <w:r>
        <w:t>little by way of hard data on the socioeconomic and political situation of Judah during the Persian period</w:t>
      </w:r>
      <w:r w:rsidR="00FE1A14">
        <w:t xml:space="preserve">.  </w:t>
      </w:r>
      <w:r>
        <w:t xml:space="preserve">A sociological approach to the material aims to offer aid in precisely a situation when we lack concrete historical evidence, by beginning from modern sociological theory and looking at </w:t>
      </w:r>
      <w:r w:rsidR="00AC7E0E">
        <w:t>the text in light of it.  In principle, this strategy is unexceptionable, b</w:t>
      </w:r>
      <w:r>
        <w:t>ut in the c</w:t>
      </w:r>
      <w:r w:rsidR="00FE1A14">
        <w:t xml:space="preserve">ase </w:t>
      </w:r>
      <w:r w:rsidR="00FE1A14">
        <w:lastRenderedPageBreak/>
        <w:t>of Hanson’s theory the method seems to impose</w:t>
      </w:r>
      <w:r>
        <w:t xml:space="preserve"> an alien inter</w:t>
      </w:r>
      <w:r w:rsidR="00AC7E0E">
        <w:t>pretation on the text, which</w:t>
      </w:r>
      <w:r>
        <w:t xml:space="preserve"> does not give an impression of representing the views of one sizeable group within the community set over a</w:t>
      </w:r>
      <w:r w:rsidR="00C27609">
        <w:t>gainst another sizeable group.  I</w:t>
      </w:r>
      <w:r>
        <w:t xml:space="preserve">t rather gives the same impression as the one suggested by </w:t>
      </w:r>
      <w:proofErr w:type="spellStart"/>
      <w:r>
        <w:t>preexilic</w:t>
      </w:r>
      <w:proofErr w:type="spellEnd"/>
      <w:r>
        <w:t xml:space="preserve"> prophecy, where a prophet and a small group of supporters stand over against the community as a whole.  </w:t>
      </w:r>
      <w:r>
        <w:rPr>
          <w:rFonts w:cs="Calibri"/>
        </w:rPr>
        <w:t>The thesis that the conflict involved prophets o</w:t>
      </w:r>
      <w:r w:rsidR="00C27609">
        <w:rPr>
          <w:rFonts w:cs="Calibri"/>
        </w:rPr>
        <w:t xml:space="preserve">ver against priests and/or </w:t>
      </w:r>
      <w:r>
        <w:rPr>
          <w:rFonts w:cs="Calibri"/>
        </w:rPr>
        <w:t>people who believe God is active in the present over against people who can only look for God’s action in the f</w:t>
      </w:r>
      <w:r w:rsidR="00FE1A14">
        <w:rPr>
          <w:rFonts w:cs="Calibri"/>
        </w:rPr>
        <w:t>uture does not very well correspond to data within the chapters</w:t>
      </w:r>
      <w:r w:rsidR="00C27609">
        <w:rPr>
          <w:rFonts w:cs="Calibri"/>
        </w:rPr>
        <w:t>.  It i</w:t>
      </w:r>
      <w:r>
        <w:rPr>
          <w:rFonts w:cs="Calibri"/>
        </w:rPr>
        <w:t>s an imposed understanding of the conflict.</w:t>
      </w:r>
      <w:r w:rsidR="00FE1A14">
        <w:rPr>
          <w:rFonts w:cs="Calibri"/>
        </w:rPr>
        <w:t xml:space="preserve">  </w:t>
      </w:r>
      <w:r w:rsidR="00C27609">
        <w:rPr>
          <w:rFonts w:cs="Calibri"/>
        </w:rPr>
        <w:t xml:space="preserve">Thus </w:t>
      </w:r>
      <w:r w:rsidR="00FE1A14">
        <w:rPr>
          <w:rFonts w:cs="Calibri"/>
        </w:rPr>
        <w:t xml:space="preserve">Hanson’s thesis has led to lively discussion, but that is all.  </w:t>
      </w:r>
    </w:p>
    <w:p w:rsidR="00CB1098" w:rsidRDefault="00CB1098" w:rsidP="00CB1098"/>
    <w:p w:rsidR="008B4588" w:rsidRDefault="007A7FA3" w:rsidP="00F37E93">
      <w:pPr>
        <w:pStyle w:val="Heading2"/>
      </w:pPr>
      <w:r>
        <w:t>A</w:t>
      </w:r>
      <w:r w:rsidR="00F37E93">
        <w:t xml:space="preserve">n </w:t>
      </w:r>
      <w:proofErr w:type="spellStart"/>
      <w:r w:rsidR="00F37E93">
        <w:t>Isaianic</w:t>
      </w:r>
      <w:proofErr w:type="spellEnd"/>
      <w:r w:rsidR="00F37E93">
        <w:t xml:space="preserve"> </w:t>
      </w:r>
      <w:r>
        <w:t>Reading</w:t>
      </w:r>
      <w:r w:rsidR="00F37E93">
        <w:t>: The Interrelationship b</w:t>
      </w:r>
      <w:r w:rsidR="0067587C">
        <w:t>etween</w:t>
      </w:r>
      <w:r w:rsidR="008B4588">
        <w:t xml:space="preserve"> Two Forms of Faithfulness</w:t>
      </w:r>
    </w:p>
    <w:p w:rsidR="008B4588" w:rsidRDefault="008B4588" w:rsidP="008B4588"/>
    <w:p w:rsidR="000F1CE3" w:rsidRDefault="00921798" w:rsidP="00D3014D">
      <w:r>
        <w:t>I come</w:t>
      </w:r>
      <w:r w:rsidR="008B4588">
        <w:t xml:space="preserve">, then, to </w:t>
      </w:r>
      <w:r>
        <w:t xml:space="preserve">two </w:t>
      </w:r>
      <w:r w:rsidR="008B4588">
        <w:t>approaches tha</w:t>
      </w:r>
      <w:r>
        <w:t xml:space="preserve">t </w:t>
      </w:r>
      <w:r w:rsidR="00F37E93">
        <w:t>hav</w:t>
      </w:r>
      <w:r w:rsidR="00C27609">
        <w:t>e more potential</w:t>
      </w:r>
      <w:r w:rsidR="007D0AA4">
        <w:t xml:space="preserve"> for the interpretation of Isaiah 56 – 66</w:t>
      </w:r>
      <w:r>
        <w:t>.  One</w:t>
      </w:r>
      <w:r w:rsidR="00F37E93">
        <w:t xml:space="preserve"> I might call an </w:t>
      </w:r>
      <w:proofErr w:type="spellStart"/>
      <w:r w:rsidR="00F37E93">
        <w:t>Isaianic</w:t>
      </w:r>
      <w:proofErr w:type="spellEnd"/>
      <w:r w:rsidR="00F37E93">
        <w:t xml:space="preserve"> reading</w:t>
      </w:r>
      <w:r w:rsidR="007D0AA4">
        <w:t xml:space="preserve">.  </w:t>
      </w:r>
      <w:r w:rsidR="00C27609">
        <w:t>I shall fo</w:t>
      </w:r>
      <w:r w:rsidR="007D0AA4">
        <w:t>cus on a theological question raised by such a reading</w:t>
      </w:r>
      <w:r w:rsidR="00C27609">
        <w:t>,</w:t>
      </w:r>
      <w:r w:rsidR="00122DE1">
        <w:t xml:space="preserve"> the interrelationship between two forms of faithfulness</w:t>
      </w:r>
      <w:r w:rsidR="00F37E93">
        <w:t xml:space="preserve">.  </w:t>
      </w:r>
    </w:p>
    <w:p w:rsidR="000F1CE3" w:rsidRDefault="000F1CE3" w:rsidP="00D3014D"/>
    <w:p w:rsidR="00D3014D" w:rsidRPr="00733AB9" w:rsidRDefault="00921798" w:rsidP="00D3014D">
      <w:r>
        <w:t xml:space="preserve">Scholarly study </w:t>
      </w:r>
      <w:r w:rsidR="000F1CE3">
        <w:t>has come to a renewed awareness</w:t>
      </w:r>
      <w:r w:rsidR="00D3014D">
        <w:t xml:space="preserve"> that Isaiah 56 – 66 needs to be understood in relation to the rest of the book of Isaiah</w:t>
      </w:r>
      <w:r>
        <w:t>, notwithstanding its own careful arrangement and its substantially self-contained nature</w:t>
      </w:r>
      <w:r w:rsidR="00D3014D">
        <w:t>.  The formal nature of Isaiah 56 – 66 as part of a larger whole</w:t>
      </w:r>
      <w:r w:rsidR="007D0AA4">
        <w:t>,</w:t>
      </w:r>
      <w:r w:rsidR="00DB3CDA">
        <w:t xml:space="preserve"> not a work standing on its own</w:t>
      </w:r>
      <w:r w:rsidR="007D0AA4">
        <w:t>,</w:t>
      </w:r>
      <w:r w:rsidR="00D3014D">
        <w:t xml:space="preserve"> is complemented by the more substantial point that it often takes up motifs, issues, and phrases from I</w:t>
      </w:r>
      <w:r w:rsidR="007D0AA4">
        <w:t>saiah 1 – 55.  While i</w:t>
      </w:r>
      <w:r w:rsidR="00DB3CDA">
        <w:t>t</w:t>
      </w:r>
      <w:r w:rsidR="00D3014D">
        <w:t xml:space="preserve"> </w:t>
      </w:r>
      <w:r w:rsidR="007D0AA4">
        <w:t xml:space="preserve">also </w:t>
      </w:r>
      <w:r w:rsidR="00D3014D">
        <w:t>has significant links with other prophetic material</w:t>
      </w:r>
      <w:r w:rsidR="007D0AA4">
        <w:t>, particularly in Jeremiah,</w:t>
      </w:r>
      <w:r w:rsidR="00D3014D">
        <w:t xml:space="preserve"> the fact that Isaiah 56 – 66 appears in the same work as Isaiah 1 – 55 gives an extra level of si</w:t>
      </w:r>
      <w:r w:rsidR="007D0AA4">
        <w:t>gnificance to its links with tho</w:t>
      </w:r>
      <w:r w:rsidR="00D3014D">
        <w:t>se chapters.  Part of the meaning of Isaiah 56 – 66 lies in the way it takes up, affirms, modifies, supplements, and ignores earlier mate</w:t>
      </w:r>
      <w:r>
        <w:t>rial in the book, in bringing the book itself</w:t>
      </w:r>
      <w:r w:rsidR="00D3014D">
        <w:t xml:space="preserve"> to a close.</w:t>
      </w:r>
    </w:p>
    <w:p w:rsidR="00D3014D" w:rsidRDefault="00D3014D" w:rsidP="00D3014D"/>
    <w:p w:rsidR="000F1CE3" w:rsidRDefault="00DB3CDA" w:rsidP="0004552E">
      <w:pPr>
        <w:rPr>
          <w:iCs/>
        </w:rPr>
      </w:pPr>
      <w:r>
        <w:rPr>
          <w:rFonts w:cs="Calibri"/>
        </w:rPr>
        <w:t xml:space="preserve">Rolf Rendtorff put us on the track of the way </w:t>
      </w:r>
      <w:r>
        <w:t>t</w:t>
      </w:r>
      <w:r w:rsidR="003F33F0">
        <w:t xml:space="preserve">he first verse in </w:t>
      </w:r>
      <w:r w:rsidR="00122DE1">
        <w:t xml:space="preserve">Isaiah 56 – 66 encapsulates </w:t>
      </w:r>
      <w:r w:rsidR="000F1CE3">
        <w:t xml:space="preserve">much of </w:t>
      </w:r>
      <w:r w:rsidR="00122DE1">
        <w:t>the</w:t>
      </w:r>
      <w:r w:rsidR="003F33F0">
        <w:t xml:space="preserve"> theological thrust of the chapters as a whole</w:t>
      </w:r>
      <w:r w:rsidR="00122DE1">
        <w:t>, and reflects their relationship to what precedes</w:t>
      </w:r>
      <w:r w:rsidR="00122DE1">
        <w:rPr>
          <w:rFonts w:cs="Calibri"/>
        </w:rPr>
        <w:t>.</w:t>
      </w:r>
      <w:r w:rsidR="007D0AA4">
        <w:rPr>
          <w:rStyle w:val="FootnoteReference"/>
          <w:rFonts w:cs="Calibri"/>
        </w:rPr>
        <w:footnoteReference w:id="4"/>
      </w:r>
      <w:r>
        <w:rPr>
          <w:rFonts w:cs="Calibri"/>
        </w:rPr>
        <w:t xml:space="preserve">  </w:t>
      </w:r>
      <w:r w:rsidR="003F33F0">
        <w:t xml:space="preserve">In the NRSV it reads, “Maintain justice, and do what is right, for soon my salvation will come, and my deliverance be revealed.”  The problem with that translation is that the word for “what is right” and for “deliverance” is the same word, the word </w:t>
      </w:r>
      <w:proofErr w:type="spellStart"/>
      <w:r w:rsidR="003F33F0">
        <w:rPr>
          <w:i/>
          <w:iCs/>
        </w:rPr>
        <w:t>ṣĕdāqâ</w:t>
      </w:r>
      <w:proofErr w:type="spellEnd"/>
      <w:r w:rsidR="003F33F0">
        <w:rPr>
          <w:iCs/>
        </w:rPr>
        <w:t xml:space="preserve">.  The Common English Bible thus has, “Do what is </w:t>
      </w:r>
      <w:proofErr w:type="gramStart"/>
      <w:r w:rsidR="003F33F0">
        <w:rPr>
          <w:iCs/>
        </w:rPr>
        <w:t>righteous,</w:t>
      </w:r>
      <w:proofErr w:type="gramEnd"/>
      <w:r w:rsidR="003F33F0">
        <w:rPr>
          <w:iCs/>
        </w:rPr>
        <w:t xml:space="preserve"> and my righteousness will</w:t>
      </w:r>
      <w:r w:rsidR="00802687">
        <w:rPr>
          <w:iCs/>
        </w:rPr>
        <w:t xml:space="preserve"> be revealed.”  It</w:t>
      </w:r>
      <w:r w:rsidR="003F33F0">
        <w:rPr>
          <w:iCs/>
        </w:rPr>
        <w:t xml:space="preserve"> </w:t>
      </w:r>
      <w:r>
        <w:rPr>
          <w:iCs/>
        </w:rPr>
        <w:t xml:space="preserve">brings out the </w:t>
      </w:r>
      <w:r w:rsidR="003F33F0">
        <w:rPr>
          <w:iCs/>
        </w:rPr>
        <w:t>repetition</w:t>
      </w:r>
      <w:r w:rsidR="000F1CE3">
        <w:rPr>
          <w:iCs/>
        </w:rPr>
        <w:t xml:space="preserve"> of the word</w:t>
      </w:r>
      <w:r w:rsidR="003F33F0">
        <w:rPr>
          <w:iCs/>
        </w:rPr>
        <w:t xml:space="preserve"> </w:t>
      </w:r>
      <w:proofErr w:type="spellStart"/>
      <w:r w:rsidR="003F33F0">
        <w:rPr>
          <w:i/>
          <w:iCs/>
        </w:rPr>
        <w:t>ṣĕdāqâ</w:t>
      </w:r>
      <w:proofErr w:type="spellEnd"/>
      <w:r>
        <w:rPr>
          <w:iCs/>
        </w:rPr>
        <w:t>, but this word is a tricky one</w:t>
      </w:r>
      <w:r w:rsidR="003F33F0">
        <w:rPr>
          <w:iCs/>
        </w:rPr>
        <w:t xml:space="preserve"> to translate </w:t>
      </w:r>
      <w:r w:rsidR="00802687">
        <w:rPr>
          <w:iCs/>
        </w:rPr>
        <w:t>(</w:t>
      </w:r>
      <w:r>
        <w:rPr>
          <w:iCs/>
        </w:rPr>
        <w:t xml:space="preserve">hence </w:t>
      </w:r>
      <w:r w:rsidR="003F33F0">
        <w:rPr>
          <w:iCs/>
        </w:rPr>
        <w:t>most versions give it different translations in the two lines</w:t>
      </w:r>
      <w:r w:rsidR="00802687">
        <w:rPr>
          <w:iCs/>
        </w:rPr>
        <w:t>)</w:t>
      </w:r>
      <w:r w:rsidR="007D0AA4">
        <w:rPr>
          <w:iCs/>
        </w:rPr>
        <w:t>,</w:t>
      </w:r>
      <w:r w:rsidR="00802687">
        <w:rPr>
          <w:iCs/>
        </w:rPr>
        <w:t xml:space="preserve"> and </w:t>
      </w:r>
      <w:r>
        <w:rPr>
          <w:iCs/>
        </w:rPr>
        <w:t>righteousness does</w:t>
      </w:r>
      <w:r w:rsidR="007D0AA4">
        <w:rPr>
          <w:iCs/>
        </w:rPr>
        <w:t xml:space="preserve"> no</w:t>
      </w:r>
      <w:r>
        <w:rPr>
          <w:iCs/>
        </w:rPr>
        <w:t xml:space="preserve">t work </w:t>
      </w:r>
      <w:r w:rsidR="00802687">
        <w:rPr>
          <w:iCs/>
        </w:rPr>
        <w:t>well</w:t>
      </w:r>
      <w:r w:rsidR="000F1CE3">
        <w:rPr>
          <w:iCs/>
        </w:rPr>
        <w:t xml:space="preserve"> as a translation</w:t>
      </w:r>
      <w:r w:rsidR="003F33F0">
        <w:rPr>
          <w:iCs/>
        </w:rPr>
        <w:t xml:space="preserve">.  The idea of </w:t>
      </w:r>
      <w:proofErr w:type="spellStart"/>
      <w:r w:rsidR="003F33F0">
        <w:rPr>
          <w:i/>
          <w:iCs/>
        </w:rPr>
        <w:t>ṣĕdāqâ</w:t>
      </w:r>
      <w:proofErr w:type="spellEnd"/>
      <w:r w:rsidR="003F33F0">
        <w:rPr>
          <w:iCs/>
        </w:rPr>
        <w:t xml:space="preserve"> is of doing what is right to someone in light of your mutu</w:t>
      </w:r>
      <w:r w:rsidR="007D0AA4">
        <w:rPr>
          <w:iCs/>
        </w:rPr>
        <w:t>al commitment.  It is</w:t>
      </w:r>
      <w:r w:rsidR="00802687">
        <w:rPr>
          <w:iCs/>
        </w:rPr>
        <w:t xml:space="preserve"> </w:t>
      </w:r>
      <w:r w:rsidR="003F33F0">
        <w:rPr>
          <w:iCs/>
        </w:rPr>
        <w:t xml:space="preserve">nearer “faithfulness” than “righteousness.”  </w:t>
      </w:r>
    </w:p>
    <w:p w:rsidR="000F1CE3" w:rsidRDefault="000F1CE3" w:rsidP="0004552E">
      <w:pPr>
        <w:rPr>
          <w:iCs/>
        </w:rPr>
      </w:pPr>
    </w:p>
    <w:p w:rsidR="0004552E" w:rsidRPr="00122DE1" w:rsidRDefault="00455FEC" w:rsidP="0004552E">
      <w:pPr>
        <w:rPr>
          <w:rFonts w:cs="Calibri"/>
        </w:rPr>
      </w:pPr>
      <w:r>
        <w:rPr>
          <w:iCs/>
        </w:rPr>
        <w:t>To complic</w:t>
      </w:r>
      <w:r w:rsidR="00802687">
        <w:rPr>
          <w:iCs/>
        </w:rPr>
        <w:t xml:space="preserve">ate things further, </w:t>
      </w:r>
      <w:r w:rsidR="00DB3CDA">
        <w:rPr>
          <w:iCs/>
        </w:rPr>
        <w:t>the word “salvation” has</w:t>
      </w:r>
      <w:r w:rsidR="0004552E">
        <w:rPr>
          <w:iCs/>
        </w:rPr>
        <w:t xml:space="preserve"> distinctive theological freight for Christian readers, which makes it</w:t>
      </w:r>
      <w:r w:rsidR="00122DE1">
        <w:rPr>
          <w:iCs/>
        </w:rPr>
        <w:t xml:space="preserve"> a misleading translation</w:t>
      </w:r>
      <w:r w:rsidR="00DB3CDA">
        <w:rPr>
          <w:iCs/>
        </w:rPr>
        <w:t xml:space="preserve"> of the word </w:t>
      </w:r>
      <w:proofErr w:type="spellStart"/>
      <w:r w:rsidR="00DB3CDA">
        <w:rPr>
          <w:i/>
          <w:iCs/>
        </w:rPr>
        <w:t>y</w:t>
      </w:r>
      <w:r w:rsidR="00DB3CDA">
        <w:rPr>
          <w:rFonts w:ascii="Times New Roman" w:hAnsi="Times New Roman" w:cs="Times New Roman"/>
          <w:i/>
          <w:iCs/>
        </w:rPr>
        <w:t>ēšû</w:t>
      </w:r>
      <w:r w:rsidR="00DB3CDA">
        <w:rPr>
          <w:i/>
          <w:iCs/>
        </w:rPr>
        <w:t>‘</w:t>
      </w:r>
      <w:r w:rsidR="00DB3CDA">
        <w:rPr>
          <w:rFonts w:ascii="Times New Roman" w:hAnsi="Times New Roman" w:cs="Times New Roman"/>
          <w:i/>
          <w:iCs/>
        </w:rPr>
        <w:t>â</w:t>
      </w:r>
      <w:proofErr w:type="spellEnd"/>
      <w:r w:rsidR="0004552E">
        <w:rPr>
          <w:iCs/>
        </w:rPr>
        <w:t xml:space="preserve">.  And finally, </w:t>
      </w:r>
      <w:r w:rsidR="00802687">
        <w:rPr>
          <w:iCs/>
        </w:rPr>
        <w:t>the word NR</w:t>
      </w:r>
      <w:r w:rsidR="0004552E">
        <w:rPr>
          <w:iCs/>
        </w:rPr>
        <w:t>S</w:t>
      </w:r>
      <w:r w:rsidR="00802687">
        <w:rPr>
          <w:iCs/>
        </w:rPr>
        <w:t>V translates</w:t>
      </w:r>
      <w:r>
        <w:rPr>
          <w:iCs/>
        </w:rPr>
        <w:t xml:space="preserve"> “justice,” </w:t>
      </w:r>
      <w:r>
        <w:rPr>
          <w:i/>
          <w:iCs/>
        </w:rPr>
        <w:t>mišpāṭ</w:t>
      </w:r>
      <w:r w:rsidR="00DB3CDA">
        <w:rPr>
          <w:iCs/>
        </w:rPr>
        <w:t xml:space="preserve">, is another </w:t>
      </w:r>
      <w:r>
        <w:rPr>
          <w:iCs/>
        </w:rPr>
        <w:t>for which we do</w:t>
      </w:r>
      <w:r w:rsidR="007D0AA4">
        <w:rPr>
          <w:iCs/>
        </w:rPr>
        <w:t xml:space="preserve"> no</w:t>
      </w:r>
      <w:r>
        <w:rPr>
          <w:iCs/>
        </w:rPr>
        <w:t>t have an Engli</w:t>
      </w:r>
      <w:r w:rsidR="001C64FB">
        <w:rPr>
          <w:iCs/>
        </w:rPr>
        <w:t>sh equivalent, but it</w:t>
      </w:r>
      <w:r w:rsidR="007D0AA4">
        <w:rPr>
          <w:iCs/>
        </w:rPr>
        <w:t xml:space="preserve"> i</w:t>
      </w:r>
      <w:r w:rsidR="001C64FB">
        <w:rPr>
          <w:iCs/>
        </w:rPr>
        <w:t xml:space="preserve">s more </w:t>
      </w:r>
      <w:r>
        <w:rPr>
          <w:iCs/>
        </w:rPr>
        <w:t>a power word</w:t>
      </w:r>
      <w:r w:rsidR="00122DE1">
        <w:rPr>
          <w:iCs/>
        </w:rPr>
        <w:t xml:space="preserve"> than a value word </w:t>
      </w:r>
      <w:r w:rsidR="000F1CE3">
        <w:rPr>
          <w:iCs/>
        </w:rPr>
        <w:t>like “justice.”  The KJV has “judgment,</w:t>
      </w:r>
      <w:r w:rsidR="00122DE1">
        <w:rPr>
          <w:iCs/>
        </w:rPr>
        <w:t>”</w:t>
      </w:r>
      <w:r w:rsidR="00DB3CDA">
        <w:rPr>
          <w:iCs/>
        </w:rPr>
        <w:t xml:space="preserve"> and judgment</w:t>
      </w:r>
      <w:r w:rsidR="000F1CE3">
        <w:rPr>
          <w:iCs/>
        </w:rPr>
        <w:t xml:space="preserve"> can be right or </w:t>
      </w:r>
      <w:r w:rsidR="000F1CE3">
        <w:rPr>
          <w:iCs/>
        </w:rPr>
        <w:lastRenderedPageBreak/>
        <w:t>wron</w:t>
      </w:r>
      <w:r w:rsidR="00DB3CDA">
        <w:rPr>
          <w:iCs/>
        </w:rPr>
        <w:t xml:space="preserve">g – hence the need to qualify </w:t>
      </w:r>
      <w:r w:rsidR="00DB3CDA">
        <w:rPr>
          <w:i/>
          <w:iCs/>
        </w:rPr>
        <w:t>mišpāṭ</w:t>
      </w:r>
      <w:r w:rsidR="000F1CE3">
        <w:rPr>
          <w:iCs/>
        </w:rPr>
        <w:t xml:space="preserve"> by </w:t>
      </w:r>
      <w:proofErr w:type="spellStart"/>
      <w:r w:rsidR="000F1CE3" w:rsidRPr="00512EE0">
        <w:rPr>
          <w:i/>
          <w:iCs/>
        </w:rPr>
        <w:t>ṣĕdāqâ</w:t>
      </w:r>
      <w:proofErr w:type="spellEnd"/>
      <w:r w:rsidR="00DB3CDA">
        <w:rPr>
          <w:iCs/>
        </w:rPr>
        <w:t xml:space="preserve">.  More broadly </w:t>
      </w:r>
      <w:r w:rsidR="00DB3CDA">
        <w:rPr>
          <w:i/>
          <w:iCs/>
        </w:rPr>
        <w:t>mišpāṭ</w:t>
      </w:r>
      <w:r>
        <w:rPr>
          <w:iCs/>
        </w:rPr>
        <w:t xml:space="preserve"> suggests the exercise </w:t>
      </w:r>
      <w:r w:rsidR="0004552E">
        <w:rPr>
          <w:iCs/>
        </w:rPr>
        <w:t>of authority, the taking of</w:t>
      </w:r>
      <w:r w:rsidR="0004552E">
        <w:t xml:space="preserve"> decisions.  The hendiadys </w:t>
      </w:r>
      <w:r w:rsidR="0004552E">
        <w:rPr>
          <w:i/>
        </w:rPr>
        <w:t>mišpāṭ</w:t>
      </w:r>
      <w:r w:rsidR="0004552E">
        <w:t xml:space="preserve"> </w:t>
      </w:r>
      <w:proofErr w:type="spellStart"/>
      <w:r w:rsidR="0004552E" w:rsidRPr="00512EE0">
        <w:rPr>
          <w:rFonts w:ascii="Times New Roman" w:hAnsi="Times New Roman" w:cs="Times New Roman"/>
          <w:i/>
        </w:rPr>
        <w:t>û</w:t>
      </w:r>
      <w:r w:rsidR="0004552E" w:rsidRPr="00512EE0">
        <w:rPr>
          <w:i/>
          <w:iCs/>
        </w:rPr>
        <w:t>ṣĕdāqâ</w:t>
      </w:r>
      <w:proofErr w:type="spellEnd"/>
      <w:r w:rsidR="000F1CE3">
        <w:rPr>
          <w:iCs/>
        </w:rPr>
        <w:t xml:space="preserve"> commonly</w:t>
      </w:r>
      <w:r w:rsidR="0004552E">
        <w:rPr>
          <w:iCs/>
        </w:rPr>
        <w:t xml:space="preserve"> appears in English translations as justice and righteousness.  It has been described as the Hebrew equivalent of </w:t>
      </w:r>
      <w:r w:rsidR="000F1CE3">
        <w:rPr>
          <w:iCs/>
        </w:rPr>
        <w:t>our expression “</w:t>
      </w:r>
      <w:r w:rsidR="0004552E">
        <w:rPr>
          <w:iCs/>
        </w:rPr>
        <w:t>social justice,</w:t>
      </w:r>
      <w:r w:rsidR="000F1CE3">
        <w:rPr>
          <w:iCs/>
        </w:rPr>
        <w:t>”</w:t>
      </w:r>
      <w:r w:rsidR="007D0AA4">
        <w:rPr>
          <w:rStyle w:val="FootnoteReference"/>
          <w:iCs/>
        </w:rPr>
        <w:footnoteReference w:id="5"/>
      </w:r>
      <w:r w:rsidR="007D0AA4">
        <w:rPr>
          <w:iCs/>
        </w:rPr>
        <w:t xml:space="preserve"> though in English the phrase</w:t>
      </w:r>
      <w:r w:rsidR="000F1CE3">
        <w:rPr>
          <w:iCs/>
        </w:rPr>
        <w:t xml:space="preserve"> </w:t>
      </w:r>
      <w:r w:rsidR="007D0AA4">
        <w:rPr>
          <w:iCs/>
        </w:rPr>
        <w:t xml:space="preserve">“social justice” is a hazy expression, one </w:t>
      </w:r>
      <w:r w:rsidR="005B684C">
        <w:rPr>
          <w:iCs/>
        </w:rPr>
        <w:t xml:space="preserve">commonly used without much reflection on its meaning or on the relationship of this meaning to that of the Hebrew expression.  </w:t>
      </w:r>
      <w:r w:rsidR="0004552E">
        <w:rPr>
          <w:iCs/>
        </w:rPr>
        <w:t xml:space="preserve">The </w:t>
      </w:r>
      <w:r w:rsidR="00B32C4F">
        <w:rPr>
          <w:iCs/>
        </w:rPr>
        <w:t xml:space="preserve">expression </w:t>
      </w:r>
      <w:r w:rsidR="005B684C">
        <w:rPr>
          <w:i/>
        </w:rPr>
        <w:t>mišpāṭ</w:t>
      </w:r>
      <w:r w:rsidR="005B684C">
        <w:t xml:space="preserve"> </w:t>
      </w:r>
      <w:proofErr w:type="spellStart"/>
      <w:r w:rsidR="005B684C" w:rsidRPr="00512EE0">
        <w:rPr>
          <w:rFonts w:ascii="Times New Roman" w:hAnsi="Times New Roman" w:cs="Times New Roman"/>
          <w:i/>
        </w:rPr>
        <w:t>û</w:t>
      </w:r>
      <w:r w:rsidR="005B684C" w:rsidRPr="00512EE0">
        <w:rPr>
          <w:i/>
          <w:iCs/>
        </w:rPr>
        <w:t>ṣĕdāqâ</w:t>
      </w:r>
      <w:proofErr w:type="spellEnd"/>
      <w:r w:rsidR="005B684C">
        <w:rPr>
          <w:iCs/>
        </w:rPr>
        <w:t xml:space="preserve"> </w:t>
      </w:r>
      <w:r w:rsidR="00B32C4F">
        <w:rPr>
          <w:iCs/>
        </w:rPr>
        <w:t xml:space="preserve">means </w:t>
      </w:r>
      <w:r w:rsidR="005B684C">
        <w:rPr>
          <w:iCs/>
        </w:rPr>
        <w:t xml:space="preserve">something like </w:t>
      </w:r>
      <w:r w:rsidR="0004552E">
        <w:rPr>
          <w:iCs/>
        </w:rPr>
        <w:t>the taking of decisions and the exercise</w:t>
      </w:r>
      <w:r w:rsidR="00B32C4F">
        <w:rPr>
          <w:iCs/>
        </w:rPr>
        <w:t xml:space="preserve"> of authority in a way that involve</w:t>
      </w:r>
      <w:r w:rsidR="0004552E">
        <w:rPr>
          <w:iCs/>
        </w:rPr>
        <w:t>s people do</w:t>
      </w:r>
      <w:r w:rsidR="00B32C4F">
        <w:rPr>
          <w:iCs/>
        </w:rPr>
        <w:t>ing</w:t>
      </w:r>
      <w:r w:rsidR="0004552E">
        <w:rPr>
          <w:iCs/>
        </w:rPr>
        <w:t xml:space="preserve"> right by one another </w:t>
      </w:r>
      <w:r w:rsidR="00B32C4F">
        <w:rPr>
          <w:iCs/>
        </w:rPr>
        <w:t>and living in a way that does right by</w:t>
      </w:r>
      <w:r w:rsidR="005B684C">
        <w:rPr>
          <w:iCs/>
        </w:rPr>
        <w:t xml:space="preserve"> Yahweh.  Such, then, is the biblical understanding of social justice, </w:t>
      </w:r>
      <w:proofErr w:type="gramStart"/>
      <w:r w:rsidR="005B684C">
        <w:rPr>
          <w:iCs/>
        </w:rPr>
        <w:t>If</w:t>
      </w:r>
      <w:proofErr w:type="gramEnd"/>
      <w:r w:rsidR="005B684C">
        <w:rPr>
          <w:iCs/>
        </w:rPr>
        <w:t xml:space="preserve"> </w:t>
      </w:r>
      <w:r w:rsidR="005B684C">
        <w:rPr>
          <w:i/>
        </w:rPr>
        <w:t>mišpāṭ</w:t>
      </w:r>
      <w:r w:rsidR="005B684C">
        <w:t xml:space="preserve"> </w:t>
      </w:r>
      <w:proofErr w:type="spellStart"/>
      <w:r w:rsidR="005B684C" w:rsidRPr="00512EE0">
        <w:rPr>
          <w:rFonts w:ascii="Times New Roman" w:hAnsi="Times New Roman" w:cs="Times New Roman"/>
          <w:i/>
        </w:rPr>
        <w:t>û</w:t>
      </w:r>
      <w:r w:rsidR="005B684C" w:rsidRPr="00512EE0">
        <w:rPr>
          <w:i/>
          <w:iCs/>
        </w:rPr>
        <w:t>ṣĕdāqâ</w:t>
      </w:r>
      <w:proofErr w:type="spellEnd"/>
      <w:r w:rsidR="005B684C">
        <w:rPr>
          <w:iCs/>
        </w:rPr>
        <w:t xml:space="preserve"> is the Hebrew equivalent to social justice.  </w:t>
      </w:r>
    </w:p>
    <w:p w:rsidR="0004552E" w:rsidRDefault="0004552E" w:rsidP="008B4588">
      <w:pPr>
        <w:rPr>
          <w:iCs/>
        </w:rPr>
      </w:pPr>
    </w:p>
    <w:p w:rsidR="003F33F0" w:rsidRDefault="005B684C" w:rsidP="008B4588">
      <w:pPr>
        <w:rPr>
          <w:iCs/>
        </w:rPr>
      </w:pPr>
      <w:r>
        <w:rPr>
          <w:iCs/>
        </w:rPr>
        <w:t>So one might try to being</w:t>
      </w:r>
      <w:r w:rsidR="001C64FB">
        <w:rPr>
          <w:iCs/>
        </w:rPr>
        <w:t xml:space="preserve"> out the mea</w:t>
      </w:r>
      <w:r w:rsidR="00D66FD5">
        <w:rPr>
          <w:iCs/>
        </w:rPr>
        <w:t>n</w:t>
      </w:r>
      <w:r w:rsidR="00122DE1">
        <w:rPr>
          <w:iCs/>
        </w:rPr>
        <w:t>ing of the two lines in</w:t>
      </w:r>
      <w:r w:rsidR="001C64FB">
        <w:rPr>
          <w:iCs/>
        </w:rPr>
        <w:t xml:space="preserve"> </w:t>
      </w:r>
      <w:r>
        <w:rPr>
          <w:iCs/>
        </w:rPr>
        <w:t>56:1 as follows</w:t>
      </w:r>
      <w:r w:rsidR="001C64FB">
        <w:rPr>
          <w:iCs/>
        </w:rPr>
        <w:t>:</w:t>
      </w:r>
    </w:p>
    <w:p w:rsidR="001C64FB" w:rsidRDefault="001C64FB" w:rsidP="008B4588">
      <w:pPr>
        <w:rPr>
          <w:iCs/>
        </w:rPr>
      </w:pPr>
    </w:p>
    <w:p w:rsidR="001C64FB" w:rsidRDefault="001C64FB" w:rsidP="001C64FB">
      <w:pPr>
        <w:ind w:firstLine="720"/>
        <w:rPr>
          <w:rFonts w:ascii="Calibri" w:eastAsia="Calibri" w:hAnsi="Calibri" w:cs="Times New Roman"/>
        </w:rPr>
      </w:pPr>
      <w:r>
        <w:rPr>
          <w:rFonts w:ascii="Calibri" w:eastAsia="Calibri" w:hAnsi="Calibri" w:cs="Times New Roman"/>
        </w:rPr>
        <w:t>Guard the exercise of authority, do what is faithful,</w:t>
      </w:r>
    </w:p>
    <w:p w:rsidR="001C64FB" w:rsidRPr="00455FEC" w:rsidRDefault="001C64FB" w:rsidP="001C64FB">
      <w:r>
        <w:rPr>
          <w:rFonts w:ascii="Calibri" w:eastAsia="Calibri" w:hAnsi="Calibri" w:cs="Times New Roman"/>
        </w:rPr>
        <w:tab/>
      </w:r>
      <w:proofErr w:type="gramStart"/>
      <w:r>
        <w:rPr>
          <w:rFonts w:ascii="Calibri" w:eastAsia="Calibri" w:hAnsi="Calibri" w:cs="Times New Roman"/>
        </w:rPr>
        <w:t>because</w:t>
      </w:r>
      <w:proofErr w:type="gramEnd"/>
      <w:r>
        <w:rPr>
          <w:rFonts w:ascii="Calibri" w:eastAsia="Calibri" w:hAnsi="Calibri" w:cs="Times New Roman"/>
        </w:rPr>
        <w:t xml:space="preserve"> my deliverance is near coming, my faithfulness [is near] revealing itself.</w:t>
      </w:r>
    </w:p>
    <w:p w:rsidR="008B4588" w:rsidRDefault="008B4588" w:rsidP="008B4588"/>
    <w:p w:rsidR="00E33BCB" w:rsidRDefault="00122DE1" w:rsidP="00E33BCB">
      <w:r>
        <w:t>These two lines</w:t>
      </w:r>
      <w:r w:rsidR="001C64FB">
        <w:t xml:space="preserve"> about human</w:t>
      </w:r>
      <w:r w:rsidR="00E33BCB">
        <w:t xml:space="preserve"> </w:t>
      </w:r>
      <w:proofErr w:type="spellStart"/>
      <w:r w:rsidR="00E33BCB">
        <w:rPr>
          <w:i/>
          <w:iCs/>
        </w:rPr>
        <w:t>ṣĕdāqâ</w:t>
      </w:r>
      <w:proofErr w:type="spellEnd"/>
      <w:r w:rsidR="001C64FB">
        <w:rPr>
          <w:iCs/>
        </w:rPr>
        <w:t xml:space="preserve"> and divine</w:t>
      </w:r>
      <w:r w:rsidR="00E33BCB">
        <w:t xml:space="preserve"> </w:t>
      </w:r>
      <w:proofErr w:type="spellStart"/>
      <w:r w:rsidR="00E33BCB">
        <w:rPr>
          <w:i/>
          <w:iCs/>
        </w:rPr>
        <w:t>ṣĕdāqâ</w:t>
      </w:r>
      <w:proofErr w:type="spellEnd"/>
      <w:r w:rsidR="00E33BCB">
        <w:rPr>
          <w:iCs/>
        </w:rPr>
        <w:t xml:space="preserve"> </w:t>
      </w:r>
      <w:r w:rsidR="00E33BCB">
        <w:t>summarize much of the thrust of Isaiah 1 – 39 and 40 – 55</w:t>
      </w:r>
      <w:r w:rsidR="00071988">
        <w:t xml:space="preserve"> </w:t>
      </w:r>
      <w:r w:rsidR="00B32C4F">
        <w:t xml:space="preserve">respectively, </w:t>
      </w:r>
      <w:r w:rsidR="00071988">
        <w:t>and also encapsulate much of the theological t</w:t>
      </w:r>
      <w:r w:rsidR="00FC6069">
        <w:t>hrust of Isaiah 56 – 66 itself</w:t>
      </w:r>
      <w:r w:rsidR="00B32C4F">
        <w:t xml:space="preserve">.  Isaiah 1 – 39 </w:t>
      </w:r>
      <w:r w:rsidR="00E33BCB">
        <w:t xml:space="preserve">challenged the community to take </w:t>
      </w:r>
      <w:r w:rsidR="00E33BCB">
        <w:rPr>
          <w:i/>
          <w:iCs/>
        </w:rPr>
        <w:t xml:space="preserve">mišpāṭ </w:t>
      </w:r>
      <w:r w:rsidR="00E33BCB">
        <w:t xml:space="preserve">and </w:t>
      </w:r>
      <w:proofErr w:type="spellStart"/>
      <w:r w:rsidR="00E33BCB">
        <w:rPr>
          <w:i/>
          <w:iCs/>
        </w:rPr>
        <w:t>ṣĕdāqâ</w:t>
      </w:r>
      <w:proofErr w:type="spellEnd"/>
      <w:r w:rsidR="00E33BCB">
        <w:t xml:space="preserve"> more seriously.  </w:t>
      </w:r>
      <w:r w:rsidR="001C64FB">
        <w:t>The recurrence of the challenge here indicates that the</w:t>
      </w:r>
      <w:r w:rsidR="00E33BCB">
        <w:t xml:space="preserve"> exhortation s</w:t>
      </w:r>
      <w:r w:rsidR="00FC6069">
        <w:t>till needs making.  T</w:t>
      </w:r>
      <w:r w:rsidR="00E33BCB">
        <w:t xml:space="preserve">he challenge </w:t>
      </w:r>
      <w:r w:rsidR="00FC6069">
        <w:t xml:space="preserve">was not </w:t>
      </w:r>
      <w:r w:rsidR="00E33BCB">
        <w:t>so his</w:t>
      </w:r>
      <w:r w:rsidR="00FC6069">
        <w:t>torically located that it ceased</w:t>
      </w:r>
      <w:r w:rsidR="000F1CE3">
        <w:t xml:space="preserve"> to be significant for </w:t>
      </w:r>
      <w:r w:rsidR="00E33BCB">
        <w:t>later generation</w:t>
      </w:r>
      <w:r w:rsidR="000F1CE3">
        <w:t>s</w:t>
      </w:r>
      <w:r w:rsidR="00E33BCB">
        <w:t xml:space="preserve">.  On the contrary, its appearing in </w:t>
      </w:r>
      <w:r w:rsidR="00B32C4F">
        <w:t xml:space="preserve">Isaiah 1 – 39 </w:t>
      </w:r>
      <w:r w:rsidR="00E33BCB">
        <w:t xml:space="preserve">in </w:t>
      </w:r>
      <w:r w:rsidR="00B32C4F">
        <w:t>written form enables it to address subsequent</w:t>
      </w:r>
      <w:r w:rsidR="00E33BCB">
        <w:t xml:space="preserve"> </w:t>
      </w:r>
      <w:r w:rsidR="00B32C4F">
        <w:t>generations of Israel.  It makes it both possible and necessary for</w:t>
      </w:r>
      <w:r w:rsidR="00FC6069">
        <w:t xml:space="preserve"> </w:t>
      </w:r>
      <w:r w:rsidR="00E33BCB">
        <w:t>future generation</w:t>
      </w:r>
      <w:r w:rsidR="00FC6069">
        <w:t>s</w:t>
      </w:r>
      <w:r w:rsidR="00E33BCB">
        <w:t xml:space="preserve"> </w:t>
      </w:r>
      <w:r w:rsidR="00B32C4F">
        <w:t>to heed</w:t>
      </w:r>
      <w:r w:rsidR="00E33BCB">
        <w:t xml:space="preserve"> it.  Indeed, the fact that the earlier community did not heed this message (and paid the penalty) places a more dem</w:t>
      </w:r>
      <w:r w:rsidR="000F1CE3">
        <w:t>anding obligation on later communities</w:t>
      </w:r>
      <w:r w:rsidR="00E33BCB">
        <w:t xml:space="preserve"> to do so.  </w:t>
      </w:r>
    </w:p>
    <w:p w:rsidR="00D3014D" w:rsidRDefault="00D3014D" w:rsidP="00D3014D"/>
    <w:p w:rsidR="00B32C4F" w:rsidRDefault="00D3014D" w:rsidP="00174A5A">
      <w:r>
        <w:t xml:space="preserve">The second line </w:t>
      </w:r>
      <w:r w:rsidR="00FC6069">
        <w:t xml:space="preserve">with its promise that Yahweh’s </w:t>
      </w:r>
      <w:r w:rsidR="00FC6069">
        <w:rPr>
          <w:rFonts w:ascii="Calibri" w:eastAsia="Calibri" w:hAnsi="Calibri" w:cs="Times New Roman"/>
        </w:rPr>
        <w:t>deliverance is n</w:t>
      </w:r>
      <w:r w:rsidR="000F1CE3">
        <w:rPr>
          <w:rFonts w:ascii="Calibri" w:eastAsia="Calibri" w:hAnsi="Calibri" w:cs="Times New Roman"/>
        </w:rPr>
        <w:t xml:space="preserve">ear coming, his faithfulness near </w:t>
      </w:r>
      <w:r w:rsidR="00FC6069">
        <w:rPr>
          <w:rFonts w:ascii="Calibri" w:eastAsia="Calibri" w:hAnsi="Calibri" w:cs="Times New Roman"/>
        </w:rPr>
        <w:t>revealing itself,</w:t>
      </w:r>
      <w:r w:rsidR="00FC6069">
        <w:t xml:space="preserve"> </w:t>
      </w:r>
      <w:r>
        <w:t xml:space="preserve">sums up much of the </w:t>
      </w:r>
      <w:r w:rsidR="00E33BCB">
        <w:t>thrust of Isaiah 40 – 55,</w:t>
      </w:r>
      <w:r>
        <w:t xml:space="preserve"> chapters </w:t>
      </w:r>
      <w:r w:rsidR="00B32C4F">
        <w:t>that promised</w:t>
      </w:r>
      <w:r>
        <w:t xml:space="preserve"> the community</w:t>
      </w:r>
      <w:r w:rsidR="00B32C4F">
        <w:t xml:space="preserve"> in the exilic period that God would do right by it and deliver it.  T</w:t>
      </w:r>
      <w:r>
        <w:t xml:space="preserve">hese notions, too, have not lost their importance.  </w:t>
      </w:r>
      <w:r w:rsidR="00B32C4F">
        <w:t>While Isaiah 56 – 66 may</w:t>
      </w:r>
      <w:r w:rsidR="00E33BCB">
        <w:t xml:space="preserve"> be responding to </w:t>
      </w:r>
      <w:r w:rsidR="00593432">
        <w:t xml:space="preserve">disappointment with the </w:t>
      </w:r>
      <w:r w:rsidR="00E33BCB">
        <w:t xml:space="preserve">incomplete </w:t>
      </w:r>
      <w:r>
        <w:t>fulfillment of th</w:t>
      </w:r>
      <w:r w:rsidR="00E33BCB">
        <w:t xml:space="preserve">e promises in Isaiah 40 – 55, they give no indication of doing so.  </w:t>
      </w:r>
      <w:r>
        <w:t>This is not merely an argument from silence, beca</w:t>
      </w:r>
      <w:r w:rsidR="00B32C4F">
        <w:t xml:space="preserve">use </w:t>
      </w:r>
      <w:r>
        <w:t>Isaiah 40 – 55 and Isaiah 56 – 6</w:t>
      </w:r>
      <w:r w:rsidR="00FC6069">
        <w:t>6 are capable of</w:t>
      </w:r>
      <w:r>
        <w:t xml:space="preserve"> express</w:t>
      </w:r>
      <w:r w:rsidR="00FC6069">
        <w:t>ing</w:t>
      </w:r>
      <w:r>
        <w:t xml:space="preserve"> in no uncertain terms their disapp</w:t>
      </w:r>
      <w:r w:rsidR="00E33BCB">
        <w:t>ointment with Yahweh’s action</w:t>
      </w:r>
      <w:r w:rsidR="00FC6069">
        <w:t>, but this opening line does not do so</w:t>
      </w:r>
      <w:r w:rsidR="00E33BCB">
        <w:t xml:space="preserve">.  </w:t>
      </w:r>
      <w:r w:rsidR="00593432">
        <w:t>T</w:t>
      </w:r>
      <w:r w:rsidR="00FC6069">
        <w:t>he statement</w:t>
      </w:r>
      <w:r w:rsidR="00D66FD5">
        <w:t xml:space="preserve"> about God’s deliverance and faithfulness simply affirms God’s promise</w:t>
      </w:r>
      <w:r w:rsidR="00593432">
        <w:t xml:space="preserve">.  </w:t>
      </w:r>
    </w:p>
    <w:p w:rsidR="00B32C4F" w:rsidRDefault="00B32C4F" w:rsidP="00174A5A"/>
    <w:p w:rsidR="00174A5A" w:rsidRDefault="00593432" w:rsidP="00174A5A">
      <w:r>
        <w:t>A</w:t>
      </w:r>
      <w:r w:rsidR="00174A5A">
        <w:t xml:space="preserve">s is typical with prophetic promises (and warnings), the promises in Isaiah 40 – 55 have </w:t>
      </w:r>
      <w:r w:rsidR="00637ED6">
        <w:t xml:space="preserve">in fact </w:t>
      </w:r>
      <w:r w:rsidR="00174A5A">
        <w:t xml:space="preserve">received some measure of implementing, but nothing like as radical an implementing as one might have expected.  While Yahweh has seen to the conquest of Babylon by Cyrus and to Cyrus’s encouraging Judahites to return to rebuild the temple, Judah now lives under the dominion of another imperial power and the city still stands in a devastated </w:t>
      </w:r>
      <w:r w:rsidR="00FC6069">
        <w:t xml:space="preserve">state.  </w:t>
      </w:r>
      <w:r w:rsidR="00B32C4F">
        <w:t>As t</w:t>
      </w:r>
      <w:r w:rsidR="00174A5A">
        <w:t>here is no indication that the people the prophecies address felt that the prophecy of the exile had failed</w:t>
      </w:r>
      <w:r w:rsidR="00B32C4F">
        <w:t>, so there is no indication that</w:t>
      </w:r>
      <w:r w:rsidR="00FC6069">
        <w:t xml:space="preserve"> </w:t>
      </w:r>
      <w:r w:rsidR="00174A5A">
        <w:t>the critique of the community that will follow in chapters 56 – 59</w:t>
      </w:r>
      <w:r w:rsidR="00FC6069">
        <w:t xml:space="preserve"> explains this failure</w:t>
      </w:r>
      <w:r w:rsidR="00174A5A">
        <w:t xml:space="preserve">.  But in the circumstances, alongside the importance of repeating the challenge to </w:t>
      </w:r>
      <w:r w:rsidR="00B32C4F">
        <w:t>“</w:t>
      </w:r>
      <w:r w:rsidR="00174A5A">
        <w:t>guard authority</w:t>
      </w:r>
      <w:r w:rsidR="00174A5A" w:rsidRPr="00512FB6">
        <w:t>, act in faithfulness</w:t>
      </w:r>
      <w:r w:rsidR="00B32C4F">
        <w:t>”</w:t>
      </w:r>
      <w:r w:rsidR="00174A5A">
        <w:t xml:space="preserve"> it is important to repeat the promises, as will happen in glorious </w:t>
      </w:r>
      <w:proofErr w:type="spellStart"/>
      <w:proofErr w:type="gramStart"/>
      <w:r w:rsidR="00174A5A">
        <w:t>technicolor</w:t>
      </w:r>
      <w:proofErr w:type="spellEnd"/>
      <w:proofErr w:type="gramEnd"/>
      <w:r w:rsidR="00174A5A">
        <w:t xml:space="preserve"> in subsequent chapters.  The promises’ partial fulfillment makes their reaffirmation both necessary and possible.</w:t>
      </w:r>
    </w:p>
    <w:p w:rsidR="00174A5A" w:rsidRDefault="00174A5A" w:rsidP="00174A5A"/>
    <w:p w:rsidR="00D3014D" w:rsidRDefault="008B4588" w:rsidP="008B4588">
      <w:r>
        <w:lastRenderedPageBreak/>
        <w:t xml:space="preserve">The collocation of the two lines </w:t>
      </w:r>
      <w:r w:rsidR="00593432">
        <w:t xml:space="preserve">thus summarizes what has preceded and what will follow, but it </w:t>
      </w:r>
      <w:r>
        <w:t>also exposes an i</w:t>
      </w:r>
      <w:r w:rsidR="004C1B50">
        <w:t>rresolvable question about the</w:t>
      </w:r>
      <w:r>
        <w:t xml:space="preserve"> interrelationship</w:t>
      </w:r>
      <w:r w:rsidR="004C1B50">
        <w:t xml:space="preserve"> of the points they make</w:t>
      </w:r>
      <w:r w:rsidR="00593432">
        <w:t xml:space="preserve">.  </w:t>
      </w:r>
      <w:r w:rsidR="00924280">
        <w:t xml:space="preserve">The ambiguity compares </w:t>
      </w:r>
      <w:r w:rsidR="00593432">
        <w:t xml:space="preserve">with </w:t>
      </w:r>
      <w:r w:rsidR="00924280">
        <w:t xml:space="preserve">that in </w:t>
      </w:r>
      <w:r w:rsidR="00593432">
        <w:t>the summaries</w:t>
      </w:r>
      <w:r>
        <w:t xml:space="preserve"> of Jesus’ preaching in Matt</w:t>
      </w:r>
      <w:r w:rsidR="00241390">
        <w:t>hew 3</w:t>
      </w:r>
      <w:r w:rsidR="00637ED6">
        <w:t>*</w:t>
      </w:r>
      <w:r w:rsidR="00241390">
        <w:t>, “Repent, because the kingdom of heaven has come near,” and in Mark 1</w:t>
      </w:r>
      <w:r w:rsidR="00637ED6">
        <w:t>*</w:t>
      </w:r>
      <w:r w:rsidR="00241390">
        <w:t>, which strikingly lacks the “because</w:t>
      </w:r>
      <w:r w:rsidR="00593432">
        <w:t>”; these</w:t>
      </w:r>
      <w:r>
        <w:t xml:space="preserve"> provoke reflection on the same question.  </w:t>
      </w:r>
    </w:p>
    <w:p w:rsidR="00D3014D" w:rsidRDefault="00D3014D" w:rsidP="008B4588"/>
    <w:p w:rsidR="00D3014D" w:rsidRDefault="008B4588" w:rsidP="008B4588">
      <w:r>
        <w:t xml:space="preserve">Is it the case that people must pay attention to </w:t>
      </w:r>
      <w:r>
        <w:rPr>
          <w:i/>
          <w:iCs/>
        </w:rPr>
        <w:t xml:space="preserve">mišpāṭ </w:t>
      </w:r>
      <w:r>
        <w:t xml:space="preserve">and </w:t>
      </w:r>
      <w:proofErr w:type="spellStart"/>
      <w:r>
        <w:rPr>
          <w:i/>
          <w:iCs/>
        </w:rPr>
        <w:t>ṣĕdāqâ</w:t>
      </w:r>
      <w:proofErr w:type="spellEnd"/>
      <w:r>
        <w:t xml:space="preserve"> because Yahweh is about to act in </w:t>
      </w:r>
      <w:r>
        <w:rPr>
          <w:i/>
          <w:iCs/>
        </w:rPr>
        <w:t xml:space="preserve">yĕšû‘â </w:t>
      </w:r>
      <w:r>
        <w:t xml:space="preserve">and </w:t>
      </w:r>
      <w:proofErr w:type="spellStart"/>
      <w:r>
        <w:rPr>
          <w:i/>
          <w:iCs/>
        </w:rPr>
        <w:t>ṣĕdāqâ</w:t>
      </w:r>
      <w:proofErr w:type="spellEnd"/>
      <w:r w:rsidR="00593432">
        <w:t>?  In other words, will</w:t>
      </w:r>
      <w:r>
        <w:t xml:space="preserve"> a life of </w:t>
      </w:r>
      <w:r>
        <w:rPr>
          <w:i/>
          <w:iCs/>
        </w:rPr>
        <w:t xml:space="preserve">mišpāṭ </w:t>
      </w:r>
      <w:r>
        <w:t xml:space="preserve">and </w:t>
      </w:r>
      <w:proofErr w:type="spellStart"/>
      <w:r>
        <w:rPr>
          <w:i/>
          <w:iCs/>
        </w:rPr>
        <w:t>ṣĕdāqâ</w:t>
      </w:r>
      <w:proofErr w:type="spellEnd"/>
      <w:r>
        <w:t xml:space="preserve"> </w:t>
      </w:r>
      <w:r w:rsidR="00593432">
        <w:t xml:space="preserve">be </w:t>
      </w:r>
      <w:r>
        <w:t xml:space="preserve">a response to a divine commitment to </w:t>
      </w:r>
      <w:r>
        <w:rPr>
          <w:i/>
          <w:iCs/>
        </w:rPr>
        <w:t xml:space="preserve">yĕšû‘â </w:t>
      </w:r>
      <w:r>
        <w:t xml:space="preserve">and </w:t>
      </w:r>
      <w:proofErr w:type="spellStart"/>
      <w:r>
        <w:rPr>
          <w:i/>
          <w:iCs/>
        </w:rPr>
        <w:t>ṣĕdāqâ</w:t>
      </w:r>
      <w:proofErr w:type="spellEnd"/>
      <w:r>
        <w:t xml:space="preserve">?  Or is it the case that people must pay attention to </w:t>
      </w:r>
      <w:r>
        <w:rPr>
          <w:i/>
          <w:iCs/>
        </w:rPr>
        <w:t xml:space="preserve">mišpāṭ </w:t>
      </w:r>
      <w:r>
        <w:t xml:space="preserve">and </w:t>
      </w:r>
      <w:proofErr w:type="spellStart"/>
      <w:r>
        <w:rPr>
          <w:i/>
          <w:iCs/>
        </w:rPr>
        <w:t>ṣĕdāqâ</w:t>
      </w:r>
      <w:proofErr w:type="spellEnd"/>
      <w:r>
        <w:t xml:space="preserve"> because only then will Yahweh act in </w:t>
      </w:r>
      <w:r>
        <w:rPr>
          <w:i/>
          <w:iCs/>
        </w:rPr>
        <w:t xml:space="preserve">yĕšû‘â </w:t>
      </w:r>
      <w:r>
        <w:t xml:space="preserve">and </w:t>
      </w:r>
      <w:proofErr w:type="spellStart"/>
      <w:r>
        <w:rPr>
          <w:i/>
          <w:iCs/>
        </w:rPr>
        <w:t>ṣĕdāqâ</w:t>
      </w:r>
      <w:proofErr w:type="spellEnd"/>
      <w:r w:rsidR="00593432">
        <w:t>?  In other words, will</w:t>
      </w:r>
      <w:r>
        <w:t xml:space="preserve"> Yahweh’s </w:t>
      </w:r>
      <w:r>
        <w:rPr>
          <w:i/>
          <w:iCs/>
        </w:rPr>
        <w:t xml:space="preserve">yĕšû‘â </w:t>
      </w:r>
      <w:r>
        <w:t xml:space="preserve">and </w:t>
      </w:r>
      <w:proofErr w:type="spellStart"/>
      <w:r>
        <w:rPr>
          <w:i/>
          <w:iCs/>
        </w:rPr>
        <w:t>ṣĕdāqâ</w:t>
      </w:r>
      <w:proofErr w:type="spellEnd"/>
      <w:r w:rsidR="004C1B50">
        <w:rPr>
          <w:i/>
          <w:iCs/>
        </w:rPr>
        <w:t xml:space="preserve"> </w:t>
      </w:r>
      <w:r w:rsidR="004C1B50">
        <w:t xml:space="preserve">be a </w:t>
      </w:r>
      <w:r>
        <w:t xml:space="preserve">response to a human commitment to </w:t>
      </w:r>
      <w:r>
        <w:rPr>
          <w:i/>
          <w:iCs/>
        </w:rPr>
        <w:t xml:space="preserve">mišpāṭ </w:t>
      </w:r>
      <w:r>
        <w:t xml:space="preserve">and </w:t>
      </w:r>
      <w:proofErr w:type="spellStart"/>
      <w:r>
        <w:rPr>
          <w:i/>
          <w:iCs/>
        </w:rPr>
        <w:t>ṣĕdāqâ</w:t>
      </w:r>
      <w:proofErr w:type="spellEnd"/>
      <w:r>
        <w:t>?  The consequences that follow from accepting either answer to the question show why it is irresolvabl</w:t>
      </w:r>
      <w:r w:rsidR="00593432">
        <w:t>e.  The first answer is open to</w:t>
      </w:r>
      <w:r w:rsidR="00241390">
        <w:t xml:space="preserve"> imply</w:t>
      </w:r>
      <w:r w:rsidR="00593432">
        <w:t>ing</w:t>
      </w:r>
      <w:r>
        <w:t xml:space="preserve"> that Yahweh is committed to acting in </w:t>
      </w:r>
      <w:r>
        <w:rPr>
          <w:i/>
          <w:iCs/>
        </w:rPr>
        <w:t xml:space="preserve">yĕšû‘â </w:t>
      </w:r>
      <w:r>
        <w:t xml:space="preserve">and </w:t>
      </w:r>
      <w:proofErr w:type="spellStart"/>
      <w:r>
        <w:rPr>
          <w:i/>
          <w:iCs/>
        </w:rPr>
        <w:t>ṣĕdāqâ</w:t>
      </w:r>
      <w:proofErr w:type="spellEnd"/>
      <w:r>
        <w:t xml:space="preserve"> irrespective of the community’s attitude, </w:t>
      </w:r>
      <w:r w:rsidR="00241390">
        <w:t>which stands in tension with the indications that problems with the community’s attitude are the reason why it needs deliverance</w:t>
      </w:r>
      <w:r>
        <w:t xml:space="preserve">.  The second answer is open to implying that the community’s </w:t>
      </w:r>
      <w:r>
        <w:rPr>
          <w:i/>
          <w:iCs/>
        </w:rPr>
        <w:t xml:space="preserve">mišpāṭ </w:t>
      </w:r>
      <w:r>
        <w:t xml:space="preserve">and </w:t>
      </w:r>
      <w:proofErr w:type="spellStart"/>
      <w:r>
        <w:rPr>
          <w:i/>
          <w:iCs/>
        </w:rPr>
        <w:t>ṣĕdāqâ</w:t>
      </w:r>
      <w:proofErr w:type="spellEnd"/>
      <w:r>
        <w:t xml:space="preserve"> is the decisive consideration in determining whether Yahweh acts in </w:t>
      </w:r>
      <w:r>
        <w:rPr>
          <w:i/>
          <w:iCs/>
        </w:rPr>
        <w:t xml:space="preserve">yĕšû‘â </w:t>
      </w:r>
      <w:r>
        <w:t xml:space="preserve">and </w:t>
      </w:r>
      <w:proofErr w:type="spellStart"/>
      <w:r>
        <w:rPr>
          <w:i/>
          <w:iCs/>
        </w:rPr>
        <w:t>ṣĕdāqâ</w:t>
      </w:r>
      <w:proofErr w:type="spellEnd"/>
      <w:r>
        <w:t xml:space="preserve">, so that the relationship between the people and Yahweh becomes a transactional or contractual one.  </w:t>
      </w:r>
    </w:p>
    <w:p w:rsidR="005A7390" w:rsidRDefault="005A7390" w:rsidP="008B4588">
      <w:pPr>
        <w:rPr>
          <w:rFonts w:cs="Calibri"/>
        </w:rPr>
      </w:pPr>
    </w:p>
    <w:p w:rsidR="008B4588" w:rsidRDefault="008B4588" w:rsidP="008B4588">
      <w:pPr>
        <w:rPr>
          <w:iCs/>
        </w:rPr>
      </w:pPr>
      <w:r>
        <w:rPr>
          <w:iCs/>
        </w:rPr>
        <w:t xml:space="preserve">At first sight it might seem that interposing the conjunction </w:t>
      </w:r>
      <w:r w:rsidR="00B32C4F">
        <w:rPr>
          <w:iCs/>
        </w:rPr>
        <w:t>“</w:t>
      </w:r>
      <w:r>
        <w:rPr>
          <w:iCs/>
        </w:rPr>
        <w:t>because</w:t>
      </w:r>
      <w:r w:rsidR="00B32C4F">
        <w:rPr>
          <w:iCs/>
        </w:rPr>
        <w:t>”</w:t>
      </w:r>
      <w:r>
        <w:rPr>
          <w:iCs/>
        </w:rPr>
        <w:t xml:space="preserve"> between the imperatives and the declarations resolves the tension between these two stances, but it does not do so.  The new statement could mean </w:t>
      </w:r>
      <w:r w:rsidR="00B32C4F">
        <w:rPr>
          <w:rFonts w:cs="Calibri"/>
        </w:rPr>
        <w:t>“</w:t>
      </w:r>
      <w:r>
        <w:rPr>
          <w:rFonts w:cs="Calibri"/>
        </w:rPr>
        <w:t xml:space="preserve">Observe </w:t>
      </w:r>
      <w:r>
        <w:rPr>
          <w:i/>
        </w:rPr>
        <w:t>mišpāṭ</w:t>
      </w:r>
      <w:r>
        <w:t xml:space="preserve">, do </w:t>
      </w:r>
      <w:r>
        <w:rPr>
          <w:i/>
          <w:iCs/>
        </w:rPr>
        <w:t>ṣĕdāqâ</w:t>
      </w:r>
      <w:r>
        <w:rPr>
          <w:iCs/>
        </w:rPr>
        <w:t xml:space="preserve">, because such action is necessary if I am to fulfill my promise, so that my </w:t>
      </w:r>
      <w:r>
        <w:rPr>
          <w:i/>
          <w:iCs/>
        </w:rPr>
        <w:t>yĕšû’â</w:t>
      </w:r>
      <w:r>
        <w:rPr>
          <w:iCs/>
        </w:rPr>
        <w:t xml:space="preserve"> is near to coming, my </w:t>
      </w:r>
      <w:r>
        <w:rPr>
          <w:i/>
          <w:iCs/>
        </w:rPr>
        <w:t>ṣĕdāqâ</w:t>
      </w:r>
      <w:r>
        <w:rPr>
          <w:iCs/>
        </w:rPr>
        <w:t xml:space="preserve"> to revealing itself</w:t>
      </w:r>
      <w:r w:rsidR="00B32C4F">
        <w:rPr>
          <w:iCs/>
        </w:rPr>
        <w:t>.”</w:t>
      </w:r>
      <w:r>
        <w:rPr>
          <w:iCs/>
        </w:rPr>
        <w:t xml:space="preserve">  Obedience to the command is a condition of the fulfillment of the promise.  Or it could mean </w:t>
      </w:r>
      <w:r w:rsidR="00B32C4F">
        <w:rPr>
          <w:rFonts w:cs="Calibri"/>
        </w:rPr>
        <w:t>“</w:t>
      </w:r>
      <w:r>
        <w:rPr>
          <w:rFonts w:cs="Calibri"/>
        </w:rPr>
        <w:t xml:space="preserve">Observe </w:t>
      </w:r>
      <w:r>
        <w:rPr>
          <w:i/>
        </w:rPr>
        <w:t>mišpāṭ</w:t>
      </w:r>
      <w:r>
        <w:t xml:space="preserve">, do </w:t>
      </w:r>
      <w:r>
        <w:rPr>
          <w:i/>
          <w:iCs/>
        </w:rPr>
        <w:t>ṣĕdāqâ</w:t>
      </w:r>
      <w:r>
        <w:rPr>
          <w:iCs/>
        </w:rPr>
        <w:t xml:space="preserve">, because such action is the only appropriate response to the fact that my </w:t>
      </w:r>
      <w:r>
        <w:rPr>
          <w:i/>
          <w:iCs/>
        </w:rPr>
        <w:t>yĕšû’â</w:t>
      </w:r>
      <w:r>
        <w:rPr>
          <w:iCs/>
        </w:rPr>
        <w:t xml:space="preserve"> is near to coming, my </w:t>
      </w:r>
      <w:r>
        <w:rPr>
          <w:i/>
          <w:iCs/>
        </w:rPr>
        <w:t>ṣĕdāqâ</w:t>
      </w:r>
      <w:r>
        <w:rPr>
          <w:iCs/>
        </w:rPr>
        <w:t xml:space="preserve"> to revealing itself</w:t>
      </w:r>
      <w:r w:rsidR="00B32C4F">
        <w:rPr>
          <w:iCs/>
        </w:rPr>
        <w:t>.”</w:t>
      </w:r>
      <w:r>
        <w:rPr>
          <w:iCs/>
        </w:rPr>
        <w:t xml:space="preserve">  If we have to choose, th</w:t>
      </w:r>
      <w:r w:rsidR="00637ED6">
        <w:rPr>
          <w:iCs/>
        </w:rPr>
        <w:t>en the second understanding i</w:t>
      </w:r>
      <w:r>
        <w:rPr>
          <w:iCs/>
        </w:rPr>
        <w:t>s more plausible; but there is indeed some ambiguity about the relationship between the imperatives and the declarations.</w:t>
      </w:r>
    </w:p>
    <w:p w:rsidR="008B4588" w:rsidRPr="00D46802" w:rsidRDefault="008B4588" w:rsidP="008B4588"/>
    <w:p w:rsidR="004C1B50" w:rsidRDefault="00924280" w:rsidP="004C1B50">
      <w:r>
        <w:t>T</w:t>
      </w:r>
      <w:r w:rsidR="004C1B50">
        <w:t xml:space="preserve">he two lines in the opening verse in Isaiah 56 – 66 </w:t>
      </w:r>
      <w:r>
        <w:t xml:space="preserve">do </w:t>
      </w:r>
      <w:r w:rsidR="004C1B50">
        <w:t>set ag</w:t>
      </w:r>
      <w:r>
        <w:t>enda for the chapters that follow, and tho</w:t>
      </w:r>
      <w:r w:rsidR="004C1B50">
        <w:t>se chapters spell out this question further without resolving it.  The chapters challenge the Judahite community to live in light of Yahweh’s promises concerning its coming restoration, which issue from Yahweh’s doing right by the community.  They also challenge this community t</w:t>
      </w:r>
      <w:r w:rsidR="004C1B50" w:rsidRPr="00F2480A">
        <w:t>o do right in the way they</w:t>
      </w:r>
      <w:r w:rsidR="004C1B50">
        <w:t xml:space="preserve"> </w:t>
      </w:r>
      <w:r w:rsidR="004C1B50" w:rsidRPr="00F2480A">
        <w:t>live</w:t>
      </w:r>
      <w:r w:rsidR="004C1B50">
        <w:t xml:space="preserve"> with one another.  The double use of the word </w:t>
      </w:r>
      <w:proofErr w:type="spellStart"/>
      <w:r w:rsidR="004C1B50">
        <w:rPr>
          <w:i/>
          <w:iCs/>
        </w:rPr>
        <w:t>ṣĕdāqâ</w:t>
      </w:r>
      <w:proofErr w:type="spellEnd"/>
      <w:r w:rsidR="004C1B50">
        <w:rPr>
          <w:iCs/>
        </w:rPr>
        <w:t xml:space="preserve">, both a description of what Yahweh will do in restoring the community and a word for the way the community </w:t>
      </w:r>
      <w:r>
        <w:rPr>
          <w:iCs/>
        </w:rPr>
        <w:t xml:space="preserve">is challenged to live, helps to </w:t>
      </w:r>
      <w:r w:rsidR="004C1B50">
        <w:rPr>
          <w:iCs/>
        </w:rPr>
        <w:t xml:space="preserve">make the point, and to suggest a link between the divine act and the human act.  </w:t>
      </w:r>
      <w:r w:rsidR="004C1B50">
        <w:t>The opening verse and the succeeding chapters thus hold together in necessary fashion God’s promise and the need for the people’s response, and make a theological point whose significance is not confined to their context.   Indeed, the opening verse makes no mention of the Judahite community itself and thus sets a pattern for Isaiah 56 – 66 in suggesting that its exhortation applies to the people of God in any context.</w:t>
      </w:r>
    </w:p>
    <w:p w:rsidR="004C1B50" w:rsidRDefault="004C1B50" w:rsidP="004C1B50"/>
    <w:p w:rsidR="004C1B50" w:rsidRDefault="00593432" w:rsidP="004C1B50">
      <w:r>
        <w:t>The material in Isai</w:t>
      </w:r>
      <w:r w:rsidR="00501E3D">
        <w:t>ah 56 – 66 as a whole incorporates no concrete historical references or dates</w:t>
      </w:r>
      <w:r>
        <w:t xml:space="preserve">.  </w:t>
      </w:r>
      <w:r w:rsidR="004C1B50">
        <w:t>What is the signi</w:t>
      </w:r>
      <w:r w:rsidR="009029BB">
        <w:t>ficance of its being</w:t>
      </w:r>
      <w:r w:rsidR="004C1B50">
        <w:t xml:space="preserve"> placed after the material that contain</w:t>
      </w:r>
      <w:r w:rsidR="00501E3D">
        <w:t>s these</w:t>
      </w:r>
      <w:r w:rsidR="004C1B50">
        <w:t>?  Isaiah 1 – 39 embodies Yahweh’s reaction to the situation in Judah in the eighth century and a</w:t>
      </w:r>
      <w:r w:rsidR="00412E1F">
        <w:t>nnounces the divine intention regarding</w:t>
      </w:r>
      <w:r w:rsidR="004C1B50">
        <w:t xml:space="preserve"> it, while Isaiah 40 – 55 embodies Yahweh’s reaction to the situation among J</w:t>
      </w:r>
      <w:r w:rsidR="00501E3D">
        <w:t>udahites in Jerusalem and/or Babylon</w:t>
      </w:r>
      <w:r w:rsidR="004C1B50">
        <w:t xml:space="preserve"> in the mid-sixth cen</w:t>
      </w:r>
      <w:r w:rsidR="009029BB">
        <w:t xml:space="preserve">tury.  (I do not imply </w:t>
      </w:r>
      <w:r w:rsidR="004C1B50">
        <w:t>that a</w:t>
      </w:r>
      <w:r w:rsidR="00501E3D">
        <w:t>ll the material</w:t>
      </w:r>
      <w:r w:rsidR="004C1B50">
        <w:t xml:space="preserve"> comes from</w:t>
      </w:r>
      <w:r w:rsidR="00501E3D">
        <w:t xml:space="preserve"> these two </w:t>
      </w:r>
      <w:proofErr w:type="gramStart"/>
      <w:r w:rsidR="00501E3D">
        <w:t>contexts, simply</w:t>
      </w:r>
      <w:r w:rsidR="004C1B50">
        <w:t xml:space="preserve"> that</w:t>
      </w:r>
      <w:proofErr w:type="gramEnd"/>
      <w:r w:rsidR="004C1B50">
        <w:t xml:space="preserve"> these are the only contexts they refer to.)  Located between the historical contexts to which these two blocks of material refer, the fall of Jerusalem and the exile to Babylon constitute both the solution to the problem set up by Isaiah 1 – 39 and the problem for which </w:t>
      </w:r>
      <w:r w:rsidR="004C1B50">
        <w:lastRenderedPageBreak/>
        <w:t xml:space="preserve">Isaiah 40 – 55 offers the solution.  With Isaiah 55 the chapters thus come to a happy ending.  The book could stop there.  There is no need for anything else.  Yet apparently there is.  Historically we can properly interpret that need in light of the experience of </w:t>
      </w:r>
      <w:smartTag w:uri="urn:schemas-microsoft-com:office:smarttags" w:element="place">
        <w:smartTag w:uri="urn:schemas-microsoft-com:office:smarttags" w:element="country-region">
          <w:r w:rsidR="004C1B50">
            <w:t>Judah</w:t>
          </w:r>
        </w:smartTag>
      </w:smartTag>
      <w:r w:rsidR="004C1B50">
        <w:t xml:space="preserve"> in the Persian period and see Isaiah 56 – 66 as speaking to that context.  But the chapters’ lack of concr</w:t>
      </w:r>
      <w:r w:rsidR="00501E3D">
        <w:t>ete reference raises the question whether</w:t>
      </w:r>
      <w:r w:rsidR="004C1B50">
        <w:t xml:space="preserve"> there is more going on here.  The chapters make a general point about the nature of Yahwe</w:t>
      </w:r>
      <w:r w:rsidR="009029BB">
        <w:t>h’s involvement in the world, about</w:t>
      </w:r>
      <w:r w:rsidR="004C1B50">
        <w:t xml:space="preserve"> </w:t>
      </w:r>
      <w:r w:rsidR="009029BB">
        <w:t>the nature of Yahweh’s people, and about the relationship between these two.</w:t>
      </w:r>
    </w:p>
    <w:p w:rsidR="004C1B50" w:rsidRDefault="004C1B50" w:rsidP="004C1B50"/>
    <w:p w:rsidR="00921798" w:rsidRDefault="00501E3D" w:rsidP="00921798">
      <w:r>
        <w:t>The chiastic</w:t>
      </w:r>
      <w:r w:rsidR="00921798">
        <w:t xml:space="preserve"> arrangement of the chapters </w:t>
      </w:r>
      <w:r>
        <w:t>coheres with this notion and points to</w:t>
      </w:r>
      <w:r w:rsidR="00921798">
        <w:t xml:space="preserve"> an understanding of the theological issues they raise.  By its nature, a concentric structure has a different </w:t>
      </w:r>
      <w:r w:rsidR="00412E1F">
        <w:t>dynamic from a linear one</w:t>
      </w:r>
      <w:r w:rsidR="00921798">
        <w:t xml:space="preserve"> like that of Isaiah 40 – 55.  A concentric structure looks as if it is going somewhere but turns out to be doing something more ambiguous.  Its second half may take the argument forward, as the second of two cola in a poetic line characteristically goes beyond the first in some way.  There will thus be a little linearity about the structure; it is more like a spiral than a circle.  But formally, Isaiah 56 – 66 ends up coming back to where it started.  </w:t>
      </w:r>
      <w:r w:rsidR="009029BB">
        <w:t>Like chapter 55, c</w:t>
      </w:r>
      <w:r w:rsidR="00921798">
        <w:t xml:space="preserve">hapters 60 – 62 could seem the proper ending to the book of Isaiah.  Isaiah 60 </w:t>
      </w:r>
      <w:r w:rsidR="009029BB">
        <w:t>resumes and summarizes the book’</w:t>
      </w:r>
      <w:r w:rsidR="00921798">
        <w:t>s m</w:t>
      </w:r>
      <w:r w:rsidR="009029BB">
        <w:t>ost central theme,</w:t>
      </w:r>
      <w:r w:rsidR="00921798">
        <w:t xml:space="preserve"> Jerusalem and its destiny.   It brings to a resolution problems and issues regarding the city’s place amon</w:t>
      </w:r>
      <w:r w:rsidR="00741B13">
        <w:t>g the nations of the world that</w:t>
      </w:r>
      <w:r w:rsidR="00412E1F">
        <w:t xml:space="preserve"> occupy a central plac</w:t>
      </w:r>
      <w:r w:rsidR="00921798">
        <w:t>e in the book from the beginning.  But the fact that the book of Isaiah does not end with chapters 60 – 62</w:t>
      </w:r>
      <w:r w:rsidR="009029BB">
        <w:t>,</w:t>
      </w:r>
      <w:r w:rsidR="00921798">
        <w:t xml:space="preserve"> but continue</w:t>
      </w:r>
      <w:r w:rsidR="009029BB">
        <w:t>s as</w:t>
      </w:r>
      <w:r w:rsidR="00921798">
        <w:t xml:space="preserve"> it does</w:t>
      </w:r>
      <w:r w:rsidR="009029BB">
        <w:t>,</w:t>
      </w:r>
      <w:r w:rsidR="00921798">
        <w:t xml:space="preserve"> constitutes a telling indication of</w:t>
      </w:r>
      <w:r w:rsidR="009029BB">
        <w:t xml:space="preserve"> the thesis that emerges from the book</w:t>
      </w:r>
      <w:r w:rsidR="00921798">
        <w:t>, and in particular from Isaiah 56 – 66.  As Isaiah 1 - 55 and then the opening verse of the last eleven chapters announce, the book as a whole and these closing chapters expound two chief convictions, that Jerusalem needs to face Yahweh’s challenges about its life and that Yahweh is committed to its glorious restoration.  But the last eleven chapters, like their opening verse, do not establish the relationship between these two convictions.  They simply juxtapose them.  They do suggest that it is an oversimplification to say that the vital thing is for Jerusalem to clean up its act, and that its restoration will then follow.  But they also suggest that neither is it the case that Yahweh’s act of restoration will take place irrespective of Jerusalem’s stance in relation to Yahweh.</w:t>
      </w:r>
    </w:p>
    <w:p w:rsidR="00921798" w:rsidRDefault="00921798" w:rsidP="00921798"/>
    <w:p w:rsidR="00921798" w:rsidRDefault="00921798" w:rsidP="00921798">
      <w:r>
        <w:t>As the genius of Isaiah 40 – 55 is to expound theological issues by means of a linear argument, the genius of Isaiah 56 – 66 is to expound theo</w:t>
      </w:r>
      <w:r w:rsidR="009029BB">
        <w:t>logical issues by means of this</w:t>
      </w:r>
      <w:r>
        <w:t xml:space="preserve"> chiasm.  These strategies are contextual and not interchangeable.  The thrust of Isaiah 40 – 55 could not be expressed as a chiasm, whereas the thrust of Isaiah 56 – 66 could not be expressed by a linear sequence.  It expounds the irresolvable tensions between challenge, prayer, and promise, between an interest in the nations that focuses on their blessing and one that focuses on Israel’s blessing, and between judgment and restoration.   Such significance in a chiasm emerges when one contrasts it with a text open to deconstruction.  There are texts that emphasize either divine action or human action, and it is not then surprising if readers can see the other emphasis lurking somewhere beneath the surface of the text.   Indeed, this is so in Isaiah 40 – 55.  The genius of a chiasm (or is it the cowardice of a chiasm?) is to avoid deconstruction by being upfront with the two assertions that stand in tension with each other.  While Isaiah 40 – 55 is amenable to deconstruction without </w:t>
      </w:r>
      <w:r w:rsidR="00412E1F">
        <w:t xml:space="preserve">overtly </w:t>
      </w:r>
      <w:r>
        <w:t xml:space="preserve">inviting it, Isaiah 56 – 66 wears its deconstruction on its sleeve.  </w:t>
      </w:r>
    </w:p>
    <w:p w:rsidR="00921798" w:rsidRDefault="00921798" w:rsidP="00921798"/>
    <w:p w:rsidR="005A7390" w:rsidRDefault="009029BB" w:rsidP="005A7390">
      <w:pPr>
        <w:rPr>
          <w:iCs/>
        </w:rPr>
      </w:pPr>
      <w:r>
        <w:t xml:space="preserve">The way Isaiah 56 – 66 </w:t>
      </w:r>
      <w:r w:rsidR="00D3014D">
        <w:t xml:space="preserve">unfolds </w:t>
      </w:r>
      <w:r>
        <w:t xml:space="preserve">thus </w:t>
      </w:r>
      <w:r w:rsidR="00D3014D">
        <w:t>underlines the ambiguity of its opening rather than</w:t>
      </w:r>
      <w:r w:rsidR="00A12118">
        <w:t xml:space="preserve"> resolving it.  Chapters</w:t>
      </w:r>
      <w:r w:rsidR="00D3014D">
        <w:t xml:space="preserve"> </w:t>
      </w:r>
      <w:r w:rsidR="00A12118">
        <w:t>56 – 59 are</w:t>
      </w:r>
      <w:r w:rsidR="00D3014D">
        <w:t xml:space="preserve"> dominated by critique of the community and by the laying down of expectations, closing with a prayer that constitutes an acknowledgment to Yahweh that this critique is fair.  The expectations relate both to religious life and to ethical life.  You could say that they are the outworking of what it means to </w:t>
      </w:r>
      <w:r w:rsidR="00D3014D">
        <w:rPr>
          <w:rFonts w:cs="Calibri"/>
        </w:rPr>
        <w:t xml:space="preserve">observe </w:t>
      </w:r>
      <w:r w:rsidR="00D3014D">
        <w:rPr>
          <w:i/>
        </w:rPr>
        <w:t>mišpāṭ</w:t>
      </w:r>
      <w:r w:rsidR="00D3014D">
        <w:t xml:space="preserve"> and do </w:t>
      </w:r>
      <w:r w:rsidR="00D3014D">
        <w:rPr>
          <w:i/>
          <w:iCs/>
        </w:rPr>
        <w:t>ṣĕdāqâ</w:t>
      </w:r>
      <w:r w:rsidR="00D3014D">
        <w:rPr>
          <w:iCs/>
        </w:rPr>
        <w:t>.  T</w:t>
      </w:r>
      <w:r w:rsidR="005A7390">
        <w:rPr>
          <w:iCs/>
        </w:rPr>
        <w:t>he central chapters of Isaiah 56 – 66</w:t>
      </w:r>
      <w:r w:rsidR="00412E1F">
        <w:rPr>
          <w:iCs/>
        </w:rPr>
        <w:t xml:space="preserve"> then constitute</w:t>
      </w:r>
      <w:r w:rsidR="00D3014D">
        <w:rPr>
          <w:iCs/>
        </w:rPr>
        <w:t xml:space="preserve"> promises that Yahweh intends to take action against his enemies, who are also Jerusalem’s </w:t>
      </w:r>
      <w:r w:rsidR="00D3014D">
        <w:rPr>
          <w:iCs/>
        </w:rPr>
        <w:lastRenderedPageBreak/>
        <w:t>enemies, and to restore Jerusalem and make it the wo</w:t>
      </w:r>
      <w:r>
        <w:rPr>
          <w:iCs/>
        </w:rPr>
        <w:t>rld’s focus.  When we reach the end of the central chapters</w:t>
      </w:r>
      <w:r w:rsidR="00D3014D">
        <w:rPr>
          <w:iCs/>
        </w:rPr>
        <w:t>, we might conclude that the ambiguity about the relationship of the imperatives and the declarations is solved.  First put your life right; then the promises will be fulfilled.</w:t>
      </w:r>
      <w:r>
        <w:rPr>
          <w:iCs/>
        </w:rPr>
        <w:t xml:space="preserve">  But it transpires that they are</w:t>
      </w:r>
      <w:r w:rsidR="00D3014D">
        <w:rPr>
          <w:iCs/>
        </w:rPr>
        <w:t xml:space="preserve"> not the end of the book or of the section begu</w:t>
      </w:r>
      <w:r w:rsidR="00412E1F">
        <w:rPr>
          <w:iCs/>
        </w:rPr>
        <w:t>n at 56:1, because there follow</w:t>
      </w:r>
      <w:r w:rsidR="00D3014D">
        <w:rPr>
          <w:iCs/>
        </w:rPr>
        <w:t xml:space="preserve"> a fur</w:t>
      </w:r>
      <w:r>
        <w:rPr>
          <w:iCs/>
        </w:rPr>
        <w:t>ther prayer that acknowledges</w:t>
      </w:r>
      <w:r w:rsidR="00D3014D">
        <w:rPr>
          <w:iCs/>
        </w:rPr>
        <w:t xml:space="preserve"> the critique’s fairness (though it goes on to ask Yah</w:t>
      </w:r>
      <w:r w:rsidR="00412E1F">
        <w:rPr>
          <w:iCs/>
        </w:rPr>
        <w:t>weh to have mercy)</w:t>
      </w:r>
      <w:r>
        <w:rPr>
          <w:iCs/>
        </w:rPr>
        <w:t xml:space="preserve"> and then</w:t>
      </w:r>
      <w:r w:rsidR="00D3014D">
        <w:rPr>
          <w:iCs/>
        </w:rPr>
        <w:t xml:space="preserve"> two final chapters dominated by further critique of the community and by the laying down of expectations.  Thus </w:t>
      </w:r>
      <w:r w:rsidR="005A7390">
        <w:rPr>
          <w:iCs/>
        </w:rPr>
        <w:t>chapters 63 – 66 as a whole balance chapters 56 - 59, and dissolve</w:t>
      </w:r>
      <w:r w:rsidR="00D3014D">
        <w:rPr>
          <w:iCs/>
        </w:rPr>
        <w:t xml:space="preserve"> any </w:t>
      </w:r>
      <w:r w:rsidR="005A7390">
        <w:rPr>
          <w:iCs/>
        </w:rPr>
        <w:t>sense that the ambiguity of the opening verse</w:t>
      </w:r>
      <w:r w:rsidR="00D3014D">
        <w:rPr>
          <w:iCs/>
        </w:rPr>
        <w:t xml:space="preserve"> has been resolved.  The first and last major parts of Isaiah 56 – 66 stand in irresolvable tension with the central part.  The first and last parts correspond to the thrust of Isaiah 1 – 39; the central part corresponds to the thrust of Isaiah 40 – 55.  </w:t>
      </w:r>
      <w:r>
        <w:rPr>
          <w:iCs/>
        </w:rPr>
        <w:t xml:space="preserve">Isaiah 56 – 66 </w:t>
      </w:r>
      <w:r w:rsidR="005A7390">
        <w:rPr>
          <w:iCs/>
        </w:rPr>
        <w:t>articulate</w:t>
      </w:r>
      <w:r>
        <w:rPr>
          <w:iCs/>
        </w:rPr>
        <w:t>s</w:t>
      </w:r>
      <w:r w:rsidR="005A7390">
        <w:rPr>
          <w:iCs/>
        </w:rPr>
        <w:t xml:space="preserve"> the inherent tension between Isaia</w:t>
      </w:r>
      <w:r>
        <w:rPr>
          <w:iCs/>
        </w:rPr>
        <w:t xml:space="preserve">h 1 – 39 and Isaiah 40 – 55; it does not </w:t>
      </w:r>
      <w:r w:rsidR="005A7390">
        <w:rPr>
          <w:iCs/>
        </w:rPr>
        <w:t xml:space="preserve">resolve it.  </w:t>
      </w:r>
    </w:p>
    <w:p w:rsidR="00D3014D" w:rsidRDefault="00D3014D" w:rsidP="00D3014D">
      <w:pPr>
        <w:rPr>
          <w:iCs/>
        </w:rPr>
      </w:pPr>
    </w:p>
    <w:p w:rsidR="00741B13" w:rsidRDefault="005A7390" w:rsidP="005A7390">
      <w:pPr>
        <w:rPr>
          <w:iCs/>
        </w:rPr>
      </w:pPr>
      <w:r>
        <w:rPr>
          <w:iCs/>
        </w:rPr>
        <w:t xml:space="preserve">The chiastic </w:t>
      </w:r>
      <w:r w:rsidR="00412E1F">
        <w:rPr>
          <w:iCs/>
        </w:rPr>
        <w:t>structure of Isaiah 56 – 66 thereby</w:t>
      </w:r>
      <w:r>
        <w:rPr>
          <w:iCs/>
        </w:rPr>
        <w:t xml:space="preserve"> makes a theological point.  The material’s omission to resolve the tension at issue is not a failure but </w:t>
      </w:r>
      <w:proofErr w:type="gramStart"/>
      <w:r>
        <w:rPr>
          <w:iCs/>
        </w:rPr>
        <w:t>a recognition</w:t>
      </w:r>
      <w:proofErr w:type="gramEnd"/>
      <w:r>
        <w:rPr>
          <w:iCs/>
        </w:rPr>
        <w:t xml:space="preserve"> of a question th</w:t>
      </w:r>
      <w:r w:rsidR="009029BB">
        <w:rPr>
          <w:iCs/>
        </w:rPr>
        <w:t>at cannot be resolved.  I</w:t>
      </w:r>
      <w:r>
        <w:rPr>
          <w:iCs/>
        </w:rPr>
        <w:t xml:space="preserve">t is not possible to say that Jerusalem’s deliverance is conditional on its obedience or that Yahweh is unconditionally committed to its deliverance.  The legal or contractual framework for understanding the relationship does not work.  </w:t>
      </w:r>
    </w:p>
    <w:p w:rsidR="00741B13" w:rsidRDefault="00741B13" w:rsidP="005A7390">
      <w:pPr>
        <w:rPr>
          <w:iCs/>
        </w:rPr>
      </w:pPr>
    </w:p>
    <w:p w:rsidR="005A7390" w:rsidRPr="0067587C" w:rsidRDefault="005A7390" w:rsidP="005A7390">
      <w:pPr>
        <w:rPr>
          <w:iCs/>
        </w:rPr>
      </w:pPr>
      <w:r>
        <w:rPr>
          <w:iCs/>
        </w:rPr>
        <w:t xml:space="preserve">A more illuminating model for understanding the relationship implied by the book of Isaiah is that of marriage, at least as often understood in the West.  </w:t>
      </w:r>
      <w:r>
        <w:t xml:space="preserve">When two people commit themselves to each other in marriage, their commitment </w:t>
      </w:r>
      <w:r w:rsidR="00412E1F">
        <w:t>presupposes that it is mutual.  Y</w:t>
      </w:r>
      <w:r>
        <w:t xml:space="preserve">et we would not say either </w:t>
      </w:r>
      <w:r w:rsidR="00B32C4F">
        <w:t>“</w:t>
      </w:r>
      <w:r>
        <w:t>I commit myself to you without knowing whether you are committing yourself to me</w:t>
      </w:r>
      <w:r w:rsidR="00B32C4F">
        <w:t>”</w:t>
      </w:r>
      <w:r>
        <w:t xml:space="preserve"> or </w:t>
      </w:r>
      <w:r w:rsidR="00B32C4F">
        <w:t>“</w:t>
      </w:r>
      <w:r>
        <w:t>I commit myself to you on condition th</w:t>
      </w:r>
      <w:r w:rsidR="009029BB">
        <w:t>at you commit yourself to me,</w:t>
      </w:r>
      <w:r w:rsidR="00B32C4F">
        <w:t>”</w:t>
      </w:r>
      <w:r w:rsidR="009029BB">
        <w:t xml:space="preserve"> and if</w:t>
      </w:r>
      <w:r w:rsidR="0067587C">
        <w:rPr>
          <w:iCs/>
        </w:rPr>
        <w:t xml:space="preserve"> the couple think in terms of conditional commitment, they need to postpone the wedding to give them time to talk things through with a therapist.  </w:t>
      </w:r>
      <w:r>
        <w:t>Rather the relationship</w:t>
      </w:r>
      <w:r w:rsidR="00741B13">
        <w:t xml:space="preserve"> is covenantal, and</w:t>
      </w:r>
      <w:r>
        <w:t xml:space="preserve"> both parties make a commitment that presupposes the commitment of the other without being exactly dependent on it.  </w:t>
      </w:r>
      <w:r w:rsidR="0067587C">
        <w:rPr>
          <w:iCs/>
        </w:rPr>
        <w:t xml:space="preserve">The mutuality of commitment is a kind of logical necessity or a definitional necessity rather than a legal necessity.   </w:t>
      </w:r>
      <w:r w:rsidR="00741B13">
        <w:t>Such</w:t>
      </w:r>
      <w:r>
        <w:t xml:space="preserve"> is also the nature of the relatio</w:t>
      </w:r>
      <w:r w:rsidR="00412E1F">
        <w:t>nship between Yahweh and Israel</w:t>
      </w:r>
      <w:r w:rsidR="009029BB">
        <w:t xml:space="preserve"> </w:t>
      </w:r>
      <w:r w:rsidR="00412E1F">
        <w:t xml:space="preserve">(and </w:t>
      </w:r>
      <w:r w:rsidR="009029BB">
        <w:t>between God and his church</w:t>
      </w:r>
      <w:r w:rsidR="00412E1F">
        <w:t>)</w:t>
      </w:r>
      <w:r w:rsidR="009029BB">
        <w:t>.</w:t>
      </w:r>
    </w:p>
    <w:p w:rsidR="0067587C" w:rsidRDefault="0067587C" w:rsidP="0067587C"/>
    <w:p w:rsidR="003C60C1" w:rsidRDefault="00F37E93" w:rsidP="00F37E93">
      <w:pPr>
        <w:pStyle w:val="Heading2"/>
      </w:pPr>
      <w:r>
        <w:t xml:space="preserve">A Post-colonial Reading: </w:t>
      </w:r>
      <w:r w:rsidR="007A7FA3">
        <w:t>God and Empire</w:t>
      </w:r>
    </w:p>
    <w:p w:rsidR="003C60C1" w:rsidRPr="003C60C1" w:rsidRDefault="003C60C1" w:rsidP="003C60C1"/>
    <w:p w:rsidR="006F5BFB" w:rsidRDefault="00741B13" w:rsidP="003C60C1">
      <w:r>
        <w:t xml:space="preserve">My </w:t>
      </w:r>
      <w:proofErr w:type="gramStart"/>
      <w:r>
        <w:t>other</w:t>
      </w:r>
      <w:r w:rsidR="00412E1F">
        <w:t xml:space="preserve"> </w:t>
      </w:r>
      <w:r>
        <w:t xml:space="preserve"> way</w:t>
      </w:r>
      <w:proofErr w:type="gramEnd"/>
      <w:r>
        <w:t xml:space="preserve"> into</w:t>
      </w:r>
      <w:r w:rsidR="00412E1F">
        <w:t xml:space="preserve"> to a more effective reading of Isaiah 56 – 66</w:t>
      </w:r>
      <w:r w:rsidR="002966F4">
        <w:t xml:space="preserve"> is </w:t>
      </w:r>
      <w:r w:rsidR="00F37E93">
        <w:t>post-colonial</w:t>
      </w:r>
      <w:r w:rsidR="00746CE3">
        <w:t xml:space="preserve">.  </w:t>
      </w:r>
      <w:r w:rsidR="00F37E93">
        <w:t>I apologize for taking up this fashionable approach, which will be old hat in a decade or two like the hermeneutical fashions of the 1</w:t>
      </w:r>
      <w:r w:rsidR="00412E1F">
        <w:t xml:space="preserve">970s or 1980s, but like them </w:t>
      </w:r>
      <w:r w:rsidR="00F37E93">
        <w:t xml:space="preserve">may retain some significance </w:t>
      </w:r>
      <w:r>
        <w:t xml:space="preserve">even </w:t>
      </w:r>
      <w:r w:rsidR="00F37E93">
        <w:t>when it has ceased to</w:t>
      </w:r>
      <w:r w:rsidR="00983857">
        <w:t xml:space="preserve"> be a scholarly fad.  A</w:t>
      </w:r>
      <w:r w:rsidR="00F37E93">
        <w:t>n illuminating stu</w:t>
      </w:r>
      <w:r>
        <w:t>dy of the book of Nahum,</w:t>
      </w:r>
      <w:r w:rsidR="003C60C1">
        <w:t xml:space="preserve"> written </w:t>
      </w:r>
      <w:r>
        <w:t>(</w:t>
      </w:r>
      <w:r w:rsidR="003C60C1">
        <w:t>significantly</w:t>
      </w:r>
      <w:r>
        <w:t>)</w:t>
      </w:r>
      <w:r w:rsidR="003C60C1">
        <w:t xml:space="preserve"> in </w:t>
      </w:r>
      <w:r>
        <w:t>South Africa,</w:t>
      </w:r>
      <w:r w:rsidR="003C60C1">
        <w:t xml:space="preserve"> characterized </w:t>
      </w:r>
      <w:r w:rsidR="00D05A24">
        <w:t>the book</w:t>
      </w:r>
      <w:r w:rsidR="003C60C1">
        <w:t xml:space="preserve"> as resistance literature, </w:t>
      </w:r>
      <w:r w:rsidR="00746CE3">
        <w:t xml:space="preserve">which </w:t>
      </w:r>
      <w:r w:rsidR="00513811">
        <w:t xml:space="preserve">as such </w:t>
      </w:r>
      <w:r w:rsidR="00746CE3">
        <w:t>compares</w:t>
      </w:r>
      <w:r w:rsidR="003C60C1">
        <w:t xml:space="preserve"> with anti-apartheid literature.</w:t>
      </w:r>
      <w:r w:rsidR="00412E1F">
        <w:rPr>
          <w:rStyle w:val="FootnoteReference"/>
        </w:rPr>
        <w:footnoteReference w:id="6"/>
      </w:r>
      <w:r w:rsidR="003C60C1">
        <w:t xml:space="preserve">  Nahum invites people in Judah to believe that the Assyrian empire will fall.  In </w:t>
      </w:r>
      <w:r w:rsidR="00723F60">
        <w:t xml:space="preserve">the </w:t>
      </w:r>
      <w:r w:rsidR="00D05A24">
        <w:t>years after Assyria has done so</w:t>
      </w:r>
      <w:r w:rsidR="003C60C1">
        <w:t xml:space="preserve">, </w:t>
      </w:r>
      <w:r w:rsidR="00746CE3">
        <w:t xml:space="preserve">reading </w:t>
      </w:r>
      <w:r w:rsidR="003C60C1">
        <w:t xml:space="preserve">Nahum </w:t>
      </w:r>
      <w:r w:rsidR="00746CE3">
        <w:t>would invite</w:t>
      </w:r>
      <w:r w:rsidR="003C60C1">
        <w:t xml:space="preserve"> subsequent generations to believe that the same truth applies to </w:t>
      </w:r>
      <w:r w:rsidR="00746CE3">
        <w:t xml:space="preserve">Babylon, </w:t>
      </w:r>
      <w:r w:rsidR="003C60C1">
        <w:t xml:space="preserve">the empire </w:t>
      </w:r>
      <w:r w:rsidR="00746CE3">
        <w:t xml:space="preserve">of its </w:t>
      </w:r>
      <w:r w:rsidR="00723F60">
        <w:t xml:space="preserve">own </w:t>
      </w:r>
      <w:r>
        <w:t>day, and</w:t>
      </w:r>
      <w:r w:rsidR="00983857">
        <w:t xml:space="preserve"> </w:t>
      </w:r>
      <w:r w:rsidR="003C60C1">
        <w:t xml:space="preserve">Isaiah 40 – 55 </w:t>
      </w:r>
      <w:r w:rsidR="00983857">
        <w:t>picks up Nahum’s promises</w:t>
      </w:r>
      <w:r w:rsidR="003C60C1">
        <w:t xml:space="preserve"> in declaring that Babylon is </w:t>
      </w:r>
      <w:r w:rsidR="00746CE3">
        <w:t xml:space="preserve">indeed </w:t>
      </w:r>
      <w:r w:rsidR="003C60C1">
        <w:t>about to fall.</w:t>
      </w:r>
      <w:r w:rsidR="00D05A24">
        <w:rPr>
          <w:rStyle w:val="FootnoteReference"/>
        </w:rPr>
        <w:footnoteReference w:id="7"/>
      </w:r>
      <w:r w:rsidR="003C60C1">
        <w:t xml:space="preserve">  The form of the prophecies i</w:t>
      </w:r>
      <w:r w:rsidR="00746CE3">
        <w:t>n Nahum, with the paucity of their</w:t>
      </w:r>
      <w:r w:rsidR="003C60C1">
        <w:t xml:space="preserve"> specific references to Nineveh or Assyria</w:t>
      </w:r>
      <w:r w:rsidR="00D05A24">
        <w:t xml:space="preserve"> (modern translations are inclined to add to the allusions to Nineveh and Assyria to make their original reference more explicit)</w:t>
      </w:r>
      <w:r w:rsidR="003C60C1">
        <w:t>, encourages this process</w:t>
      </w:r>
      <w:r w:rsidR="00723F60">
        <w:t xml:space="preserve"> of reapplication.  T</w:t>
      </w:r>
      <w:r w:rsidR="003C60C1">
        <w:t>he paucity of specific references to</w:t>
      </w:r>
      <w:r w:rsidR="006F5BFB">
        <w:t xml:space="preserve"> Babylon in Isaiah 40 </w:t>
      </w:r>
      <w:r>
        <w:t xml:space="preserve">– </w:t>
      </w:r>
      <w:r w:rsidR="006F5BFB">
        <w:t>55 has t</w:t>
      </w:r>
      <w:r w:rsidR="003C60C1">
        <w:t>h</w:t>
      </w:r>
      <w:r w:rsidR="00723F60">
        <w:t>e same effect on its reading</w:t>
      </w:r>
      <w:r w:rsidR="006F5BFB">
        <w:t>.  T</w:t>
      </w:r>
      <w:r w:rsidR="003C60C1">
        <w:t xml:space="preserve">he </w:t>
      </w:r>
      <w:r w:rsidR="003C60C1">
        <w:lastRenderedPageBreak/>
        <w:t>entire absence of specific references in Isaiah 56 – 66 makes the point even more strongly.  A pattern in Yahweh’s dea</w:t>
      </w:r>
      <w:r w:rsidR="006F5BFB">
        <w:t>lings with the world keeps asser</w:t>
      </w:r>
      <w:r w:rsidR="00723F60">
        <w:t>ting itself in these prophecies.</w:t>
      </w:r>
    </w:p>
    <w:p w:rsidR="006F5BFB" w:rsidRDefault="006F5BFB" w:rsidP="003C60C1"/>
    <w:p w:rsidR="003C60C1" w:rsidRDefault="00983857" w:rsidP="003C60C1">
      <w:r>
        <w:t xml:space="preserve">Western scholarship has </w:t>
      </w:r>
      <w:r w:rsidR="00723F60">
        <w:t>regard</w:t>
      </w:r>
      <w:r w:rsidR="003C60C1">
        <w:t xml:space="preserve">ed Nahum as </w:t>
      </w:r>
      <w:r w:rsidR="00723F60">
        <w:t xml:space="preserve">unpleasantly </w:t>
      </w:r>
      <w:r w:rsidR="003C60C1">
        <w:t>nationalistic</w:t>
      </w:r>
      <w:r w:rsidR="00723F60">
        <w:t>, and one can see the ideological reasons why it has done so</w:t>
      </w:r>
      <w:r>
        <w:t>.  Nahum’</w:t>
      </w:r>
      <w:r w:rsidR="003C60C1">
        <w:t xml:space="preserve">s declarations about the </w:t>
      </w:r>
      <w:r>
        <w:t>empire’s fate</w:t>
      </w:r>
      <w:r w:rsidR="003C60C1">
        <w:t xml:space="preserve"> constitute a threat to the imperial powers to which scholars in Britai</w:t>
      </w:r>
      <w:r w:rsidR="006F5BFB">
        <w:t>n and the Unit</w:t>
      </w:r>
      <w:r w:rsidR="003C60C1">
        <w:t xml:space="preserve">ed States belong. The same dynamics </w:t>
      </w:r>
      <w:r w:rsidR="00741B13">
        <w:t>appear in scholarly study of</w:t>
      </w:r>
      <w:r w:rsidR="003C60C1">
        <w:t xml:space="preserve"> Isaiah 56 – 66.  Scholars like the “universa</w:t>
      </w:r>
      <w:r w:rsidR="00723F60">
        <w:t>lism” of passages such as chapter 56</w:t>
      </w:r>
      <w:r w:rsidR="003C60C1">
        <w:t xml:space="preserve"> </w:t>
      </w:r>
      <w:r w:rsidR="006F5BFB">
        <w:t xml:space="preserve">with its reference to the temple as a place of prayer for all nations, </w:t>
      </w:r>
      <w:r w:rsidR="003C60C1">
        <w:t>but dislike the “nationalism” of passages such as chapter 60</w:t>
      </w:r>
      <w:r w:rsidR="006F5BFB">
        <w:t xml:space="preserve"> with its picture of the nations bowing down to Jerusalem</w:t>
      </w:r>
      <w:r w:rsidR="003C60C1">
        <w:t>.  They especially dislike the bloodthirsty nature</w:t>
      </w:r>
      <w:r w:rsidR="006F5BFB">
        <w:t xml:space="preserve"> of the visions </w:t>
      </w:r>
      <w:r w:rsidR="00723F60">
        <w:t xml:space="preserve">of judgment </w:t>
      </w:r>
      <w:r w:rsidR="006F5BFB">
        <w:t>in chapters 59 and 63</w:t>
      </w:r>
      <w:r w:rsidR="003C60C1">
        <w:t xml:space="preserve">.  </w:t>
      </w:r>
    </w:p>
    <w:p w:rsidR="003C60C1" w:rsidRDefault="003C60C1" w:rsidP="003C60C1"/>
    <w:p w:rsidR="003C60C1" w:rsidRDefault="003C60C1" w:rsidP="003C60C1">
      <w:r>
        <w:t>In broad terms, one could describe Ju</w:t>
      </w:r>
      <w:r w:rsidR="006F5BFB">
        <w:t>dah as a colo</w:t>
      </w:r>
      <w:r w:rsidR="00983857">
        <w:t>nial entity for its entire life.  It</w:t>
      </w:r>
      <w:r w:rsidR="00A330C2">
        <w:t xml:space="preserve"> wa</w:t>
      </w:r>
      <w:r w:rsidR="00723F60">
        <w:t>s</w:t>
      </w:r>
      <w:r w:rsidR="0016745F">
        <w:t xml:space="preserve"> </w:t>
      </w:r>
      <w:r w:rsidR="00A330C2">
        <w:t xml:space="preserve">always </w:t>
      </w:r>
      <w:r w:rsidR="0016745F">
        <w:t>under some for</w:t>
      </w:r>
      <w:r w:rsidR="00983857">
        <w:t>m of control by a bigger power.  B</w:t>
      </w:r>
      <w:r w:rsidR="006F5BFB">
        <w:t xml:space="preserve">ut </w:t>
      </w:r>
      <w:r w:rsidR="00741B13">
        <w:t xml:space="preserve">in </w:t>
      </w:r>
      <w:r w:rsidR="006F5BFB">
        <w:t>t</w:t>
      </w:r>
      <w:r>
        <w:t>he P</w:t>
      </w:r>
      <w:r w:rsidR="00741B13">
        <w:t>ersian period it was more like</w:t>
      </w:r>
      <w:r>
        <w:t xml:space="preserve"> a colony</w:t>
      </w:r>
      <w:r w:rsidR="00741B13">
        <w:t xml:space="preserve"> in a stricter sense.  While it did not have</w:t>
      </w:r>
      <w:r w:rsidR="00983857">
        <w:t xml:space="preserve"> a community of people from the imperia</w:t>
      </w:r>
      <w:r w:rsidR="00741B13">
        <w:t>l center living in its midst, i</w:t>
      </w:r>
      <w:r w:rsidR="00983857">
        <w:t xml:space="preserve">t </w:t>
      </w:r>
      <w:r w:rsidR="00741B13">
        <w:t>w</w:t>
      </w:r>
      <w:r w:rsidR="00983857">
        <w:t xml:space="preserve">as </w:t>
      </w:r>
      <w:r w:rsidR="00741B13">
        <w:t>a subordinate part of an empire that projected</w:t>
      </w:r>
      <w:r w:rsidR="00A330C2">
        <w:t xml:space="preserve"> itself as </w:t>
      </w:r>
      <w:r w:rsidR="00741B13">
        <w:t>benign and benevolent and allowed</w:t>
      </w:r>
      <w:r w:rsidR="00A330C2">
        <w:t xml:space="preserve"> Judah to have</w:t>
      </w:r>
      <w:r>
        <w:t xml:space="preserve"> some control of </w:t>
      </w:r>
      <w:r w:rsidR="00A330C2">
        <w:t>internal affairs,</w:t>
      </w:r>
      <w:r w:rsidR="00723F60">
        <w:t xml:space="preserve"> </w:t>
      </w:r>
      <w:r w:rsidR="00983857">
        <w:t xml:space="preserve">but Judah </w:t>
      </w:r>
      <w:r w:rsidR="00741B13">
        <w:t>did</w:t>
      </w:r>
      <w:r w:rsidR="00A330C2">
        <w:t xml:space="preserve"> not have its own king and</w:t>
      </w:r>
      <w:r w:rsidR="00741B13">
        <w:t xml:space="preserve"> lived</w:t>
      </w:r>
      <w:r w:rsidR="006F5BFB">
        <w:t xml:space="preserve"> </w:t>
      </w:r>
      <w:r>
        <w:t>under the oversight of a governor responsible t</w:t>
      </w:r>
      <w:r w:rsidR="0016745F">
        <w:t xml:space="preserve">o the imperial </w:t>
      </w:r>
      <w:r w:rsidR="00741B13">
        <w:t>administration, to which it paid</w:t>
      </w:r>
      <w:r w:rsidR="0016745F">
        <w:t xml:space="preserve"> taxes.</w:t>
      </w:r>
    </w:p>
    <w:p w:rsidR="003C60C1" w:rsidRDefault="003C60C1" w:rsidP="003C60C1"/>
    <w:p w:rsidR="003C60C1" w:rsidRDefault="003C60C1" w:rsidP="003C60C1">
      <w:r>
        <w:t xml:space="preserve">Like the rest of Isaiah, and like </w:t>
      </w:r>
      <w:r w:rsidR="00A330C2">
        <w:t xml:space="preserve">Nahum and </w:t>
      </w:r>
      <w:r>
        <w:t xml:space="preserve">other prophetic books, Isaiah 56 – 66 does not urge Judah to rebel against the superpower.  One could call it quietist in stance.  </w:t>
      </w:r>
      <w:r w:rsidR="00EA0308">
        <w:t>Further, w</w:t>
      </w:r>
      <w:r>
        <w:t xml:space="preserve">hereas Isaiah 13 has spoken of the Medes bringing destruction upon Babylon, when Isaiah 56 – 66 speaks of the destruction of “the nations” – </w:t>
      </w:r>
      <w:r w:rsidR="00741B13">
        <w:t>a term that</w:t>
      </w:r>
      <w:r>
        <w:t xml:space="preserve"> commonly denotes the superpower of </w:t>
      </w:r>
      <w:r w:rsidR="007B1A1A">
        <w:t>the day – it attributes the destruction to direct action by Yahweh.  Yahweh</w:t>
      </w:r>
      <w:r>
        <w:t xml:space="preserve"> is, indeed, aggrieved that there is no would-be next superpower itching to ta</w:t>
      </w:r>
      <w:r w:rsidR="00D05A24">
        <w:t>ke Persia’</w:t>
      </w:r>
      <w:r>
        <w:t>s place</w:t>
      </w:r>
      <w:r w:rsidR="007B1A1A">
        <w:t>,</w:t>
      </w:r>
      <w:r w:rsidR="00D05A24">
        <w:t xml:space="preserve"> which</w:t>
      </w:r>
      <w:r>
        <w:t xml:space="preserve"> he can use as he used Assyria, Babylon, and Persia </w:t>
      </w:r>
      <w:r w:rsidR="00D05A24">
        <w:t>itself (see 59:15b-19; 63:</w:t>
      </w:r>
      <w:r>
        <w:t xml:space="preserve">1-6).  Whereas a prophet in the 540s had Cyrus to envisage as the means whereby Yahweh’s will could be fulfilled, and Yahweh could work by means of him, there is no such power emerging in the period to which Isaiah 56 – 66 belongs.  </w:t>
      </w:r>
      <w:r w:rsidR="00C1027E">
        <w:rPr>
          <w:rFonts w:ascii="Calibri" w:eastAsia="Calibri" w:hAnsi="Calibri" w:cs="Times New Roman"/>
        </w:rPr>
        <w:t>One should hardly see this prophet as inferior to his predecessor</w:t>
      </w:r>
      <w:r w:rsidR="007B1A1A">
        <w:rPr>
          <w:rFonts w:ascii="Calibri" w:eastAsia="Calibri" w:hAnsi="Calibri" w:cs="Times New Roman"/>
        </w:rPr>
        <w:t xml:space="preserve"> in this connection</w:t>
      </w:r>
      <w:r w:rsidR="00C1027E">
        <w:rPr>
          <w:rFonts w:ascii="Calibri" w:eastAsia="Calibri" w:hAnsi="Calibri" w:cs="Times New Roman"/>
        </w:rPr>
        <w:t>;</w:t>
      </w:r>
      <w:r w:rsidR="00D05A24">
        <w:rPr>
          <w:rStyle w:val="FootnoteReference"/>
          <w:rFonts w:ascii="Calibri" w:eastAsia="Calibri" w:hAnsi="Calibri" w:cs="Times New Roman"/>
        </w:rPr>
        <w:footnoteReference w:id="8"/>
      </w:r>
      <w:r w:rsidR="00C1027E">
        <w:rPr>
          <w:rFonts w:ascii="Calibri" w:eastAsia="Calibri" w:hAnsi="Calibri" w:cs="Times New Roman"/>
        </w:rPr>
        <w:t xml:space="preserve"> if there is no Cyrus to hand, this </w:t>
      </w:r>
      <w:r w:rsidR="007B1A1A">
        <w:rPr>
          <w:rFonts w:ascii="Calibri" w:eastAsia="Calibri" w:hAnsi="Calibri" w:cs="Times New Roman"/>
        </w:rPr>
        <w:t xml:space="preserve">fact </w:t>
      </w:r>
      <w:r w:rsidR="00C1027E">
        <w:rPr>
          <w:rFonts w:ascii="Calibri" w:eastAsia="Calibri" w:hAnsi="Calibri" w:cs="Times New Roman"/>
        </w:rPr>
        <w:t xml:space="preserve">is God’s responsibility, not that of God’s representative.   </w:t>
      </w:r>
      <w:r>
        <w:t>(For all the references to Yahweh’s rai</w:t>
      </w:r>
      <w:r w:rsidR="007B1A1A">
        <w:t>sing up Assyria, Babylon, and</w:t>
      </w:r>
      <w:r>
        <w:t xml:space="preserve"> Persia, their emergence is entirely explicable in historical terms; no supernatural intervention was involved.  Yahweh usually works via historical processes.)</w:t>
      </w:r>
      <w:r w:rsidR="00EA0308">
        <w:t xml:space="preserve">  </w:t>
      </w:r>
    </w:p>
    <w:p w:rsidR="00EA0308" w:rsidRDefault="00EA0308" w:rsidP="003C60C1"/>
    <w:p w:rsidR="003C60C1" w:rsidRDefault="00983857" w:rsidP="003C60C1">
      <w:r>
        <w:t>Yahweh promises a restoring of Jerusalem that</w:t>
      </w:r>
      <w:r w:rsidR="00EA0308">
        <w:t xml:space="preserve"> will come about by Yahwe</w:t>
      </w:r>
      <w:r w:rsidR="007B1A1A">
        <w:t xml:space="preserve">h’s action.  Like Nahum, Isaiah 56 </w:t>
      </w:r>
      <w:r w:rsidR="00D05A24">
        <w:t>–</w:t>
      </w:r>
      <w:r w:rsidR="007B1A1A">
        <w:t xml:space="preserve"> 66</w:t>
      </w:r>
      <w:r w:rsidR="00EA0308">
        <w:t xml:space="preserve"> aim</w:t>
      </w:r>
      <w:r>
        <w:t>s</w:t>
      </w:r>
      <w:r w:rsidR="00EA0308">
        <w:t xml:space="preserve"> at a process of </w:t>
      </w:r>
      <w:proofErr w:type="spellStart"/>
      <w:r w:rsidR="00EA0308">
        <w:t>co</w:t>
      </w:r>
      <w:r w:rsidR="00AD2456">
        <w:t>nscientization</w:t>
      </w:r>
      <w:proofErr w:type="spellEnd"/>
      <w:r w:rsidR="00AD2456">
        <w:t>,</w:t>
      </w:r>
      <w:r w:rsidR="007B1A1A">
        <w:t xml:space="preserve"> consciousness-</w:t>
      </w:r>
      <w:r w:rsidR="00EA0308">
        <w:t>raising, whereby the subordinate power can cut the imperial power down in its thinking, pending the day when Yahweh cuts</w:t>
      </w:r>
      <w:r w:rsidR="00D05A24">
        <w:t xml:space="preserve"> it down politically.  One</w:t>
      </w:r>
      <w:r w:rsidR="00EA0308">
        <w:t xml:space="preserve"> could say that all Isaiah 56 – 66 does is </w:t>
      </w:r>
      <w:proofErr w:type="gramStart"/>
      <w:r w:rsidR="00EA0308">
        <w:t>encourage</w:t>
      </w:r>
      <w:proofErr w:type="gramEnd"/>
      <w:r w:rsidR="00EA0308">
        <w:t xml:space="preserve"> hope and encourage prayer, but these are frightening actions.  </w:t>
      </w:r>
      <w:r w:rsidR="003C60C1">
        <w:t>I</w:t>
      </w:r>
      <w:r w:rsidR="0016745F">
        <w:t xml:space="preserve">t would </w:t>
      </w:r>
      <w:r w:rsidR="003C60C1">
        <w:t>be easy for Judah to believe that Yahweh</w:t>
      </w:r>
      <w:r w:rsidR="007B1A1A">
        <w:t xml:space="preserve"> had forgotten it</w:t>
      </w:r>
      <w:r w:rsidR="0016745F">
        <w:t xml:space="preserve"> and </w:t>
      </w:r>
      <w:r w:rsidR="003C60C1">
        <w:t>was not after all the kind of faithful God who put</w:t>
      </w:r>
      <w:r w:rsidR="007B1A1A">
        <w:t>s</w:t>
      </w:r>
      <w:r w:rsidR="003C60C1">
        <w:t xml:space="preserve"> things right in the world.  Isaiah 56 – 66 declares that Yahweh is that G</w:t>
      </w:r>
      <w:r w:rsidR="007B1A1A">
        <w:t>od.  Unlike Nahum, it</w:t>
      </w:r>
      <w:r w:rsidR="003C60C1">
        <w:t xml:space="preserve"> does not see Judah’s imperial overlord as a great oppressor.  Perhaps it recogniz</w:t>
      </w:r>
      <w:r w:rsidR="00D05A24">
        <w:t>es the ambiguity of this overlord, in keeping with the</w:t>
      </w:r>
      <w:r w:rsidR="003C60C1">
        <w:t xml:space="preserve"> overlord’s shrewd policy.  According to Ezra-Nehemiah, people in Judah did complain about the crippling tax burdens imposed by the imperial authorities, but it was those same imperial authorities that facilitated the return of Judahites to Jerusalem, the rebuilding of the temple, </w:t>
      </w:r>
      <w:r w:rsidR="008466BC">
        <w:t xml:space="preserve">and </w:t>
      </w:r>
      <w:r w:rsidR="003C60C1">
        <w:t>the mission</w:t>
      </w:r>
      <w:r w:rsidR="008466BC">
        <w:t>s of Ezra and</w:t>
      </w:r>
      <w:r w:rsidR="00D05A24">
        <w:t xml:space="preserve"> Nehemiah; they</w:t>
      </w:r>
      <w:r w:rsidR="003C60C1">
        <w:t xml:space="preserve"> also supported Judah’s independence over against surrounding provinces of the Pers</w:t>
      </w:r>
      <w:r w:rsidR="007B1A1A">
        <w:t>ian E</w:t>
      </w:r>
      <w:r w:rsidR="0016745F">
        <w:t>mpire.  The imperial policies</w:t>
      </w:r>
      <w:r w:rsidR="003C60C1">
        <w:t xml:space="preserve"> of divide and rule </w:t>
      </w:r>
      <w:r w:rsidR="0016745F">
        <w:t xml:space="preserve">and </w:t>
      </w:r>
      <w:r w:rsidR="007B1A1A">
        <w:t xml:space="preserve">of </w:t>
      </w:r>
      <w:r w:rsidR="0016745F">
        <w:t>playing both good cop and bad cop worked</w:t>
      </w:r>
      <w:r w:rsidR="003C60C1">
        <w:t xml:space="preserve"> well.</w:t>
      </w:r>
    </w:p>
    <w:p w:rsidR="003C60C1" w:rsidRDefault="003C60C1" w:rsidP="003C60C1"/>
    <w:p w:rsidR="003C60C1" w:rsidRDefault="003C60C1" w:rsidP="003C60C1">
      <w:r>
        <w:lastRenderedPageBreak/>
        <w:t xml:space="preserve">The vision of the empire’s future in Isaiah 56 – 66 thus has a different profile from that in Isaiah 1 – 55 or other prophets. </w:t>
      </w:r>
      <w:r w:rsidR="0016745F">
        <w:t xml:space="preserve"> </w:t>
      </w:r>
      <w:r>
        <w:t xml:space="preserve">In Isaiah 56 – 66 “The empire </w:t>
      </w:r>
      <w:r w:rsidR="0016745F">
        <w:t>writes back</w:t>
      </w:r>
      <w:r>
        <w:t>,</w:t>
      </w:r>
      <w:r w:rsidR="0016745F">
        <w:t>”</w:t>
      </w:r>
      <w:r>
        <w:t xml:space="preserve"> but not so much “with a vengeance” (the ti</w:t>
      </w:r>
      <w:r w:rsidR="0016745F">
        <w:t>tle of a famous</w:t>
      </w:r>
      <w:r>
        <w:t xml:space="preserve"> article </w:t>
      </w:r>
      <w:r w:rsidR="002966F4">
        <w:t xml:space="preserve">by </w:t>
      </w:r>
      <w:proofErr w:type="spellStart"/>
      <w:r w:rsidR="002966F4">
        <w:t>Salman</w:t>
      </w:r>
      <w:proofErr w:type="spellEnd"/>
      <w:r w:rsidR="002966F4">
        <w:t xml:space="preserve"> Rushdie</w:t>
      </w:r>
      <w:r w:rsidR="00106690">
        <w:t xml:space="preserve"> </w:t>
      </w:r>
      <w:r w:rsidR="00106690">
        <w:rPr>
          <w:rFonts w:ascii="Calibri" w:eastAsia="Calibri" w:hAnsi="Calibri" w:cs="Times New Roman"/>
        </w:rPr>
        <w:t xml:space="preserve">in the London </w:t>
      </w:r>
      <w:r w:rsidR="00106690">
        <w:rPr>
          <w:rFonts w:ascii="Calibri" w:eastAsia="Calibri" w:hAnsi="Calibri" w:cs="Times New Roman"/>
          <w:i/>
          <w:iCs/>
        </w:rPr>
        <w:t>Times</w:t>
      </w:r>
      <w:r w:rsidR="00106690">
        <w:rPr>
          <w:rFonts w:ascii="Calibri" w:eastAsia="Calibri" w:hAnsi="Calibri" w:cs="Times New Roman"/>
        </w:rPr>
        <w:t>,</w:t>
      </w:r>
      <w:r w:rsidR="00106690">
        <w:rPr>
          <w:rFonts w:ascii="Calibri" w:eastAsia="Calibri" w:hAnsi="Calibri" w:cs="Times New Roman"/>
          <w:i/>
          <w:iCs/>
        </w:rPr>
        <w:t xml:space="preserve"> </w:t>
      </w:r>
      <w:r w:rsidR="00106690">
        <w:rPr>
          <w:rFonts w:ascii="Calibri" w:eastAsia="Calibri" w:hAnsi="Calibri" w:cs="Times New Roman"/>
        </w:rPr>
        <w:t>July 3, 1982</w:t>
      </w:r>
      <w:r>
        <w:t>), as it d</w:t>
      </w:r>
      <w:r w:rsidR="008466BC">
        <w:t>oes i</w:t>
      </w:r>
      <w:r w:rsidR="00F3612D">
        <w:t>n Nahum.  But l</w:t>
      </w:r>
      <w:r w:rsidR="008466BC">
        <w:t>ike</w:t>
      </w:r>
      <w:r w:rsidR="00F3612D">
        <w:t xml:space="preserve"> Nahum</w:t>
      </w:r>
      <w:r>
        <w:t>, Isaiah 56 – 66 does not write back “to the centre” (as an adapted version of the phrase goes on)</w:t>
      </w:r>
      <w:r w:rsidR="007B1A1A">
        <w:t>,</w:t>
      </w:r>
      <w:r w:rsidR="005973CE">
        <w:rPr>
          <w:rStyle w:val="FootnoteReference"/>
        </w:rPr>
        <w:footnoteReference w:id="9"/>
      </w:r>
      <w:r w:rsidR="007B1A1A">
        <w:t xml:space="preserve"> like an author</w:t>
      </w:r>
      <w:r w:rsidR="00983857">
        <w:t xml:space="preserve"> such as Rushdie writing for British consumption</w:t>
      </w:r>
      <w:r>
        <w:t>.  It writes f</w:t>
      </w:r>
      <w:r w:rsidR="00F3612D">
        <w:t>or its own community</w:t>
      </w:r>
      <w:r>
        <w:t>.  The chapters presuppose the classic colonial experiences of po</w:t>
      </w:r>
      <w:r w:rsidR="007B1A1A">
        <w:t xml:space="preserve">werlessness and </w:t>
      </w:r>
      <w:r>
        <w:t>exaction of resources</w:t>
      </w:r>
      <w:r w:rsidR="00983857">
        <w:t>,</w:t>
      </w:r>
      <w:r>
        <w:t xml:space="preserve"> and promise</w:t>
      </w:r>
      <w:r w:rsidR="00983857">
        <w:t xml:space="preserve"> their community</w:t>
      </w:r>
      <w:r w:rsidR="007B1A1A">
        <w:t xml:space="preserve"> that</w:t>
      </w:r>
      <w:r w:rsidR="005973CE">
        <w:t xml:space="preserve"> these will not last forever.  In doing so, t</w:t>
      </w:r>
      <w:r w:rsidR="007B1A1A">
        <w:t>he chapters decline</w:t>
      </w:r>
      <w:r w:rsidR="0016745F">
        <w:t xml:space="preserve"> to use the empire’s language</w:t>
      </w:r>
      <w:r w:rsidR="005973CE">
        <w:t>.  As far as Persia i</w:t>
      </w:r>
      <w:r w:rsidR="007B1A1A">
        <w:t>s</w:t>
      </w:r>
      <w:r>
        <w:t xml:space="preserve"> concerned, the province cent</w:t>
      </w:r>
      <w:r w:rsidR="0016745F">
        <w:t>e</w:t>
      </w:r>
      <w:r w:rsidR="00F3612D">
        <w:t>r</w:t>
      </w:r>
      <w:r w:rsidR="007B1A1A">
        <w:t>ing</w:t>
      </w:r>
      <w:r>
        <w:t xml:space="preserve"> on Jerus</w:t>
      </w:r>
      <w:r w:rsidR="005973CE">
        <w:t>alem i</w:t>
      </w:r>
      <w:r>
        <w:t xml:space="preserve">s called </w:t>
      </w:r>
      <w:proofErr w:type="spellStart"/>
      <w:r>
        <w:t>Yehud</w:t>
      </w:r>
      <w:proofErr w:type="spellEnd"/>
      <w:r>
        <w:t>, the name that appe</w:t>
      </w:r>
      <w:r w:rsidR="007B1A1A">
        <w:t>ars on coins from the period</w:t>
      </w:r>
      <w:r w:rsidR="005973CE">
        <w:rPr>
          <w:rStyle w:val="FootnoteReference"/>
        </w:rPr>
        <w:footnoteReference w:id="10"/>
      </w:r>
      <w:r w:rsidR="007B1A1A">
        <w:t xml:space="preserve"> and also in Western scholarly study</w:t>
      </w:r>
      <w:r w:rsidR="00F3612D">
        <w:t>.</w:t>
      </w:r>
      <w:r w:rsidR="005973CE">
        <w:rPr>
          <w:rStyle w:val="FootnoteReference"/>
        </w:rPr>
        <w:footnoteReference w:id="11"/>
      </w:r>
      <w:r w:rsidR="00F3612D">
        <w:t xml:space="preserve">  Isaiah 56 – 66 refers once to Judah, eleven times to Jerusalem, </w:t>
      </w:r>
      <w:r>
        <w:t xml:space="preserve">never to </w:t>
      </w:r>
      <w:proofErr w:type="spellStart"/>
      <w:r w:rsidR="007B1A1A">
        <w:t>Yehud</w:t>
      </w:r>
      <w:proofErr w:type="spellEnd"/>
      <w:r w:rsidR="007B1A1A">
        <w:t>.   The chapters hold</w:t>
      </w:r>
      <w:r w:rsidR="00983857">
        <w:t xml:space="preserve"> onto the Judahites’</w:t>
      </w:r>
      <w:r>
        <w:t xml:space="preserve"> own way of looking at Judah</w:t>
      </w:r>
      <w:r w:rsidR="00F3612D">
        <w:t xml:space="preserve"> and Jerusalem</w:t>
      </w:r>
      <w:r>
        <w:t>.</w:t>
      </w:r>
    </w:p>
    <w:p w:rsidR="003C60C1" w:rsidRDefault="003C60C1" w:rsidP="003C60C1"/>
    <w:p w:rsidR="00F3612D" w:rsidRDefault="003C60C1" w:rsidP="003C60C1">
      <w:r>
        <w:t xml:space="preserve">The central </w:t>
      </w:r>
      <w:r w:rsidR="0016745F">
        <w:t xml:space="preserve">chapters of Isaiah 56 – 66, </w:t>
      </w:r>
      <w:r>
        <w:t>especially chapter 60, il</w:t>
      </w:r>
      <w:r w:rsidR="0016745F">
        <w:t xml:space="preserve">lustrate how </w:t>
      </w:r>
      <w:r>
        <w:t xml:space="preserve">poetic form contributes to encouragement and consciousness-raising. </w:t>
      </w:r>
      <w:r w:rsidR="00983857">
        <w:t xml:space="preserve"> Powerful poetry</w:t>
      </w:r>
      <w:r>
        <w:t xml:space="preserve"> </w:t>
      </w:r>
      <w:r w:rsidR="007B1A1A">
        <w:t>can emerge</w:t>
      </w:r>
      <w:r>
        <w:t xml:space="preserve"> from </w:t>
      </w:r>
      <w:r w:rsidR="00983857">
        <w:t>a subject society, as happens in Nahum</w:t>
      </w:r>
      <w:r>
        <w:t>.  The imagery and hype</w:t>
      </w:r>
      <w:r w:rsidR="005973CE">
        <w:t>rbole of Isaiah 56 – 66</w:t>
      </w:r>
      <w:r w:rsidR="007B1A1A">
        <w:t xml:space="preserve"> in describing Jerusalem’s transformation </w:t>
      </w:r>
      <w:r>
        <w:t>and the reversal of positions between its people and its overlords creates before people’s imagination a different world from the one people currently experience</w:t>
      </w:r>
      <w:r w:rsidR="00F3612D">
        <w:t>,</w:t>
      </w:r>
      <w:r>
        <w:t xml:space="preserve"> and promise</w:t>
      </w:r>
      <w:r w:rsidR="007B1A1A">
        <w:t>s</w:t>
      </w:r>
      <w:r>
        <w:t xml:space="preserve"> that this world will become a reality.  </w:t>
      </w:r>
    </w:p>
    <w:p w:rsidR="00F3612D" w:rsidRDefault="00F3612D" w:rsidP="003C60C1"/>
    <w:p w:rsidR="003C60C1" w:rsidRDefault="00F3612D" w:rsidP="003C60C1">
      <w:r>
        <w:t>As well as containing no encouragement to rebellion, t</w:t>
      </w:r>
      <w:r w:rsidR="003C60C1">
        <w:t>he chapt</w:t>
      </w:r>
      <w:r>
        <w:t>ers contain no exhortation to br</w:t>
      </w:r>
      <w:r w:rsidR="003C60C1">
        <w:t>ing about the trans</w:t>
      </w:r>
      <w:r w:rsidR="005973CE">
        <w:t>formation of Jerusalem</w:t>
      </w:r>
      <w:r w:rsidR="003C60C1">
        <w:t>; they t</w:t>
      </w:r>
      <w:r w:rsidR="007B1A1A">
        <w:t xml:space="preserve">hus differ </w:t>
      </w:r>
      <w:r w:rsidR="003C60C1">
        <w:t>from Haggai and Nehemiah.  They simply promise that what must have seemed impossible will become a</w:t>
      </w:r>
      <w:r w:rsidR="007B1A1A">
        <w:t>ctual.  R</w:t>
      </w:r>
      <w:r w:rsidR="003C60C1">
        <w:t>eliefs in the palace that Darius I began to build at his new capital, Persepolis, in the last dec</w:t>
      </w:r>
      <w:r w:rsidR="007B1A1A">
        <w:t>ades of the sixth century</w:t>
      </w:r>
      <w:r w:rsidR="003C60C1">
        <w:t xml:space="preserve"> portray peoples bringing tribute</w:t>
      </w:r>
      <w:r w:rsidR="007B1A1A">
        <w:t xml:space="preserve"> to the king, as Judah did.</w:t>
      </w:r>
      <w:r w:rsidR="005973CE">
        <w:rPr>
          <w:rStyle w:val="FootnoteReference"/>
        </w:rPr>
        <w:footnoteReference w:id="12"/>
      </w:r>
      <w:r w:rsidR="007B1A1A">
        <w:t xml:space="preserve">  T</w:t>
      </w:r>
      <w:r w:rsidR="003C60C1">
        <w:t>he prophet decl</w:t>
      </w:r>
      <w:r w:rsidR="00DD080F">
        <w:t>ares that Persia is going to pay</w:t>
      </w:r>
      <w:r w:rsidR="003C60C1">
        <w:t xml:space="preserve"> tribute to Y</w:t>
      </w:r>
      <w:r w:rsidR="0016745F">
        <w:t>a</w:t>
      </w:r>
      <w:r w:rsidR="003C60C1">
        <w:t>hw</w:t>
      </w:r>
      <w:r w:rsidR="0016745F">
        <w:t>e</w:t>
      </w:r>
      <w:r w:rsidR="003C60C1">
        <w:t>h</w:t>
      </w:r>
      <w:r w:rsidR="000A2D8D">
        <w:t xml:space="preserve"> in Jerusalem</w:t>
      </w:r>
      <w:r w:rsidR="003C60C1">
        <w:t>.  It is an aspect of the great reversal whereby the superpower and its kings turn from contempt to obeisance.</w:t>
      </w:r>
      <w:r w:rsidR="007B1A1A">
        <w:t xml:space="preserve">  </w:t>
      </w:r>
    </w:p>
    <w:p w:rsidR="007A7FA3" w:rsidRDefault="007A7FA3" w:rsidP="003C60C1"/>
    <w:p w:rsidR="003C60C1" w:rsidRDefault="003C60C1" w:rsidP="003C60C1">
      <w:r>
        <w:t>Isaiah 56 – 66 recognizes the tensions in perspective between different groups within the colonial entity.  In the t</w:t>
      </w:r>
      <w:r w:rsidR="000A2D8D">
        <w:t xml:space="preserve">wenty-first century world, </w:t>
      </w:r>
      <w:r>
        <w:t>people from former colonies all over the world (including many of their most able</w:t>
      </w:r>
      <w:r w:rsidR="00DD080F">
        <w:t xml:space="preserve"> people</w:t>
      </w:r>
      <w:r>
        <w:t>) migr</w:t>
      </w:r>
      <w:r w:rsidR="005973CE">
        <w:t>ate to North America and Europe</w:t>
      </w:r>
      <w:r w:rsidR="00DA4F0A">
        <w:rPr>
          <w:rStyle w:val="FootnoteReference"/>
        </w:rPr>
        <w:footnoteReference w:id="13"/>
      </w:r>
      <w:r w:rsidR="0016745F">
        <w:t xml:space="preserve"> </w:t>
      </w:r>
      <w:r w:rsidR="000A2D8D">
        <w:t xml:space="preserve">and </w:t>
      </w:r>
      <w:r>
        <w:t>leave their home coun</w:t>
      </w:r>
      <w:r w:rsidR="000A2D8D">
        <w:t>tries without the resources that</w:t>
      </w:r>
      <w:r>
        <w:t xml:space="preserve"> could have contributed to their development.  In addition, many of these post</w:t>
      </w:r>
      <w:r w:rsidR="000A2D8D">
        <w:t>-</w:t>
      </w:r>
      <w:r>
        <w:t xml:space="preserve">colonial countries are </w:t>
      </w:r>
      <w:proofErr w:type="spellStart"/>
      <w:r>
        <w:t>riven</w:t>
      </w:r>
      <w:proofErr w:type="spellEnd"/>
      <w:r>
        <w:t xml:space="preserve"> by strife, partly issuing from divisions that go back to the work of </w:t>
      </w:r>
      <w:r w:rsidR="0016745F">
        <w:t xml:space="preserve">the </w:t>
      </w:r>
      <w:r w:rsidR="000A2D8D">
        <w:t>imperial powers that created</w:t>
      </w:r>
      <w:r w:rsidR="00F3612D">
        <w:t xml:space="preserve"> </w:t>
      </w:r>
      <w:r>
        <w:t>artificial nations out of diverse groups.  Isaiah 56 – 66 recognizes parallel realities.  M</w:t>
      </w:r>
      <w:r w:rsidR="0016745F">
        <w:t xml:space="preserve">any Judahites </w:t>
      </w:r>
      <w:r>
        <w:t xml:space="preserve">had not seized the opportunity to return to this backwater of the empire.  Isaiah 60 – 62 promises that they will do so.  Judah is </w:t>
      </w:r>
      <w:proofErr w:type="spellStart"/>
      <w:r>
        <w:t>riven</w:t>
      </w:r>
      <w:proofErr w:type="spellEnd"/>
      <w:r>
        <w:t xml:space="preserve"> by strife between people with different religious commitments; Isaiah 56 – 59 and 65 – 66 promises not that they will come to live in peace </w:t>
      </w:r>
      <w:r w:rsidR="00F3612D">
        <w:t xml:space="preserve">and tolerance </w:t>
      </w:r>
      <w:r>
        <w:t xml:space="preserve">but that this situation will not continue.  </w:t>
      </w:r>
      <w:r w:rsidR="0016745F">
        <w:t xml:space="preserve">The people it sees as compromised in their </w:t>
      </w:r>
      <w:proofErr w:type="spellStart"/>
      <w:r w:rsidR="0016745F">
        <w:t>Yahwism</w:t>
      </w:r>
      <w:proofErr w:type="spellEnd"/>
      <w:r w:rsidR="0016745F">
        <w:t xml:space="preserve"> will disappear; </w:t>
      </w:r>
      <w:r w:rsidR="00CF24C3">
        <w:t xml:space="preserve">Judah will become a proper Yahweh-worshiping community. </w:t>
      </w:r>
      <w:r w:rsidR="0016745F">
        <w:t xml:space="preserve"> </w:t>
      </w:r>
      <w:r>
        <w:t xml:space="preserve">This religious perspective </w:t>
      </w:r>
      <w:r>
        <w:lastRenderedPageBreak/>
        <w:t>links with another aspect of the vision of a restored Jerusalem.  Resources come to the city not si</w:t>
      </w:r>
      <w:r w:rsidR="00CF24C3">
        <w:t>mply to beautify it as a city</w:t>
      </w:r>
      <w:r>
        <w:t xml:space="preserve"> but to resource the </w:t>
      </w:r>
      <w:r w:rsidR="00F3612D">
        <w:t>worship of its temple</w:t>
      </w:r>
      <w:r>
        <w:t>.</w:t>
      </w:r>
    </w:p>
    <w:p w:rsidR="003C60C1" w:rsidRDefault="003C60C1" w:rsidP="003C60C1"/>
    <w:p w:rsidR="000A2D8D" w:rsidRDefault="000D3ECA" w:rsidP="000D3ECA">
      <w:pPr>
        <w:rPr>
          <w:rFonts w:ascii="Calibri" w:eastAsia="Calibri" w:hAnsi="Calibri" w:cs="Times New Roman"/>
        </w:rPr>
      </w:pPr>
      <w:r>
        <w:rPr>
          <w:rFonts w:ascii="Calibri" w:eastAsia="Calibri" w:hAnsi="Calibri" w:cs="Times New Roman"/>
        </w:rPr>
        <w:t xml:space="preserve">Christian lectionaries set the beginning of Isaiah 60 for Epiphany and thus link the chapter with the story of eastern sages bringing Jesus gold, incense, and myrrh (Matt 2:1-12).  Cyril of Alexandria waxes lyrical on the way </w:t>
      </w:r>
      <w:r w:rsidR="00B32C4F">
        <w:rPr>
          <w:rFonts w:ascii="Calibri" w:eastAsia="Calibri" w:hAnsi="Calibri" w:cs="Times New Roman"/>
        </w:rPr>
        <w:t>“</w:t>
      </w:r>
      <w:r>
        <w:rPr>
          <w:rFonts w:ascii="Calibri" w:eastAsia="Calibri" w:hAnsi="Calibri" w:cs="Times New Roman"/>
        </w:rPr>
        <w:t>it is as though the promise that Israel will be saved had already been fulfilled</w:t>
      </w:r>
      <w:r w:rsidR="00B32C4F">
        <w:rPr>
          <w:rFonts w:ascii="Calibri" w:eastAsia="Calibri" w:hAnsi="Calibri" w:cs="Times New Roman"/>
        </w:rPr>
        <w:t>”</w:t>
      </w:r>
      <w:r>
        <w:rPr>
          <w:rFonts w:ascii="Calibri" w:eastAsia="Calibri" w:hAnsi="Calibri" w:cs="Times New Roman"/>
        </w:rPr>
        <w:t xml:space="preserve"> and adds that the prophet </w:t>
      </w:r>
      <w:r w:rsidR="00B32C4F">
        <w:rPr>
          <w:rFonts w:ascii="Calibri" w:eastAsia="Calibri" w:hAnsi="Calibri" w:cs="Times New Roman"/>
        </w:rPr>
        <w:t>“</w:t>
      </w:r>
      <w:r>
        <w:rPr>
          <w:rFonts w:ascii="Calibri" w:eastAsia="Calibri" w:hAnsi="Calibri" w:cs="Times New Roman"/>
        </w:rPr>
        <w:t>all but says that Christ, who was long ago predicted by the law and the holy prophets, was already present among them and now at the end of the age has shone on all who dwell on earth.</w:t>
      </w:r>
      <w:r w:rsidR="00B32C4F">
        <w:rPr>
          <w:rFonts w:ascii="Calibri" w:eastAsia="Calibri" w:hAnsi="Calibri" w:cs="Times New Roman"/>
        </w:rPr>
        <w:t>”</w:t>
      </w:r>
      <w:r w:rsidR="00DA4F0A">
        <w:rPr>
          <w:rFonts w:ascii="Calibri" w:eastAsia="Calibri" w:hAnsi="Calibri" w:cs="Times New Roman"/>
        </w:rPr>
        <w:t>,</w:t>
      </w:r>
      <w:r w:rsidR="00DA4F0A">
        <w:rPr>
          <w:rStyle w:val="FootnoteReference"/>
          <w:rFonts w:ascii="Calibri" w:eastAsia="Calibri" w:hAnsi="Calibri" w:cs="Times New Roman"/>
        </w:rPr>
        <w:footnoteReference w:id="14"/>
      </w:r>
      <w:r>
        <w:rPr>
          <w:rFonts w:ascii="Calibri" w:eastAsia="Calibri" w:hAnsi="Calibri" w:cs="Times New Roman"/>
        </w:rPr>
        <w:t xml:space="preserve">  While the recurrence of reference to gold and incense constitutes a </w:t>
      </w:r>
      <w:r w:rsidR="00DA4F0A">
        <w:rPr>
          <w:rFonts w:ascii="Calibri" w:eastAsia="Calibri" w:hAnsi="Calibri" w:cs="Times New Roman"/>
        </w:rPr>
        <w:t xml:space="preserve">verbal </w:t>
      </w:r>
      <w:r>
        <w:rPr>
          <w:rFonts w:ascii="Calibri" w:eastAsia="Calibri" w:hAnsi="Calibri" w:cs="Times New Roman"/>
        </w:rPr>
        <w:t xml:space="preserve">link between the two passages, </w:t>
      </w:r>
      <w:r w:rsidR="00DA4F0A">
        <w:rPr>
          <w:rFonts w:ascii="Calibri" w:eastAsia="Calibri" w:hAnsi="Calibri" w:cs="Times New Roman"/>
        </w:rPr>
        <w:t xml:space="preserve">there is insufficient correspondence between the two passages for it to be possible to </w:t>
      </w:r>
      <w:r>
        <w:rPr>
          <w:rFonts w:ascii="Calibri" w:eastAsia="Calibri" w:hAnsi="Calibri" w:cs="Times New Roman"/>
        </w:rPr>
        <w:t xml:space="preserve">think of Isaiah 60 as a </w:t>
      </w:r>
      <w:r w:rsidR="00DA4F0A">
        <w:rPr>
          <w:rFonts w:ascii="Calibri" w:eastAsia="Calibri" w:hAnsi="Calibri" w:cs="Times New Roman"/>
        </w:rPr>
        <w:t>“</w:t>
      </w:r>
      <w:r>
        <w:rPr>
          <w:rFonts w:ascii="Calibri" w:eastAsia="Calibri" w:hAnsi="Calibri" w:cs="Times New Roman"/>
        </w:rPr>
        <w:t>prediction</w:t>
      </w:r>
      <w:r w:rsidR="00B32C4F">
        <w:rPr>
          <w:rFonts w:ascii="Calibri" w:eastAsia="Calibri" w:hAnsi="Calibri" w:cs="Times New Roman"/>
        </w:rPr>
        <w:t>”</w:t>
      </w:r>
      <w:r w:rsidR="00DA4F0A">
        <w:rPr>
          <w:rFonts w:ascii="Calibri" w:eastAsia="Calibri" w:hAnsi="Calibri" w:cs="Times New Roman"/>
        </w:rPr>
        <w:t xml:space="preserve"> of which the coming of the sages</w:t>
      </w:r>
      <w:r>
        <w:rPr>
          <w:rFonts w:ascii="Calibri" w:eastAsia="Calibri" w:hAnsi="Calibri" w:cs="Times New Roman"/>
        </w:rPr>
        <w:t xml:space="preserve"> is the </w:t>
      </w:r>
      <w:r w:rsidR="00B32C4F">
        <w:rPr>
          <w:rFonts w:ascii="Calibri" w:eastAsia="Calibri" w:hAnsi="Calibri" w:cs="Times New Roman"/>
        </w:rPr>
        <w:t>“</w:t>
      </w:r>
      <w:r>
        <w:rPr>
          <w:rFonts w:ascii="Calibri" w:eastAsia="Calibri" w:hAnsi="Calibri" w:cs="Times New Roman"/>
        </w:rPr>
        <w:t>fulfillment</w:t>
      </w:r>
      <w:r w:rsidR="000A2D8D">
        <w:rPr>
          <w:rFonts w:ascii="Calibri" w:eastAsia="Calibri" w:hAnsi="Calibri" w:cs="Times New Roman"/>
        </w:rPr>
        <w:t>.</w:t>
      </w:r>
      <w:r w:rsidR="00DA4F0A">
        <w:rPr>
          <w:rFonts w:ascii="Calibri" w:eastAsia="Calibri" w:hAnsi="Calibri" w:cs="Times New Roman"/>
        </w:rPr>
        <w:t>”</w:t>
      </w:r>
      <w:r w:rsidR="000A2D8D">
        <w:rPr>
          <w:rFonts w:ascii="Calibri" w:eastAsia="Calibri" w:hAnsi="Calibri" w:cs="Times New Roman"/>
        </w:rPr>
        <w:t xml:space="preserve">  T</w:t>
      </w:r>
      <w:r>
        <w:rPr>
          <w:rFonts w:ascii="Calibri" w:eastAsia="Calibri" w:hAnsi="Calibri" w:cs="Times New Roman"/>
        </w:rPr>
        <w:t>he New Test</w:t>
      </w:r>
      <w:r w:rsidR="00DA4F0A">
        <w:rPr>
          <w:rFonts w:ascii="Calibri" w:eastAsia="Calibri" w:hAnsi="Calibri" w:cs="Times New Roman"/>
        </w:rPr>
        <w:t>ament itself does not</w:t>
      </w:r>
      <w:r>
        <w:rPr>
          <w:rFonts w:ascii="Calibri" w:eastAsia="Calibri" w:hAnsi="Calibri" w:cs="Times New Roman"/>
        </w:rPr>
        <w:t xml:space="preserve"> relate the p</w:t>
      </w:r>
      <w:r w:rsidR="00DA4F0A">
        <w:rPr>
          <w:rFonts w:ascii="Calibri" w:eastAsia="Calibri" w:hAnsi="Calibri" w:cs="Times New Roman"/>
        </w:rPr>
        <w:t>rophecy and the event; it makes its</w:t>
      </w:r>
      <w:r w:rsidR="000A2D8D">
        <w:rPr>
          <w:rFonts w:ascii="Calibri" w:eastAsia="Calibri" w:hAnsi="Calibri" w:cs="Times New Roman"/>
        </w:rPr>
        <w:t xml:space="preserve"> link</w:t>
      </w:r>
      <w:r>
        <w:rPr>
          <w:rFonts w:ascii="Calibri" w:eastAsia="Calibri" w:hAnsi="Calibri" w:cs="Times New Roman"/>
        </w:rPr>
        <w:t xml:space="preserve"> with Micah 5.  </w:t>
      </w:r>
    </w:p>
    <w:p w:rsidR="000A2D8D" w:rsidRDefault="000A2D8D" w:rsidP="000D3ECA">
      <w:pPr>
        <w:rPr>
          <w:rFonts w:ascii="Calibri" w:eastAsia="Calibri" w:hAnsi="Calibri" w:cs="Times New Roman"/>
        </w:rPr>
      </w:pPr>
    </w:p>
    <w:p w:rsidR="000D3ECA" w:rsidRDefault="000A2D8D" w:rsidP="000D3ECA">
      <w:pPr>
        <w:rPr>
          <w:rFonts w:ascii="Calibri" w:eastAsia="Calibri" w:hAnsi="Calibri" w:cs="Times New Roman"/>
        </w:rPr>
      </w:pPr>
      <w:r>
        <w:rPr>
          <w:rFonts w:ascii="Calibri" w:eastAsia="Calibri" w:hAnsi="Calibri" w:cs="Times New Roman"/>
        </w:rPr>
        <w:t>Admittedly</w:t>
      </w:r>
      <w:r w:rsidR="000D3ECA">
        <w:rPr>
          <w:rFonts w:ascii="Calibri" w:eastAsia="Calibri" w:hAnsi="Calibri" w:cs="Times New Roman"/>
        </w:rPr>
        <w:t xml:space="preserve"> the subsequent explicit Christian</w:t>
      </w:r>
      <w:r>
        <w:rPr>
          <w:rFonts w:ascii="Calibri" w:eastAsia="Calibri" w:hAnsi="Calibri" w:cs="Times New Roman"/>
        </w:rPr>
        <w:t xml:space="preserve"> juxtaposing of Isaiah 60 and Matthew 2</w:t>
      </w:r>
      <w:r w:rsidR="000D3ECA">
        <w:rPr>
          <w:rFonts w:ascii="Calibri" w:eastAsia="Calibri" w:hAnsi="Calibri" w:cs="Times New Roman"/>
        </w:rPr>
        <w:t xml:space="preserve"> does </w:t>
      </w:r>
      <w:r>
        <w:rPr>
          <w:rFonts w:ascii="Calibri" w:eastAsia="Calibri" w:hAnsi="Calibri" w:cs="Times New Roman"/>
        </w:rPr>
        <w:t xml:space="preserve">do </w:t>
      </w:r>
      <w:r w:rsidR="000D3ECA">
        <w:rPr>
          <w:rFonts w:ascii="Calibri" w:eastAsia="Calibri" w:hAnsi="Calibri" w:cs="Times New Roman"/>
        </w:rPr>
        <w:t xml:space="preserve">justice to the nature of Isaiah 60 better than does a reading that envisages Isaiah 60 as essentially </w:t>
      </w:r>
      <w:r>
        <w:rPr>
          <w:rFonts w:ascii="Calibri" w:eastAsia="Calibri" w:hAnsi="Calibri" w:cs="Times New Roman"/>
        </w:rPr>
        <w:t xml:space="preserve">picturing </w:t>
      </w:r>
      <w:r w:rsidR="000D3ECA">
        <w:rPr>
          <w:rFonts w:ascii="Calibri" w:eastAsia="Calibri" w:hAnsi="Calibri" w:cs="Times New Roman"/>
        </w:rPr>
        <w:t xml:space="preserve">the way a prophet expects political events to unfold at the end of the sixth century or in the fifth.  </w:t>
      </w:r>
      <w:r>
        <w:rPr>
          <w:rFonts w:ascii="Calibri" w:eastAsia="Calibri" w:hAnsi="Calibri" w:cs="Times New Roman"/>
        </w:rPr>
        <w:t>For all the sense in which the chapters may be seen as resistance literature, they are</w:t>
      </w:r>
      <w:r w:rsidR="000D3ECA">
        <w:rPr>
          <w:rFonts w:ascii="Calibri" w:eastAsia="Calibri" w:hAnsi="Calibri" w:cs="Times New Roman"/>
        </w:rPr>
        <w:t xml:space="preserve"> poetic</w:t>
      </w:r>
      <w:r>
        <w:rPr>
          <w:rFonts w:ascii="Calibri" w:eastAsia="Calibri" w:hAnsi="Calibri" w:cs="Times New Roman"/>
        </w:rPr>
        <w:t>, lyrical, and hyperbolic in their language.  Isaiah 60</w:t>
      </w:r>
      <w:r w:rsidR="000D3ECA">
        <w:rPr>
          <w:rFonts w:ascii="Calibri" w:eastAsia="Calibri" w:hAnsi="Calibri" w:cs="Times New Roman"/>
        </w:rPr>
        <w:t xml:space="preserve"> is typical of Isaiah 56 – 66 in not relating its promises to specific political contexts or events.  Like anything that anyone ever says or writes, it relates to a particular historical context in the sense that it emerges from such a context and reflects it.  But both the attempt to see it as envisaging fulfillment in such a context and the understanding of it as a prediction of a particular event six centuries later miss the significance of its poetic nature.  </w:t>
      </w:r>
    </w:p>
    <w:p w:rsidR="000D3ECA" w:rsidRDefault="000D3ECA" w:rsidP="000D3ECA"/>
    <w:p w:rsidR="0058047D" w:rsidRDefault="00DA4F0A" w:rsidP="008B4588">
      <w:r>
        <w:t>In</w:t>
      </w:r>
      <w:r w:rsidR="000A2D8D">
        <w:t xml:space="preserve"> Isaiah 61, the </w:t>
      </w:r>
      <w:r w:rsidR="003C60C1">
        <w:t xml:space="preserve">central chapter of the central complex of chapters in Isaiah 56 – 66, the prophet declares himself to be someone “anointed” by </w:t>
      </w:r>
      <w:r w:rsidR="00760295">
        <w:t>Yahweh</w:t>
      </w:r>
      <w:r w:rsidR="003C60C1">
        <w:t>.  It is an unexpected expression, because anointing is a rite applied to kings and priests as holders of an office.  Being a prophet i</w:t>
      </w:r>
      <w:r>
        <w:t>s not an office, and prophets are not anointed (Yahweh’s commission of Elijah to anoint Elisha tests but does not disprove the rule).</w:t>
      </w:r>
      <w:r w:rsidR="003C60C1">
        <w:t xml:space="preserve">  </w:t>
      </w:r>
      <w:proofErr w:type="spellStart"/>
      <w:r w:rsidR="00CF24C3">
        <w:t>The</w:t>
      </w:r>
      <w:proofErr w:type="spellEnd"/>
      <w:r w:rsidR="00CF24C3">
        <w:t xml:space="preserve"> only</w:t>
      </w:r>
      <w:r w:rsidR="003C60C1">
        <w:t xml:space="preserve"> anointed king </w:t>
      </w:r>
      <w:r>
        <w:t>in Isaiah</w:t>
      </w:r>
      <w:r w:rsidR="00CF24C3">
        <w:t xml:space="preserve"> i</w:t>
      </w:r>
      <w:r>
        <w:t>s Cyrus, and t</w:t>
      </w:r>
      <w:r w:rsidR="000A2D8D">
        <w:t>he</w:t>
      </w:r>
      <w:r w:rsidR="00F3612D">
        <w:t xml:space="preserve"> prophet’s </w:t>
      </w:r>
      <w:r w:rsidR="003C60C1">
        <w:t>claim</w:t>
      </w:r>
      <w:r w:rsidR="00F3612D">
        <w:t>ing</w:t>
      </w:r>
      <w:r w:rsidR="003C60C1">
        <w:t xml:space="preserve"> an anointing </w:t>
      </w:r>
      <w:r w:rsidR="000A2D8D">
        <w:t>may thus constitute</w:t>
      </w:r>
      <w:r w:rsidR="003C60C1">
        <w:t xml:space="preserve"> a “strong rereading”</w:t>
      </w:r>
      <w:r w:rsidR="0058047D">
        <w:rPr>
          <w:rStyle w:val="FootnoteReference"/>
        </w:rPr>
        <w:footnoteReference w:id="15"/>
      </w:r>
      <w:r w:rsidR="003C60C1">
        <w:t xml:space="preserve"> of the commendation of Cyrus in Isaiah 40 – 55.  This prophet has a part to play in the fulfilling of the role </w:t>
      </w:r>
      <w:r w:rsidR="000A2D8D">
        <w:t xml:space="preserve">that was once </w:t>
      </w:r>
      <w:r w:rsidR="003C60C1">
        <w:t>destined for the Persian deliverer who has become the Persian overlord</w:t>
      </w:r>
      <w:r w:rsidR="00CF24C3">
        <w:t>.</w:t>
      </w:r>
      <w:r w:rsidR="0058047D">
        <w:t xml:space="preserve">   He claims a commission</w:t>
      </w:r>
      <w:r w:rsidR="00231487">
        <w:t xml:space="preserve"> to bring good news to people who are afflicted, broken in spirit, captives, priso</w:t>
      </w:r>
      <w:r w:rsidR="0058047D">
        <w:t>ners, people who mourn Zion;</w:t>
      </w:r>
      <w:r w:rsidR="00231487">
        <w:t xml:space="preserve"> they will h</w:t>
      </w:r>
      <w:r w:rsidR="0058047D">
        <w:t>ave reason for joy.  The commission</w:t>
      </w:r>
      <w:r w:rsidR="00231487">
        <w:t xml:space="preserve"> is ambiguous about whether they are the people who </w:t>
      </w:r>
      <w:r w:rsidR="00AD2456">
        <w:t xml:space="preserve">will </w:t>
      </w:r>
      <w:r w:rsidR="00231487">
        <w:t xml:space="preserve">do the building </w:t>
      </w:r>
      <w:r w:rsidR="00AD2456">
        <w:t>of Jerusalem</w:t>
      </w:r>
      <w:r w:rsidR="0058047D">
        <w:t xml:space="preserve"> of which it speaks</w:t>
      </w:r>
      <w:r w:rsidR="00AD2456">
        <w:t>; the prophecy earli</w:t>
      </w:r>
      <w:r w:rsidR="0058047D">
        <w:t>er envisaged foreigners doing this work</w:t>
      </w:r>
      <w:r w:rsidR="00AD2456">
        <w:t xml:space="preserve"> (60:10), and perhaps its point is</w:t>
      </w:r>
      <w:r w:rsidR="00231487">
        <w:t xml:space="preserve"> simply</w:t>
      </w:r>
      <w:r w:rsidR="00AD2456">
        <w:t xml:space="preserve"> that some people will.  </w:t>
      </w:r>
      <w:r w:rsidR="00231487">
        <w:t>The significant point is that the work will be done.  Once again there is a link with Cyrus,</w:t>
      </w:r>
      <w:r w:rsidR="0058047D">
        <w:t xml:space="preserve"> who was earlier the person </w:t>
      </w:r>
      <w:r w:rsidR="00AD2456">
        <w:t>destined to do the work (45:</w:t>
      </w:r>
      <w:r w:rsidR="00231487">
        <w:t>13).</w:t>
      </w:r>
      <w:r w:rsidR="00AD2456">
        <w:t xml:space="preserve">  </w:t>
      </w:r>
    </w:p>
    <w:p w:rsidR="0058047D" w:rsidRDefault="0058047D" w:rsidP="008B4588"/>
    <w:p w:rsidR="008B4588" w:rsidRPr="00AD2456" w:rsidRDefault="008B4588" w:rsidP="008B4588">
      <w:r>
        <w:rPr>
          <w:rFonts w:ascii="Calibri" w:eastAsia="Calibri" w:hAnsi="Calibri" w:cs="Times New Roman"/>
        </w:rPr>
        <w:t>In the decades and cent</w:t>
      </w:r>
      <w:r w:rsidR="0058047D">
        <w:rPr>
          <w:rFonts w:ascii="Calibri" w:eastAsia="Calibri" w:hAnsi="Calibri" w:cs="Times New Roman"/>
        </w:rPr>
        <w:t xml:space="preserve">uries that followed, the </w:t>
      </w:r>
      <w:r>
        <w:rPr>
          <w:rFonts w:ascii="Calibri" w:eastAsia="Calibri" w:hAnsi="Calibri" w:cs="Times New Roman"/>
        </w:rPr>
        <w:t xml:space="preserve">people </w:t>
      </w:r>
      <w:r w:rsidR="0058047D">
        <w:rPr>
          <w:rFonts w:ascii="Calibri" w:eastAsia="Calibri" w:hAnsi="Calibri" w:cs="Times New Roman"/>
        </w:rPr>
        <w:t xml:space="preserve">of Yahweh </w:t>
      </w:r>
      <w:r>
        <w:rPr>
          <w:rFonts w:ascii="Calibri" w:eastAsia="Calibri" w:hAnsi="Calibri" w:cs="Times New Roman"/>
        </w:rPr>
        <w:t xml:space="preserve">did not see these promises </w:t>
      </w:r>
      <w:r w:rsidR="00AD2456">
        <w:rPr>
          <w:rFonts w:ascii="Calibri" w:eastAsia="Calibri" w:hAnsi="Calibri" w:cs="Times New Roman"/>
        </w:rPr>
        <w:t xml:space="preserve">much more </w:t>
      </w:r>
      <w:r>
        <w:rPr>
          <w:rFonts w:ascii="Calibri" w:eastAsia="Calibri" w:hAnsi="Calibri" w:cs="Times New Roman"/>
        </w:rPr>
        <w:t>fulfilled</w:t>
      </w:r>
      <w:r w:rsidR="00AD2456">
        <w:rPr>
          <w:rFonts w:ascii="Calibri" w:eastAsia="Calibri" w:hAnsi="Calibri" w:cs="Times New Roman"/>
        </w:rPr>
        <w:t xml:space="preserve"> than they had been through the work of Cyrus, which</w:t>
      </w:r>
      <w:r>
        <w:rPr>
          <w:rFonts w:ascii="Calibri" w:eastAsia="Calibri" w:hAnsi="Calibri" w:cs="Times New Roman"/>
        </w:rPr>
        <w:t xml:space="preserve"> was one reason why it was poss</w:t>
      </w:r>
      <w:r w:rsidR="00C1027E">
        <w:rPr>
          <w:rFonts w:ascii="Calibri" w:eastAsia="Calibri" w:hAnsi="Calibri" w:cs="Times New Roman"/>
        </w:rPr>
        <w:t>ible for Jesus to take up chapter 61</w:t>
      </w:r>
      <w:r w:rsidR="00AD2456">
        <w:rPr>
          <w:rFonts w:ascii="Calibri" w:eastAsia="Calibri" w:hAnsi="Calibri" w:cs="Times New Roman"/>
        </w:rPr>
        <w:t>,</w:t>
      </w:r>
      <w:r w:rsidR="00C1027E">
        <w:rPr>
          <w:rFonts w:ascii="Calibri" w:eastAsia="Calibri" w:hAnsi="Calibri" w:cs="Times New Roman"/>
        </w:rPr>
        <w:t xml:space="preserve"> a favo</w:t>
      </w:r>
      <w:r>
        <w:rPr>
          <w:rFonts w:ascii="Calibri" w:eastAsia="Calibri" w:hAnsi="Calibri" w:cs="Times New Roman"/>
        </w:rPr>
        <w:t>rite passage in his day.  Pre-critical Christian commentaries naturally assume that Isaiah 61 is a</w:t>
      </w:r>
      <w:r w:rsidR="00AD2456">
        <w:rPr>
          <w:rFonts w:ascii="Calibri" w:eastAsia="Calibri" w:hAnsi="Calibri" w:cs="Times New Roman"/>
        </w:rPr>
        <w:t xml:space="preserve"> prophecy of the Messiah; not only so, but</w:t>
      </w:r>
      <w:r>
        <w:rPr>
          <w:rFonts w:ascii="Calibri" w:eastAsia="Calibri" w:hAnsi="Calibri" w:cs="Times New Roman"/>
        </w:rPr>
        <w:t xml:space="preserve"> Jürgen Moltmann declares that here </w:t>
      </w:r>
      <w:r w:rsidR="00B32C4F">
        <w:rPr>
          <w:rFonts w:ascii="Calibri" w:eastAsia="Calibri" w:hAnsi="Calibri" w:cs="Times New Roman"/>
        </w:rPr>
        <w:t>“</w:t>
      </w:r>
      <w:proofErr w:type="spellStart"/>
      <w:r>
        <w:rPr>
          <w:rFonts w:ascii="Calibri" w:eastAsia="Calibri" w:hAnsi="Calibri" w:cs="Times New Roman"/>
        </w:rPr>
        <w:t>Trito</w:t>
      </w:r>
      <w:proofErr w:type="spellEnd"/>
      <w:r>
        <w:rPr>
          <w:rFonts w:ascii="Calibri" w:eastAsia="Calibri" w:hAnsi="Calibri" w:cs="Times New Roman"/>
        </w:rPr>
        <w:t xml:space="preserve"> Isaiah, finally, sees the coming messiah as quintessential bearer of the Spirit.</w:t>
      </w:r>
      <w:r w:rsidR="00B32C4F">
        <w:rPr>
          <w:rFonts w:ascii="Calibri" w:eastAsia="Calibri" w:hAnsi="Calibri" w:cs="Times New Roman"/>
        </w:rPr>
        <w:t>”</w:t>
      </w:r>
      <w:r w:rsidR="0058047D">
        <w:rPr>
          <w:rStyle w:val="FootnoteReference"/>
          <w:rFonts w:ascii="Calibri" w:eastAsia="Calibri" w:hAnsi="Calibri" w:cs="Times New Roman"/>
        </w:rPr>
        <w:footnoteReference w:id="16"/>
      </w:r>
      <w:r>
        <w:rPr>
          <w:rFonts w:ascii="Calibri" w:eastAsia="Calibri" w:hAnsi="Calibri" w:cs="Times New Roman"/>
        </w:rPr>
        <w:t xml:space="preserve">  Jesus </w:t>
      </w:r>
      <w:r>
        <w:rPr>
          <w:rFonts w:ascii="Calibri" w:eastAsia="Calibri" w:hAnsi="Calibri" w:cs="Times New Roman"/>
        </w:rPr>
        <w:lastRenderedPageBreak/>
        <w:t xml:space="preserve">indeed tells the people in the Nazareth synagogue that </w:t>
      </w:r>
      <w:r w:rsidR="00B32C4F">
        <w:rPr>
          <w:rFonts w:ascii="Calibri" w:eastAsia="Calibri" w:hAnsi="Calibri" w:cs="Times New Roman"/>
        </w:rPr>
        <w:t>“</w:t>
      </w:r>
      <w:r>
        <w:rPr>
          <w:rFonts w:ascii="Calibri" w:eastAsia="Calibri" w:hAnsi="Calibri" w:cs="Times New Roman"/>
        </w:rPr>
        <w:t>today this scripture is fulfilled in your ears</w:t>
      </w:r>
      <w:r w:rsidR="00B32C4F">
        <w:rPr>
          <w:rFonts w:ascii="Calibri" w:eastAsia="Calibri" w:hAnsi="Calibri" w:cs="Times New Roman"/>
        </w:rPr>
        <w:t>.”</w:t>
      </w:r>
      <w:r w:rsidR="00AD2456">
        <w:rPr>
          <w:rFonts w:ascii="Calibri" w:eastAsia="Calibri" w:hAnsi="Calibri" w:cs="Times New Roman"/>
        </w:rPr>
        <w:t xml:space="preserve">  But </w:t>
      </w:r>
      <w:r>
        <w:rPr>
          <w:rFonts w:ascii="Calibri" w:eastAsia="Calibri" w:hAnsi="Calibri" w:cs="Times New Roman"/>
        </w:rPr>
        <w:t xml:space="preserve">his </w:t>
      </w:r>
      <w:r w:rsidR="00AD2456">
        <w:rPr>
          <w:rFonts w:ascii="Calibri" w:eastAsia="Calibri" w:hAnsi="Calibri" w:cs="Times New Roman"/>
        </w:rPr>
        <w:t xml:space="preserve">statement is </w:t>
      </w:r>
      <w:r>
        <w:rPr>
          <w:rFonts w:ascii="Calibri" w:eastAsia="Calibri" w:hAnsi="Calibri" w:cs="Times New Roman"/>
        </w:rPr>
        <w:t>more su</w:t>
      </w:r>
      <w:r w:rsidR="00AD2456">
        <w:rPr>
          <w:rFonts w:ascii="Calibri" w:eastAsia="Calibri" w:hAnsi="Calibri" w:cs="Times New Roman"/>
        </w:rPr>
        <w:t xml:space="preserve">ggestive and allusive </w:t>
      </w:r>
      <w:r>
        <w:rPr>
          <w:rFonts w:ascii="Calibri" w:eastAsia="Calibri" w:hAnsi="Calibri" w:cs="Times New Roman"/>
        </w:rPr>
        <w:t xml:space="preserve">than is often assumed.  </w:t>
      </w:r>
      <w:r w:rsidR="00B32C4F">
        <w:rPr>
          <w:rFonts w:ascii="Calibri" w:eastAsia="Calibri" w:hAnsi="Calibri" w:cs="Times New Roman"/>
        </w:rPr>
        <w:t>“</w:t>
      </w:r>
      <w:r>
        <w:rPr>
          <w:rFonts w:ascii="Calibri" w:eastAsia="Calibri" w:hAnsi="Calibri" w:cs="Times New Roman"/>
        </w:rPr>
        <w:t>Fulfilled</w:t>
      </w:r>
      <w:r w:rsidR="00B32C4F">
        <w:rPr>
          <w:rFonts w:ascii="Calibri" w:eastAsia="Calibri" w:hAnsi="Calibri" w:cs="Times New Roman"/>
        </w:rPr>
        <w:t>”</w:t>
      </w:r>
      <w:r>
        <w:rPr>
          <w:rFonts w:ascii="Calibri" w:eastAsia="Calibri" w:hAnsi="Calibri" w:cs="Times New Roman"/>
        </w:rPr>
        <w:t xml:space="preserve"> is </w:t>
      </w:r>
      <w:proofErr w:type="spellStart"/>
      <w:r>
        <w:rPr>
          <w:rFonts w:ascii="Calibri" w:eastAsia="Calibri" w:hAnsi="Calibri" w:cs="Times New Roman"/>
          <w:i/>
        </w:rPr>
        <w:t>plēro</w:t>
      </w:r>
      <w:proofErr w:type="spellEnd"/>
      <w:r>
        <w:rPr>
          <w:rFonts w:ascii="Calibri" w:eastAsia="Calibri" w:hAnsi="Calibri" w:cs="Times New Roman"/>
          <w:i/>
        </w:rPr>
        <w:t>-ō</w:t>
      </w:r>
      <w:r w:rsidR="00AD2456">
        <w:rPr>
          <w:rFonts w:ascii="Calibri" w:eastAsia="Calibri" w:hAnsi="Calibri" w:cs="Times New Roman"/>
        </w:rPr>
        <w:t>, which is not a kind of</w:t>
      </w:r>
      <w:r>
        <w:rPr>
          <w:rFonts w:ascii="Calibri" w:eastAsia="Calibri" w:hAnsi="Calibri" w:cs="Times New Roman"/>
        </w:rPr>
        <w:t xml:space="preserve"> technical term like</w:t>
      </w:r>
      <w:r w:rsidR="00AD2456">
        <w:rPr>
          <w:rFonts w:ascii="Calibri" w:eastAsia="Calibri" w:hAnsi="Calibri" w:cs="Times New Roman"/>
        </w:rPr>
        <w:t xml:space="preserve"> the English word</w:t>
      </w:r>
      <w:r>
        <w:rPr>
          <w:rFonts w:ascii="Calibri" w:eastAsia="Calibri" w:hAnsi="Calibri" w:cs="Times New Roman"/>
        </w:rPr>
        <w:t xml:space="preserve"> </w:t>
      </w:r>
      <w:r w:rsidR="00B32C4F">
        <w:rPr>
          <w:rFonts w:ascii="Calibri" w:eastAsia="Calibri" w:hAnsi="Calibri" w:cs="Times New Roman"/>
        </w:rPr>
        <w:t>“</w:t>
      </w:r>
      <w:r>
        <w:rPr>
          <w:rFonts w:ascii="Calibri" w:eastAsia="Calibri" w:hAnsi="Calibri" w:cs="Times New Roman"/>
        </w:rPr>
        <w:t>fulfilled</w:t>
      </w:r>
      <w:r w:rsidR="00B32C4F">
        <w:rPr>
          <w:rFonts w:ascii="Calibri" w:eastAsia="Calibri" w:hAnsi="Calibri" w:cs="Times New Roman"/>
        </w:rPr>
        <w:t>”</w:t>
      </w:r>
      <w:r>
        <w:rPr>
          <w:rFonts w:ascii="Calibri" w:eastAsia="Calibri" w:hAnsi="Calibri" w:cs="Times New Roman"/>
        </w:rPr>
        <w:t xml:space="preserve"> but</w:t>
      </w:r>
      <w:r>
        <w:rPr>
          <w:rFonts w:ascii="Calibri" w:eastAsia="Calibri" w:hAnsi="Calibri" w:cs="Times New Roman"/>
          <w:i/>
        </w:rPr>
        <w:t xml:space="preserve"> </w:t>
      </w:r>
      <w:r>
        <w:rPr>
          <w:rFonts w:ascii="Calibri" w:eastAsia="Calibri" w:hAnsi="Calibri" w:cs="Times New Roman"/>
        </w:rPr>
        <w:t xml:space="preserve">the ordinary Greek word for </w:t>
      </w:r>
      <w:r w:rsidR="00B32C4F">
        <w:rPr>
          <w:rFonts w:ascii="Calibri" w:eastAsia="Calibri" w:hAnsi="Calibri" w:cs="Times New Roman"/>
        </w:rPr>
        <w:t>“</w:t>
      </w:r>
      <w:r>
        <w:rPr>
          <w:rFonts w:ascii="Calibri" w:eastAsia="Calibri" w:hAnsi="Calibri" w:cs="Times New Roman"/>
        </w:rPr>
        <w:t>filled</w:t>
      </w:r>
      <w:r w:rsidR="00B32C4F">
        <w:rPr>
          <w:rFonts w:ascii="Calibri" w:eastAsia="Calibri" w:hAnsi="Calibri" w:cs="Times New Roman"/>
        </w:rPr>
        <w:t>.”</w:t>
      </w:r>
      <w:r>
        <w:rPr>
          <w:rFonts w:ascii="Calibri" w:eastAsia="Calibri" w:hAnsi="Calibri" w:cs="Times New Roman"/>
        </w:rPr>
        <w:t xml:space="preserve">  While </w:t>
      </w:r>
      <w:r w:rsidR="00B32C4F">
        <w:rPr>
          <w:rFonts w:ascii="Calibri" w:eastAsia="Calibri" w:hAnsi="Calibri" w:cs="Times New Roman"/>
        </w:rPr>
        <w:t>“</w:t>
      </w:r>
      <w:r>
        <w:rPr>
          <w:rFonts w:ascii="Calibri" w:eastAsia="Calibri" w:hAnsi="Calibri" w:cs="Times New Roman"/>
        </w:rPr>
        <w:t>filling</w:t>
      </w:r>
      <w:r w:rsidR="00B32C4F">
        <w:rPr>
          <w:rFonts w:ascii="Calibri" w:eastAsia="Calibri" w:hAnsi="Calibri" w:cs="Times New Roman"/>
        </w:rPr>
        <w:t>”</w:t>
      </w:r>
      <w:r>
        <w:rPr>
          <w:rFonts w:ascii="Calibri" w:eastAsia="Calibri" w:hAnsi="Calibri" w:cs="Times New Roman"/>
        </w:rPr>
        <w:t xml:space="preserve"> a passage of scripture might mean fulfilling it, it might also imply something like filling it out.  The use of </w:t>
      </w:r>
      <w:proofErr w:type="spellStart"/>
      <w:r>
        <w:rPr>
          <w:rFonts w:ascii="Calibri" w:eastAsia="Calibri" w:hAnsi="Calibri" w:cs="Times New Roman"/>
          <w:i/>
        </w:rPr>
        <w:t>plēro</w:t>
      </w:r>
      <w:proofErr w:type="spellEnd"/>
      <w:r>
        <w:rPr>
          <w:rFonts w:ascii="Calibri" w:eastAsia="Calibri" w:hAnsi="Calibri" w:cs="Times New Roman"/>
          <w:i/>
        </w:rPr>
        <w:t xml:space="preserve">-ō </w:t>
      </w:r>
      <w:r>
        <w:rPr>
          <w:rFonts w:ascii="Calibri" w:eastAsia="Calibri" w:hAnsi="Calibri" w:cs="Times New Roman"/>
        </w:rPr>
        <w:t>need not imply that the passage in question was a prediction or promise with a one-to-one relationship to a subsequent event.  Indeed, what Jesus is doing with Isaiah 61 is something not unlike w</w:t>
      </w:r>
      <w:r w:rsidR="0058047D">
        <w:rPr>
          <w:rFonts w:ascii="Calibri" w:eastAsia="Calibri" w:hAnsi="Calibri" w:cs="Times New Roman"/>
        </w:rPr>
        <w:t>hat Isaiah 61 was doing with</w:t>
      </w:r>
      <w:r>
        <w:rPr>
          <w:rFonts w:ascii="Calibri" w:eastAsia="Calibri" w:hAnsi="Calibri" w:cs="Times New Roman"/>
        </w:rPr>
        <w:t xml:space="preserve"> passages from Isaiah 40 </w:t>
      </w:r>
      <w:r w:rsidR="0058047D">
        <w:rPr>
          <w:rFonts w:ascii="Calibri" w:eastAsia="Calibri" w:hAnsi="Calibri" w:cs="Times New Roman"/>
        </w:rPr>
        <w:t xml:space="preserve">– 55.  He is </w:t>
      </w:r>
      <w:r>
        <w:rPr>
          <w:rFonts w:ascii="Calibri" w:eastAsia="Calibri" w:hAnsi="Calibri" w:cs="Times New Roman"/>
        </w:rPr>
        <w:t xml:space="preserve">using scriptural material to interpret his own significance and to make a claim for that significance </w:t>
      </w:r>
      <w:r w:rsidR="0058047D">
        <w:rPr>
          <w:rFonts w:ascii="Calibri" w:eastAsia="Calibri" w:hAnsi="Calibri" w:cs="Times New Roman"/>
        </w:rPr>
        <w:t xml:space="preserve">at least as much </w:t>
      </w:r>
      <w:r>
        <w:rPr>
          <w:rFonts w:ascii="Calibri" w:eastAsia="Calibri" w:hAnsi="Calibri" w:cs="Times New Roman"/>
        </w:rPr>
        <w:t>as using his own significance to interpret Isaiah 61.</w:t>
      </w:r>
    </w:p>
    <w:p w:rsidR="008B4588" w:rsidRDefault="008B4588" w:rsidP="008B4588">
      <w:pPr>
        <w:rPr>
          <w:rFonts w:ascii="Calibri" w:eastAsia="Calibri" w:hAnsi="Calibri" w:cs="Times New Roman"/>
        </w:rPr>
      </w:pPr>
    </w:p>
    <w:p w:rsidR="008B4588" w:rsidRDefault="008B4588" w:rsidP="00CF24C3">
      <w:pPr>
        <w:rPr>
          <w:rFonts w:ascii="Calibri" w:eastAsia="Calibri" w:hAnsi="Calibri" w:cs="Times New Roman"/>
        </w:rPr>
      </w:pPr>
      <w:r>
        <w:rPr>
          <w:rFonts w:ascii="Calibri" w:eastAsia="Calibri" w:hAnsi="Calibri" w:cs="Times New Roman"/>
        </w:rPr>
        <w:t>Jesus’ ministry did not result in the fulfillment of these promises</w:t>
      </w:r>
      <w:r w:rsidR="00AD2456">
        <w:rPr>
          <w:rFonts w:ascii="Calibri" w:eastAsia="Calibri" w:hAnsi="Calibri" w:cs="Times New Roman"/>
        </w:rPr>
        <w:t xml:space="preserve"> in Isaiah 60 – 62</w:t>
      </w:r>
      <w:r>
        <w:rPr>
          <w:rFonts w:ascii="Calibri" w:eastAsia="Calibri" w:hAnsi="Calibri" w:cs="Times New Roman"/>
        </w:rPr>
        <w:t xml:space="preserve">, and liberty of the kind </w:t>
      </w:r>
      <w:r w:rsidR="00AD2456">
        <w:rPr>
          <w:rFonts w:ascii="Calibri" w:eastAsia="Calibri" w:hAnsi="Calibri" w:cs="Times New Roman"/>
        </w:rPr>
        <w:t xml:space="preserve">that </w:t>
      </w:r>
      <w:r>
        <w:rPr>
          <w:rFonts w:ascii="Calibri" w:eastAsia="Calibri" w:hAnsi="Calibri" w:cs="Times New Roman"/>
        </w:rPr>
        <w:t>the prophet envisaged has no more been enjoyed by the church than it has been enjoyed by Israel.  On the other hand, it is not the case that nothing of this kind took place in Second Temple Judaism and then during Jesus’ ministry an</w:t>
      </w:r>
      <w:r w:rsidR="00AD2456">
        <w:rPr>
          <w:rFonts w:ascii="Calibri" w:eastAsia="Calibri" w:hAnsi="Calibri" w:cs="Times New Roman"/>
        </w:rPr>
        <w:t>d in the life of the church.  Here again we see the pattern whereby</w:t>
      </w:r>
      <w:r>
        <w:rPr>
          <w:rFonts w:ascii="Calibri" w:eastAsia="Calibri" w:hAnsi="Calibri" w:cs="Times New Roman"/>
        </w:rPr>
        <w:t xml:space="preserve"> the proclama</w:t>
      </w:r>
      <w:r w:rsidR="00AD2456">
        <w:rPr>
          <w:rFonts w:ascii="Calibri" w:eastAsia="Calibri" w:hAnsi="Calibri" w:cs="Times New Roman"/>
        </w:rPr>
        <w:t xml:space="preserve">tions of the Prophets </w:t>
      </w:r>
      <w:r>
        <w:rPr>
          <w:rFonts w:ascii="Calibri" w:eastAsia="Calibri" w:hAnsi="Calibri" w:cs="Times New Roman"/>
        </w:rPr>
        <w:t>do not fin</w:t>
      </w:r>
      <w:r w:rsidR="00AD2456">
        <w:rPr>
          <w:rFonts w:ascii="Calibri" w:eastAsia="Calibri" w:hAnsi="Calibri" w:cs="Times New Roman"/>
        </w:rPr>
        <w:t xml:space="preserve">d complete fulfillment but </w:t>
      </w:r>
      <w:r>
        <w:rPr>
          <w:rFonts w:ascii="Calibri" w:eastAsia="Calibri" w:hAnsi="Calibri" w:cs="Times New Roman"/>
        </w:rPr>
        <w:t>do find some fulfillment.  Like other prophecies, Isaiah 61 represents a re-expression of God’s ultimate purpose for Israel and for the world, for which the Judahites of the prophet’s day could expect to see some fulfillment (as they did), but of which they might not be surprised to find they did not see the complete fulfillment.</w:t>
      </w:r>
    </w:p>
    <w:p w:rsidR="000D3ECA" w:rsidRDefault="000D3ECA" w:rsidP="00CF24C3">
      <w:pPr>
        <w:rPr>
          <w:rFonts w:ascii="Calibri" w:eastAsia="Calibri" w:hAnsi="Calibri" w:cs="Times New Roman"/>
        </w:rPr>
      </w:pPr>
    </w:p>
    <w:p w:rsidR="00FE1A14" w:rsidRDefault="00AD6CDC" w:rsidP="00DA4F0A">
      <w:r>
        <w:t xml:space="preserve">Reading Isaiah 56 – 66 in light of Jesus thus illumines some aspects of the chapters, but </w:t>
      </w:r>
      <w:r w:rsidR="000D3ECA">
        <w:t>encourages us to ignore</w:t>
      </w:r>
      <w:r w:rsidR="0058047D">
        <w:t xml:space="preserve"> many aspects of</w:t>
      </w:r>
      <w:r w:rsidR="000D3ECA">
        <w:t xml:space="preserve"> its </w:t>
      </w:r>
      <w:r>
        <w:t xml:space="preserve">inherent </w:t>
      </w:r>
      <w:r w:rsidR="000D3ECA">
        <w:t>theological significa</w:t>
      </w:r>
      <w:r w:rsidR="0058047D">
        <w:t xml:space="preserve">nce.  </w:t>
      </w:r>
      <w:r>
        <w:t>A post-colonial reading brings out theological significance in the chapt</w:t>
      </w:r>
      <w:r w:rsidR="0058047D">
        <w:t>ers that we might otherwise not note</w:t>
      </w:r>
      <w:r>
        <w:t xml:space="preserve">.  It suggests insight on the relationship of colonial peoples to the imperial center and adds to the considerable material in the Old Testament that offers illumination on God’s attitude to superpowers, a question that </w:t>
      </w:r>
      <w:r w:rsidR="0058047D">
        <w:t xml:space="preserve">could have </w:t>
      </w:r>
      <w:r>
        <w:t>been of crucial importance to peoples such as Britain and the United States, but tha</w:t>
      </w:r>
      <w:r w:rsidR="0058047D">
        <w:t>t Christian</w:t>
      </w:r>
      <w:r>
        <w:t xml:space="preserve"> interpretatio</w:t>
      </w:r>
      <w:r w:rsidR="0058047D">
        <w:t xml:space="preserve">n </w:t>
      </w:r>
      <w:r>
        <w:t>has</w:t>
      </w:r>
      <w:r w:rsidR="0058047D">
        <w:t xml:space="preserve"> grievously</w:t>
      </w:r>
      <w:r>
        <w:t xml:space="preserve"> missed.</w:t>
      </w:r>
    </w:p>
    <w:sectPr w:rsidR="00FE1A14" w:rsidSect="00137EA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23F" w:rsidRDefault="0038623F" w:rsidP="00A8216A">
      <w:r>
        <w:separator/>
      </w:r>
    </w:p>
  </w:endnote>
  <w:endnote w:type="continuationSeparator" w:id="0">
    <w:p w:rsidR="0038623F" w:rsidRDefault="0038623F" w:rsidP="00A82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badi MT Condensed Light">
    <w:altName w:val="Courier"/>
    <w:charset w:val="00"/>
    <w:family w:val="auto"/>
    <w:pitch w:val="variable"/>
    <w:sig w:usb0="03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23F" w:rsidRDefault="0038623F" w:rsidP="00A8216A">
      <w:r>
        <w:separator/>
      </w:r>
    </w:p>
  </w:footnote>
  <w:footnote w:type="continuationSeparator" w:id="0">
    <w:p w:rsidR="0038623F" w:rsidRDefault="0038623F" w:rsidP="00A8216A">
      <w:r>
        <w:continuationSeparator/>
      </w:r>
    </w:p>
  </w:footnote>
  <w:footnote w:id="1">
    <w:p w:rsidR="005973CE" w:rsidRDefault="005973CE" w:rsidP="000B57BB">
      <w:pPr>
        <w:pStyle w:val="FootnoteText"/>
      </w:pPr>
      <w:r>
        <w:rPr>
          <w:rStyle w:val="FootnoteReference"/>
        </w:rPr>
        <w:footnoteRef/>
      </w:r>
      <w:r>
        <w:t xml:space="preserve"> </w:t>
      </w:r>
      <w:proofErr w:type="gramStart"/>
      <w:r>
        <w:t>An address to the conference of the Australian and New Zealand Association of Theological Schools in Brisbane, July 4, 2012.</w:t>
      </w:r>
      <w:proofErr w:type="gramEnd"/>
    </w:p>
  </w:footnote>
  <w:footnote w:id="2">
    <w:p w:rsidR="005973CE" w:rsidRDefault="005973CE">
      <w:pPr>
        <w:pStyle w:val="FootnoteText"/>
      </w:pPr>
      <w:r>
        <w:rPr>
          <w:rStyle w:val="FootnoteReference"/>
        </w:rPr>
        <w:footnoteRef/>
      </w:r>
      <w:r>
        <w:t xml:space="preserve"> </w:t>
      </w:r>
      <w:r w:rsidR="00D35768">
        <w:t xml:space="preserve">See </w:t>
      </w:r>
      <w:r w:rsidR="00D35768">
        <w:rPr>
          <w:i/>
        </w:rPr>
        <w:t>Palestinian Politics and Parties that Shaped the Old Testament</w:t>
      </w:r>
      <w:r w:rsidR="00D35768">
        <w:t xml:space="preserve"> (New York: Columbia UP, 1971; reprinted London: SCM, 1987); also Bernhard Lang, ‘Die </w:t>
      </w:r>
      <w:proofErr w:type="spellStart"/>
      <w:r w:rsidR="00D35768">
        <w:t>Jahwe-allein-Bewegung</w:t>
      </w:r>
      <w:proofErr w:type="spellEnd"/>
      <w:r w:rsidR="00D35768">
        <w:t xml:space="preserve">’, in Lang (ed.), </w:t>
      </w:r>
      <w:proofErr w:type="spellStart"/>
      <w:r w:rsidR="00D35768">
        <w:rPr>
          <w:i/>
        </w:rPr>
        <w:t>Der</w:t>
      </w:r>
      <w:proofErr w:type="spellEnd"/>
      <w:r w:rsidR="00D35768">
        <w:rPr>
          <w:i/>
        </w:rPr>
        <w:t xml:space="preserve"> </w:t>
      </w:r>
      <w:proofErr w:type="spellStart"/>
      <w:r w:rsidR="00D35768">
        <w:rPr>
          <w:i/>
        </w:rPr>
        <w:t>einzige</w:t>
      </w:r>
      <w:proofErr w:type="spellEnd"/>
      <w:r w:rsidR="00D35768">
        <w:rPr>
          <w:i/>
        </w:rPr>
        <w:t xml:space="preserve"> </w:t>
      </w:r>
      <w:proofErr w:type="spellStart"/>
      <w:r w:rsidR="00D35768">
        <w:rPr>
          <w:i/>
        </w:rPr>
        <w:t>Gott</w:t>
      </w:r>
      <w:proofErr w:type="spellEnd"/>
      <w:r w:rsidR="00D35768">
        <w:rPr>
          <w:i/>
        </w:rPr>
        <w:t xml:space="preserve"> </w:t>
      </w:r>
      <w:r w:rsidR="00D35768">
        <w:t xml:space="preserve">(Munich: </w:t>
      </w:r>
      <w:proofErr w:type="spellStart"/>
      <w:r w:rsidR="00D35768">
        <w:t>Kösel</w:t>
      </w:r>
      <w:proofErr w:type="spellEnd"/>
      <w:r w:rsidR="00D35768">
        <w:t xml:space="preserve">, 1981), p. 47-83; ET in Lang, </w:t>
      </w:r>
      <w:r w:rsidR="00D35768">
        <w:rPr>
          <w:i/>
        </w:rPr>
        <w:t>Monotheism and the Prophetic Minority</w:t>
      </w:r>
      <w:r w:rsidR="00D35768">
        <w:t xml:space="preserve"> (Sheffield: Almond, 1983), pp. 13-56.</w:t>
      </w:r>
    </w:p>
  </w:footnote>
  <w:footnote w:id="3">
    <w:p w:rsidR="005973CE" w:rsidRDefault="005973CE">
      <w:pPr>
        <w:pStyle w:val="FootnoteText"/>
      </w:pPr>
      <w:r>
        <w:rPr>
          <w:rStyle w:val="FootnoteReference"/>
        </w:rPr>
        <w:footnoteRef/>
      </w:r>
      <w:r>
        <w:t xml:space="preserve"> </w:t>
      </w:r>
      <w:r w:rsidR="00D35768">
        <w:t xml:space="preserve">See </w:t>
      </w:r>
      <w:r w:rsidR="00D35768" w:rsidRPr="00CB113D">
        <w:rPr>
          <w:i/>
          <w:iCs/>
        </w:rPr>
        <w:t>The Dawn of Apocalyptic</w:t>
      </w:r>
      <w:r w:rsidR="00D35768" w:rsidRPr="009D49D5">
        <w:t xml:space="preserve"> </w:t>
      </w:r>
      <w:r w:rsidR="00D35768">
        <w:t>(</w:t>
      </w:r>
      <w:r w:rsidR="00D35768" w:rsidRPr="009D49D5">
        <w:t>Philadelphia</w:t>
      </w:r>
      <w:r w:rsidR="00D35768">
        <w:t>: Fortress, 1975).</w:t>
      </w:r>
    </w:p>
  </w:footnote>
  <w:footnote w:id="4">
    <w:p w:rsidR="005973CE" w:rsidRDefault="005973CE">
      <w:pPr>
        <w:pStyle w:val="FootnoteText"/>
      </w:pPr>
      <w:r>
        <w:rPr>
          <w:rStyle w:val="FootnoteReference"/>
        </w:rPr>
        <w:footnoteRef/>
      </w:r>
      <w:r>
        <w:t xml:space="preserve"> </w:t>
      </w:r>
      <w:r w:rsidR="00D35768">
        <w:t xml:space="preserve">“Jesaja 56,1 </w:t>
      </w:r>
      <w:proofErr w:type="spellStart"/>
      <w:r w:rsidR="00D35768">
        <w:t>als</w:t>
      </w:r>
      <w:proofErr w:type="spellEnd"/>
      <w:r w:rsidR="00D35768">
        <w:t xml:space="preserve"> </w:t>
      </w:r>
      <w:proofErr w:type="spellStart"/>
      <w:r w:rsidR="00D35768">
        <w:t>Schlüssel</w:t>
      </w:r>
      <w:proofErr w:type="spellEnd"/>
      <w:r w:rsidR="00D35768">
        <w:t xml:space="preserve"> </w:t>
      </w:r>
      <w:proofErr w:type="spellStart"/>
      <w:r w:rsidR="00D35768">
        <w:t>für</w:t>
      </w:r>
      <w:proofErr w:type="spellEnd"/>
      <w:r w:rsidR="00D35768">
        <w:t xml:space="preserve"> die </w:t>
      </w:r>
      <w:proofErr w:type="spellStart"/>
      <w:r w:rsidR="00D35768">
        <w:t>Komposition</w:t>
      </w:r>
      <w:proofErr w:type="spellEnd"/>
      <w:r w:rsidR="00D35768">
        <w:t xml:space="preserve"> des </w:t>
      </w:r>
      <w:proofErr w:type="spellStart"/>
      <w:r w:rsidR="00D35768">
        <w:t>Buches</w:t>
      </w:r>
      <w:proofErr w:type="spellEnd"/>
      <w:r w:rsidR="00D35768">
        <w:t xml:space="preserve"> Jesaja,” in Rendtorff, </w:t>
      </w:r>
      <w:proofErr w:type="spellStart"/>
      <w:r w:rsidR="00D35768">
        <w:rPr>
          <w:i/>
          <w:iCs/>
        </w:rPr>
        <w:t>Kanon</w:t>
      </w:r>
      <w:proofErr w:type="spellEnd"/>
      <w:r w:rsidR="00D35768">
        <w:rPr>
          <w:i/>
          <w:iCs/>
        </w:rPr>
        <w:t xml:space="preserve"> und </w:t>
      </w:r>
      <w:proofErr w:type="spellStart"/>
      <w:r w:rsidR="00D35768">
        <w:rPr>
          <w:i/>
          <w:iCs/>
        </w:rPr>
        <w:t>Theologie</w:t>
      </w:r>
      <w:proofErr w:type="spellEnd"/>
      <w:r w:rsidR="00D35768">
        <w:t xml:space="preserve"> (</w:t>
      </w:r>
      <w:proofErr w:type="spellStart"/>
      <w:r w:rsidR="00D35768">
        <w:t>Neukirchen</w:t>
      </w:r>
      <w:proofErr w:type="spellEnd"/>
      <w:r w:rsidR="00D35768">
        <w:t xml:space="preserve">: </w:t>
      </w:r>
      <w:proofErr w:type="spellStart"/>
      <w:r w:rsidR="00D35768">
        <w:t>Neukirchener</w:t>
      </w:r>
      <w:proofErr w:type="spellEnd"/>
      <w:r w:rsidR="00D35768">
        <w:t xml:space="preserve">, 1991), pp. 172-79; ET </w:t>
      </w:r>
      <w:r w:rsidR="00D35768">
        <w:rPr>
          <w:i/>
          <w:iCs/>
        </w:rPr>
        <w:t xml:space="preserve">Canon and Theology </w:t>
      </w:r>
      <w:r w:rsidR="00D35768">
        <w:t>(Minneapolis: Fortress, 1993), pp. 181-89.  See also Bernard Gosse, “</w:t>
      </w:r>
      <w:proofErr w:type="spellStart"/>
      <w:r w:rsidR="00D35768">
        <w:t>Isaïe</w:t>
      </w:r>
      <w:proofErr w:type="spellEnd"/>
      <w:r w:rsidR="00D35768">
        <w:t xml:space="preserve"> 56 – 59,” </w:t>
      </w:r>
      <w:proofErr w:type="spellStart"/>
      <w:r w:rsidR="00D35768">
        <w:rPr>
          <w:i/>
        </w:rPr>
        <w:t>Henoch</w:t>
      </w:r>
      <w:proofErr w:type="spellEnd"/>
      <w:r w:rsidR="00D35768">
        <w:t xml:space="preserve"> 19 (1997), pp. 267-81 (pp. 276-78); John S. </w:t>
      </w:r>
      <w:proofErr w:type="spellStart"/>
      <w:r w:rsidR="00D35768">
        <w:t>Oswalt</w:t>
      </w:r>
      <w:proofErr w:type="spellEnd"/>
      <w:r w:rsidR="00D35768">
        <w:t xml:space="preserve">, “Righteousness in Isaiah,” in Craig C. Broyles and Craig A. Evans (eds.), </w:t>
      </w:r>
      <w:r w:rsidR="00D35768">
        <w:rPr>
          <w:i/>
          <w:iCs/>
        </w:rPr>
        <w:t>Writing and Reading the Scroll of Isaiah</w:t>
      </w:r>
      <w:r w:rsidR="00D35768">
        <w:t xml:space="preserve"> (Leiden/New York: Brill, 1997) 1.177-91; Gregory J. </w:t>
      </w:r>
      <w:proofErr w:type="spellStart"/>
      <w:r w:rsidR="00D35768">
        <w:t>Polan</w:t>
      </w:r>
      <w:proofErr w:type="spellEnd"/>
      <w:r w:rsidR="00D35768">
        <w:t>, “Still More Signs of U</w:t>
      </w:r>
      <w:r w:rsidR="00D35768" w:rsidRPr="009D49D5">
        <w:t>ni</w:t>
      </w:r>
      <w:r w:rsidR="00D35768">
        <w:t xml:space="preserve">ty in the Book of Isaiah: The Significance of Third Isaiah,” in </w:t>
      </w:r>
      <w:r w:rsidR="00D35768" w:rsidRPr="001D4C59">
        <w:rPr>
          <w:i/>
        </w:rPr>
        <w:t>Society of Biblical Literature 1997 Seminar Papers</w:t>
      </w:r>
      <w:r w:rsidR="00D35768">
        <w:t xml:space="preserve"> (Atlanta: Scholars, 1997), pp. 224-33.</w:t>
      </w:r>
    </w:p>
  </w:footnote>
  <w:footnote w:id="5">
    <w:p w:rsidR="005973CE" w:rsidRDefault="005973CE">
      <w:pPr>
        <w:pStyle w:val="FootnoteText"/>
      </w:pPr>
      <w:r>
        <w:rPr>
          <w:rStyle w:val="FootnoteReference"/>
        </w:rPr>
        <w:footnoteRef/>
      </w:r>
      <w:r>
        <w:t xml:space="preserve"> </w:t>
      </w:r>
    </w:p>
  </w:footnote>
  <w:footnote w:id="6">
    <w:p w:rsidR="005973CE" w:rsidRDefault="005973CE">
      <w:pPr>
        <w:pStyle w:val="FootnoteText"/>
      </w:pPr>
      <w:r>
        <w:rPr>
          <w:rStyle w:val="FootnoteReference"/>
        </w:rPr>
        <w:footnoteRef/>
      </w:r>
      <w:r>
        <w:t xml:space="preserve"> See Wilhelm J. </w:t>
      </w:r>
      <w:proofErr w:type="spellStart"/>
      <w:r>
        <w:t>Wessels</w:t>
      </w:r>
      <w:proofErr w:type="spellEnd"/>
      <w:r>
        <w:t xml:space="preserve">, “Nahum,” </w:t>
      </w:r>
      <w:r>
        <w:rPr>
          <w:i/>
          <w:iCs/>
        </w:rPr>
        <w:t>Old Testament Essays</w:t>
      </w:r>
      <w:r>
        <w:t xml:space="preserve"> 11 (1998), pp. 615-28.</w:t>
      </w:r>
    </w:p>
  </w:footnote>
  <w:footnote w:id="7">
    <w:p w:rsidR="005973CE" w:rsidRDefault="005973CE">
      <w:pPr>
        <w:pStyle w:val="FootnoteText"/>
      </w:pPr>
      <w:r>
        <w:rPr>
          <w:rStyle w:val="FootnoteReference"/>
        </w:rPr>
        <w:footnoteRef/>
      </w:r>
      <w:r>
        <w:t xml:space="preserve"> </w:t>
      </w:r>
    </w:p>
  </w:footnote>
  <w:footnote w:id="8">
    <w:p w:rsidR="005973CE" w:rsidRPr="00106690" w:rsidRDefault="005973CE">
      <w:pPr>
        <w:pStyle w:val="FootnoteText"/>
      </w:pPr>
      <w:r>
        <w:rPr>
          <w:rStyle w:val="FootnoteReference"/>
        </w:rPr>
        <w:footnoteRef/>
      </w:r>
      <w:r>
        <w:t xml:space="preserve"> </w:t>
      </w:r>
      <w:r w:rsidR="00106690">
        <w:t xml:space="preserve">As Hanson implies: see e.g., </w:t>
      </w:r>
      <w:r w:rsidR="00106690">
        <w:rPr>
          <w:i/>
        </w:rPr>
        <w:t>The Dawn of Apocalyptic</w:t>
      </w:r>
      <w:r w:rsidR="00106690">
        <w:t>, pp.*</w:t>
      </w:r>
    </w:p>
  </w:footnote>
  <w:footnote w:id="9">
    <w:p w:rsidR="005973CE" w:rsidRDefault="005973CE">
      <w:pPr>
        <w:pStyle w:val="FootnoteText"/>
      </w:pPr>
      <w:r>
        <w:rPr>
          <w:rStyle w:val="FootnoteReference"/>
        </w:rPr>
        <w:footnoteRef/>
      </w:r>
      <w:r>
        <w:t xml:space="preserve"> </w:t>
      </w:r>
    </w:p>
  </w:footnote>
  <w:footnote w:id="10">
    <w:p w:rsidR="005973CE" w:rsidRDefault="005973CE">
      <w:pPr>
        <w:pStyle w:val="FootnoteText"/>
      </w:pPr>
      <w:r>
        <w:rPr>
          <w:rStyle w:val="FootnoteReference"/>
        </w:rPr>
        <w:footnoteRef/>
      </w:r>
      <w:r>
        <w:t xml:space="preserve"> </w:t>
      </w:r>
      <w:r w:rsidR="00106690" w:rsidRPr="00D427F3">
        <w:t xml:space="preserve">See e.g., Charles E. Carter, </w:t>
      </w:r>
      <w:r w:rsidR="00106690" w:rsidRPr="00D52C38">
        <w:rPr>
          <w:i/>
        </w:rPr>
        <w:t xml:space="preserve">The Emergence of </w:t>
      </w:r>
      <w:proofErr w:type="spellStart"/>
      <w:r w:rsidR="00106690" w:rsidRPr="00D52C38">
        <w:rPr>
          <w:i/>
        </w:rPr>
        <w:t>Yehud</w:t>
      </w:r>
      <w:proofErr w:type="spellEnd"/>
      <w:r w:rsidR="00106690" w:rsidRPr="00D52C38">
        <w:rPr>
          <w:i/>
        </w:rPr>
        <w:t xml:space="preserve"> in the Persian Period</w:t>
      </w:r>
      <w:r w:rsidR="00106690" w:rsidRPr="00D427F3">
        <w:t xml:space="preserve"> (</w:t>
      </w:r>
      <w:r w:rsidR="00106690">
        <w:t>Sheffield: Sheffield Academic Press, 1999), pp. 142, 268-69.</w:t>
      </w:r>
    </w:p>
  </w:footnote>
  <w:footnote w:id="11">
    <w:p w:rsidR="005973CE" w:rsidRDefault="005973CE">
      <w:pPr>
        <w:pStyle w:val="FootnoteText"/>
      </w:pPr>
      <w:r>
        <w:rPr>
          <w:rStyle w:val="FootnoteReference"/>
        </w:rPr>
        <w:footnoteRef/>
      </w:r>
      <w:r>
        <w:t xml:space="preserve"> </w:t>
      </w:r>
      <w:r w:rsidR="00106690">
        <w:t xml:space="preserve">See also e.g., Diana V. Edelman and Ehud Ben </w:t>
      </w:r>
      <w:proofErr w:type="spellStart"/>
      <w:r w:rsidR="00106690">
        <w:t>Zvi</w:t>
      </w:r>
      <w:proofErr w:type="spellEnd"/>
      <w:r w:rsidR="00106690">
        <w:t xml:space="preserve">,* </w:t>
      </w:r>
      <w:r w:rsidR="00106690">
        <w:rPr>
          <w:i/>
        </w:rPr>
        <w:t xml:space="preserve">The Production of Prophecy: Constructing Prophecy and Prophets in </w:t>
      </w:r>
      <w:proofErr w:type="spellStart"/>
      <w:r w:rsidR="00106690">
        <w:rPr>
          <w:i/>
        </w:rPr>
        <w:t>Yehud</w:t>
      </w:r>
      <w:proofErr w:type="spellEnd"/>
      <w:r w:rsidR="00106690">
        <w:t xml:space="preserve"> (London/Oakville, CN: Equinox, 2009); Jeremiah J. </w:t>
      </w:r>
      <w:proofErr w:type="spellStart"/>
      <w:r w:rsidR="00106690">
        <w:t>Cataldo</w:t>
      </w:r>
      <w:proofErr w:type="spellEnd"/>
      <w:r w:rsidR="00106690">
        <w:t xml:space="preserve">, </w:t>
      </w:r>
      <w:r w:rsidR="00106690">
        <w:rPr>
          <w:i/>
        </w:rPr>
        <w:t xml:space="preserve">A Theocratic </w:t>
      </w:r>
      <w:proofErr w:type="spellStart"/>
      <w:r w:rsidR="00106690">
        <w:rPr>
          <w:i/>
        </w:rPr>
        <w:t>Yehud</w:t>
      </w:r>
      <w:proofErr w:type="spellEnd"/>
      <w:r w:rsidR="00106690">
        <w:rPr>
          <w:i/>
        </w:rPr>
        <w:t>?</w:t>
      </w:r>
      <w:r w:rsidR="00106690">
        <w:t xml:space="preserve"> (New York/London: Clark, 2009).</w:t>
      </w:r>
    </w:p>
  </w:footnote>
  <w:footnote w:id="12">
    <w:p w:rsidR="005973CE" w:rsidRDefault="005973CE">
      <w:pPr>
        <w:pStyle w:val="FootnoteText"/>
      </w:pPr>
      <w:r>
        <w:rPr>
          <w:rStyle w:val="FootnoteReference"/>
        </w:rPr>
        <w:footnoteRef/>
      </w:r>
      <w:r>
        <w:t xml:space="preserve"> </w:t>
      </w:r>
      <w:r w:rsidR="00106690">
        <w:t xml:space="preserve">See Brent Strawn, ‘“A World under Control,”’ in Jon L. Berquist (ed.), </w:t>
      </w:r>
      <w:r w:rsidR="00106690">
        <w:rPr>
          <w:i/>
          <w:iCs/>
        </w:rPr>
        <w:t xml:space="preserve">Approaching </w:t>
      </w:r>
      <w:proofErr w:type="spellStart"/>
      <w:r w:rsidR="00106690">
        <w:rPr>
          <w:i/>
          <w:iCs/>
        </w:rPr>
        <w:t>Yehud</w:t>
      </w:r>
      <w:proofErr w:type="spellEnd"/>
      <w:r w:rsidR="00106690">
        <w:t xml:space="preserve"> (Atlanta: SBL, 2007), pp. 85-116</w:t>
      </w:r>
    </w:p>
  </w:footnote>
  <w:footnote w:id="13">
    <w:p w:rsidR="00DA4F0A" w:rsidRDefault="00DA4F0A">
      <w:pPr>
        <w:pStyle w:val="FootnoteText"/>
      </w:pPr>
      <w:r>
        <w:rPr>
          <w:rStyle w:val="FootnoteReference"/>
        </w:rPr>
        <w:footnoteRef/>
      </w:r>
      <w:r>
        <w:t xml:space="preserve"> And Australasia, I hypothesized in the oral version of this paper.</w:t>
      </w:r>
    </w:p>
  </w:footnote>
  <w:footnote w:id="14">
    <w:p w:rsidR="00DA4F0A" w:rsidRDefault="00DA4F0A">
      <w:pPr>
        <w:pStyle w:val="FootnoteText"/>
      </w:pPr>
      <w:r>
        <w:rPr>
          <w:rStyle w:val="FootnoteReference"/>
        </w:rPr>
        <w:footnoteRef/>
      </w:r>
      <w:r>
        <w:t xml:space="preserve"> </w:t>
      </w:r>
      <w:proofErr w:type="spellStart"/>
      <w:proofErr w:type="gramStart"/>
      <w:r w:rsidR="00106690" w:rsidRPr="00D23D7C">
        <w:rPr>
          <w:rFonts w:eastAsia="MS Mincho"/>
          <w:i/>
        </w:rPr>
        <w:t>Εξηγησις</w:t>
      </w:r>
      <w:proofErr w:type="spellEnd"/>
      <w:r w:rsidR="00106690" w:rsidRPr="00D23D7C">
        <w:rPr>
          <w:rFonts w:eastAsia="MS Mincho"/>
          <w:i/>
        </w:rPr>
        <w:t xml:space="preserve"> </w:t>
      </w:r>
      <w:proofErr w:type="spellStart"/>
      <w:r w:rsidR="00106690" w:rsidRPr="00D23D7C">
        <w:rPr>
          <w:rFonts w:eastAsia="MS Mincho"/>
          <w:i/>
        </w:rPr>
        <w:t>υπομνηματικη</w:t>
      </w:r>
      <w:proofErr w:type="spellEnd"/>
      <w:r w:rsidR="00106690" w:rsidRPr="00D23D7C">
        <w:rPr>
          <w:rFonts w:eastAsia="MS Mincho"/>
          <w:i/>
        </w:rPr>
        <w:t xml:space="preserve"> </w:t>
      </w:r>
      <w:proofErr w:type="spellStart"/>
      <w:r w:rsidR="00106690" w:rsidRPr="00D23D7C">
        <w:rPr>
          <w:rFonts w:eastAsia="MS Mincho"/>
          <w:i/>
        </w:rPr>
        <w:t>εις</w:t>
      </w:r>
      <w:proofErr w:type="spellEnd"/>
      <w:r w:rsidR="00106690" w:rsidRPr="00D23D7C">
        <w:rPr>
          <w:rFonts w:eastAsia="MS Mincho"/>
          <w:i/>
        </w:rPr>
        <w:t xml:space="preserve"> </w:t>
      </w:r>
      <w:proofErr w:type="spellStart"/>
      <w:r w:rsidR="00106690" w:rsidRPr="00D23D7C">
        <w:rPr>
          <w:rFonts w:eastAsia="MS Mincho"/>
          <w:i/>
        </w:rPr>
        <w:t>τον</w:t>
      </w:r>
      <w:proofErr w:type="spellEnd"/>
      <w:r w:rsidR="00106690" w:rsidRPr="00D23D7C">
        <w:rPr>
          <w:rFonts w:eastAsia="MS Mincho"/>
          <w:i/>
        </w:rPr>
        <w:t xml:space="preserve"> </w:t>
      </w:r>
      <w:proofErr w:type="spellStart"/>
      <w:r w:rsidR="00106690" w:rsidRPr="00D23D7C">
        <w:rPr>
          <w:rFonts w:eastAsia="MS Mincho"/>
          <w:i/>
        </w:rPr>
        <w:t>προφητην</w:t>
      </w:r>
      <w:proofErr w:type="spellEnd"/>
      <w:r w:rsidR="00106690" w:rsidRPr="00D23D7C">
        <w:rPr>
          <w:rFonts w:eastAsia="MS Mincho"/>
          <w:i/>
        </w:rPr>
        <w:t xml:space="preserve"> </w:t>
      </w:r>
      <w:proofErr w:type="spellStart"/>
      <w:r w:rsidR="00106690" w:rsidRPr="00D23D7C">
        <w:rPr>
          <w:rFonts w:eastAsia="MS Mincho"/>
          <w:i/>
        </w:rPr>
        <w:t>Ησαιαν</w:t>
      </w:r>
      <w:proofErr w:type="spellEnd"/>
      <w:r w:rsidR="00106690">
        <w:rPr>
          <w:rFonts w:eastAsia="MS Mincho"/>
        </w:rPr>
        <w:t xml:space="preserve"> </w:t>
      </w:r>
      <w:r w:rsidR="000F6CD3">
        <w:rPr>
          <w:rFonts w:eastAsia="MS Mincho"/>
        </w:rPr>
        <w:t xml:space="preserve">column </w:t>
      </w:r>
      <w:r w:rsidR="00106690">
        <w:rPr>
          <w:rFonts w:eastAsia="MS Mincho"/>
        </w:rPr>
        <w:t>1321, as translate</w:t>
      </w:r>
      <w:r w:rsidR="000F6CD3">
        <w:rPr>
          <w:rFonts w:eastAsia="MS Mincho"/>
        </w:rPr>
        <w:t xml:space="preserve">d by </w:t>
      </w:r>
      <w:proofErr w:type="spellStart"/>
      <w:r w:rsidR="000F6CD3">
        <w:rPr>
          <w:rFonts w:eastAsia="MS Mincho"/>
        </w:rPr>
        <w:t>Hollerich</w:t>
      </w:r>
      <w:proofErr w:type="spellEnd"/>
      <w:r w:rsidR="000F6CD3">
        <w:rPr>
          <w:rFonts w:eastAsia="MS Mincho"/>
        </w:rPr>
        <w:t>,</w:t>
      </w:r>
      <w:r w:rsidR="00106690">
        <w:rPr>
          <w:rFonts w:eastAsia="MS Mincho"/>
        </w:rPr>
        <w:t xml:space="preserve"> </w:t>
      </w:r>
      <w:r w:rsidR="00106690">
        <w:rPr>
          <w:rFonts w:eastAsia="MS Mincho"/>
          <w:i/>
        </w:rPr>
        <w:t xml:space="preserve">Isaiah </w:t>
      </w:r>
      <w:r w:rsidR="00106690" w:rsidRPr="00753FEB">
        <w:rPr>
          <w:i/>
        </w:rPr>
        <w:t>Interpreted by</w:t>
      </w:r>
      <w:r w:rsidR="00106690">
        <w:rPr>
          <w:i/>
        </w:rPr>
        <w:t xml:space="preserve"> Early Christian and Medieval Commenta</w:t>
      </w:r>
      <w:r w:rsidR="000F6CD3">
        <w:rPr>
          <w:i/>
        </w:rPr>
        <w:t>to</w:t>
      </w:r>
      <w:r w:rsidR="00106690">
        <w:rPr>
          <w:i/>
        </w:rPr>
        <w:t>rs</w:t>
      </w:r>
      <w:r w:rsidR="000F6CD3">
        <w:rPr>
          <w:i/>
        </w:rPr>
        <w:t xml:space="preserve"> </w:t>
      </w:r>
      <w:r w:rsidR="000F6CD3">
        <w:t>(*), p. 46.</w:t>
      </w:r>
      <w:proofErr w:type="gramEnd"/>
    </w:p>
  </w:footnote>
  <w:footnote w:id="15">
    <w:p w:rsidR="0058047D" w:rsidRDefault="0058047D">
      <w:pPr>
        <w:pStyle w:val="FootnoteText"/>
      </w:pPr>
      <w:r>
        <w:rPr>
          <w:rStyle w:val="FootnoteReference"/>
        </w:rPr>
        <w:footnoteRef/>
      </w:r>
      <w:r>
        <w:t xml:space="preserve"> </w:t>
      </w:r>
    </w:p>
  </w:footnote>
  <w:footnote w:id="16">
    <w:p w:rsidR="0058047D" w:rsidRDefault="0058047D">
      <w:pPr>
        <w:pStyle w:val="FootnoteText"/>
      </w:pPr>
      <w:r>
        <w:rPr>
          <w:rStyle w:val="FootnoteReference"/>
        </w:rPr>
        <w:footnoteRef/>
      </w:r>
      <w:r>
        <w:t xml:space="preserve"> </w:t>
      </w:r>
      <w:proofErr w:type="spellStart"/>
      <w:r w:rsidR="000F6CD3">
        <w:rPr>
          <w:i/>
        </w:rPr>
        <w:t>Der</w:t>
      </w:r>
      <w:proofErr w:type="spellEnd"/>
      <w:r w:rsidR="000F6CD3">
        <w:rPr>
          <w:i/>
        </w:rPr>
        <w:t xml:space="preserve"> </w:t>
      </w:r>
      <w:proofErr w:type="spellStart"/>
      <w:r w:rsidR="000F6CD3">
        <w:rPr>
          <w:i/>
        </w:rPr>
        <w:t>Geist</w:t>
      </w:r>
      <w:proofErr w:type="spellEnd"/>
      <w:r w:rsidR="000F6CD3">
        <w:rPr>
          <w:i/>
        </w:rPr>
        <w:t xml:space="preserve"> des </w:t>
      </w:r>
      <w:proofErr w:type="spellStart"/>
      <w:r w:rsidR="000F6CD3">
        <w:rPr>
          <w:i/>
        </w:rPr>
        <w:t>Lebens</w:t>
      </w:r>
      <w:proofErr w:type="spellEnd"/>
      <w:r w:rsidR="000F6CD3">
        <w:rPr>
          <w:i/>
        </w:rPr>
        <w:t xml:space="preserve"> </w:t>
      </w:r>
      <w:r w:rsidR="000F6CD3">
        <w:t xml:space="preserve">(Munich: Kaiser, 1991), pp. 66-67; ET </w:t>
      </w:r>
      <w:r w:rsidR="000F6CD3">
        <w:rPr>
          <w:i/>
        </w:rPr>
        <w:t xml:space="preserve">The Spirit of Life </w:t>
      </w:r>
      <w:r w:rsidR="000F6CD3">
        <w:t>(Minneapolis: Fortress, 1992), p. 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858506"/>
      <w:docPartObj>
        <w:docPartGallery w:val="Page Numbers (Top of Page)"/>
        <w:docPartUnique/>
      </w:docPartObj>
    </w:sdtPr>
    <w:sdtContent>
      <w:p w:rsidR="005973CE" w:rsidRDefault="005973CE">
        <w:pPr>
          <w:pStyle w:val="Header"/>
          <w:jc w:val="right"/>
        </w:pPr>
        <w:fldSimple w:instr=" PAGE   \* MERGEFORMAT ">
          <w:r w:rsidR="000F6CD3">
            <w:rPr>
              <w:noProof/>
            </w:rPr>
            <w:t>9</w:t>
          </w:r>
        </w:fldSimple>
      </w:p>
    </w:sdtContent>
  </w:sdt>
  <w:p w:rsidR="005973CE" w:rsidRDefault="005973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8003EC"/>
    <w:lvl w:ilvl="0">
      <w:start w:val="1"/>
      <w:numFmt w:val="decimal"/>
      <w:lvlText w:val="%1."/>
      <w:lvlJc w:val="left"/>
      <w:pPr>
        <w:tabs>
          <w:tab w:val="num" w:pos="1800"/>
        </w:tabs>
        <w:ind w:left="1800" w:hanging="360"/>
      </w:pPr>
    </w:lvl>
  </w:abstractNum>
  <w:abstractNum w:abstractNumId="1">
    <w:nsid w:val="FFFFFF7D"/>
    <w:multiLevelType w:val="singleLevel"/>
    <w:tmpl w:val="4C6AE874"/>
    <w:lvl w:ilvl="0">
      <w:start w:val="1"/>
      <w:numFmt w:val="decimal"/>
      <w:lvlText w:val="%1."/>
      <w:lvlJc w:val="left"/>
      <w:pPr>
        <w:tabs>
          <w:tab w:val="num" w:pos="1440"/>
        </w:tabs>
        <w:ind w:left="1440" w:hanging="360"/>
      </w:pPr>
    </w:lvl>
  </w:abstractNum>
  <w:abstractNum w:abstractNumId="2">
    <w:nsid w:val="FFFFFF7E"/>
    <w:multiLevelType w:val="singleLevel"/>
    <w:tmpl w:val="8244F868"/>
    <w:lvl w:ilvl="0">
      <w:start w:val="1"/>
      <w:numFmt w:val="decimal"/>
      <w:lvlText w:val="%1."/>
      <w:lvlJc w:val="left"/>
      <w:pPr>
        <w:tabs>
          <w:tab w:val="num" w:pos="1080"/>
        </w:tabs>
        <w:ind w:left="1080" w:hanging="360"/>
      </w:pPr>
    </w:lvl>
  </w:abstractNum>
  <w:abstractNum w:abstractNumId="3">
    <w:nsid w:val="FFFFFF7F"/>
    <w:multiLevelType w:val="singleLevel"/>
    <w:tmpl w:val="60FE45B4"/>
    <w:lvl w:ilvl="0">
      <w:start w:val="1"/>
      <w:numFmt w:val="decimal"/>
      <w:lvlText w:val="%1."/>
      <w:lvlJc w:val="left"/>
      <w:pPr>
        <w:tabs>
          <w:tab w:val="num" w:pos="720"/>
        </w:tabs>
        <w:ind w:left="720" w:hanging="360"/>
      </w:pPr>
    </w:lvl>
  </w:abstractNum>
  <w:abstractNum w:abstractNumId="4">
    <w:nsid w:val="FFFFFF80"/>
    <w:multiLevelType w:val="singleLevel"/>
    <w:tmpl w:val="8D520F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503A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683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4E13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18631E"/>
    <w:lvl w:ilvl="0">
      <w:start w:val="1"/>
      <w:numFmt w:val="decimal"/>
      <w:lvlText w:val="%1."/>
      <w:lvlJc w:val="left"/>
      <w:pPr>
        <w:tabs>
          <w:tab w:val="num" w:pos="360"/>
        </w:tabs>
        <w:ind w:left="360" w:hanging="360"/>
      </w:pPr>
    </w:lvl>
  </w:abstractNum>
  <w:abstractNum w:abstractNumId="9">
    <w:nsid w:val="FFFFFF89"/>
    <w:multiLevelType w:val="singleLevel"/>
    <w:tmpl w:val="97643CC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0"/>
    <w:lvl w:ilvl="0">
      <w:start w:val="1"/>
      <w:numFmt w:val="bullet"/>
      <w:pStyle w:val="bulletlist"/>
      <w:lvlText w:val=""/>
      <w:lvlJc w:val="left"/>
      <w:pPr>
        <w:tabs>
          <w:tab w:val="num" w:pos="360"/>
        </w:tabs>
        <w:ind w:left="360" w:hanging="360"/>
      </w:pPr>
      <w:rPr>
        <w:rFonts w:ascii="Symbol" w:hAnsi="Symbol" w:hint="default"/>
      </w:rPr>
    </w:lvl>
  </w:abstractNum>
  <w:abstractNum w:abstractNumId="11">
    <w:nsid w:val="00000008"/>
    <w:multiLevelType w:val="singleLevel"/>
    <w:tmpl w:val="F2149D8E"/>
    <w:lvl w:ilvl="0">
      <w:start w:val="1"/>
      <w:numFmt w:val="decimal"/>
      <w:pStyle w:val="numberedlist"/>
      <w:lvlText w:val="%1."/>
      <w:lvlJc w:val="left"/>
      <w:pPr>
        <w:tabs>
          <w:tab w:val="num" w:pos="360"/>
        </w:tabs>
        <w:ind w:left="360" w:hanging="360"/>
      </w:pPr>
      <w:rPr>
        <w:rFonts w:hint="default"/>
      </w:rPr>
    </w:lvl>
  </w:abstractNum>
  <w:abstractNum w:abstractNumId="12">
    <w:nsid w:val="0516534B"/>
    <w:multiLevelType w:val="hybridMultilevel"/>
    <w:tmpl w:val="2990F9AA"/>
    <w:lvl w:ilvl="0" w:tplc="EE0CE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74B07D5"/>
    <w:multiLevelType w:val="hybridMultilevel"/>
    <w:tmpl w:val="E22C5D94"/>
    <w:lvl w:ilvl="0" w:tplc="425AD4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142F9"/>
    <w:multiLevelType w:val="hybridMultilevel"/>
    <w:tmpl w:val="CCF0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9D5B67"/>
    <w:multiLevelType w:val="hybridMultilevel"/>
    <w:tmpl w:val="E1786CA8"/>
    <w:lvl w:ilvl="0" w:tplc="ABE29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3371E8"/>
    <w:multiLevelType w:val="hybridMultilevel"/>
    <w:tmpl w:val="CCF21A26"/>
    <w:lvl w:ilvl="0" w:tplc="C0064628">
      <w:start w:val="1"/>
      <w:numFmt w:val="upperLetter"/>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061C10"/>
    <w:multiLevelType w:val="hybridMultilevel"/>
    <w:tmpl w:val="E22C5D94"/>
    <w:lvl w:ilvl="0" w:tplc="425AD4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8C63C1"/>
    <w:multiLevelType w:val="hybridMultilevel"/>
    <w:tmpl w:val="184C9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0119A3"/>
    <w:multiLevelType w:val="hybridMultilevel"/>
    <w:tmpl w:val="748A6054"/>
    <w:lvl w:ilvl="0" w:tplc="A4F86D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003E3F"/>
    <w:multiLevelType w:val="hybridMultilevel"/>
    <w:tmpl w:val="36DE4290"/>
    <w:lvl w:ilvl="0" w:tplc="F89E54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7B72211"/>
    <w:multiLevelType w:val="hybridMultilevel"/>
    <w:tmpl w:val="036EE9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DE252F"/>
    <w:multiLevelType w:val="hybridMultilevel"/>
    <w:tmpl w:val="94F2962A"/>
    <w:lvl w:ilvl="0" w:tplc="1D5CA7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E93DE0"/>
    <w:multiLevelType w:val="hybridMultilevel"/>
    <w:tmpl w:val="86B2F254"/>
    <w:lvl w:ilvl="0" w:tplc="5F14E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240FF3"/>
    <w:multiLevelType w:val="multilevel"/>
    <w:tmpl w:val="39B4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B349D6"/>
    <w:multiLevelType w:val="hybridMultilevel"/>
    <w:tmpl w:val="192E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7800E7"/>
    <w:multiLevelType w:val="hybridMultilevel"/>
    <w:tmpl w:val="9F0C3C34"/>
    <w:lvl w:ilvl="0" w:tplc="0D142950">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CAA6D02"/>
    <w:multiLevelType w:val="hybridMultilevel"/>
    <w:tmpl w:val="E22C5D94"/>
    <w:lvl w:ilvl="0" w:tplc="425AD4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23FD9"/>
    <w:multiLevelType w:val="hybridMultilevel"/>
    <w:tmpl w:val="683E9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4D05E8"/>
    <w:multiLevelType w:val="hybridMultilevel"/>
    <w:tmpl w:val="184C9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924908"/>
    <w:multiLevelType w:val="hybridMultilevel"/>
    <w:tmpl w:val="9918A75C"/>
    <w:lvl w:ilvl="0" w:tplc="283AA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017894"/>
    <w:multiLevelType w:val="hybridMultilevel"/>
    <w:tmpl w:val="10A85FE0"/>
    <w:lvl w:ilvl="0" w:tplc="853E3AAA">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C6115B"/>
    <w:multiLevelType w:val="hybridMultilevel"/>
    <w:tmpl w:val="29086FDA"/>
    <w:lvl w:ilvl="0" w:tplc="8F1A5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9776FA"/>
    <w:multiLevelType w:val="hybridMultilevel"/>
    <w:tmpl w:val="EEF0ED44"/>
    <w:lvl w:ilvl="0" w:tplc="36A83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26"/>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4"/>
  </w:num>
  <w:num w:numId="17">
    <w:abstractNumId w:val="19"/>
  </w:num>
  <w:num w:numId="18">
    <w:abstractNumId w:val="22"/>
  </w:num>
  <w:num w:numId="19">
    <w:abstractNumId w:val="20"/>
  </w:num>
  <w:num w:numId="20">
    <w:abstractNumId w:val="16"/>
  </w:num>
  <w:num w:numId="21">
    <w:abstractNumId w:val="28"/>
  </w:num>
  <w:num w:numId="22">
    <w:abstractNumId w:val="14"/>
  </w:num>
  <w:num w:numId="23">
    <w:abstractNumId w:val="30"/>
  </w:num>
  <w:num w:numId="24">
    <w:abstractNumId w:val="15"/>
  </w:num>
  <w:num w:numId="25">
    <w:abstractNumId w:val="23"/>
  </w:num>
  <w:num w:numId="26">
    <w:abstractNumId w:val="33"/>
  </w:num>
  <w:num w:numId="27">
    <w:abstractNumId w:val="32"/>
  </w:num>
  <w:num w:numId="28">
    <w:abstractNumId w:val="29"/>
  </w:num>
  <w:num w:numId="29">
    <w:abstractNumId w:val="18"/>
  </w:num>
  <w:num w:numId="30">
    <w:abstractNumId w:val="25"/>
  </w:num>
  <w:num w:numId="31">
    <w:abstractNumId w:val="12"/>
  </w:num>
  <w:num w:numId="32">
    <w:abstractNumId w:val="27"/>
  </w:num>
  <w:num w:numId="33">
    <w:abstractNumId w:val="1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6C53D6"/>
    <w:rsid w:val="00000AEC"/>
    <w:rsid w:val="000076FB"/>
    <w:rsid w:val="000271B0"/>
    <w:rsid w:val="00042CAA"/>
    <w:rsid w:val="0004552E"/>
    <w:rsid w:val="000540D7"/>
    <w:rsid w:val="0006599A"/>
    <w:rsid w:val="00070ABD"/>
    <w:rsid w:val="00071988"/>
    <w:rsid w:val="00074CE3"/>
    <w:rsid w:val="000835CE"/>
    <w:rsid w:val="000A2D8D"/>
    <w:rsid w:val="000A717E"/>
    <w:rsid w:val="000B12D1"/>
    <w:rsid w:val="000B57BB"/>
    <w:rsid w:val="000D3ECA"/>
    <w:rsid w:val="000D424E"/>
    <w:rsid w:val="000D47C0"/>
    <w:rsid w:val="000E2F4C"/>
    <w:rsid w:val="000F1CE3"/>
    <w:rsid w:val="000F4CEA"/>
    <w:rsid w:val="000F6CD3"/>
    <w:rsid w:val="00106690"/>
    <w:rsid w:val="00116DFB"/>
    <w:rsid w:val="00122DE1"/>
    <w:rsid w:val="00137092"/>
    <w:rsid w:val="00137EA9"/>
    <w:rsid w:val="0016745F"/>
    <w:rsid w:val="00170E53"/>
    <w:rsid w:val="00174A5A"/>
    <w:rsid w:val="00175D61"/>
    <w:rsid w:val="001811E8"/>
    <w:rsid w:val="00182AB7"/>
    <w:rsid w:val="0019462E"/>
    <w:rsid w:val="001C64FB"/>
    <w:rsid w:val="001C6C9E"/>
    <w:rsid w:val="001D4884"/>
    <w:rsid w:val="001D73EC"/>
    <w:rsid w:val="001E71E4"/>
    <w:rsid w:val="001F6FC3"/>
    <w:rsid w:val="002019AE"/>
    <w:rsid w:val="0021649A"/>
    <w:rsid w:val="00231487"/>
    <w:rsid w:val="00241390"/>
    <w:rsid w:val="00253E7D"/>
    <w:rsid w:val="002966F4"/>
    <w:rsid w:val="002B5CEC"/>
    <w:rsid w:val="002C0DB3"/>
    <w:rsid w:val="002C3718"/>
    <w:rsid w:val="002D7CCF"/>
    <w:rsid w:val="002E60AE"/>
    <w:rsid w:val="002F16AC"/>
    <w:rsid w:val="00306ED9"/>
    <w:rsid w:val="0031253F"/>
    <w:rsid w:val="003143F7"/>
    <w:rsid w:val="003178BB"/>
    <w:rsid w:val="003279F9"/>
    <w:rsid w:val="0033381B"/>
    <w:rsid w:val="003404DF"/>
    <w:rsid w:val="00340ABB"/>
    <w:rsid w:val="0036136F"/>
    <w:rsid w:val="0038623F"/>
    <w:rsid w:val="003C60C1"/>
    <w:rsid w:val="003C707B"/>
    <w:rsid w:val="003D2010"/>
    <w:rsid w:val="003D74DE"/>
    <w:rsid w:val="003F33F0"/>
    <w:rsid w:val="00412E1F"/>
    <w:rsid w:val="00415188"/>
    <w:rsid w:val="0041644A"/>
    <w:rsid w:val="00447195"/>
    <w:rsid w:val="00455683"/>
    <w:rsid w:val="00455FEC"/>
    <w:rsid w:val="004728BD"/>
    <w:rsid w:val="004751BA"/>
    <w:rsid w:val="00477A1D"/>
    <w:rsid w:val="00496380"/>
    <w:rsid w:val="004A031B"/>
    <w:rsid w:val="004A3970"/>
    <w:rsid w:val="004B722C"/>
    <w:rsid w:val="004C1B50"/>
    <w:rsid w:val="004D3211"/>
    <w:rsid w:val="004D3BDE"/>
    <w:rsid w:val="004E33E5"/>
    <w:rsid w:val="004F6D87"/>
    <w:rsid w:val="00501E3D"/>
    <w:rsid w:val="00513811"/>
    <w:rsid w:val="00520ECD"/>
    <w:rsid w:val="00523970"/>
    <w:rsid w:val="0057457F"/>
    <w:rsid w:val="0058047D"/>
    <w:rsid w:val="00593432"/>
    <w:rsid w:val="00595B2F"/>
    <w:rsid w:val="005973CE"/>
    <w:rsid w:val="005A61CB"/>
    <w:rsid w:val="005A7390"/>
    <w:rsid w:val="005B2745"/>
    <w:rsid w:val="005B684C"/>
    <w:rsid w:val="00611A49"/>
    <w:rsid w:val="00637ED6"/>
    <w:rsid w:val="006451F6"/>
    <w:rsid w:val="00667B03"/>
    <w:rsid w:val="0067587C"/>
    <w:rsid w:val="006A469C"/>
    <w:rsid w:val="006B2FED"/>
    <w:rsid w:val="006C53D6"/>
    <w:rsid w:val="006D622D"/>
    <w:rsid w:val="006F5BFB"/>
    <w:rsid w:val="00723F60"/>
    <w:rsid w:val="00741B13"/>
    <w:rsid w:val="00746CE3"/>
    <w:rsid w:val="0075227B"/>
    <w:rsid w:val="00760295"/>
    <w:rsid w:val="00764461"/>
    <w:rsid w:val="0077167C"/>
    <w:rsid w:val="00780014"/>
    <w:rsid w:val="007A7FA3"/>
    <w:rsid w:val="007B1A1A"/>
    <w:rsid w:val="007B500E"/>
    <w:rsid w:val="007C26F7"/>
    <w:rsid w:val="007C4ED8"/>
    <w:rsid w:val="007C77DC"/>
    <w:rsid w:val="007D0AA4"/>
    <w:rsid w:val="007F6C86"/>
    <w:rsid w:val="00802687"/>
    <w:rsid w:val="008106FE"/>
    <w:rsid w:val="00822837"/>
    <w:rsid w:val="008466BC"/>
    <w:rsid w:val="00856A9C"/>
    <w:rsid w:val="00877A7E"/>
    <w:rsid w:val="00882870"/>
    <w:rsid w:val="00893253"/>
    <w:rsid w:val="008A2E93"/>
    <w:rsid w:val="008B0ED6"/>
    <w:rsid w:val="008B4588"/>
    <w:rsid w:val="008D368E"/>
    <w:rsid w:val="008D5DFC"/>
    <w:rsid w:val="008D7DAD"/>
    <w:rsid w:val="008E30F3"/>
    <w:rsid w:val="009029BB"/>
    <w:rsid w:val="00905631"/>
    <w:rsid w:val="009175CE"/>
    <w:rsid w:val="00921798"/>
    <w:rsid w:val="00922574"/>
    <w:rsid w:val="00924280"/>
    <w:rsid w:val="00983857"/>
    <w:rsid w:val="009A64A1"/>
    <w:rsid w:val="009B22EC"/>
    <w:rsid w:val="009B4BCA"/>
    <w:rsid w:val="009D0075"/>
    <w:rsid w:val="009E34C0"/>
    <w:rsid w:val="009F234D"/>
    <w:rsid w:val="009F4174"/>
    <w:rsid w:val="00A0340F"/>
    <w:rsid w:val="00A052E8"/>
    <w:rsid w:val="00A12118"/>
    <w:rsid w:val="00A330C2"/>
    <w:rsid w:val="00A33E54"/>
    <w:rsid w:val="00A42025"/>
    <w:rsid w:val="00A5549E"/>
    <w:rsid w:val="00A81653"/>
    <w:rsid w:val="00A8216A"/>
    <w:rsid w:val="00A8397A"/>
    <w:rsid w:val="00A868FB"/>
    <w:rsid w:val="00A870A9"/>
    <w:rsid w:val="00A94CD9"/>
    <w:rsid w:val="00A97E33"/>
    <w:rsid w:val="00AC7E0E"/>
    <w:rsid w:val="00AD2456"/>
    <w:rsid w:val="00AD6CDC"/>
    <w:rsid w:val="00B03D17"/>
    <w:rsid w:val="00B161A7"/>
    <w:rsid w:val="00B205B2"/>
    <w:rsid w:val="00B32C4F"/>
    <w:rsid w:val="00B56427"/>
    <w:rsid w:val="00B60D10"/>
    <w:rsid w:val="00B8193C"/>
    <w:rsid w:val="00B846B5"/>
    <w:rsid w:val="00B9304B"/>
    <w:rsid w:val="00BA17A8"/>
    <w:rsid w:val="00BB26F3"/>
    <w:rsid w:val="00BC1751"/>
    <w:rsid w:val="00BC2A21"/>
    <w:rsid w:val="00BF12D9"/>
    <w:rsid w:val="00C072D7"/>
    <w:rsid w:val="00C1027E"/>
    <w:rsid w:val="00C27609"/>
    <w:rsid w:val="00C34850"/>
    <w:rsid w:val="00C53FD9"/>
    <w:rsid w:val="00C55B08"/>
    <w:rsid w:val="00C74729"/>
    <w:rsid w:val="00CA0E88"/>
    <w:rsid w:val="00CB1098"/>
    <w:rsid w:val="00CC449C"/>
    <w:rsid w:val="00CD1FCD"/>
    <w:rsid w:val="00CF24C3"/>
    <w:rsid w:val="00CF6776"/>
    <w:rsid w:val="00D05A24"/>
    <w:rsid w:val="00D3014D"/>
    <w:rsid w:val="00D325F9"/>
    <w:rsid w:val="00D35768"/>
    <w:rsid w:val="00D46802"/>
    <w:rsid w:val="00D539BF"/>
    <w:rsid w:val="00D57B2C"/>
    <w:rsid w:val="00D66FD5"/>
    <w:rsid w:val="00D80E7F"/>
    <w:rsid w:val="00D96264"/>
    <w:rsid w:val="00DA4F0A"/>
    <w:rsid w:val="00DB3CDA"/>
    <w:rsid w:val="00DD080F"/>
    <w:rsid w:val="00DE589E"/>
    <w:rsid w:val="00DF0F44"/>
    <w:rsid w:val="00E33BCB"/>
    <w:rsid w:val="00E413E8"/>
    <w:rsid w:val="00E5007E"/>
    <w:rsid w:val="00E537B9"/>
    <w:rsid w:val="00E539C2"/>
    <w:rsid w:val="00E958B3"/>
    <w:rsid w:val="00EA0308"/>
    <w:rsid w:val="00EA38C8"/>
    <w:rsid w:val="00EB4345"/>
    <w:rsid w:val="00EC416A"/>
    <w:rsid w:val="00EC772A"/>
    <w:rsid w:val="00ED2B0D"/>
    <w:rsid w:val="00EE4E37"/>
    <w:rsid w:val="00F01DE6"/>
    <w:rsid w:val="00F06D88"/>
    <w:rsid w:val="00F3612D"/>
    <w:rsid w:val="00F36AD3"/>
    <w:rsid w:val="00F37E93"/>
    <w:rsid w:val="00FC6069"/>
    <w:rsid w:val="00FD69BC"/>
    <w:rsid w:val="00FE1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macro"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FB"/>
    <w:pPr>
      <w:spacing w:after="0" w:line="240" w:lineRule="auto"/>
      <w:contextualSpacing/>
    </w:pPr>
  </w:style>
  <w:style w:type="paragraph" w:styleId="Heading1">
    <w:name w:val="heading 1"/>
    <w:basedOn w:val="Normal"/>
    <w:next w:val="Normal"/>
    <w:link w:val="Heading1Char"/>
    <w:autoRedefine/>
    <w:qFormat/>
    <w:rsid w:val="003D2010"/>
    <w:pPr>
      <w:keepNext/>
      <w:spacing w:before="240" w:after="120" w:line="360" w:lineRule="auto"/>
      <w:contextualSpacing w:val="0"/>
      <w:jc w:val="center"/>
      <w:outlineLvl w:val="0"/>
    </w:pPr>
    <w:rPr>
      <w:rFonts w:ascii="Comic Sans MS" w:eastAsia="MS Mincho" w:hAnsi="Comic Sans MS" w:cs="Arial"/>
      <w:b/>
      <w:bCs/>
      <w:kern w:val="32"/>
      <w:sz w:val="28"/>
      <w:szCs w:val="28"/>
    </w:rPr>
  </w:style>
  <w:style w:type="paragraph" w:styleId="Heading2">
    <w:name w:val="heading 2"/>
    <w:basedOn w:val="Normal"/>
    <w:next w:val="Normal"/>
    <w:link w:val="Heading2Char"/>
    <w:unhideWhenUsed/>
    <w:qFormat/>
    <w:rsid w:val="00D468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D2010"/>
    <w:pPr>
      <w:keepNext/>
      <w:tabs>
        <w:tab w:val="num" w:pos="1080"/>
      </w:tabs>
      <w:spacing w:before="240" w:after="120"/>
      <w:contextualSpacing w:val="0"/>
      <w:outlineLvl w:val="2"/>
    </w:pPr>
    <w:rPr>
      <w:rFonts w:ascii="Comic Sans MS" w:eastAsia="MS Mincho" w:hAnsi="Comic Sans MS" w:cs="Times New Roman"/>
      <w:b/>
      <w:iCs/>
    </w:rPr>
  </w:style>
  <w:style w:type="paragraph" w:styleId="Heading4">
    <w:name w:val="heading 4"/>
    <w:basedOn w:val="Normal"/>
    <w:next w:val="Normal"/>
    <w:link w:val="Heading4Char"/>
    <w:autoRedefine/>
    <w:qFormat/>
    <w:rsid w:val="003D2010"/>
    <w:pPr>
      <w:keepNext/>
      <w:numPr>
        <w:ilvl w:val="12"/>
      </w:numPr>
      <w:tabs>
        <w:tab w:val="left" w:pos="420"/>
        <w:tab w:val="right" w:pos="9360"/>
      </w:tabs>
      <w:spacing w:before="240" w:after="240"/>
      <w:contextualSpacing w:val="0"/>
      <w:outlineLvl w:val="3"/>
    </w:pPr>
    <w:rPr>
      <w:rFonts w:ascii="Times New Roman" w:eastAsia="MS Mincho" w:hAnsi="Times New Roman" w:cs="Times New Roman"/>
      <w:i/>
    </w:rPr>
  </w:style>
  <w:style w:type="paragraph" w:styleId="Heading5">
    <w:name w:val="heading 5"/>
    <w:basedOn w:val="Normal"/>
    <w:next w:val="Normal"/>
    <w:link w:val="Heading5Char"/>
    <w:autoRedefine/>
    <w:qFormat/>
    <w:rsid w:val="003D2010"/>
    <w:pPr>
      <w:keepNext/>
      <w:contextualSpacing w:val="0"/>
      <w:jc w:val="center"/>
      <w:outlineLvl w:val="4"/>
    </w:pPr>
    <w:rPr>
      <w:rFonts w:ascii="Comic Sans MS" w:eastAsia="MS Mincho" w:hAnsi="Comic Sans MS" w:cs="Times New Roman"/>
      <w:b/>
      <w:color w:val="FF0000"/>
      <w:sz w:val="40"/>
      <w:lang w:bidi="he-IL"/>
    </w:rPr>
  </w:style>
  <w:style w:type="paragraph" w:styleId="Heading6">
    <w:name w:val="heading 6"/>
    <w:basedOn w:val="Normal"/>
    <w:next w:val="Normal"/>
    <w:link w:val="Heading6Char"/>
    <w:qFormat/>
    <w:rsid w:val="003D2010"/>
    <w:pPr>
      <w:keepNext/>
      <w:tabs>
        <w:tab w:val="left" w:pos="460"/>
        <w:tab w:val="right" w:pos="9360"/>
      </w:tabs>
      <w:ind w:left="20"/>
      <w:contextualSpacing w:val="0"/>
      <w:jc w:val="center"/>
      <w:outlineLvl w:val="5"/>
    </w:pPr>
    <w:rPr>
      <w:rFonts w:ascii="Comic Sans MS" w:eastAsia="MS Mincho" w:hAnsi="Comic Sans MS" w:cs="Times New Roman"/>
      <w:b/>
      <w:kern w:val="28"/>
      <w:sz w:val="28"/>
      <w:lang w:bidi="he-IL"/>
    </w:rPr>
  </w:style>
  <w:style w:type="paragraph" w:styleId="Heading7">
    <w:name w:val="heading 7"/>
    <w:basedOn w:val="Normal"/>
    <w:next w:val="Normal"/>
    <w:link w:val="Heading7Char"/>
    <w:qFormat/>
    <w:rsid w:val="003D2010"/>
    <w:pPr>
      <w:keepNext/>
      <w:contextualSpacing w:val="0"/>
      <w:outlineLvl w:val="6"/>
    </w:pPr>
    <w:rPr>
      <w:rFonts w:ascii="Times New Roman" w:eastAsia="MS Mincho" w:hAnsi="Times New Roman" w:cs="Times New Roman"/>
      <w:b/>
      <w:lang w:bidi="he-IL"/>
    </w:rPr>
  </w:style>
  <w:style w:type="paragraph" w:styleId="Heading8">
    <w:name w:val="heading 8"/>
    <w:basedOn w:val="Normal"/>
    <w:next w:val="Normal"/>
    <w:link w:val="Heading8Char"/>
    <w:qFormat/>
    <w:rsid w:val="003D2010"/>
    <w:pPr>
      <w:keepNext/>
      <w:contextualSpacing w:val="0"/>
      <w:outlineLvl w:val="7"/>
    </w:pPr>
    <w:rPr>
      <w:rFonts w:ascii="Times New Roman" w:eastAsia="MS Mincho" w:hAnsi="Times New Roman" w:cs="Times New Roman"/>
      <w:i/>
      <w:lang w:bidi="he-IL"/>
    </w:rPr>
  </w:style>
  <w:style w:type="paragraph" w:styleId="Heading9">
    <w:name w:val="heading 9"/>
    <w:basedOn w:val="Normal"/>
    <w:next w:val="Normal"/>
    <w:link w:val="Heading9Char"/>
    <w:qFormat/>
    <w:rsid w:val="003D2010"/>
    <w:pPr>
      <w:contextualSpacing w:val="0"/>
      <w:outlineLvl w:val="8"/>
    </w:pPr>
    <w:rPr>
      <w:rFonts w:ascii="Times" w:eastAsia="MS Mincho" w:hAnsi="Times" w:cs="Times New Roman"/>
      <w:noProof/>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A8216A"/>
    <w:pPr>
      <w:tabs>
        <w:tab w:val="left" w:pos="540"/>
        <w:tab w:val="left" w:pos="900"/>
        <w:tab w:val="left" w:pos="1260"/>
        <w:tab w:val="left" w:pos="1620"/>
        <w:tab w:val="left" w:pos="1980"/>
        <w:tab w:val="left" w:pos="2340"/>
        <w:tab w:val="left" w:pos="2700"/>
        <w:tab w:val="left" w:pos="3060"/>
        <w:tab w:val="left" w:pos="3420"/>
        <w:tab w:val="left" w:pos="3780"/>
        <w:tab w:val="left" w:pos="4770"/>
        <w:tab w:val="right" w:pos="8640"/>
      </w:tabs>
      <w:contextualSpacing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8216A"/>
    <w:rPr>
      <w:rFonts w:ascii="Times New Roman" w:eastAsia="Times New Roman" w:hAnsi="Times New Roman" w:cs="Times New Roman"/>
      <w:sz w:val="20"/>
      <w:szCs w:val="20"/>
    </w:rPr>
  </w:style>
  <w:style w:type="character" w:styleId="FootnoteReference">
    <w:name w:val="footnote reference"/>
    <w:basedOn w:val="DefaultParagraphFont"/>
    <w:rsid w:val="00A8216A"/>
    <w:rPr>
      <w:vertAlign w:val="superscript"/>
    </w:rPr>
  </w:style>
  <w:style w:type="character" w:styleId="Hyperlink">
    <w:name w:val="Hyperlink"/>
    <w:basedOn w:val="DefaultParagraphFont"/>
    <w:semiHidden/>
    <w:rsid w:val="00A8216A"/>
    <w:rPr>
      <w:color w:val="0000FF"/>
      <w:u w:val="single"/>
    </w:rPr>
  </w:style>
  <w:style w:type="paragraph" w:styleId="NoSpacing">
    <w:name w:val="No Spacing"/>
    <w:uiPriority w:val="1"/>
    <w:qFormat/>
    <w:rsid w:val="00D46802"/>
    <w:pPr>
      <w:tabs>
        <w:tab w:val="left" w:pos="540"/>
        <w:tab w:val="left" w:pos="900"/>
        <w:tab w:val="left" w:pos="1260"/>
        <w:tab w:val="left" w:pos="1620"/>
        <w:tab w:val="left" w:pos="1980"/>
        <w:tab w:val="left" w:pos="2340"/>
        <w:tab w:val="left" w:pos="2700"/>
        <w:tab w:val="left" w:pos="3060"/>
        <w:tab w:val="left" w:pos="3420"/>
        <w:tab w:val="left" w:pos="3780"/>
        <w:tab w:val="right" w:pos="8640"/>
      </w:tabs>
      <w:spacing w:after="0" w:line="240" w:lineRule="auto"/>
      <w:ind w:firstLine="720"/>
    </w:pPr>
    <w:rPr>
      <w:rFonts w:ascii="Times New Roman" w:eastAsia="Times New Roman" w:hAnsi="Times New Roman" w:cs="Times New Roman"/>
      <w:szCs w:val="20"/>
    </w:rPr>
  </w:style>
  <w:style w:type="character" w:customStyle="1" w:styleId="Heading2Char">
    <w:name w:val="Heading 2 Char"/>
    <w:basedOn w:val="DefaultParagraphFont"/>
    <w:link w:val="Heading2"/>
    <w:rsid w:val="00D46802"/>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nhideWhenUsed/>
    <w:rsid w:val="00D46802"/>
    <w:rPr>
      <w:rFonts w:ascii="Tahoma" w:hAnsi="Tahoma" w:cs="Tahoma"/>
      <w:sz w:val="16"/>
      <w:szCs w:val="16"/>
    </w:rPr>
  </w:style>
  <w:style w:type="character" w:customStyle="1" w:styleId="DocumentMapChar">
    <w:name w:val="Document Map Char"/>
    <w:basedOn w:val="DefaultParagraphFont"/>
    <w:link w:val="DocumentMap"/>
    <w:rsid w:val="00D46802"/>
    <w:rPr>
      <w:rFonts w:ascii="Tahoma" w:hAnsi="Tahoma" w:cs="Tahoma"/>
      <w:sz w:val="16"/>
      <w:szCs w:val="16"/>
    </w:rPr>
  </w:style>
  <w:style w:type="character" w:customStyle="1" w:styleId="Heading1Char">
    <w:name w:val="Heading 1 Char"/>
    <w:basedOn w:val="DefaultParagraphFont"/>
    <w:link w:val="Heading1"/>
    <w:rsid w:val="003D2010"/>
    <w:rPr>
      <w:rFonts w:ascii="Comic Sans MS" w:eastAsia="MS Mincho" w:hAnsi="Comic Sans MS" w:cs="Arial"/>
      <w:b/>
      <w:bCs/>
      <w:kern w:val="32"/>
      <w:sz w:val="28"/>
      <w:szCs w:val="28"/>
    </w:rPr>
  </w:style>
  <w:style w:type="character" w:customStyle="1" w:styleId="Heading3Char">
    <w:name w:val="Heading 3 Char"/>
    <w:basedOn w:val="DefaultParagraphFont"/>
    <w:link w:val="Heading3"/>
    <w:rsid w:val="003D2010"/>
    <w:rPr>
      <w:rFonts w:ascii="Comic Sans MS" w:eastAsia="MS Mincho" w:hAnsi="Comic Sans MS" w:cs="Times New Roman"/>
      <w:b/>
      <w:iCs/>
    </w:rPr>
  </w:style>
  <w:style w:type="character" w:customStyle="1" w:styleId="Heading4Char">
    <w:name w:val="Heading 4 Char"/>
    <w:basedOn w:val="DefaultParagraphFont"/>
    <w:link w:val="Heading4"/>
    <w:rsid w:val="003D2010"/>
    <w:rPr>
      <w:rFonts w:ascii="Times New Roman" w:eastAsia="MS Mincho" w:hAnsi="Times New Roman" w:cs="Times New Roman"/>
      <w:i/>
    </w:rPr>
  </w:style>
  <w:style w:type="character" w:customStyle="1" w:styleId="Heading5Char">
    <w:name w:val="Heading 5 Char"/>
    <w:basedOn w:val="DefaultParagraphFont"/>
    <w:link w:val="Heading5"/>
    <w:rsid w:val="003D2010"/>
    <w:rPr>
      <w:rFonts w:ascii="Comic Sans MS" w:eastAsia="MS Mincho" w:hAnsi="Comic Sans MS" w:cs="Times New Roman"/>
      <w:b/>
      <w:color w:val="FF0000"/>
      <w:sz w:val="40"/>
      <w:lang w:bidi="he-IL"/>
    </w:rPr>
  </w:style>
  <w:style w:type="character" w:customStyle="1" w:styleId="Heading6Char">
    <w:name w:val="Heading 6 Char"/>
    <w:basedOn w:val="DefaultParagraphFont"/>
    <w:link w:val="Heading6"/>
    <w:rsid w:val="003D2010"/>
    <w:rPr>
      <w:rFonts w:ascii="Comic Sans MS" w:eastAsia="MS Mincho" w:hAnsi="Comic Sans MS" w:cs="Times New Roman"/>
      <w:b/>
      <w:kern w:val="28"/>
      <w:sz w:val="28"/>
      <w:lang w:bidi="he-IL"/>
    </w:rPr>
  </w:style>
  <w:style w:type="character" w:customStyle="1" w:styleId="Heading7Char">
    <w:name w:val="Heading 7 Char"/>
    <w:basedOn w:val="DefaultParagraphFont"/>
    <w:link w:val="Heading7"/>
    <w:rsid w:val="003D2010"/>
    <w:rPr>
      <w:rFonts w:ascii="Times New Roman" w:eastAsia="MS Mincho" w:hAnsi="Times New Roman" w:cs="Times New Roman"/>
      <w:b/>
      <w:lang w:bidi="he-IL"/>
    </w:rPr>
  </w:style>
  <w:style w:type="character" w:customStyle="1" w:styleId="Heading8Char">
    <w:name w:val="Heading 8 Char"/>
    <w:basedOn w:val="DefaultParagraphFont"/>
    <w:link w:val="Heading8"/>
    <w:rsid w:val="003D2010"/>
    <w:rPr>
      <w:rFonts w:ascii="Times New Roman" w:eastAsia="MS Mincho" w:hAnsi="Times New Roman" w:cs="Times New Roman"/>
      <w:i/>
      <w:lang w:bidi="he-IL"/>
    </w:rPr>
  </w:style>
  <w:style w:type="character" w:customStyle="1" w:styleId="Heading9Char">
    <w:name w:val="Heading 9 Char"/>
    <w:basedOn w:val="DefaultParagraphFont"/>
    <w:link w:val="Heading9"/>
    <w:rsid w:val="003D2010"/>
    <w:rPr>
      <w:rFonts w:ascii="Times" w:eastAsia="MS Mincho" w:hAnsi="Times" w:cs="Times New Roman"/>
      <w:noProof/>
      <w:sz w:val="24"/>
      <w:lang w:bidi="he-IL"/>
    </w:rPr>
  </w:style>
  <w:style w:type="paragraph" w:styleId="PlainText">
    <w:name w:val="Plain Text"/>
    <w:basedOn w:val="Normal"/>
    <w:link w:val="PlainTextChar"/>
    <w:rsid w:val="003D2010"/>
    <w:pPr>
      <w:tabs>
        <w:tab w:val="left" w:pos="540"/>
        <w:tab w:val="left" w:pos="900"/>
        <w:tab w:val="left" w:pos="1260"/>
        <w:tab w:val="left" w:pos="1620"/>
        <w:tab w:val="left" w:pos="1980"/>
        <w:tab w:val="left" w:pos="2340"/>
        <w:tab w:val="left" w:pos="2700"/>
        <w:tab w:val="left" w:pos="3060"/>
        <w:tab w:val="left" w:pos="3420"/>
        <w:tab w:val="left" w:pos="3780"/>
        <w:tab w:val="right" w:pos="8640"/>
      </w:tabs>
      <w:contextualSpacing w:val="0"/>
    </w:pPr>
    <w:rPr>
      <w:rFonts w:ascii="Times New Roman" w:eastAsia="MS Mincho" w:hAnsi="Times New Roman" w:cs="Times New Roman"/>
    </w:rPr>
  </w:style>
  <w:style w:type="character" w:customStyle="1" w:styleId="PlainTextChar">
    <w:name w:val="Plain Text Char"/>
    <w:basedOn w:val="DefaultParagraphFont"/>
    <w:link w:val="PlainText"/>
    <w:rsid w:val="003D2010"/>
    <w:rPr>
      <w:rFonts w:ascii="Times New Roman" w:eastAsia="MS Mincho" w:hAnsi="Times New Roman" w:cs="Times New Roman"/>
    </w:rPr>
  </w:style>
  <w:style w:type="paragraph" w:customStyle="1" w:styleId="StylePlainTextItalic">
    <w:name w:val="Style Plain Text + Italic"/>
    <w:basedOn w:val="PlainText"/>
    <w:autoRedefine/>
    <w:semiHidden/>
    <w:rsid w:val="003D2010"/>
    <w:rPr>
      <w:i/>
      <w:iCs/>
    </w:rPr>
  </w:style>
  <w:style w:type="paragraph" w:customStyle="1" w:styleId="Style1">
    <w:name w:val="Style1"/>
    <w:basedOn w:val="Normal"/>
    <w:semiHidden/>
    <w:rsid w:val="003D2010"/>
    <w:pPr>
      <w:ind w:left="720"/>
      <w:contextualSpacing w:val="0"/>
    </w:pPr>
    <w:rPr>
      <w:rFonts w:ascii="Times New Roman" w:eastAsia="MS Mincho" w:hAnsi="Times New Roman" w:cs="Arial"/>
    </w:rPr>
  </w:style>
  <w:style w:type="paragraph" w:styleId="BodyTextIndent">
    <w:name w:val="Body Text Indent"/>
    <w:basedOn w:val="Normal"/>
    <w:link w:val="BodyTextIndentChar"/>
    <w:rsid w:val="003D2010"/>
    <w:pPr>
      <w:ind w:left="720"/>
      <w:contextualSpacing w:val="0"/>
    </w:pPr>
    <w:rPr>
      <w:rFonts w:ascii="Times New Roman" w:eastAsia="MS Mincho" w:hAnsi="Times New Roman" w:cs="Times New Roman"/>
      <w:szCs w:val="24"/>
    </w:rPr>
  </w:style>
  <w:style w:type="character" w:customStyle="1" w:styleId="BodyTextIndentChar">
    <w:name w:val="Body Text Indent Char"/>
    <w:basedOn w:val="DefaultParagraphFont"/>
    <w:link w:val="BodyTextIndent"/>
    <w:rsid w:val="003D2010"/>
    <w:rPr>
      <w:rFonts w:ascii="Times New Roman" w:eastAsia="MS Mincho" w:hAnsi="Times New Roman" w:cs="Times New Roman"/>
      <w:szCs w:val="24"/>
    </w:rPr>
  </w:style>
  <w:style w:type="paragraph" w:styleId="BodyText">
    <w:name w:val="Body Text"/>
    <w:basedOn w:val="Normal"/>
    <w:link w:val="BodyTextChar"/>
    <w:autoRedefine/>
    <w:semiHidden/>
    <w:rsid w:val="003D2010"/>
    <w:pPr>
      <w:ind w:left="720"/>
      <w:contextualSpacing w:val="0"/>
    </w:pPr>
    <w:rPr>
      <w:rFonts w:ascii="Times New Roman" w:eastAsia="MS Mincho" w:hAnsi="Times New Roman" w:cs="Times New Roman"/>
    </w:rPr>
  </w:style>
  <w:style w:type="character" w:customStyle="1" w:styleId="BodyTextChar">
    <w:name w:val="Body Text Char"/>
    <w:basedOn w:val="DefaultParagraphFont"/>
    <w:link w:val="BodyText"/>
    <w:semiHidden/>
    <w:rsid w:val="003D2010"/>
    <w:rPr>
      <w:rFonts w:ascii="Times New Roman" w:eastAsia="MS Mincho" w:hAnsi="Times New Roman" w:cs="Times New Roman"/>
    </w:rPr>
  </w:style>
  <w:style w:type="paragraph" w:customStyle="1" w:styleId="numberedlist">
    <w:name w:val="numbered list"/>
    <w:basedOn w:val="Reading"/>
    <w:rsid w:val="003D2010"/>
    <w:pPr>
      <w:numPr>
        <w:numId w:val="2"/>
      </w:numPr>
    </w:pPr>
    <w:rPr>
      <w:rFonts w:ascii="Times New Roman" w:hAnsi="Times New Roman"/>
      <w:sz w:val="24"/>
    </w:rPr>
  </w:style>
  <w:style w:type="paragraph" w:customStyle="1" w:styleId="Reading">
    <w:name w:val="Reading"/>
    <w:basedOn w:val="Indent"/>
    <w:semiHidden/>
    <w:rsid w:val="003D2010"/>
    <w:pPr>
      <w:tabs>
        <w:tab w:val="clear" w:pos="1080"/>
      </w:tabs>
      <w:ind w:left="1080" w:hanging="360"/>
    </w:pPr>
  </w:style>
  <w:style w:type="paragraph" w:customStyle="1" w:styleId="Indent">
    <w:name w:val="Indent"/>
    <w:basedOn w:val="Normal"/>
    <w:semiHidden/>
    <w:rsid w:val="003D2010"/>
    <w:pPr>
      <w:tabs>
        <w:tab w:val="left" w:pos="1080"/>
      </w:tabs>
      <w:ind w:left="720"/>
      <w:contextualSpacing w:val="0"/>
    </w:pPr>
    <w:rPr>
      <w:rFonts w:ascii="Palatino" w:eastAsia="MS Mincho" w:hAnsi="Palatino" w:cs="Times New Roman"/>
      <w:sz w:val="20"/>
      <w:lang w:bidi="he-IL"/>
    </w:rPr>
  </w:style>
  <w:style w:type="paragraph" w:customStyle="1" w:styleId="bulletlist">
    <w:name w:val="bullet list"/>
    <w:basedOn w:val="Normal"/>
    <w:rsid w:val="003D2010"/>
    <w:pPr>
      <w:numPr>
        <w:numId w:val="1"/>
      </w:numPr>
      <w:contextualSpacing w:val="0"/>
    </w:pPr>
    <w:rPr>
      <w:rFonts w:ascii="Palatino" w:eastAsia="MS Mincho" w:hAnsi="Palatino" w:cs="Times New Roman"/>
      <w:sz w:val="20"/>
      <w:szCs w:val="20"/>
      <w:lang w:bidi="he-IL"/>
    </w:rPr>
  </w:style>
  <w:style w:type="character" w:customStyle="1" w:styleId="CITE">
    <w:name w:val="CITE"/>
    <w:semiHidden/>
    <w:rsid w:val="003D2010"/>
    <w:rPr>
      <w:i/>
    </w:rPr>
  </w:style>
  <w:style w:type="character" w:styleId="Emphasis">
    <w:name w:val="Emphasis"/>
    <w:basedOn w:val="DefaultParagraphFont"/>
    <w:qFormat/>
    <w:rsid w:val="003D2010"/>
    <w:rPr>
      <w:i/>
    </w:rPr>
  </w:style>
  <w:style w:type="character" w:styleId="FollowedHyperlink">
    <w:name w:val="FollowedHyperlink"/>
    <w:basedOn w:val="DefaultParagraphFont"/>
    <w:semiHidden/>
    <w:rsid w:val="003D2010"/>
    <w:rPr>
      <w:color w:val="800080"/>
      <w:u w:val="single"/>
    </w:rPr>
  </w:style>
  <w:style w:type="paragraph" w:customStyle="1" w:styleId="H3">
    <w:name w:val="H3"/>
    <w:basedOn w:val="Normal"/>
    <w:next w:val="Normal"/>
    <w:semiHidden/>
    <w:rsid w:val="003D2010"/>
    <w:pPr>
      <w:keepNext/>
      <w:spacing w:before="100" w:after="100"/>
      <w:contextualSpacing w:val="0"/>
      <w:outlineLvl w:val="3"/>
    </w:pPr>
    <w:rPr>
      <w:rFonts w:ascii="Times New Roman" w:eastAsia="MS Mincho" w:hAnsi="Times New Roman" w:cs="Times New Roman"/>
      <w:b/>
      <w:snapToGrid w:val="0"/>
      <w:sz w:val="28"/>
      <w:szCs w:val="20"/>
    </w:rPr>
  </w:style>
  <w:style w:type="paragraph" w:customStyle="1" w:styleId="H4">
    <w:name w:val="H4"/>
    <w:basedOn w:val="Normal"/>
    <w:next w:val="Normal"/>
    <w:semiHidden/>
    <w:rsid w:val="003D2010"/>
    <w:pPr>
      <w:keepNext/>
      <w:spacing w:before="100" w:after="100"/>
      <w:contextualSpacing w:val="0"/>
      <w:outlineLvl w:val="4"/>
    </w:pPr>
    <w:rPr>
      <w:rFonts w:ascii="Times New Roman" w:eastAsia="MS Mincho" w:hAnsi="Times New Roman" w:cs="Times New Roman"/>
      <w:b/>
      <w:snapToGrid w:val="0"/>
      <w:sz w:val="24"/>
      <w:szCs w:val="20"/>
    </w:rPr>
  </w:style>
  <w:style w:type="paragraph" w:customStyle="1" w:styleId="H5">
    <w:name w:val="H5"/>
    <w:basedOn w:val="Normal"/>
    <w:next w:val="Normal"/>
    <w:semiHidden/>
    <w:rsid w:val="003D2010"/>
    <w:pPr>
      <w:keepNext/>
      <w:spacing w:before="100" w:after="100"/>
      <w:contextualSpacing w:val="0"/>
      <w:outlineLvl w:val="5"/>
    </w:pPr>
    <w:rPr>
      <w:rFonts w:ascii="Times New Roman" w:eastAsia="MS Mincho" w:hAnsi="Times New Roman" w:cs="Times New Roman"/>
      <w:b/>
      <w:snapToGrid w:val="0"/>
      <w:sz w:val="20"/>
      <w:szCs w:val="20"/>
    </w:rPr>
  </w:style>
  <w:style w:type="paragraph" w:styleId="EndnoteText">
    <w:name w:val="endnote text"/>
    <w:basedOn w:val="Normal"/>
    <w:link w:val="EndnoteTextChar"/>
    <w:semiHidden/>
    <w:rsid w:val="003D2010"/>
    <w:pPr>
      <w:ind w:firstLine="720"/>
      <w:contextualSpacing w:val="0"/>
    </w:pPr>
    <w:rPr>
      <w:rFonts w:ascii="Times New Roman" w:eastAsia="MS Mincho" w:hAnsi="Times New Roman" w:cs="Times New Roman"/>
      <w:sz w:val="20"/>
    </w:rPr>
  </w:style>
  <w:style w:type="character" w:customStyle="1" w:styleId="EndnoteTextChar">
    <w:name w:val="Endnote Text Char"/>
    <w:basedOn w:val="DefaultParagraphFont"/>
    <w:link w:val="EndnoteText"/>
    <w:semiHidden/>
    <w:rsid w:val="003D2010"/>
    <w:rPr>
      <w:rFonts w:ascii="Times New Roman" w:eastAsia="MS Mincho" w:hAnsi="Times New Roman" w:cs="Times New Roman"/>
      <w:sz w:val="20"/>
    </w:rPr>
  </w:style>
  <w:style w:type="paragraph" w:customStyle="1" w:styleId="Line">
    <w:name w:val="Line"/>
    <w:basedOn w:val="Normal"/>
    <w:semiHidden/>
    <w:rsid w:val="003D2010"/>
    <w:pPr>
      <w:tabs>
        <w:tab w:val="right" w:pos="9360"/>
      </w:tabs>
      <w:contextualSpacing w:val="0"/>
    </w:pPr>
    <w:rPr>
      <w:rFonts w:ascii="Palatino" w:eastAsia="MS Mincho" w:hAnsi="Palatino" w:cs="Times New Roman"/>
      <w:sz w:val="20"/>
      <w:u w:val="single"/>
      <w:lang w:bidi="he-IL"/>
    </w:rPr>
  </w:style>
  <w:style w:type="paragraph" w:styleId="List">
    <w:name w:val="List"/>
    <w:basedOn w:val="Normal"/>
    <w:link w:val="ListChar"/>
    <w:rsid w:val="003D2010"/>
    <w:pPr>
      <w:ind w:left="720" w:hanging="720"/>
      <w:contextualSpacing w:val="0"/>
    </w:pPr>
    <w:rPr>
      <w:rFonts w:ascii="Times New Roman" w:eastAsia="MS Mincho" w:hAnsi="Times New Roman" w:cs="Times New Roman"/>
      <w:szCs w:val="20"/>
    </w:rPr>
  </w:style>
  <w:style w:type="character" w:customStyle="1" w:styleId="ListChar">
    <w:name w:val="List Char"/>
    <w:basedOn w:val="DefaultParagraphFont"/>
    <w:link w:val="List"/>
    <w:rsid w:val="003D2010"/>
    <w:rPr>
      <w:rFonts w:ascii="Times New Roman" w:eastAsia="MS Mincho" w:hAnsi="Times New Roman" w:cs="Times New Roman"/>
      <w:szCs w:val="20"/>
    </w:rPr>
  </w:style>
  <w:style w:type="paragraph" w:styleId="MacroText">
    <w:name w:val="macro"/>
    <w:link w:val="MacroTextChar"/>
    <w:semiHidden/>
    <w:rsid w:val="003D201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3D2010"/>
    <w:rPr>
      <w:rFonts w:ascii="Courier New" w:eastAsia="Times New Roman" w:hAnsi="Courier New" w:cs="Times New Roman"/>
      <w:sz w:val="20"/>
      <w:szCs w:val="20"/>
    </w:rPr>
  </w:style>
  <w:style w:type="paragraph" w:styleId="NormalWeb">
    <w:name w:val="Normal (Web)"/>
    <w:basedOn w:val="Normal"/>
    <w:semiHidden/>
    <w:rsid w:val="003D2010"/>
    <w:pPr>
      <w:spacing w:before="100" w:beforeAutospacing="1" w:after="100" w:afterAutospacing="1"/>
      <w:contextualSpacing w:val="0"/>
    </w:pPr>
    <w:rPr>
      <w:rFonts w:ascii="Times New Roman" w:eastAsia="MS Mincho" w:hAnsi="Times New Roman" w:cs="Times New Roman"/>
      <w:sz w:val="24"/>
      <w:szCs w:val="24"/>
      <w:lang w:bidi="he-IL"/>
    </w:rPr>
  </w:style>
  <w:style w:type="character" w:styleId="Strong">
    <w:name w:val="Strong"/>
    <w:basedOn w:val="DefaultParagraphFont"/>
    <w:qFormat/>
    <w:rsid w:val="003D2010"/>
    <w:rPr>
      <w:b/>
      <w:bCs/>
    </w:rPr>
  </w:style>
  <w:style w:type="paragraph" w:customStyle="1" w:styleId="Top">
    <w:name w:val="Top"/>
    <w:basedOn w:val="Normal"/>
    <w:semiHidden/>
    <w:rsid w:val="003D2010"/>
    <w:pPr>
      <w:ind w:firstLine="720"/>
      <w:contextualSpacing w:val="0"/>
      <w:jc w:val="right"/>
    </w:pPr>
    <w:rPr>
      <w:rFonts w:ascii="Palatino" w:eastAsia="MS Mincho" w:hAnsi="Palatino" w:cs="Times New Roman"/>
      <w:sz w:val="20"/>
    </w:rPr>
  </w:style>
  <w:style w:type="paragraph" w:customStyle="1" w:styleId="vspace1">
    <w:name w:val="vspace1"/>
    <w:basedOn w:val="Normal"/>
    <w:semiHidden/>
    <w:rsid w:val="003D2010"/>
    <w:pPr>
      <w:ind w:firstLine="720"/>
      <w:contextualSpacing w:val="0"/>
    </w:pPr>
    <w:rPr>
      <w:rFonts w:ascii="Palatino" w:eastAsia="MS Mincho" w:hAnsi="Palatino" w:cs="Times New Roman"/>
      <w:sz w:val="20"/>
    </w:rPr>
  </w:style>
  <w:style w:type="paragraph" w:styleId="BodyTextIndent2">
    <w:name w:val="Body Text Indent 2"/>
    <w:basedOn w:val="Normal"/>
    <w:link w:val="BodyTextIndent2Char"/>
    <w:semiHidden/>
    <w:rsid w:val="003D2010"/>
    <w:pPr>
      <w:tabs>
        <w:tab w:val="left" w:pos="180"/>
      </w:tabs>
      <w:ind w:left="270" w:hanging="270"/>
      <w:contextualSpacing w:val="0"/>
    </w:pPr>
    <w:rPr>
      <w:rFonts w:ascii="Times New Roman" w:eastAsia="MS Mincho" w:hAnsi="Times New Roman" w:cs="Times New Roman"/>
      <w:lang w:bidi="he-IL"/>
    </w:rPr>
  </w:style>
  <w:style w:type="character" w:customStyle="1" w:styleId="BodyTextIndent2Char">
    <w:name w:val="Body Text Indent 2 Char"/>
    <w:basedOn w:val="DefaultParagraphFont"/>
    <w:link w:val="BodyTextIndent2"/>
    <w:semiHidden/>
    <w:rsid w:val="003D2010"/>
    <w:rPr>
      <w:rFonts w:ascii="Times New Roman" w:eastAsia="MS Mincho" w:hAnsi="Times New Roman" w:cs="Times New Roman"/>
      <w:lang w:bidi="he-IL"/>
    </w:rPr>
  </w:style>
  <w:style w:type="character" w:customStyle="1" w:styleId="CharChar2">
    <w:name w:val="Char Char2"/>
    <w:basedOn w:val="DefaultParagraphFont"/>
    <w:semiHidden/>
    <w:rsid w:val="003D2010"/>
    <w:rPr>
      <w:sz w:val="22"/>
      <w:lang w:val="en-US" w:eastAsia="en-US" w:bidi="he-IL"/>
    </w:rPr>
  </w:style>
  <w:style w:type="paragraph" w:styleId="BodyText2">
    <w:name w:val="Body Text 2"/>
    <w:basedOn w:val="Normal"/>
    <w:link w:val="BodyText2Char"/>
    <w:semiHidden/>
    <w:rsid w:val="003D2010"/>
    <w:pPr>
      <w:contextualSpacing w:val="0"/>
      <w:jc w:val="center"/>
    </w:pPr>
    <w:rPr>
      <w:rFonts w:ascii="Times New Roman" w:eastAsia="MS Mincho" w:hAnsi="Times New Roman" w:cs="Times New Roman"/>
      <w:lang w:bidi="he-IL"/>
    </w:rPr>
  </w:style>
  <w:style w:type="character" w:customStyle="1" w:styleId="BodyText2Char">
    <w:name w:val="Body Text 2 Char"/>
    <w:basedOn w:val="DefaultParagraphFont"/>
    <w:link w:val="BodyText2"/>
    <w:semiHidden/>
    <w:rsid w:val="003D2010"/>
    <w:rPr>
      <w:rFonts w:ascii="Times New Roman" w:eastAsia="MS Mincho" w:hAnsi="Times New Roman" w:cs="Times New Roman"/>
      <w:lang w:bidi="he-IL"/>
    </w:rPr>
  </w:style>
  <w:style w:type="paragraph" w:styleId="BodyTextIndent3">
    <w:name w:val="Body Text Indent 3"/>
    <w:basedOn w:val="Normal"/>
    <w:link w:val="BodyTextIndent3Char"/>
    <w:semiHidden/>
    <w:rsid w:val="003D2010"/>
    <w:pPr>
      <w:ind w:left="360" w:hanging="360"/>
      <w:contextualSpacing w:val="0"/>
    </w:pPr>
    <w:rPr>
      <w:rFonts w:ascii="Times New Roman" w:eastAsia="MS Mincho" w:hAnsi="Times New Roman" w:cs="Times New Roman"/>
      <w:lang w:bidi="he-IL"/>
    </w:rPr>
  </w:style>
  <w:style w:type="character" w:customStyle="1" w:styleId="BodyTextIndent3Char">
    <w:name w:val="Body Text Indent 3 Char"/>
    <w:basedOn w:val="DefaultParagraphFont"/>
    <w:link w:val="BodyTextIndent3"/>
    <w:semiHidden/>
    <w:rsid w:val="003D2010"/>
    <w:rPr>
      <w:rFonts w:ascii="Times New Roman" w:eastAsia="MS Mincho" w:hAnsi="Times New Roman" w:cs="Times New Roman"/>
      <w:lang w:bidi="he-IL"/>
    </w:rPr>
  </w:style>
  <w:style w:type="paragraph" w:customStyle="1" w:styleId="DocumentHead">
    <w:name w:val="Document Head"/>
    <w:basedOn w:val="Normal"/>
    <w:semiHidden/>
    <w:rsid w:val="003D2010"/>
    <w:pPr>
      <w:shd w:val="clear" w:color="auto" w:fill="0000FF"/>
      <w:overflowPunct w:val="0"/>
      <w:autoSpaceDE w:val="0"/>
      <w:autoSpaceDN w:val="0"/>
      <w:adjustRightInd w:val="0"/>
      <w:contextualSpacing w:val="0"/>
      <w:textAlignment w:val="baseline"/>
    </w:pPr>
    <w:rPr>
      <w:rFonts w:ascii="Abadi MT Condensed Light" w:eastAsia="MS Mincho" w:hAnsi="Abadi MT Condensed Light" w:cs="Times New Roman"/>
      <w:b/>
      <w:smallCaps/>
      <w:color w:val="FFFFFF"/>
      <w:sz w:val="40"/>
      <w:lang w:bidi="he-IL"/>
    </w:rPr>
  </w:style>
  <w:style w:type="character" w:customStyle="1" w:styleId="eudoraheader">
    <w:name w:val="eudoraheader"/>
    <w:basedOn w:val="DefaultParagraphFont"/>
    <w:semiHidden/>
    <w:rsid w:val="003D2010"/>
  </w:style>
  <w:style w:type="paragraph" w:styleId="Footer">
    <w:name w:val="footer"/>
    <w:basedOn w:val="Normal"/>
    <w:link w:val="FooterChar"/>
    <w:semiHidden/>
    <w:rsid w:val="003D2010"/>
    <w:pPr>
      <w:tabs>
        <w:tab w:val="center" w:pos="4320"/>
        <w:tab w:val="right" w:pos="8640"/>
      </w:tabs>
      <w:ind w:firstLine="720"/>
      <w:contextualSpacing w:val="0"/>
    </w:pPr>
    <w:rPr>
      <w:rFonts w:ascii="Times New Roman" w:eastAsia="MS Mincho" w:hAnsi="Times New Roman" w:cs="Times New Roman"/>
      <w:szCs w:val="20"/>
    </w:rPr>
  </w:style>
  <w:style w:type="character" w:customStyle="1" w:styleId="FooterChar">
    <w:name w:val="Footer Char"/>
    <w:basedOn w:val="DefaultParagraphFont"/>
    <w:link w:val="Footer"/>
    <w:semiHidden/>
    <w:rsid w:val="003D2010"/>
    <w:rPr>
      <w:rFonts w:ascii="Times New Roman" w:eastAsia="MS Mincho" w:hAnsi="Times New Roman" w:cs="Times New Roman"/>
      <w:szCs w:val="20"/>
    </w:rPr>
  </w:style>
  <w:style w:type="paragraph" w:styleId="Header">
    <w:name w:val="header"/>
    <w:basedOn w:val="Normal"/>
    <w:link w:val="HeaderChar"/>
    <w:uiPriority w:val="99"/>
    <w:rsid w:val="003D2010"/>
    <w:pPr>
      <w:tabs>
        <w:tab w:val="center" w:pos="4320"/>
        <w:tab w:val="right" w:pos="8640"/>
      </w:tabs>
      <w:contextualSpacing w:val="0"/>
    </w:pPr>
    <w:rPr>
      <w:rFonts w:ascii="Times New Roman" w:eastAsia="MS Mincho" w:hAnsi="Times New Roman" w:cs="Times New Roman"/>
      <w:lang w:bidi="he-IL"/>
    </w:rPr>
  </w:style>
  <w:style w:type="character" w:customStyle="1" w:styleId="HeaderChar">
    <w:name w:val="Header Char"/>
    <w:basedOn w:val="DefaultParagraphFont"/>
    <w:link w:val="Header"/>
    <w:uiPriority w:val="99"/>
    <w:rsid w:val="003D2010"/>
    <w:rPr>
      <w:rFonts w:ascii="Times New Roman" w:eastAsia="MS Mincho" w:hAnsi="Times New Roman" w:cs="Times New Roman"/>
      <w:lang w:bidi="he-IL"/>
    </w:rPr>
  </w:style>
  <w:style w:type="paragraph" w:customStyle="1" w:styleId="indentedbiblio">
    <w:name w:val="indented biblio"/>
    <w:basedOn w:val="Normal"/>
    <w:semiHidden/>
    <w:rsid w:val="003D2010"/>
    <w:pPr>
      <w:tabs>
        <w:tab w:val="right" w:pos="9360"/>
      </w:tabs>
      <w:ind w:left="1080" w:hanging="360"/>
      <w:contextualSpacing w:val="0"/>
    </w:pPr>
    <w:rPr>
      <w:rFonts w:ascii="Times" w:eastAsia="MS Mincho" w:hAnsi="Times" w:cs="Times New Roman"/>
      <w:sz w:val="24"/>
      <w:lang w:bidi="he-IL"/>
    </w:rPr>
  </w:style>
  <w:style w:type="character" w:styleId="PageNumber">
    <w:name w:val="page number"/>
    <w:basedOn w:val="DefaultParagraphFont"/>
    <w:semiHidden/>
    <w:rsid w:val="003D2010"/>
  </w:style>
  <w:style w:type="paragraph" w:customStyle="1" w:styleId="StyleComicSansMS12ptLeft0Hanging025">
    <w:name w:val="Style Comic Sans MS 12 pt Left:  0&quot; Hanging:  0.25&quot;"/>
    <w:basedOn w:val="Normal"/>
    <w:next w:val="Normal"/>
    <w:autoRedefine/>
    <w:semiHidden/>
    <w:rsid w:val="003D2010"/>
    <w:pPr>
      <w:ind w:left="360" w:hanging="360"/>
      <w:contextualSpacing w:val="0"/>
    </w:pPr>
    <w:rPr>
      <w:rFonts w:ascii="Comic Sans MS" w:eastAsia="MS Mincho" w:hAnsi="Comic Sans MS" w:cs="Times New Roman"/>
      <w:sz w:val="24"/>
      <w:szCs w:val="20"/>
    </w:rPr>
  </w:style>
  <w:style w:type="paragraph" w:customStyle="1" w:styleId="StyleLeft0">
    <w:name w:val="Style Left:  0&quot;"/>
    <w:basedOn w:val="Normal"/>
    <w:autoRedefine/>
    <w:semiHidden/>
    <w:rsid w:val="003D2010"/>
    <w:pPr>
      <w:ind w:firstLine="720"/>
      <w:contextualSpacing w:val="0"/>
    </w:pPr>
    <w:rPr>
      <w:rFonts w:ascii="Times New Roman" w:eastAsia="MS Mincho" w:hAnsi="Times New Roman" w:cs="Times New Roman"/>
      <w:szCs w:val="20"/>
    </w:rPr>
  </w:style>
  <w:style w:type="character" w:customStyle="1" w:styleId="sc">
    <w:name w:val="sc"/>
    <w:basedOn w:val="DefaultParagraphFont"/>
    <w:semiHidden/>
    <w:rsid w:val="003D2010"/>
    <w:rPr>
      <w:smallCaps/>
    </w:rPr>
  </w:style>
  <w:style w:type="character" w:styleId="EndnoteReference">
    <w:name w:val="endnote reference"/>
    <w:basedOn w:val="DefaultParagraphFont"/>
    <w:semiHidden/>
    <w:rsid w:val="003D2010"/>
    <w:rPr>
      <w:vertAlign w:val="superscript"/>
    </w:rPr>
  </w:style>
  <w:style w:type="character" w:customStyle="1" w:styleId="stdnobr">
    <w:name w:val="std nobr"/>
    <w:basedOn w:val="DefaultParagraphFont"/>
    <w:rsid w:val="003D2010"/>
  </w:style>
  <w:style w:type="paragraph" w:customStyle="1" w:styleId="Bn">
    <w:name w:val="Bn"/>
    <w:basedOn w:val="List"/>
    <w:rsid w:val="003D2010"/>
    <w:pPr>
      <w:tabs>
        <w:tab w:val="left" w:pos="720"/>
        <w:tab w:val="right" w:pos="8640"/>
      </w:tabs>
      <w:ind w:left="360" w:firstLine="0"/>
    </w:pPr>
  </w:style>
  <w:style w:type="paragraph" w:customStyle="1" w:styleId="bodytext0">
    <w:name w:val="bodytext"/>
    <w:basedOn w:val="Normal"/>
    <w:rsid w:val="003D2010"/>
    <w:pPr>
      <w:spacing w:before="100" w:beforeAutospacing="1" w:after="100" w:afterAutospacing="1"/>
      <w:contextualSpacing w:val="0"/>
    </w:pPr>
    <w:rPr>
      <w:rFonts w:ascii="Times New Roman" w:eastAsia="MS Mincho" w:hAnsi="Times New Roman" w:cs="Times New Roman"/>
      <w:sz w:val="24"/>
      <w:szCs w:val="24"/>
    </w:rPr>
  </w:style>
  <w:style w:type="character" w:customStyle="1" w:styleId="medium-font">
    <w:name w:val="medium-font"/>
    <w:basedOn w:val="DefaultParagraphFont"/>
    <w:rsid w:val="003D2010"/>
  </w:style>
  <w:style w:type="paragraph" w:styleId="Subtitle">
    <w:name w:val="Subtitle"/>
    <w:basedOn w:val="Normal"/>
    <w:next w:val="Normal"/>
    <w:link w:val="SubtitleChar"/>
    <w:qFormat/>
    <w:rsid w:val="003D2010"/>
    <w:pPr>
      <w:spacing w:after="60"/>
      <w:ind w:firstLine="720"/>
      <w:contextualSpacing w:val="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3D2010"/>
    <w:rPr>
      <w:rFonts w:ascii="Cambria" w:eastAsia="Times New Roman" w:hAnsi="Cambria" w:cs="Times New Roman"/>
      <w:sz w:val="24"/>
      <w:szCs w:val="24"/>
    </w:rPr>
  </w:style>
  <w:style w:type="paragraph" w:customStyle="1" w:styleId="Default">
    <w:name w:val="Default"/>
    <w:rsid w:val="003D20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hidden/>
    <w:uiPriority w:val="99"/>
    <w:unhideWhenUsed/>
    <w:rsid w:val="003D2010"/>
    <w:pPr>
      <w:pBdr>
        <w:bottom w:val="single" w:sz="6" w:space="1" w:color="auto"/>
      </w:pBdr>
      <w:ind w:firstLine="720"/>
      <w:contextualSpacing w:val="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3D20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D2010"/>
    <w:pPr>
      <w:pBdr>
        <w:top w:val="single" w:sz="6" w:space="1" w:color="auto"/>
      </w:pBdr>
      <w:ind w:firstLine="720"/>
      <w:contextualSpacing w:val="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3D2010"/>
    <w:rPr>
      <w:rFonts w:ascii="Arial" w:eastAsia="Times New Roman" w:hAnsi="Arial" w:cs="Arial"/>
      <w:vanish/>
      <w:sz w:val="16"/>
      <w:szCs w:val="16"/>
    </w:rPr>
  </w:style>
  <w:style w:type="character" w:customStyle="1" w:styleId="italics">
    <w:name w:val="italics"/>
    <w:basedOn w:val="DefaultParagraphFont"/>
    <w:rsid w:val="003D2010"/>
  </w:style>
  <w:style w:type="character" w:styleId="CommentReference">
    <w:name w:val="annotation reference"/>
    <w:basedOn w:val="DefaultParagraphFont"/>
    <w:rsid w:val="003D2010"/>
    <w:rPr>
      <w:sz w:val="16"/>
      <w:szCs w:val="16"/>
    </w:rPr>
  </w:style>
  <w:style w:type="paragraph" w:styleId="CommentText">
    <w:name w:val="annotation text"/>
    <w:basedOn w:val="Normal"/>
    <w:link w:val="CommentTextChar"/>
    <w:rsid w:val="003D2010"/>
    <w:pPr>
      <w:ind w:firstLine="720"/>
      <w:contextualSpacing w:val="0"/>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rsid w:val="003D2010"/>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rsid w:val="003D2010"/>
    <w:rPr>
      <w:b/>
      <w:bCs/>
    </w:rPr>
  </w:style>
  <w:style w:type="character" w:customStyle="1" w:styleId="CommentSubjectChar">
    <w:name w:val="Comment Subject Char"/>
    <w:basedOn w:val="CommentTextChar"/>
    <w:link w:val="CommentSubject"/>
    <w:rsid w:val="003D2010"/>
    <w:rPr>
      <w:b/>
      <w:bCs/>
    </w:rPr>
  </w:style>
  <w:style w:type="paragraph" w:styleId="BalloonText">
    <w:name w:val="Balloon Text"/>
    <w:basedOn w:val="Normal"/>
    <w:link w:val="BalloonTextChar"/>
    <w:rsid w:val="003D2010"/>
    <w:pPr>
      <w:ind w:firstLine="720"/>
      <w:contextualSpacing w:val="0"/>
    </w:pPr>
    <w:rPr>
      <w:rFonts w:ascii="Tahoma" w:eastAsia="MS Mincho" w:hAnsi="Tahoma" w:cs="Tahoma"/>
      <w:sz w:val="16"/>
      <w:szCs w:val="16"/>
    </w:rPr>
  </w:style>
  <w:style w:type="character" w:customStyle="1" w:styleId="BalloonTextChar">
    <w:name w:val="Balloon Text Char"/>
    <w:basedOn w:val="DefaultParagraphFont"/>
    <w:link w:val="BalloonText"/>
    <w:rsid w:val="003D2010"/>
    <w:rPr>
      <w:rFonts w:ascii="Tahoma" w:eastAsia="MS Mincho" w:hAnsi="Tahoma" w:cs="Tahoma"/>
      <w:sz w:val="16"/>
      <w:szCs w:val="16"/>
    </w:rPr>
  </w:style>
  <w:style w:type="paragraph" w:styleId="ListParagraph">
    <w:name w:val="List Paragraph"/>
    <w:basedOn w:val="Normal"/>
    <w:uiPriority w:val="34"/>
    <w:qFormat/>
    <w:rsid w:val="003D2010"/>
    <w:pPr>
      <w:ind w:left="720" w:firstLine="720"/>
      <w:contextualSpacing w:val="0"/>
    </w:pPr>
    <w:rPr>
      <w:rFonts w:ascii="Times New Roman" w:eastAsia="MS Mincho" w:hAnsi="Times New Roman" w:cs="Times New Roman"/>
    </w:rPr>
  </w:style>
  <w:style w:type="paragraph" w:customStyle="1" w:styleId="bibliography">
    <w:name w:val="bibliography"/>
    <w:basedOn w:val="Normal"/>
    <w:rsid w:val="003D2010"/>
    <w:pPr>
      <w:tabs>
        <w:tab w:val="right" w:pos="9360"/>
      </w:tabs>
      <w:ind w:left="360" w:hanging="340"/>
      <w:contextualSpacing w:val="0"/>
    </w:pPr>
    <w:rPr>
      <w:rFonts w:ascii="Times" w:eastAsia="Times New Roman" w:hAnsi="Times" w:cs="Times New Roman"/>
      <w:sz w:val="24"/>
      <w:szCs w:val="20"/>
      <w:lang w:bidi="he-IL"/>
    </w:rPr>
  </w:style>
  <w:style w:type="paragraph" w:customStyle="1" w:styleId="indent0">
    <w:name w:val="indent"/>
    <w:basedOn w:val="Normal"/>
    <w:semiHidden/>
    <w:rsid w:val="003D2010"/>
    <w:pPr>
      <w:ind w:left="540" w:hanging="540"/>
      <w:contextualSpacing w:val="0"/>
    </w:pPr>
    <w:rPr>
      <w:rFonts w:ascii="Palatino" w:eastAsia="Times New Roman" w:hAnsi="Palatino" w:cs="Times New Roman"/>
      <w:sz w:val="20"/>
      <w:szCs w:val="20"/>
    </w:rPr>
  </w:style>
  <w:style w:type="character" w:customStyle="1" w:styleId="EmailStyle1011">
    <w:name w:val="EmailStyle101"/>
    <w:aliases w:val="EmailStyle101"/>
    <w:basedOn w:val="DefaultParagraphFont"/>
    <w:semiHidden/>
    <w:personal/>
    <w:personalCompose/>
    <w:rsid w:val="003D2010"/>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7478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11</Pages>
  <Words>5930</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39658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25</cp:revision>
  <dcterms:created xsi:type="dcterms:W3CDTF">2012-03-31T23:35:00Z</dcterms:created>
  <dcterms:modified xsi:type="dcterms:W3CDTF">2012-07-07T03:55:00Z</dcterms:modified>
</cp:coreProperties>
</file>