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2A4" w:rsidRDefault="00AF64C2" w:rsidP="002872A4">
      <w:pPr>
        <w:pStyle w:val="Heading1"/>
      </w:pPr>
      <w:r>
        <w:t>How Important I</w:t>
      </w:r>
      <w:r w:rsidR="003B34A3">
        <w:t>s Isaiah 1 – 55 to Isaiah 56 – 66?</w:t>
      </w:r>
      <w:r w:rsidR="002872A4">
        <w:t xml:space="preserve"> </w:t>
      </w:r>
    </w:p>
    <w:p w:rsidR="003B34A3" w:rsidRDefault="003B34A3" w:rsidP="003B34A3">
      <w:pPr>
        <w:pStyle w:val="NoSpacing"/>
      </w:pPr>
    </w:p>
    <w:p w:rsidR="003B34A3" w:rsidRDefault="003B34A3" w:rsidP="003B34A3">
      <w:pPr>
        <w:pStyle w:val="NoSpacing"/>
      </w:pPr>
      <w:r>
        <w:t>The question I seek to answer is “How important is Isaiah 1 – 55 to Isaiah 56 – 66?”  The sense in w</w:t>
      </w:r>
      <w:r w:rsidR="005E68DD">
        <w:t>hich I intend the question is, H</w:t>
      </w:r>
      <w:r>
        <w:t>ow far does Isaiah 1 – 55 set the agenda for Isaiah 56 – 66?  Bernhard Duhm was of key significance in establishing two principles of approach for the book of Isaiah.  First, chapters 40 – 66 were of such separate origin from chapters 1 – 39 that they might have been attached to chapters 1 – 39</w:t>
      </w:r>
      <w:r w:rsidR="005E68DD">
        <w:t xml:space="preserve"> simply because they fitted on</w:t>
      </w:r>
      <w:r>
        <w:t xml:space="preserve"> a scroll of convenient length.  Second, wit</w:t>
      </w:r>
      <w:r w:rsidR="00134B3B">
        <w:t>hin chapters 40 – 66, the last</w:t>
      </w:r>
      <w:r>
        <w:t xml:space="preserve"> e</w:t>
      </w:r>
      <w:r w:rsidR="005E68DD">
        <w:t>leven chapters were also of separate origin from chapters 40 – 55</w:t>
      </w:r>
      <w:r>
        <w:t xml:space="preserve">.  </w:t>
      </w:r>
      <w:r w:rsidR="00134B3B">
        <w:t>In reconsidering both</w:t>
      </w:r>
      <w:r w:rsidR="00AF64C2">
        <w:t xml:space="preserve"> these principles, over the past forty years muc</w:t>
      </w:r>
      <w:r w:rsidR="00134B3B">
        <w:t>h energy has gone into show</w:t>
      </w:r>
      <w:r w:rsidR="00AF64C2">
        <w:t>ing</w:t>
      </w:r>
      <w:r w:rsidR="00134B3B">
        <w:t xml:space="preserve"> how</w:t>
      </w:r>
      <w:r w:rsidR="00AF64C2">
        <w:t xml:space="preserve"> the different parts of the book interrelate in the sense that lines or phrases or </w:t>
      </w:r>
      <w:r w:rsidR="0065699E">
        <w:t xml:space="preserve">motifs from one part </w:t>
      </w:r>
      <w:r w:rsidR="00AF64C2">
        <w:t xml:space="preserve">reappear in another part.  In working with the second of the principles, much energy has gone into tracing the process whereby Isaiah 56 – 66 developed.  </w:t>
      </w:r>
    </w:p>
    <w:p w:rsidR="00AF64C2" w:rsidRDefault="00AF64C2" w:rsidP="003B34A3">
      <w:pPr>
        <w:pStyle w:val="NoSpacing"/>
      </w:pPr>
    </w:p>
    <w:p w:rsidR="00AF64C2" w:rsidRDefault="00AF64C2" w:rsidP="003B34A3">
      <w:pPr>
        <w:pStyle w:val="NoSpacing"/>
      </w:pPr>
      <w:r>
        <w:t xml:space="preserve">My own conviction regarding these two principles is as follows.  </w:t>
      </w:r>
      <w:r w:rsidR="00784858">
        <w:t>The</w:t>
      </w:r>
      <w:r>
        <w:t xml:space="preserve"> </w:t>
      </w:r>
      <w:r w:rsidR="00784858">
        <w:t xml:space="preserve">presupposition of the </w:t>
      </w:r>
      <w:r>
        <w:t>idea of a writer quoting from an earlier part of a bo</w:t>
      </w:r>
      <w:r w:rsidR="00784858">
        <w:t xml:space="preserve">ok or reworking an earlier part, with deliberate precision or with deliberate modification, </w:t>
      </w:r>
      <w:r>
        <w:t xml:space="preserve">makes sense in the age of the codex or of the internet, but </w:t>
      </w:r>
      <w:r w:rsidR="00784858">
        <w:t xml:space="preserve">I continue to be troubled by the question whether </w:t>
      </w:r>
      <w:r>
        <w:t>it make</w:t>
      </w:r>
      <w:r w:rsidR="00784858">
        <w:t>s sense in the age of the scroll.</w:t>
      </w:r>
      <w:r w:rsidR="009F7A3D">
        <w:rPr>
          <w:rStyle w:val="FootnoteReference"/>
        </w:rPr>
        <w:footnoteReference w:id="1"/>
      </w:r>
      <w:r w:rsidR="001739A4">
        <w:t xml:space="preserve">  But further, the passages that </w:t>
      </w:r>
      <w:r w:rsidR="00784858">
        <w:t xml:space="preserve">might </w:t>
      </w:r>
      <w:r w:rsidR="001739A4">
        <w:t>evidence something like quotation comprise only a minute proportion of the book as a whole or of any part of it.  Are they as important as we have been treating them?  My students come to the study of the Prophets with the assumption that the really impor</w:t>
      </w:r>
      <w:r w:rsidR="00784858">
        <w:t xml:space="preserve">tant things about them is the </w:t>
      </w:r>
      <w:r w:rsidR="001739A4">
        <w:t>prophecies of the Messiah, and I point out that even if one grants a messianic understanding of all the passages they think are messianic, these comprise only a minute proportion of the prophetic books; they can hardly be the key to understanding the prophets.  The same seems to be true of quotations and allusions.</w:t>
      </w:r>
    </w:p>
    <w:p w:rsidR="001739A4" w:rsidRDefault="001739A4" w:rsidP="003B34A3">
      <w:pPr>
        <w:pStyle w:val="NoSpacing"/>
      </w:pPr>
    </w:p>
    <w:p w:rsidR="003C1936" w:rsidRPr="003C1936" w:rsidRDefault="001739A4" w:rsidP="003C1936">
      <w:pPr>
        <w:pStyle w:val="NoSpacing"/>
      </w:pPr>
      <w:r>
        <w:t>With regard to the redactional development of Isaiah 56 – 66, I have read a dozen or more monographs that offer an</w:t>
      </w:r>
      <w:r w:rsidR="005E68DD">
        <w:t>alyses of the process and of its</w:t>
      </w:r>
      <w:r>
        <w:t xml:space="preserve"> historical and/or sociol</w:t>
      </w:r>
      <w:r w:rsidR="005E68DD">
        <w:t>ogical background</w:t>
      </w:r>
      <w:r>
        <w:t xml:space="preserve">, and I am troubled by the fact that they are all </w:t>
      </w:r>
      <w:r w:rsidR="005E68DD">
        <w:t xml:space="preserve">plausible but all </w:t>
      </w:r>
      <w:r>
        <w:t>differ</w:t>
      </w:r>
      <w:r w:rsidR="00784858">
        <w:t>ent.  Aware of this difficulty, one</w:t>
      </w:r>
      <w:r>
        <w:t xml:space="preserve"> recent study</w:t>
      </w:r>
      <w:r w:rsidR="0007710F">
        <w:rPr>
          <w:rStyle w:val="FootnoteReference"/>
        </w:rPr>
        <w:footnoteReference w:id="2"/>
      </w:r>
      <w:r w:rsidR="0007710F">
        <w:t xml:space="preserve"> </w:t>
      </w:r>
      <w:r w:rsidR="003C1936">
        <w:t>proceeds by beginning from the</w:t>
      </w:r>
      <w:r>
        <w:t xml:space="preserve"> scholarly </w:t>
      </w:r>
      <w:r w:rsidR="003C1936">
        <w:rPr>
          <w:rFonts w:cstheme="minorHAnsi"/>
        </w:rPr>
        <w:t>consensus view that Isaiah 60 – 62 is the oldest material in the chapters and is of distinct origin over against what stands on either side.  T</w:t>
      </w:r>
      <w:r w:rsidR="00784858">
        <w:rPr>
          <w:rFonts w:cstheme="minorHAnsi"/>
        </w:rPr>
        <w:t>he</w:t>
      </w:r>
      <w:r w:rsidR="00A53B9C">
        <w:rPr>
          <w:rFonts w:cstheme="minorHAnsi"/>
        </w:rPr>
        <w:t xml:space="preserve"> </w:t>
      </w:r>
      <w:r w:rsidR="005E68DD">
        <w:rPr>
          <w:rFonts w:cstheme="minorHAnsi"/>
        </w:rPr>
        <w:t xml:space="preserve">consensus </w:t>
      </w:r>
      <w:r w:rsidR="00A53B9C">
        <w:rPr>
          <w:rFonts w:cstheme="minorHAnsi"/>
        </w:rPr>
        <w:t>view</w:t>
      </w:r>
      <w:r w:rsidR="003C1936">
        <w:rPr>
          <w:rFonts w:cstheme="minorHAnsi"/>
        </w:rPr>
        <w:t xml:space="preserve"> is based in part</w:t>
      </w:r>
      <w:r w:rsidR="005E68DD">
        <w:rPr>
          <w:rFonts w:cstheme="minorHAnsi"/>
        </w:rPr>
        <w:t xml:space="preserve"> on theological tensions with</w:t>
      </w:r>
      <w:r w:rsidR="003C1936">
        <w:rPr>
          <w:rFonts w:cstheme="minorHAnsi"/>
        </w:rPr>
        <w:t xml:space="preserve"> the blocks of material</w:t>
      </w:r>
      <w:r w:rsidR="00A53B9C">
        <w:rPr>
          <w:rFonts w:cstheme="minorHAnsi"/>
        </w:rPr>
        <w:t xml:space="preserve"> on either side</w:t>
      </w:r>
      <w:r w:rsidR="00784858">
        <w:rPr>
          <w:rFonts w:cstheme="minorHAnsi"/>
        </w:rPr>
        <w:t>.  Yet</w:t>
      </w:r>
      <w:r w:rsidR="003C1936">
        <w:rPr>
          <w:rFonts w:cstheme="minorHAnsi"/>
        </w:rPr>
        <w:t xml:space="preserve"> the eventual compiler of Isaiah 56 – 66 could evidently live wit</w:t>
      </w:r>
      <w:r w:rsidR="00A53B9C">
        <w:rPr>
          <w:rFonts w:cstheme="minorHAnsi"/>
        </w:rPr>
        <w:t>h this tension,</w:t>
      </w:r>
      <w:r w:rsidR="003C1936">
        <w:rPr>
          <w:rFonts w:cstheme="minorHAnsi"/>
        </w:rPr>
        <w:t xml:space="preserve"> so why could a sin</w:t>
      </w:r>
      <w:r w:rsidR="005E68DD">
        <w:rPr>
          <w:rFonts w:cstheme="minorHAnsi"/>
        </w:rPr>
        <w:t>gle author not have done so?  The consensus view</w:t>
      </w:r>
      <w:r w:rsidR="00A53B9C">
        <w:rPr>
          <w:rFonts w:cstheme="minorHAnsi"/>
        </w:rPr>
        <w:t xml:space="preserve"> also bases itself</w:t>
      </w:r>
      <w:r w:rsidR="003C1936">
        <w:rPr>
          <w:rFonts w:cstheme="minorHAnsi"/>
        </w:rPr>
        <w:t xml:space="preserve"> on the assumption that the dependence of Isaiah 60 – 62 on Isaiah 40 – 55 means it is near to those</w:t>
      </w:r>
      <w:r w:rsidR="00784858">
        <w:rPr>
          <w:rFonts w:cstheme="minorHAnsi"/>
        </w:rPr>
        <w:t xml:space="preserve"> chapters in date.  But</w:t>
      </w:r>
      <w:r w:rsidR="00A53B9C">
        <w:rPr>
          <w:rFonts w:cstheme="minorHAnsi"/>
        </w:rPr>
        <w:t>ut this simp</w:t>
      </w:r>
      <w:r w:rsidR="00784858">
        <w:rPr>
          <w:rFonts w:cstheme="minorHAnsi"/>
        </w:rPr>
        <w:t>ly does not follow:</w:t>
      </w:r>
      <w:r w:rsidR="003C1936">
        <w:rPr>
          <w:rFonts w:cstheme="minorHAnsi"/>
        </w:rPr>
        <w:t xml:space="preserve">  </w:t>
      </w:r>
      <w:r w:rsidR="005E68DD">
        <w:rPr>
          <w:rFonts w:cstheme="minorHAnsi"/>
        </w:rPr>
        <w:t>I believe that Daniel 7 is dependent on Daniel 2, but that they</w:t>
      </w:r>
      <w:r w:rsidR="00784858">
        <w:rPr>
          <w:rFonts w:cstheme="minorHAnsi"/>
        </w:rPr>
        <w:t xml:space="preserve"> are centuries apart in date, and t</w:t>
      </w:r>
      <w:r w:rsidR="005E68DD">
        <w:rPr>
          <w:rFonts w:cstheme="minorHAnsi"/>
        </w:rPr>
        <w:t>he Revelation to John is dependent on the Prophets, but they are centuries older.</w:t>
      </w:r>
    </w:p>
    <w:p w:rsidR="003C1936" w:rsidRDefault="003C1936" w:rsidP="003C1936">
      <w:pPr>
        <w:pStyle w:val="NoSpacing"/>
        <w:rPr>
          <w:rFonts w:cstheme="minorHAnsi"/>
        </w:rPr>
      </w:pPr>
    </w:p>
    <w:p w:rsidR="003C1936" w:rsidRDefault="00784858" w:rsidP="003C1936">
      <w:pPr>
        <w:pStyle w:val="NoSpacing"/>
        <w:rPr>
          <w:rFonts w:cstheme="minorHAnsi"/>
        </w:rPr>
      </w:pPr>
      <w:r>
        <w:rPr>
          <w:rFonts w:cstheme="minorHAnsi"/>
        </w:rPr>
        <w:t>T</w:t>
      </w:r>
      <w:r w:rsidR="00A53B9C">
        <w:rPr>
          <w:rFonts w:cstheme="minorHAnsi"/>
        </w:rPr>
        <w:t>he idea that Isaiah 60 - 62</w:t>
      </w:r>
      <w:r w:rsidR="003C1936">
        <w:rPr>
          <w:rFonts w:cstheme="minorHAnsi"/>
        </w:rPr>
        <w:t xml:space="preserve"> is </w:t>
      </w:r>
      <w:r w:rsidR="00A53B9C">
        <w:rPr>
          <w:rFonts w:cstheme="minorHAnsi"/>
        </w:rPr>
        <w:t xml:space="preserve">the oldest material in Isaiah 56 – 66 is </w:t>
      </w:r>
      <w:r w:rsidR="003C1936">
        <w:rPr>
          <w:rFonts w:cstheme="minorHAnsi"/>
        </w:rPr>
        <w:t xml:space="preserve">indeed </w:t>
      </w:r>
      <w:r w:rsidR="00A53B9C">
        <w:rPr>
          <w:rFonts w:cstheme="minorHAnsi"/>
        </w:rPr>
        <w:t>the consensus view</w:t>
      </w:r>
      <w:r w:rsidR="003C1936">
        <w:rPr>
          <w:rFonts w:cstheme="minorHAnsi"/>
        </w:rPr>
        <w:t>.</w:t>
      </w:r>
      <w:r w:rsidR="00AD5E29">
        <w:rPr>
          <w:rStyle w:val="FootnoteReference"/>
          <w:rFonts w:cstheme="minorHAnsi"/>
        </w:rPr>
        <w:footnoteReference w:id="3"/>
      </w:r>
      <w:r w:rsidR="003C1936">
        <w:rPr>
          <w:rFonts w:cstheme="minorHAnsi"/>
        </w:rPr>
        <w:t xml:space="preserve">  But the revolution</w:t>
      </w:r>
      <w:r w:rsidR="00A53B9C">
        <w:rPr>
          <w:rFonts w:cstheme="minorHAnsi"/>
        </w:rPr>
        <w:t>s</w:t>
      </w:r>
      <w:r w:rsidR="003C1936">
        <w:rPr>
          <w:rFonts w:cstheme="minorHAnsi"/>
        </w:rPr>
        <w:t xml:space="preserve"> in the study of Isaiah </w:t>
      </w:r>
      <w:r w:rsidR="00A53B9C">
        <w:rPr>
          <w:rFonts w:cstheme="minorHAnsi"/>
        </w:rPr>
        <w:t>and of the Pentateuch over the past half-century show</w:t>
      </w:r>
      <w:r w:rsidR="003C1936">
        <w:rPr>
          <w:rFonts w:cstheme="minorHAnsi"/>
        </w:rPr>
        <w:t xml:space="preserve"> the problem with consensus views.  A consensus is all they are; today’s consensus is tomorrow’s out-of-date </w:t>
      </w:r>
      <w:r w:rsidR="003C1936">
        <w:rPr>
          <w:rFonts w:cstheme="minorHAnsi"/>
        </w:rPr>
        <w:lastRenderedPageBreak/>
        <w:t xml:space="preserve">scholarship.  Reviewers of monographs sometimes include a closing comment that the work in question will have to be taken account in future study of the issue it studies.   Is that all?  Is scholarly research on a subject like the origin of Isaiah merely an intertextual conversation among scholars that does not correspond to anything in the external world?  </w:t>
      </w:r>
      <w:r w:rsidR="005E68DD">
        <w:rPr>
          <w:rFonts w:cstheme="minorHAnsi"/>
        </w:rPr>
        <w:t>Certainly it seems to be a conversation that is nev</w:t>
      </w:r>
      <w:r w:rsidR="00311062">
        <w:rPr>
          <w:rFonts w:cstheme="minorHAnsi"/>
        </w:rPr>
        <w:t>e</w:t>
      </w:r>
      <w:r w:rsidR="005E68DD">
        <w:rPr>
          <w:rFonts w:cstheme="minorHAnsi"/>
        </w:rPr>
        <w:t>r going to reach conclusions.</w:t>
      </w:r>
      <w:r>
        <w:rPr>
          <w:rFonts w:cstheme="minorHAnsi"/>
        </w:rPr>
        <w:t xml:space="preserve">  </w:t>
      </w:r>
    </w:p>
    <w:p w:rsidR="009000CA" w:rsidRDefault="009000CA" w:rsidP="003C1936">
      <w:pPr>
        <w:pStyle w:val="NoSpacing"/>
        <w:rPr>
          <w:rFonts w:cstheme="minorHAnsi"/>
        </w:rPr>
      </w:pPr>
    </w:p>
    <w:p w:rsidR="00311062" w:rsidRDefault="003C1936" w:rsidP="003C1936">
      <w:pPr>
        <w:pStyle w:val="NoSpacing"/>
        <w:rPr>
          <w:rFonts w:cstheme="minorHAnsi"/>
        </w:rPr>
      </w:pPr>
      <w:r>
        <w:rPr>
          <w:rFonts w:cstheme="minorHAnsi"/>
        </w:rPr>
        <w:t xml:space="preserve">In interpretation, everything depends on the interests, assumptions, and questions you bring to the text.  In the study of Isaiah 56 – 66 to which I have referred, the interests, assumptions, and questions are historical ones.  </w:t>
      </w:r>
      <w:r w:rsidR="002A40C4">
        <w:rPr>
          <w:rFonts w:cstheme="minorHAnsi"/>
        </w:rPr>
        <w:t xml:space="preserve">The scholarly interest lies in </w:t>
      </w:r>
      <w:r w:rsidR="00A53B9C">
        <w:rPr>
          <w:rFonts w:cstheme="minorHAnsi"/>
        </w:rPr>
        <w:t xml:space="preserve">tracing the history of events and movements in the Second Temple period, its </w:t>
      </w:r>
      <w:r w:rsidR="002A40C4">
        <w:rPr>
          <w:rFonts w:cstheme="minorHAnsi"/>
        </w:rPr>
        <w:t>assumption is that we can establish when the chapters came into being</w:t>
      </w:r>
      <w:r w:rsidR="00A53B9C">
        <w:rPr>
          <w:rFonts w:cstheme="minorHAnsi"/>
        </w:rPr>
        <w:t>, and its questions concern the nat</w:t>
      </w:r>
      <w:r w:rsidR="005E68DD">
        <w:rPr>
          <w:rFonts w:cstheme="minorHAnsi"/>
        </w:rPr>
        <w:t>ure of that process.  I suggest that</w:t>
      </w:r>
      <w:r w:rsidR="00A53B9C">
        <w:rPr>
          <w:rFonts w:cstheme="minorHAnsi"/>
        </w:rPr>
        <w:t xml:space="preserve"> the history of scholarship over the past century and in particular over the </w:t>
      </w:r>
      <w:r w:rsidR="0065699E">
        <w:rPr>
          <w:rFonts w:cstheme="minorHAnsi"/>
        </w:rPr>
        <w:t>last forty years shows that the</w:t>
      </w:r>
      <w:r w:rsidR="00A53B9C">
        <w:rPr>
          <w:rFonts w:cstheme="minorHAnsi"/>
        </w:rPr>
        <w:t xml:space="preserve"> assumption </w:t>
      </w:r>
      <w:r w:rsidR="009000CA">
        <w:rPr>
          <w:rFonts w:cstheme="minorHAnsi"/>
        </w:rPr>
        <w:t xml:space="preserve">that we can establish how the chapters came into being </w:t>
      </w:r>
      <w:r w:rsidR="00A53B9C">
        <w:rPr>
          <w:rFonts w:cstheme="minorHAnsi"/>
        </w:rPr>
        <w:t xml:space="preserve">is fallacious.  </w:t>
      </w:r>
      <w:r w:rsidR="00311062">
        <w:rPr>
          <w:rFonts w:cstheme="minorHAnsi"/>
        </w:rPr>
        <w:t>The sociological t</w:t>
      </w:r>
      <w:r w:rsidR="009000CA">
        <w:rPr>
          <w:rFonts w:cstheme="minorHAnsi"/>
        </w:rPr>
        <w:t>urn in the study of the Second T</w:t>
      </w:r>
      <w:r w:rsidR="00311062">
        <w:rPr>
          <w:rFonts w:cstheme="minorHAnsi"/>
        </w:rPr>
        <w:t>emple period over the past forty years supports this view.  Whereas we took the sociological turn in the hope that this could provide us</w:t>
      </w:r>
      <w:r w:rsidR="009000CA">
        <w:rPr>
          <w:rFonts w:cstheme="minorHAnsi"/>
        </w:rPr>
        <w:t xml:space="preserve"> with a way of circumventing some</w:t>
      </w:r>
      <w:r w:rsidR="00311062">
        <w:rPr>
          <w:rFonts w:cstheme="minorHAnsi"/>
        </w:rPr>
        <w:t xml:space="preserve"> impasse</w:t>
      </w:r>
      <w:r w:rsidR="009000CA">
        <w:rPr>
          <w:rFonts w:cstheme="minorHAnsi"/>
        </w:rPr>
        <w:t>s</w:t>
      </w:r>
      <w:r w:rsidR="00311062">
        <w:rPr>
          <w:rFonts w:cstheme="minorHAnsi"/>
        </w:rPr>
        <w:t xml:space="preserve"> of traditional </w:t>
      </w:r>
      <w:r w:rsidR="009000CA">
        <w:rPr>
          <w:rFonts w:cstheme="minorHAnsi"/>
        </w:rPr>
        <w:t>historical study</w:t>
      </w:r>
      <w:r w:rsidR="00311062">
        <w:rPr>
          <w:rFonts w:cstheme="minorHAnsi"/>
        </w:rPr>
        <w:t>, it has simply led to the building of hypothesis upon hypothesis regarding a question such as the identity of the conflict that lies at the back of the materia</w:t>
      </w:r>
      <w:r w:rsidR="009000CA">
        <w:rPr>
          <w:rFonts w:cstheme="minorHAnsi"/>
        </w:rPr>
        <w:t xml:space="preserve">l in Isaiah 56 – 66.  The </w:t>
      </w:r>
      <w:r w:rsidR="00311062">
        <w:rPr>
          <w:rFonts w:cstheme="minorHAnsi"/>
        </w:rPr>
        <w:t>t</w:t>
      </w:r>
      <w:r w:rsidR="009000CA">
        <w:rPr>
          <w:rFonts w:cstheme="minorHAnsi"/>
        </w:rPr>
        <w:t>hesis that the conflict involved</w:t>
      </w:r>
      <w:r w:rsidR="00311062">
        <w:rPr>
          <w:rFonts w:cstheme="minorHAnsi"/>
        </w:rPr>
        <w:t xml:space="preserve"> prophets over against priests and/or </w:t>
      </w:r>
      <w:r w:rsidR="009000CA">
        <w:rPr>
          <w:rFonts w:cstheme="minorHAnsi"/>
        </w:rPr>
        <w:t xml:space="preserve">that it involved </w:t>
      </w:r>
      <w:r w:rsidR="00311062">
        <w:rPr>
          <w:rFonts w:cstheme="minorHAnsi"/>
        </w:rPr>
        <w:t>people who believe God is active in the present over against people who can only look for God’s action in the future</w:t>
      </w:r>
      <w:r w:rsidR="009000CA">
        <w:rPr>
          <w:rFonts w:cstheme="minorHAnsi"/>
        </w:rPr>
        <w:t xml:space="preserve"> has not carried conviction.  The thesis</w:t>
      </w:r>
      <w:r w:rsidR="00311062">
        <w:rPr>
          <w:rFonts w:cstheme="minorHAnsi"/>
        </w:rPr>
        <w:t xml:space="preserve"> has led to lively discussion, but that is all.  And the reason is that it involves too speculative a construction on the basis of too small a collection of data</w:t>
      </w:r>
      <w:r w:rsidR="009000CA">
        <w:rPr>
          <w:rFonts w:cstheme="minorHAnsi"/>
        </w:rPr>
        <w:t xml:space="preserve">, and </w:t>
      </w:r>
      <w:r w:rsidR="006C07B6">
        <w:rPr>
          <w:rFonts w:cstheme="minorHAnsi"/>
        </w:rPr>
        <w:t xml:space="preserve">furthermore a construction that has to ignore some of the data.  </w:t>
      </w:r>
    </w:p>
    <w:p w:rsidR="00311062" w:rsidRDefault="00311062" w:rsidP="003C1936">
      <w:pPr>
        <w:pStyle w:val="NoSpacing"/>
        <w:rPr>
          <w:rFonts w:cstheme="minorHAnsi"/>
        </w:rPr>
      </w:pPr>
    </w:p>
    <w:p w:rsidR="00885F44" w:rsidRPr="00885F44" w:rsidRDefault="00885F44" w:rsidP="00885F44">
      <w:pPr>
        <w:autoSpaceDE w:val="0"/>
        <w:autoSpaceDN w:val="0"/>
        <w:adjustRightInd w:val="0"/>
        <w:spacing w:after="0" w:line="240" w:lineRule="auto"/>
        <w:rPr>
          <w:rFonts w:eastAsia="SabonMTPro-Regular" w:cstheme="minorHAnsi"/>
        </w:rPr>
      </w:pPr>
      <w:r w:rsidRPr="00885F44">
        <w:rPr>
          <w:rFonts w:eastAsia="SabonMTPro-Regular" w:cstheme="minorHAnsi"/>
        </w:rPr>
        <w:t>“</w:t>
      </w:r>
      <w:proofErr w:type="gramStart"/>
      <w:r w:rsidRPr="00885F44">
        <w:rPr>
          <w:rFonts w:eastAsia="SabonMTPro-Regular" w:cstheme="minorHAnsi"/>
        </w:rPr>
        <w:t>the</w:t>
      </w:r>
      <w:proofErr w:type="gramEnd"/>
      <w:r w:rsidRPr="00885F44">
        <w:rPr>
          <w:rFonts w:eastAsia="SabonMTPro-Regular" w:cstheme="minorHAnsi"/>
        </w:rPr>
        <w:t xml:space="preserve"> crucial question, which</w:t>
      </w:r>
    </w:p>
    <w:p w:rsidR="00885F44" w:rsidRPr="00885F44" w:rsidRDefault="00885F44" w:rsidP="00885F44">
      <w:pPr>
        <w:autoSpaceDE w:val="0"/>
        <w:autoSpaceDN w:val="0"/>
        <w:adjustRightInd w:val="0"/>
        <w:spacing w:after="0" w:line="240" w:lineRule="auto"/>
        <w:rPr>
          <w:rFonts w:eastAsia="SabonMTPro-Regular" w:cstheme="minorHAnsi"/>
        </w:rPr>
      </w:pPr>
      <w:proofErr w:type="gramStart"/>
      <w:r w:rsidRPr="00885F44">
        <w:rPr>
          <w:rFonts w:eastAsia="SabonMTPro-Regular" w:cstheme="minorHAnsi"/>
        </w:rPr>
        <w:t>is</w:t>
      </w:r>
      <w:proofErr w:type="gramEnd"/>
      <w:r w:rsidRPr="00885F44">
        <w:rPr>
          <w:rFonts w:eastAsia="SabonMTPro-Regular" w:cstheme="minorHAnsi"/>
        </w:rPr>
        <w:t xml:space="preserve"> prior to questions of method and sets the context for them, is that of</w:t>
      </w:r>
    </w:p>
    <w:p w:rsidR="00885F44" w:rsidRPr="00885F44" w:rsidRDefault="00885F44" w:rsidP="00885F44">
      <w:pPr>
        <w:autoSpaceDE w:val="0"/>
        <w:autoSpaceDN w:val="0"/>
        <w:adjustRightInd w:val="0"/>
        <w:spacing w:after="0" w:line="240" w:lineRule="auto"/>
        <w:rPr>
          <w:rFonts w:eastAsia="SabonMTPro-Italic" w:cstheme="minorHAnsi"/>
          <w:i/>
          <w:iCs/>
        </w:rPr>
      </w:pPr>
      <w:proofErr w:type="gramStart"/>
      <w:r w:rsidRPr="00885F44">
        <w:rPr>
          <w:rFonts w:eastAsia="SabonMTPro-Regular" w:cstheme="minorHAnsi"/>
        </w:rPr>
        <w:t>purpose</w:t>
      </w:r>
      <w:proofErr w:type="gramEnd"/>
      <w:r w:rsidRPr="00885F44">
        <w:rPr>
          <w:rFonts w:eastAsia="SabonMTPro-Regular" w:cstheme="minorHAnsi"/>
        </w:rPr>
        <w:t xml:space="preserve"> and goal. To put it simply, </w:t>
      </w:r>
      <w:r w:rsidRPr="00885F44">
        <w:rPr>
          <w:rFonts w:eastAsia="SabonMTPro-Italic" w:cstheme="minorHAnsi"/>
          <w:i/>
          <w:iCs/>
        </w:rPr>
        <w:t>how we use the Bible depends on why</w:t>
      </w:r>
    </w:p>
    <w:p w:rsidR="00885F44" w:rsidRPr="00885F44" w:rsidRDefault="00885F44" w:rsidP="00885F44">
      <w:pPr>
        <w:autoSpaceDE w:val="0"/>
        <w:autoSpaceDN w:val="0"/>
        <w:adjustRightInd w:val="0"/>
        <w:spacing w:after="0" w:line="240" w:lineRule="auto"/>
        <w:rPr>
          <w:rFonts w:eastAsia="SabonMTPro-Regular" w:cstheme="minorHAnsi"/>
        </w:rPr>
      </w:pPr>
      <w:proofErr w:type="gramStart"/>
      <w:r w:rsidRPr="00885F44">
        <w:rPr>
          <w:rFonts w:eastAsia="SabonMTPro-Italic" w:cstheme="minorHAnsi"/>
          <w:i/>
          <w:iCs/>
        </w:rPr>
        <w:t>we</w:t>
      </w:r>
      <w:proofErr w:type="gramEnd"/>
      <w:r w:rsidRPr="00885F44">
        <w:rPr>
          <w:rFonts w:eastAsia="SabonMTPro-Italic" w:cstheme="minorHAnsi"/>
          <w:i/>
          <w:iCs/>
        </w:rPr>
        <w:t xml:space="preserve"> use the Bible</w:t>
      </w:r>
      <w:r w:rsidRPr="00885F44">
        <w:rPr>
          <w:rFonts w:eastAsia="SabonMTPro-Regular" w:cstheme="minorHAnsi"/>
        </w:rPr>
        <w:t>. In practice, many of the disagreements about how are,</w:t>
      </w:r>
    </w:p>
    <w:p w:rsidR="00885F44" w:rsidRPr="00885F44" w:rsidRDefault="00885F44" w:rsidP="00885F44">
      <w:pPr>
        <w:autoSpaceDE w:val="0"/>
        <w:autoSpaceDN w:val="0"/>
        <w:adjustRightInd w:val="0"/>
        <w:spacing w:after="0" w:line="240" w:lineRule="auto"/>
        <w:rPr>
          <w:rFonts w:eastAsia="SabonMTPro-Regular" w:cstheme="minorHAnsi"/>
        </w:rPr>
      </w:pPr>
      <w:proofErr w:type="gramStart"/>
      <w:r w:rsidRPr="00885F44">
        <w:rPr>
          <w:rFonts w:eastAsia="SabonMTPro-Regular" w:cstheme="minorHAnsi"/>
        </w:rPr>
        <w:t>in</w:t>
      </w:r>
      <w:proofErr w:type="gramEnd"/>
      <w:r w:rsidRPr="00885F44">
        <w:rPr>
          <w:rFonts w:eastAsia="SabonMTPro-Regular" w:cstheme="minorHAnsi"/>
        </w:rPr>
        <w:t xml:space="preserve"> effect, disagreements about why, and failure to recognize this leads to</w:t>
      </w:r>
    </w:p>
    <w:p w:rsidR="00885F44" w:rsidRPr="00885F44" w:rsidRDefault="00885F44" w:rsidP="00885F44">
      <w:pPr>
        <w:pStyle w:val="NoSpacing"/>
        <w:rPr>
          <w:rFonts w:cstheme="minorHAnsi"/>
        </w:rPr>
      </w:pPr>
      <w:proofErr w:type="gramStart"/>
      <w:r w:rsidRPr="00885F44">
        <w:rPr>
          <w:rFonts w:eastAsia="SabonMTPro-Regular" w:cstheme="minorHAnsi"/>
        </w:rPr>
        <w:t>endless</w:t>
      </w:r>
      <w:proofErr w:type="gramEnd"/>
      <w:r w:rsidRPr="00885F44">
        <w:rPr>
          <w:rFonts w:eastAsia="SabonMTPro-Regular" w:cstheme="minorHAnsi"/>
        </w:rPr>
        <w:t xml:space="preserve"> confusion.</w:t>
      </w:r>
      <w:r>
        <w:rPr>
          <w:rFonts w:eastAsia="SabonMTPro-Regular" w:cstheme="minorHAnsi"/>
        </w:rPr>
        <w:t>”</w:t>
      </w:r>
      <w:r>
        <w:rPr>
          <w:rStyle w:val="FootnoteReference"/>
          <w:rFonts w:eastAsia="SabonMTPro-Regular" w:cstheme="minorHAnsi"/>
        </w:rPr>
        <w:footnoteReference w:id="4"/>
      </w:r>
    </w:p>
    <w:p w:rsidR="00885F44" w:rsidRDefault="00885F44" w:rsidP="003C1936">
      <w:pPr>
        <w:pStyle w:val="NoSpacing"/>
        <w:rPr>
          <w:rFonts w:cstheme="minorHAnsi"/>
        </w:rPr>
      </w:pPr>
    </w:p>
    <w:p w:rsidR="00113F6A" w:rsidRDefault="00A53B9C" w:rsidP="003C1936">
      <w:pPr>
        <w:pStyle w:val="NoSpacing"/>
        <w:rPr>
          <w:rFonts w:cstheme="minorHAnsi"/>
        </w:rPr>
      </w:pPr>
      <w:r>
        <w:rPr>
          <w:rFonts w:cstheme="minorHAnsi"/>
        </w:rPr>
        <w:t>I share the conviction that it would aid interpretation if we could trace the history of the development of Isaiah 56 – 66</w:t>
      </w:r>
      <w:r w:rsidR="00113F6A">
        <w:rPr>
          <w:rFonts w:cstheme="minorHAnsi"/>
        </w:rPr>
        <w:t xml:space="preserve"> and I wish we could</w:t>
      </w:r>
      <w:r w:rsidR="0065699E">
        <w:rPr>
          <w:rFonts w:cstheme="minorHAnsi"/>
        </w:rPr>
        <w:t xml:space="preserve"> do so</w:t>
      </w:r>
      <w:r w:rsidR="00113F6A">
        <w:rPr>
          <w:rFonts w:cstheme="minorHAnsi"/>
        </w:rPr>
        <w:t>, but</w:t>
      </w:r>
      <w:r w:rsidR="0065699E">
        <w:rPr>
          <w:rFonts w:cstheme="minorHAnsi"/>
        </w:rPr>
        <w:t xml:space="preserve"> we cannot,</w:t>
      </w:r>
      <w:r>
        <w:rPr>
          <w:rFonts w:cstheme="minorHAnsi"/>
        </w:rPr>
        <w:t xml:space="preserve"> and </w:t>
      </w:r>
      <w:r w:rsidR="00113F6A">
        <w:rPr>
          <w:rFonts w:cstheme="minorHAnsi"/>
        </w:rPr>
        <w:t xml:space="preserve">we </w:t>
      </w:r>
      <w:r>
        <w:rPr>
          <w:rFonts w:cstheme="minorHAnsi"/>
        </w:rPr>
        <w:t>will ne</w:t>
      </w:r>
      <w:r w:rsidR="00113F6A">
        <w:rPr>
          <w:rFonts w:cstheme="minorHAnsi"/>
        </w:rPr>
        <w:t>ver be able to do so unless as the result of some</w:t>
      </w:r>
      <w:r>
        <w:rPr>
          <w:rFonts w:cstheme="minorHAnsi"/>
        </w:rPr>
        <w:t xml:space="preserve"> archeologica</w:t>
      </w:r>
      <w:r w:rsidR="00113F6A">
        <w:rPr>
          <w:rFonts w:cstheme="minorHAnsi"/>
        </w:rPr>
        <w:t>l findings more spectacular than those of Qumran.</w:t>
      </w:r>
      <w:r w:rsidR="009000CA">
        <w:rPr>
          <w:rFonts w:cstheme="minorHAnsi"/>
        </w:rPr>
        <w:t xml:space="preserve">  </w:t>
      </w:r>
      <w:r w:rsidR="00113F6A">
        <w:rPr>
          <w:rFonts w:cstheme="minorHAnsi"/>
        </w:rPr>
        <w:t xml:space="preserve">It is no use asking historical questions of this material.  There is, of course, a reason.  The people who compiled the book of Isaiah were not interested in historical questions.  Our focus on historical questions means we have to read against the grain of the text’s interests.  We are like people who study Shakespeare in order to discover </w:t>
      </w:r>
      <w:r w:rsidR="00504207">
        <w:rPr>
          <w:rFonts w:cstheme="minorHAnsi"/>
        </w:rPr>
        <w:t xml:space="preserve">the history of Henry VIII or </w:t>
      </w:r>
      <w:r w:rsidR="009000CA">
        <w:rPr>
          <w:rFonts w:cstheme="minorHAnsi"/>
        </w:rPr>
        <w:t xml:space="preserve">in order </w:t>
      </w:r>
      <w:r w:rsidR="00504207">
        <w:rPr>
          <w:rFonts w:cstheme="minorHAnsi"/>
        </w:rPr>
        <w:t xml:space="preserve">to trace the process whereby John Fletcher may have collaborated in writing the play or </w:t>
      </w:r>
      <w:r w:rsidR="005E68DD">
        <w:rPr>
          <w:rFonts w:cstheme="minorHAnsi"/>
        </w:rPr>
        <w:t xml:space="preserve">may have </w:t>
      </w:r>
      <w:r w:rsidR="00504207">
        <w:rPr>
          <w:rFonts w:cstheme="minorHAnsi"/>
        </w:rPr>
        <w:t>revised it.  In the case of Isaiah 56 – 66</w:t>
      </w:r>
      <w:r w:rsidR="005E68DD">
        <w:rPr>
          <w:rFonts w:cstheme="minorHAnsi"/>
        </w:rPr>
        <w:t>,</w:t>
      </w:r>
      <w:r w:rsidR="00504207">
        <w:rPr>
          <w:rFonts w:cstheme="minorHAnsi"/>
        </w:rPr>
        <w:t xml:space="preserve"> at leas</w:t>
      </w:r>
      <w:r w:rsidR="009000CA">
        <w:rPr>
          <w:rFonts w:cstheme="minorHAnsi"/>
        </w:rPr>
        <w:t>t, the work does not cooperate</w:t>
      </w:r>
      <w:r w:rsidR="00504207">
        <w:rPr>
          <w:rFonts w:cstheme="minorHAnsi"/>
        </w:rPr>
        <w:t xml:space="preserve"> with us</w:t>
      </w:r>
      <w:r w:rsidR="005E68DD">
        <w:rPr>
          <w:rFonts w:cstheme="minorHAnsi"/>
        </w:rPr>
        <w:t xml:space="preserve"> by answer</w:t>
      </w:r>
      <w:r w:rsidR="0065699E">
        <w:rPr>
          <w:rFonts w:cstheme="minorHAnsi"/>
        </w:rPr>
        <w:t>ing our historical questions.  As s</w:t>
      </w:r>
      <w:r w:rsidR="005E68DD">
        <w:rPr>
          <w:rFonts w:cstheme="minorHAnsi"/>
        </w:rPr>
        <w:t xml:space="preserve">uch </w:t>
      </w:r>
      <w:r w:rsidR="00504207">
        <w:rPr>
          <w:rFonts w:cstheme="minorHAnsi"/>
        </w:rPr>
        <w:t>questions do not deliver the goods in the interpreta</w:t>
      </w:r>
      <w:r w:rsidR="0065699E">
        <w:rPr>
          <w:rFonts w:cstheme="minorHAnsi"/>
        </w:rPr>
        <w:t>tion of Shakespeare’s play, neither do they</w:t>
      </w:r>
      <w:r w:rsidR="00504207">
        <w:rPr>
          <w:rFonts w:cstheme="minorHAnsi"/>
        </w:rPr>
        <w:t xml:space="preserve"> in the interpretation of Isaiah.  </w:t>
      </w:r>
    </w:p>
    <w:p w:rsidR="00504207" w:rsidRDefault="00504207" w:rsidP="003C1936">
      <w:pPr>
        <w:pStyle w:val="NoSpacing"/>
        <w:rPr>
          <w:rFonts w:cstheme="minorHAnsi"/>
        </w:rPr>
      </w:pPr>
    </w:p>
    <w:p w:rsidR="006C07B6" w:rsidRDefault="00504207" w:rsidP="003C1936">
      <w:pPr>
        <w:pStyle w:val="NoSpacing"/>
        <w:rPr>
          <w:rFonts w:cstheme="minorHAnsi"/>
        </w:rPr>
      </w:pPr>
      <w:r>
        <w:rPr>
          <w:rFonts w:cstheme="minorHAnsi"/>
        </w:rPr>
        <w:t>I draw the analogy with Shakespeare in order to make clear that I am not making an argument for a canonical interpretation of Isaiah</w:t>
      </w:r>
      <w:r w:rsidR="009000CA">
        <w:rPr>
          <w:rFonts w:cstheme="minorHAnsi"/>
        </w:rPr>
        <w:t xml:space="preserve"> in the sense that the argument has something </w:t>
      </w:r>
      <w:r>
        <w:rPr>
          <w:rFonts w:cstheme="minorHAnsi"/>
        </w:rPr>
        <w:t>to d</w:t>
      </w:r>
      <w:r w:rsidR="009000CA">
        <w:rPr>
          <w:rFonts w:cstheme="minorHAnsi"/>
        </w:rPr>
        <w:t>o with Isaiah being a scriptural text (and the fact that Shakespeare is part of the literary canon does not affect the point)</w:t>
      </w:r>
      <w:r>
        <w:rPr>
          <w:rFonts w:cstheme="minorHAnsi"/>
        </w:rPr>
        <w:t xml:space="preserve">.  It is to do with the propriety </w:t>
      </w:r>
      <w:r w:rsidR="009000CA">
        <w:rPr>
          <w:rFonts w:cstheme="minorHAnsi"/>
        </w:rPr>
        <w:t xml:space="preserve">or wisdom </w:t>
      </w:r>
      <w:r>
        <w:rPr>
          <w:rFonts w:cstheme="minorHAnsi"/>
        </w:rPr>
        <w:t>of interpreti</w:t>
      </w:r>
      <w:r w:rsidR="009000CA">
        <w:rPr>
          <w:rFonts w:cstheme="minorHAnsi"/>
        </w:rPr>
        <w:t>ng a work in light of its own nature.  Isaiah</w:t>
      </w:r>
      <w:r>
        <w:rPr>
          <w:rFonts w:cstheme="minorHAnsi"/>
        </w:rPr>
        <w:t xml:space="preserve"> is a religious, ethical, and theological text.  It talks about the way people relate to God, about what they think it is </w:t>
      </w:r>
      <w:r>
        <w:rPr>
          <w:rFonts w:cstheme="minorHAnsi"/>
        </w:rPr>
        <w:lastRenderedPageBreak/>
        <w:t>right and wrong to do</w:t>
      </w:r>
      <w:r w:rsidR="005E68DD">
        <w:rPr>
          <w:rFonts w:cstheme="minorHAnsi"/>
        </w:rPr>
        <w:t>, and about how they think of God and of</w:t>
      </w:r>
      <w:r w:rsidR="009000CA">
        <w:rPr>
          <w:rFonts w:cstheme="minorHAnsi"/>
        </w:rPr>
        <w:t xml:space="preserve"> the </w:t>
      </w:r>
      <w:r>
        <w:rPr>
          <w:rFonts w:cstheme="minorHAnsi"/>
        </w:rPr>
        <w:t>relationships between God, Is</w:t>
      </w:r>
      <w:r w:rsidR="009000CA">
        <w:rPr>
          <w:rFonts w:cstheme="minorHAnsi"/>
        </w:rPr>
        <w:t>rael, and other peoples.  I</w:t>
      </w:r>
      <w:r>
        <w:rPr>
          <w:rFonts w:cstheme="minorHAnsi"/>
        </w:rPr>
        <w:t xml:space="preserve">f we are to be </w:t>
      </w:r>
      <w:r w:rsidR="00A9684D">
        <w:rPr>
          <w:rFonts w:cstheme="minorHAnsi"/>
        </w:rPr>
        <w:t>“</w:t>
      </w:r>
      <w:r>
        <w:rPr>
          <w:rFonts w:cstheme="minorHAnsi"/>
        </w:rPr>
        <w:t>competent readers</w:t>
      </w:r>
      <w:r w:rsidR="00A9684D">
        <w:rPr>
          <w:rFonts w:cstheme="minorHAnsi"/>
        </w:rPr>
        <w:t>”</w:t>
      </w:r>
      <w:r>
        <w:rPr>
          <w:rFonts w:cstheme="minorHAnsi"/>
        </w:rPr>
        <w:t xml:space="preserve"> of Isaiah, if we are to be the readers it </w:t>
      </w:r>
      <w:r w:rsidR="00A9684D">
        <w:rPr>
          <w:rFonts w:cstheme="minorHAnsi"/>
        </w:rPr>
        <w:t>“</w:t>
      </w:r>
      <w:r>
        <w:rPr>
          <w:rFonts w:cstheme="minorHAnsi"/>
        </w:rPr>
        <w:t>implies,</w:t>
      </w:r>
      <w:r w:rsidR="00A9684D">
        <w:rPr>
          <w:rFonts w:cstheme="minorHAnsi"/>
        </w:rPr>
        <w:t>”</w:t>
      </w:r>
      <w:r w:rsidR="00A9684D">
        <w:rPr>
          <w:rStyle w:val="FootnoteReference"/>
          <w:rFonts w:cstheme="minorHAnsi"/>
        </w:rPr>
        <w:footnoteReference w:id="5"/>
      </w:r>
      <w:r>
        <w:rPr>
          <w:rFonts w:cstheme="minorHAnsi"/>
        </w:rPr>
        <w:t xml:space="preserve"> we need to adopt the position of people interested in religion, ethics, and theology.  Occasionally the book of Isaiah refers explicitly to historical figures and events, because its questions about religion, ethics, and theology are formulated in various kinds of connection with such figures.  But it is those questions that are its concern and </w:t>
      </w:r>
      <w:r w:rsidR="009000CA">
        <w:rPr>
          <w:rFonts w:cstheme="minorHAnsi"/>
        </w:rPr>
        <w:t xml:space="preserve">those questions </w:t>
      </w:r>
      <w:r>
        <w:rPr>
          <w:rFonts w:cstheme="minorHAnsi"/>
        </w:rPr>
        <w:t>that competent readers of the</w:t>
      </w:r>
      <w:r w:rsidR="009000CA">
        <w:rPr>
          <w:rFonts w:cstheme="minorHAnsi"/>
        </w:rPr>
        <w:t xml:space="preserve"> book need to focus </w:t>
      </w:r>
      <w:r w:rsidR="00A9684D">
        <w:rPr>
          <w:rFonts w:cstheme="minorHAnsi"/>
        </w:rPr>
        <w:t>on.  But</w:t>
      </w:r>
      <w:r w:rsidR="009000CA">
        <w:rPr>
          <w:rFonts w:cstheme="minorHAnsi"/>
        </w:rPr>
        <w:t xml:space="preserve"> Isaiah 56 – 66 </w:t>
      </w:r>
      <w:r w:rsidR="00A9684D">
        <w:rPr>
          <w:rFonts w:cstheme="minorHAnsi"/>
        </w:rPr>
        <w:t>in particular</w:t>
      </w:r>
      <w:r w:rsidR="00B65AD1">
        <w:rPr>
          <w:rFonts w:cstheme="minorHAnsi"/>
        </w:rPr>
        <w:t xml:space="preserve"> </w:t>
      </w:r>
      <w:r w:rsidR="00A9684D">
        <w:rPr>
          <w:rFonts w:cstheme="minorHAnsi"/>
        </w:rPr>
        <w:t xml:space="preserve">refers to no such </w:t>
      </w:r>
      <w:r>
        <w:rPr>
          <w:rFonts w:cstheme="minorHAnsi"/>
        </w:rPr>
        <w:t>figures and events</w:t>
      </w:r>
      <w:r w:rsidR="00B65AD1">
        <w:rPr>
          <w:rFonts w:cstheme="minorHAnsi"/>
        </w:rPr>
        <w:t>, and this omission is significant both as part of the explanation for the difficulty involved in interpreting it by reference to history and as a clue to its actual concern.</w:t>
      </w:r>
      <w:r w:rsidR="00A9684D">
        <w:rPr>
          <w:rFonts w:cstheme="minorHAnsi"/>
        </w:rPr>
        <w:t xml:space="preserve">  </w:t>
      </w:r>
      <w:r w:rsidR="006C07B6">
        <w:rPr>
          <w:rFonts w:cstheme="minorHAnsi"/>
        </w:rPr>
        <w:t>Our problem in the</w:t>
      </w:r>
      <w:r w:rsidR="00A9684D">
        <w:rPr>
          <w:rFonts w:cstheme="minorHAnsi"/>
        </w:rPr>
        <w:t xml:space="preserve"> study of Isaiah 56 – 66 is actually that our study</w:t>
      </w:r>
      <w:r w:rsidR="006C07B6">
        <w:rPr>
          <w:rFonts w:cstheme="minorHAnsi"/>
        </w:rPr>
        <w:t xml:space="preserve"> is no</w:t>
      </w:r>
      <w:r w:rsidR="00A9684D">
        <w:rPr>
          <w:rFonts w:cstheme="minorHAnsi"/>
        </w:rPr>
        <w:t>t historical or critical.  If our study</w:t>
      </w:r>
      <w:r w:rsidR="006C07B6">
        <w:rPr>
          <w:rFonts w:cstheme="minorHAnsi"/>
        </w:rPr>
        <w:t xml:space="preserve"> were historical it would work with the nature of the document it seeks to study.  If it were critical it would analyze</w:t>
      </w:r>
      <w:r w:rsidR="00782DFB">
        <w:rPr>
          <w:rFonts w:cstheme="minorHAnsi"/>
        </w:rPr>
        <w:t xml:space="preserve"> and critique</w:t>
      </w:r>
      <w:r w:rsidR="006C07B6">
        <w:rPr>
          <w:rFonts w:cstheme="minorHAnsi"/>
        </w:rPr>
        <w:t xml:space="preserve"> its own presuppositions and assumptions.</w:t>
      </w:r>
    </w:p>
    <w:p w:rsidR="006C07B6" w:rsidRDefault="006C07B6" w:rsidP="003C1936">
      <w:pPr>
        <w:pStyle w:val="NoSpacing"/>
        <w:rPr>
          <w:rFonts w:cstheme="minorHAnsi"/>
        </w:rPr>
      </w:pPr>
    </w:p>
    <w:p w:rsidR="006C07B6" w:rsidRDefault="006C07B6" w:rsidP="003C1936">
      <w:pPr>
        <w:pStyle w:val="NoSpacing"/>
        <w:rPr>
          <w:rFonts w:cstheme="minorHAnsi"/>
        </w:rPr>
      </w:pPr>
      <w:r>
        <w:rPr>
          <w:rFonts w:cstheme="minorHAnsi"/>
        </w:rPr>
        <w:t xml:space="preserve">In asking after the importance of Isaiah 1 – 55 for Isaiah 56 – 66, </w:t>
      </w:r>
      <w:r w:rsidR="00A9684D">
        <w:rPr>
          <w:rFonts w:cstheme="minorHAnsi"/>
        </w:rPr>
        <w:t xml:space="preserve">then, I </w:t>
      </w:r>
      <w:r>
        <w:rPr>
          <w:rFonts w:cstheme="minorHAnsi"/>
        </w:rPr>
        <w:t>start from the work that we have and I ask no historical questions except ones that the material d</w:t>
      </w:r>
      <w:r w:rsidR="00782DFB">
        <w:rPr>
          <w:rFonts w:cstheme="minorHAnsi"/>
        </w:rPr>
        <w:t>irectly raises.  T</w:t>
      </w:r>
      <w:r>
        <w:rPr>
          <w:rFonts w:cstheme="minorHAnsi"/>
        </w:rPr>
        <w:t xml:space="preserve">he only events </w:t>
      </w:r>
      <w:r w:rsidR="00782DFB">
        <w:rPr>
          <w:rFonts w:cstheme="minorHAnsi"/>
        </w:rPr>
        <w:t xml:space="preserve">and people </w:t>
      </w:r>
      <w:r>
        <w:rPr>
          <w:rFonts w:cstheme="minorHAnsi"/>
        </w:rPr>
        <w:t>that Isaiah 1 – 39 mentions are ones that belong to the ei</w:t>
      </w:r>
      <w:r w:rsidR="00782DFB">
        <w:rPr>
          <w:rFonts w:cstheme="minorHAnsi"/>
        </w:rPr>
        <w:t>ghth century</w:t>
      </w:r>
      <w:r>
        <w:rPr>
          <w:rFonts w:cstheme="minorHAnsi"/>
        </w:rPr>
        <w:t>.  Isaiah 40 – 55 then refers to the Persian king Cyrus in the context of his taking over hegem</w:t>
      </w:r>
      <w:r w:rsidR="00A9684D">
        <w:rPr>
          <w:rFonts w:cstheme="minorHAnsi"/>
        </w:rPr>
        <w:t xml:space="preserve">ony in the Middle East from </w:t>
      </w:r>
      <w:r>
        <w:rPr>
          <w:rFonts w:cstheme="minorHAnsi"/>
        </w:rPr>
        <w:t>Babylon.  Isaiah 56 – 66 includes no concrete historical references.</w:t>
      </w:r>
    </w:p>
    <w:p w:rsidR="002230B6" w:rsidRDefault="002230B6" w:rsidP="003C1936">
      <w:pPr>
        <w:pStyle w:val="NoSpacing"/>
        <w:rPr>
          <w:rFonts w:cstheme="minorHAnsi"/>
        </w:rPr>
      </w:pPr>
    </w:p>
    <w:p w:rsidR="00770D6E" w:rsidRDefault="002230B6" w:rsidP="003C1936">
      <w:pPr>
        <w:pStyle w:val="NoSpacing"/>
        <w:rPr>
          <w:rFonts w:cstheme="minorHAnsi"/>
        </w:rPr>
      </w:pPr>
      <w:r>
        <w:rPr>
          <w:rFonts w:cstheme="minorHAnsi"/>
        </w:rPr>
        <w:t>Brevard Childs argued that the compilers of Isaiah 40 – 55 employed the material available to them in such a way as to “eliminate almost entirely” the concrete features that indicated a link with a particular historical situation</w:t>
      </w:r>
      <w:r w:rsidR="00770D6E">
        <w:rPr>
          <w:rFonts w:cstheme="minorHAnsi"/>
        </w:rPr>
        <w:t xml:space="preserve"> and to “subordinate the original message to a new role w</w:t>
      </w:r>
      <w:r w:rsidR="0065699E">
        <w:rPr>
          <w:rFonts w:cstheme="minorHAnsi"/>
        </w:rPr>
        <w:t>ithin the canon.”  He then drew</w:t>
      </w:r>
      <w:r w:rsidR="00770D6E">
        <w:rPr>
          <w:rFonts w:cstheme="minorHAnsi"/>
        </w:rPr>
        <w:t xml:space="preserve"> a contrast with the concrete historical references in Amos.</w:t>
      </w:r>
      <w:r w:rsidR="00770D6E">
        <w:rPr>
          <w:rStyle w:val="FootnoteReference"/>
          <w:rFonts w:cstheme="minorHAnsi"/>
        </w:rPr>
        <w:footnoteReference w:id="6"/>
      </w:r>
      <w:r w:rsidR="00782DFB">
        <w:rPr>
          <w:rFonts w:cstheme="minorHAnsi"/>
        </w:rPr>
        <w:t xml:space="preserve">  Actually, t</w:t>
      </w:r>
      <w:r w:rsidR="00770D6E">
        <w:rPr>
          <w:rFonts w:cstheme="minorHAnsi"/>
        </w:rPr>
        <w:t xml:space="preserve">he only difference between Isaiah 40 – 55 and Amos or </w:t>
      </w:r>
      <w:r w:rsidR="00EB4367">
        <w:rPr>
          <w:rFonts w:cstheme="minorHAnsi"/>
        </w:rPr>
        <w:t>other prophetic books is that Isaiah 40 – 55</w:t>
      </w:r>
      <w:r w:rsidR="00770D6E">
        <w:rPr>
          <w:rFonts w:cstheme="minorHAnsi"/>
        </w:rPr>
        <w:t xml:space="preserve"> </w:t>
      </w:r>
      <w:r w:rsidR="00782DFB">
        <w:rPr>
          <w:rFonts w:cstheme="minorHAnsi"/>
        </w:rPr>
        <w:t xml:space="preserve">has no superscription, a </w:t>
      </w:r>
      <w:r w:rsidR="00770D6E">
        <w:rPr>
          <w:rFonts w:cstheme="minorHAnsi"/>
        </w:rPr>
        <w:t xml:space="preserve">difference </w:t>
      </w:r>
      <w:r w:rsidR="00782DFB">
        <w:rPr>
          <w:rFonts w:cstheme="minorHAnsi"/>
        </w:rPr>
        <w:t xml:space="preserve">that </w:t>
      </w:r>
      <w:r w:rsidR="00770D6E">
        <w:rPr>
          <w:rFonts w:cstheme="minorHAnsi"/>
        </w:rPr>
        <w:t xml:space="preserve">relates to its being linked to the preceding material.  Its message is not subordinated to a new role within the canon; it is subordinate to a role within the larger book of Isaiah, because of its links with the material that appears earlier in the book.  </w:t>
      </w:r>
      <w:r w:rsidR="00782DFB">
        <w:rPr>
          <w:rFonts w:cstheme="minorHAnsi"/>
        </w:rPr>
        <w:t>But</w:t>
      </w:r>
      <w:r w:rsidR="00770D6E">
        <w:rPr>
          <w:rFonts w:cstheme="minorHAnsi"/>
        </w:rPr>
        <w:t xml:space="preserve"> Childs’</w:t>
      </w:r>
      <w:r w:rsidR="00EB4367">
        <w:rPr>
          <w:rFonts w:cstheme="minorHAnsi"/>
        </w:rPr>
        <w:t>s comment would be</w:t>
      </w:r>
      <w:r w:rsidR="00770D6E">
        <w:rPr>
          <w:rFonts w:cstheme="minorHAnsi"/>
        </w:rPr>
        <w:t xml:space="preserve"> more apposite in connection with Isaiah 56 – 66.  Here indeed there are no concrete historical references</w:t>
      </w:r>
      <w:r w:rsidR="00782DFB">
        <w:rPr>
          <w:rFonts w:cstheme="minorHAnsi"/>
        </w:rPr>
        <w:t>; hence the</w:t>
      </w:r>
      <w:r w:rsidR="00EB4367">
        <w:rPr>
          <w:rFonts w:cstheme="minorHAnsi"/>
        </w:rPr>
        <w:t xml:space="preserve"> unresolved deb</w:t>
      </w:r>
      <w:r w:rsidR="00782DFB">
        <w:rPr>
          <w:rFonts w:cstheme="minorHAnsi"/>
        </w:rPr>
        <w:t>ate about the period(s) to which the chapters belong.</w:t>
      </w:r>
    </w:p>
    <w:p w:rsidR="00EB4367" w:rsidRDefault="00EB4367" w:rsidP="003C1936">
      <w:pPr>
        <w:pStyle w:val="NoSpacing"/>
        <w:rPr>
          <w:rFonts w:cstheme="minorHAnsi"/>
        </w:rPr>
      </w:pPr>
    </w:p>
    <w:p w:rsidR="00EB4367" w:rsidRDefault="00EB4367" w:rsidP="003C1936">
      <w:pPr>
        <w:pStyle w:val="NoSpacing"/>
        <w:rPr>
          <w:rFonts w:cstheme="minorHAnsi"/>
        </w:rPr>
      </w:pPr>
      <w:r>
        <w:rPr>
          <w:rFonts w:cstheme="minorHAnsi"/>
        </w:rPr>
        <w:t>A further difference between chapters 40 – 5</w:t>
      </w:r>
      <w:r w:rsidR="00506C5C">
        <w:rPr>
          <w:rFonts w:cstheme="minorHAnsi"/>
        </w:rPr>
        <w:t>5 and 56 – 66 is that the Isaiah 40 – 55</w:t>
      </w:r>
      <w:r>
        <w:rPr>
          <w:rFonts w:cstheme="minorHAnsi"/>
        </w:rPr>
        <w:t xml:space="preserve"> take</w:t>
      </w:r>
      <w:r w:rsidR="00506C5C">
        <w:rPr>
          <w:rFonts w:cstheme="minorHAnsi"/>
        </w:rPr>
        <w:t>s</w:t>
      </w:r>
      <w:r>
        <w:rPr>
          <w:rFonts w:cstheme="minorHAnsi"/>
        </w:rPr>
        <w:t xml:space="preserve"> the form of a l</w:t>
      </w:r>
      <w:r w:rsidR="00506C5C">
        <w:rPr>
          <w:rFonts w:cstheme="minorHAnsi"/>
        </w:rPr>
        <w:t>inear argument, while Isaiah 56 – 66</w:t>
      </w:r>
      <w:r>
        <w:rPr>
          <w:rFonts w:cstheme="minorHAnsi"/>
        </w:rPr>
        <w:t xml:space="preserve"> take</w:t>
      </w:r>
      <w:r w:rsidR="00506C5C">
        <w:rPr>
          <w:rFonts w:cstheme="minorHAnsi"/>
        </w:rPr>
        <w:t>s</w:t>
      </w:r>
      <w:r>
        <w:rPr>
          <w:rFonts w:cstheme="minorHAnsi"/>
        </w:rPr>
        <w:t xml:space="preserve"> the form of</w:t>
      </w:r>
      <w:r w:rsidR="00782DFB">
        <w:rPr>
          <w:rFonts w:cstheme="minorHAnsi"/>
        </w:rPr>
        <w:t xml:space="preserve"> a chiasm.  In both cases the literary</w:t>
      </w:r>
      <w:r>
        <w:rPr>
          <w:rFonts w:cstheme="minorHAnsi"/>
        </w:rPr>
        <w:t xml:space="preserve"> form links with the statement the section makes.  Isaiah 40 – 55 makes a linear argument; it is going somewhere.  Isaiah 56 – 66 initially looks as if it is going somewhere, but in the end goes now</w:t>
      </w:r>
      <w:r w:rsidR="009F3DF7">
        <w:rPr>
          <w:rFonts w:cstheme="minorHAnsi"/>
        </w:rPr>
        <w:t xml:space="preserve">here but curves back on </w:t>
      </w:r>
      <w:proofErr w:type="gramStart"/>
      <w:r w:rsidR="009F3DF7">
        <w:rPr>
          <w:rFonts w:cstheme="minorHAnsi"/>
        </w:rPr>
        <w:t>itself</w:t>
      </w:r>
      <w:proofErr w:type="gramEnd"/>
      <w:r w:rsidR="009F3DF7">
        <w:rPr>
          <w:rFonts w:cstheme="minorHAnsi"/>
        </w:rPr>
        <w:t>.  This structure with its related statement is the way it fulfills its function in connection with chapters 1 – 55.  Rolf Rendtorff put us on the track of this point in his paper on Isaiah 56:1.</w:t>
      </w:r>
      <w:r w:rsidR="009F3DF7">
        <w:rPr>
          <w:rStyle w:val="FootnoteReference"/>
          <w:rFonts w:cstheme="minorHAnsi"/>
        </w:rPr>
        <w:footnoteReference w:id="7"/>
      </w:r>
      <w:r w:rsidR="009F3DF7">
        <w:rPr>
          <w:rFonts w:cstheme="minorHAnsi"/>
        </w:rPr>
        <w:t xml:space="preserve"> </w:t>
      </w:r>
      <w:r w:rsidR="00782DFB">
        <w:rPr>
          <w:rFonts w:cstheme="minorHAnsi"/>
        </w:rPr>
        <w:t>H</w:t>
      </w:r>
      <w:r w:rsidR="0065699E">
        <w:rPr>
          <w:rFonts w:cstheme="minorHAnsi"/>
        </w:rPr>
        <w:t>e suggested</w:t>
      </w:r>
      <w:r w:rsidR="00A86F5F">
        <w:rPr>
          <w:rFonts w:cstheme="minorHAnsi"/>
        </w:rPr>
        <w:t xml:space="preserve"> that Isaiah 56:1 i</w:t>
      </w:r>
      <w:r w:rsidR="00043D09">
        <w:rPr>
          <w:rFonts w:cstheme="minorHAnsi"/>
        </w:rPr>
        <w:t xml:space="preserve">s </w:t>
      </w:r>
      <w:r w:rsidR="00A86F5F">
        <w:rPr>
          <w:rFonts w:cstheme="minorHAnsi"/>
        </w:rPr>
        <w:t xml:space="preserve">a </w:t>
      </w:r>
      <w:r w:rsidR="00043D09">
        <w:rPr>
          <w:rFonts w:cstheme="minorHAnsi"/>
        </w:rPr>
        <w:t>key to the composition or formati</w:t>
      </w:r>
      <w:r w:rsidR="0065699E">
        <w:rPr>
          <w:rFonts w:cstheme="minorHAnsi"/>
        </w:rPr>
        <w:t>on of the book of Isaiah, and</w:t>
      </w:r>
      <w:r w:rsidR="00043D09">
        <w:rPr>
          <w:rFonts w:cstheme="minorHAnsi"/>
        </w:rPr>
        <w:t xml:space="preserve"> this may be so, </w:t>
      </w:r>
      <w:r w:rsidR="0065699E">
        <w:rPr>
          <w:rFonts w:cstheme="minorHAnsi"/>
        </w:rPr>
        <w:t xml:space="preserve">but </w:t>
      </w:r>
      <w:r w:rsidR="00043D09">
        <w:rPr>
          <w:rFonts w:cstheme="minorHAnsi"/>
        </w:rPr>
        <w:t>my concern here is with the</w:t>
      </w:r>
      <w:r w:rsidR="008C6B0F">
        <w:rPr>
          <w:rFonts w:cstheme="minorHAnsi"/>
        </w:rPr>
        <w:t xml:space="preserve"> verse’s si</w:t>
      </w:r>
      <w:r w:rsidR="00782DFB">
        <w:rPr>
          <w:rFonts w:cstheme="minorHAnsi"/>
        </w:rPr>
        <w:t>gnificance in connection with the statement made</w:t>
      </w:r>
      <w:r w:rsidR="00043D09">
        <w:rPr>
          <w:rFonts w:cstheme="minorHAnsi"/>
        </w:rPr>
        <w:t xml:space="preserve"> by the book as we have it.</w:t>
      </w:r>
      <w:r w:rsidR="00043D09">
        <w:rPr>
          <w:rStyle w:val="FootnoteReference"/>
          <w:rFonts w:cstheme="minorHAnsi"/>
        </w:rPr>
        <w:footnoteReference w:id="8"/>
      </w:r>
      <w:r w:rsidR="00043D09">
        <w:rPr>
          <w:rFonts w:cstheme="minorHAnsi"/>
        </w:rPr>
        <w:t xml:space="preserve">  </w:t>
      </w:r>
    </w:p>
    <w:p w:rsidR="008C6B0F" w:rsidRDefault="008C6B0F" w:rsidP="003C1936">
      <w:pPr>
        <w:pStyle w:val="NoSpacing"/>
        <w:rPr>
          <w:rFonts w:cstheme="minorHAnsi"/>
        </w:rPr>
      </w:pPr>
    </w:p>
    <w:p w:rsidR="008C6B0F" w:rsidRDefault="008C6B0F" w:rsidP="003C1936">
      <w:pPr>
        <w:pStyle w:val="NoSpacing"/>
        <w:rPr>
          <w:iCs/>
        </w:rPr>
      </w:pPr>
      <w:r>
        <w:rPr>
          <w:rFonts w:cstheme="minorHAnsi"/>
        </w:rPr>
        <w:t xml:space="preserve">“Yhwh has said this,” the chapters begin.  “Observe </w:t>
      </w:r>
      <w:r>
        <w:rPr>
          <w:i/>
        </w:rPr>
        <w:t>mišpāṭ</w:t>
      </w:r>
      <w:r>
        <w:t xml:space="preserve">, do </w:t>
      </w:r>
      <w:r>
        <w:rPr>
          <w:i/>
          <w:iCs/>
        </w:rPr>
        <w:t>ṣĕdāqâ</w:t>
      </w:r>
      <w:r>
        <w:rPr>
          <w:iCs/>
        </w:rPr>
        <w:t xml:space="preserve">, because my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Pr>
          <w:iCs/>
        </w:rPr>
        <w:t xml:space="preserve"> is near to coming, my </w:t>
      </w:r>
      <w:r>
        <w:rPr>
          <w:i/>
          <w:iCs/>
        </w:rPr>
        <w:t>ṣĕdāqâ</w:t>
      </w:r>
      <w:r>
        <w:rPr>
          <w:iCs/>
        </w:rPr>
        <w:t xml:space="preserve"> to revealing itself.”</w:t>
      </w:r>
      <w:r w:rsidR="00067C16">
        <w:rPr>
          <w:rStyle w:val="FootnoteReference"/>
          <w:iCs/>
        </w:rPr>
        <w:footnoteReference w:id="9"/>
      </w:r>
      <w:r>
        <w:rPr>
          <w:iCs/>
        </w:rPr>
        <w:t xml:space="preserve">  The imperative phrases</w:t>
      </w:r>
      <w:r>
        <w:rPr>
          <w:rFonts w:cstheme="minorHAnsi"/>
        </w:rPr>
        <w:t xml:space="preserve"> “observe </w:t>
      </w:r>
      <w:r>
        <w:rPr>
          <w:i/>
        </w:rPr>
        <w:t>mišpāṭ</w:t>
      </w:r>
      <w:r>
        <w:t xml:space="preserve">, do </w:t>
      </w:r>
      <w:r w:rsidR="000415FB">
        <w:rPr>
          <w:i/>
          <w:iCs/>
        </w:rPr>
        <w:t>ṣĕdāqâ</w:t>
      </w:r>
      <w:r>
        <w:rPr>
          <w:iCs/>
        </w:rPr>
        <w:t xml:space="preserve">” sum up the thrust of Isaiah 1 – 39.  </w:t>
      </w:r>
      <w:r w:rsidR="00A86F5F">
        <w:rPr>
          <w:iCs/>
        </w:rPr>
        <w:t xml:space="preserve">The declaration </w:t>
      </w:r>
      <w:r w:rsidR="00441272">
        <w:rPr>
          <w:iCs/>
        </w:rPr>
        <w:t xml:space="preserve">“My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Pr>
          <w:iCs/>
        </w:rPr>
        <w:t xml:space="preserve"> is near to coming, my </w:t>
      </w:r>
      <w:r>
        <w:rPr>
          <w:i/>
          <w:iCs/>
        </w:rPr>
        <w:t>ṣĕdāqâ</w:t>
      </w:r>
      <w:r>
        <w:rPr>
          <w:iCs/>
        </w:rPr>
        <w:t xml:space="preserve"> to revealing itself” sums up the thrust of Isaiah 40 – 55.</w:t>
      </w:r>
      <w:r w:rsidR="00506C5C">
        <w:rPr>
          <w:rStyle w:val="FootnoteReference"/>
          <w:iCs/>
        </w:rPr>
        <w:footnoteReference w:id="10"/>
      </w:r>
      <w:r>
        <w:rPr>
          <w:iCs/>
        </w:rPr>
        <w:t xml:space="preserve">  </w:t>
      </w:r>
      <w:r w:rsidR="00A86F5F">
        <w:rPr>
          <w:iCs/>
        </w:rPr>
        <w:t xml:space="preserve">When these two pairs of expressions are juxtaposed, they make more evident a question that is also raised by the material they summarize.  What is the relationship between the imperatives and the declarations?  Isaiah 1 – 39 implies that </w:t>
      </w:r>
      <w:r w:rsidR="00624DC6">
        <w:rPr>
          <w:iCs/>
        </w:rPr>
        <w:t>Jerusalem</w:t>
      </w:r>
      <w:r w:rsidR="00A86F5F">
        <w:rPr>
          <w:iCs/>
        </w:rPr>
        <w:t xml:space="preserve">’s failure to </w:t>
      </w:r>
      <w:r w:rsidR="00A86F5F">
        <w:rPr>
          <w:rFonts w:cstheme="minorHAnsi"/>
        </w:rPr>
        <w:t xml:space="preserve">observe </w:t>
      </w:r>
      <w:r w:rsidR="00A86F5F">
        <w:rPr>
          <w:i/>
        </w:rPr>
        <w:t>mišpāṭ</w:t>
      </w:r>
      <w:r w:rsidR="00A86F5F">
        <w:t xml:space="preserve"> and do </w:t>
      </w:r>
      <w:r w:rsidR="00A86F5F">
        <w:rPr>
          <w:i/>
          <w:iCs/>
        </w:rPr>
        <w:t>ṣĕdāqâ</w:t>
      </w:r>
      <w:r w:rsidR="00A86F5F">
        <w:rPr>
          <w:iCs/>
        </w:rPr>
        <w:t xml:space="preserve"> means it does not experience</w:t>
      </w:r>
      <w:r w:rsidR="00441272">
        <w:rPr>
          <w:iCs/>
        </w:rPr>
        <w:t xml:space="preserve">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sidR="00A86F5F">
        <w:rPr>
          <w:iCs/>
        </w:rPr>
        <w:t xml:space="preserve"> and </w:t>
      </w:r>
      <w:r w:rsidR="00A86F5F">
        <w:rPr>
          <w:i/>
          <w:iCs/>
        </w:rPr>
        <w:t>ṣĕdāqâ</w:t>
      </w:r>
      <w:r w:rsidR="00A86F5F">
        <w:rPr>
          <w:iCs/>
        </w:rPr>
        <w:t>.</w:t>
      </w:r>
      <w:r w:rsidR="000415FB">
        <w:rPr>
          <w:iCs/>
        </w:rPr>
        <w:t xml:space="preserve">  Isaiah 40 – 55 implies that </w:t>
      </w:r>
      <w:proofErr w:type="gramStart"/>
      <w:r w:rsidR="00067C16">
        <w:rPr>
          <w:iCs/>
        </w:rPr>
        <w:t>Yhwh</w:t>
      </w:r>
      <w:proofErr w:type="gramEnd"/>
      <w:r w:rsidR="00067C16">
        <w:rPr>
          <w:iCs/>
        </w:rPr>
        <w:t xml:space="preserve"> will bring about </w:t>
      </w:r>
      <w:r w:rsidR="000415FB">
        <w:rPr>
          <w:iCs/>
        </w:rPr>
        <w:t xml:space="preserve">its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sidR="000415FB">
        <w:rPr>
          <w:iCs/>
        </w:rPr>
        <w:t xml:space="preserve"> and </w:t>
      </w:r>
      <w:r w:rsidR="00067C16">
        <w:rPr>
          <w:iCs/>
        </w:rPr>
        <w:t xml:space="preserve">will </w:t>
      </w:r>
      <w:r w:rsidR="000415FB">
        <w:rPr>
          <w:iCs/>
        </w:rPr>
        <w:t xml:space="preserve">manifest </w:t>
      </w:r>
      <w:r w:rsidR="000415FB">
        <w:rPr>
          <w:i/>
          <w:iCs/>
        </w:rPr>
        <w:t>ṣĕdāqâ</w:t>
      </w:r>
      <w:r w:rsidR="000415FB">
        <w:rPr>
          <w:iCs/>
        </w:rPr>
        <w:t xml:space="preserve"> irrespective of the people’s action.  At first sight it might seem that interposing the conjunction “because” in between the imperatives and the declarations resolves the tension between these two stances, but it does not do so.  The new statement could mean </w:t>
      </w:r>
      <w:r w:rsidR="000415FB">
        <w:rPr>
          <w:rFonts w:cstheme="minorHAnsi"/>
        </w:rPr>
        <w:t xml:space="preserve">“Observe </w:t>
      </w:r>
      <w:r w:rsidR="000415FB">
        <w:rPr>
          <w:i/>
        </w:rPr>
        <w:t>mišpāṭ</w:t>
      </w:r>
      <w:r w:rsidR="000415FB">
        <w:t xml:space="preserve">, do </w:t>
      </w:r>
      <w:r w:rsidR="000415FB">
        <w:rPr>
          <w:i/>
          <w:iCs/>
        </w:rPr>
        <w:t>ṣĕdāqâ</w:t>
      </w:r>
      <w:r w:rsidR="000415FB">
        <w:rPr>
          <w:iCs/>
        </w:rPr>
        <w:t>, because such action is necessary if I am to fulfill my promise</w:t>
      </w:r>
      <w:r w:rsidR="00067C16">
        <w:rPr>
          <w:iCs/>
        </w:rPr>
        <w:t>,</w:t>
      </w:r>
      <w:r w:rsidR="000415FB">
        <w:rPr>
          <w:iCs/>
        </w:rPr>
        <w:t xml:space="preserve"> so that </w:t>
      </w:r>
      <w:r w:rsidR="00441272">
        <w:rPr>
          <w:iCs/>
        </w:rPr>
        <w:t xml:space="preserve">my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sidR="000415FB">
        <w:rPr>
          <w:iCs/>
        </w:rPr>
        <w:t xml:space="preserve"> is near to coming, my </w:t>
      </w:r>
      <w:r w:rsidR="000415FB">
        <w:rPr>
          <w:i/>
          <w:iCs/>
        </w:rPr>
        <w:t>ṣĕdāqâ</w:t>
      </w:r>
      <w:r w:rsidR="000415FB">
        <w:rPr>
          <w:iCs/>
        </w:rPr>
        <w:t xml:space="preserve"> to revealing itself.”  Obedience to the command is a condition of the fulfillment of the promise.  Or it could mean </w:t>
      </w:r>
      <w:r w:rsidR="000415FB">
        <w:rPr>
          <w:rFonts w:cstheme="minorHAnsi"/>
        </w:rPr>
        <w:t xml:space="preserve">“Observe </w:t>
      </w:r>
      <w:r w:rsidR="000415FB">
        <w:rPr>
          <w:i/>
        </w:rPr>
        <w:t>mišpāṭ</w:t>
      </w:r>
      <w:r w:rsidR="000415FB">
        <w:t xml:space="preserve">, do </w:t>
      </w:r>
      <w:r w:rsidR="000415FB">
        <w:rPr>
          <w:i/>
          <w:iCs/>
        </w:rPr>
        <w:t>ṣĕdāqâ</w:t>
      </w:r>
      <w:r w:rsidR="000415FB">
        <w:rPr>
          <w:iCs/>
        </w:rPr>
        <w:t xml:space="preserve">, because that is the only appropriate response to the fact that </w:t>
      </w:r>
      <w:r w:rsidR="00441272">
        <w:rPr>
          <w:iCs/>
        </w:rPr>
        <w:t xml:space="preserve">my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sidR="000415FB">
        <w:rPr>
          <w:iCs/>
        </w:rPr>
        <w:t xml:space="preserve"> is near to coming, my </w:t>
      </w:r>
      <w:r w:rsidR="000415FB">
        <w:rPr>
          <w:i/>
          <w:iCs/>
        </w:rPr>
        <w:t>ṣĕdāqâ</w:t>
      </w:r>
      <w:r w:rsidR="000415FB">
        <w:rPr>
          <w:iCs/>
        </w:rPr>
        <w:t xml:space="preserve"> to revealing itself.”  If we have to choose, then the second understanding seems more plausible; but there is indeed some ambiguity about the relationship between the imperatives and the declarations.</w:t>
      </w:r>
    </w:p>
    <w:p w:rsidR="000415FB" w:rsidRDefault="000415FB" w:rsidP="003C1936">
      <w:pPr>
        <w:pStyle w:val="NoSpacing"/>
        <w:rPr>
          <w:iCs/>
        </w:rPr>
      </w:pPr>
    </w:p>
    <w:p w:rsidR="00624DC6" w:rsidRDefault="000415FB" w:rsidP="003C1936">
      <w:pPr>
        <w:pStyle w:val="NoSpacing"/>
        <w:rPr>
          <w:iCs/>
        </w:rPr>
      </w:pPr>
      <w:r>
        <w:t xml:space="preserve">The way Isaiah 56 – 66 then unfolds underlines the ambiguity </w:t>
      </w:r>
      <w:r w:rsidR="00067C16">
        <w:t xml:space="preserve">of its opening </w:t>
      </w:r>
      <w:r>
        <w:t xml:space="preserve">rather than resolving it.  </w:t>
      </w:r>
      <w:r w:rsidR="00BD1D4D">
        <w:t>The whole of Isaiah 56:2 – 59:15a is dominated by critique of the community and by the laying down of expectations, closing with a</w:t>
      </w:r>
      <w:r w:rsidR="00B67D25">
        <w:t xml:space="preserve"> prayer that constitutes a</w:t>
      </w:r>
      <w:r w:rsidR="00BD1D4D">
        <w:t>n acknowledgment to</w:t>
      </w:r>
      <w:r w:rsidR="0065699E">
        <w:t xml:space="preserve"> </w:t>
      </w:r>
      <w:proofErr w:type="gramStart"/>
      <w:r w:rsidR="0065699E">
        <w:t>Yhwh</w:t>
      </w:r>
      <w:proofErr w:type="gramEnd"/>
      <w:r w:rsidR="0065699E">
        <w:t xml:space="preserve"> that this critique is fair</w:t>
      </w:r>
      <w:r w:rsidR="00BD1D4D">
        <w:t xml:space="preserve">.  The expectations relate both to religious life and to ethical life.  You could say that they are the outworking of what it means to </w:t>
      </w:r>
      <w:r w:rsidR="00BD1D4D">
        <w:rPr>
          <w:rFonts w:cstheme="minorHAnsi"/>
        </w:rPr>
        <w:t xml:space="preserve">observe </w:t>
      </w:r>
      <w:r w:rsidR="00BD1D4D">
        <w:rPr>
          <w:i/>
        </w:rPr>
        <w:t>mišpāṭ</w:t>
      </w:r>
      <w:r w:rsidR="00BD1D4D">
        <w:t xml:space="preserve"> and do </w:t>
      </w:r>
      <w:r w:rsidR="00BD1D4D">
        <w:rPr>
          <w:i/>
          <w:iCs/>
        </w:rPr>
        <w:t>ṣĕdāqâ</w:t>
      </w:r>
      <w:r w:rsidR="00BD1D4D">
        <w:rPr>
          <w:iCs/>
        </w:rPr>
        <w:t xml:space="preserve">.  The whole of Isaiah 59:15b – 63:6 then constitutes promises that </w:t>
      </w:r>
      <w:proofErr w:type="gramStart"/>
      <w:r w:rsidR="00BD1D4D">
        <w:rPr>
          <w:iCs/>
        </w:rPr>
        <w:t>Yhwh</w:t>
      </w:r>
      <w:proofErr w:type="gramEnd"/>
      <w:r w:rsidR="00BD1D4D">
        <w:rPr>
          <w:iCs/>
        </w:rPr>
        <w:t xml:space="preserve"> intends to take action against his enemies, who are also Jerusalem’s enemies, and to restore Jerusalem and make it the world’s focus.  </w:t>
      </w:r>
      <w:r w:rsidR="00B67D25">
        <w:rPr>
          <w:iCs/>
        </w:rPr>
        <w:t xml:space="preserve">When we reach 63:6, we might conclude that the ambiguity about the relationship of the imperatives and the declarations is solved.  First put your life right; then the promises </w:t>
      </w:r>
      <w:r w:rsidR="00067C16">
        <w:rPr>
          <w:iCs/>
        </w:rPr>
        <w:t xml:space="preserve">will be fulfilled.  But it </w:t>
      </w:r>
      <w:r w:rsidR="00B67D25">
        <w:rPr>
          <w:iCs/>
        </w:rPr>
        <w:t>transpires that 63:6 is not the end of the book or of the section begun at 56:1, because there follows a further prayer that constitutes an acknowledgment that the critique is fai</w:t>
      </w:r>
      <w:r w:rsidR="00067C16">
        <w:rPr>
          <w:iCs/>
        </w:rPr>
        <w:t xml:space="preserve">r (though it goes on </w:t>
      </w:r>
      <w:r w:rsidR="00B67D25">
        <w:rPr>
          <w:iCs/>
        </w:rPr>
        <w:t>to ask Yhwh to have mercy)</w:t>
      </w:r>
      <w:r w:rsidR="0065699E">
        <w:rPr>
          <w:iCs/>
        </w:rPr>
        <w:t>,</w:t>
      </w:r>
      <w:r w:rsidR="00B67D25">
        <w:rPr>
          <w:iCs/>
        </w:rPr>
        <w:t xml:space="preserve"> and </w:t>
      </w:r>
      <w:r w:rsidR="0065699E">
        <w:rPr>
          <w:iCs/>
        </w:rPr>
        <w:t xml:space="preserve">then the </w:t>
      </w:r>
      <w:r w:rsidR="00B67D25">
        <w:rPr>
          <w:iCs/>
        </w:rPr>
        <w:t xml:space="preserve">two final chapters dominated by further critique of the community and </w:t>
      </w:r>
      <w:r w:rsidR="00067C16">
        <w:rPr>
          <w:iCs/>
        </w:rPr>
        <w:t xml:space="preserve">by </w:t>
      </w:r>
      <w:r w:rsidR="00B67D25">
        <w:rPr>
          <w:iCs/>
        </w:rPr>
        <w:t>the laying down of expectations.  Thus 63:7 – 66:24 as a whole balances 56:2 – 59:15a, and dissolves any sense that the ambiguity of 56:1 has been resolved.  The first and last major parts of Isaiah 56 – 66 stand in irresolvable tension with the central part.  The first and last parts correspond to the thrust of Is</w:t>
      </w:r>
      <w:r w:rsidR="00067C16">
        <w:rPr>
          <w:iCs/>
        </w:rPr>
        <w:t>aiah 1 – 39; the central part corresponds</w:t>
      </w:r>
      <w:r w:rsidR="00B67D25">
        <w:rPr>
          <w:iCs/>
        </w:rPr>
        <w:t xml:space="preserve"> to the thrust of Isaiah 40 – 55.  </w:t>
      </w:r>
    </w:p>
    <w:p w:rsidR="00624DC6" w:rsidRDefault="00624DC6" w:rsidP="003C1936">
      <w:pPr>
        <w:pStyle w:val="NoSpacing"/>
        <w:rPr>
          <w:iCs/>
        </w:rPr>
      </w:pPr>
    </w:p>
    <w:p w:rsidR="000415FB" w:rsidRDefault="00624DC6" w:rsidP="003C1936">
      <w:pPr>
        <w:pStyle w:val="NoSpacing"/>
        <w:rPr>
          <w:iCs/>
        </w:rPr>
      </w:pPr>
      <w:r>
        <w:rPr>
          <w:iCs/>
        </w:rPr>
        <w:t xml:space="preserve">The chiastic structure of Isaiah 56 – 66 thus makes a theological point.  The material’s omission to resolve the tension at issue is not a failure but </w:t>
      </w:r>
      <w:proofErr w:type="gramStart"/>
      <w:r>
        <w:rPr>
          <w:iCs/>
        </w:rPr>
        <w:t>a recognition</w:t>
      </w:r>
      <w:proofErr w:type="gramEnd"/>
      <w:r>
        <w:rPr>
          <w:iCs/>
        </w:rPr>
        <w:t xml:space="preserve"> of a question that cannot be resolved.  To put it in terms of a familiar antinomy</w:t>
      </w:r>
      <w:r w:rsidR="00067C16">
        <w:rPr>
          <w:iCs/>
        </w:rPr>
        <w:t>, it is</w:t>
      </w:r>
      <w:r>
        <w:rPr>
          <w:iCs/>
        </w:rPr>
        <w:t xml:space="preserve"> not possible to say that Jerusalem’s deliverance is conditional </w:t>
      </w:r>
      <w:r>
        <w:rPr>
          <w:iCs/>
        </w:rPr>
        <w:lastRenderedPageBreak/>
        <w:t>on its obedience or that Yahweh is unconditionally committed to its deliverance.  The legal or contractual framework for understanding the relationship does not work.  A more illuminating model for understanding the relationship implied by the book of Isaiah is that of marriage</w:t>
      </w:r>
      <w:r w:rsidR="00067C16">
        <w:rPr>
          <w:iCs/>
        </w:rPr>
        <w:t>, at least as often understood in the West</w:t>
      </w:r>
      <w:r>
        <w:rPr>
          <w:iCs/>
        </w:rPr>
        <w:t xml:space="preserve">.  When people marry, they do not do so on the basis that each person makes a commitment to the other </w:t>
      </w:r>
      <w:r>
        <w:rPr>
          <w:i/>
          <w:iCs/>
        </w:rPr>
        <w:t>on condition that</w:t>
      </w:r>
      <w:r>
        <w:rPr>
          <w:iCs/>
        </w:rPr>
        <w:t xml:space="preserve"> the other makes the same commitment; if the couple think in terms of conditional commitment, they need to postpone the wedding to give them time to talk things through with a therapist.  </w:t>
      </w:r>
      <w:r w:rsidR="00F57D46">
        <w:rPr>
          <w:iCs/>
        </w:rPr>
        <w:t>The mutuality of commitment is a kind of logical necessity or a definitional necessity rather than a legal necessity.</w:t>
      </w:r>
      <w:r w:rsidR="001E5929">
        <w:rPr>
          <w:iCs/>
        </w:rPr>
        <w:t xml:space="preserve"> </w:t>
      </w:r>
    </w:p>
    <w:p w:rsidR="001E5929" w:rsidRDefault="001E5929" w:rsidP="003C1936">
      <w:pPr>
        <w:pStyle w:val="NoSpacing"/>
        <w:rPr>
          <w:iCs/>
        </w:rPr>
      </w:pPr>
    </w:p>
    <w:p w:rsidR="001E5929" w:rsidRDefault="001E5929" w:rsidP="003C1936">
      <w:pPr>
        <w:pStyle w:val="NoSpacing"/>
        <w:rPr>
          <w:iCs/>
        </w:rPr>
      </w:pPr>
      <w:r>
        <w:rPr>
          <w:iCs/>
        </w:rPr>
        <w:t>In general terms, then, Isaiah 56 – 66 serves to articulate the inherent tension between Isaiah 1 – 39 and Isaiah 40 – 55</w:t>
      </w:r>
      <w:r w:rsidR="00067C16">
        <w:rPr>
          <w:iCs/>
        </w:rPr>
        <w:t>, and not to resolve it</w:t>
      </w:r>
      <w:r>
        <w:rPr>
          <w:iCs/>
        </w:rPr>
        <w:t xml:space="preserve">.  I go on to consider more specifically the relationship between the agenda </w:t>
      </w:r>
      <w:r w:rsidR="00084187">
        <w:rPr>
          <w:iCs/>
        </w:rPr>
        <w:t>of the first two parts of the book and that of the last part.</w:t>
      </w:r>
    </w:p>
    <w:p w:rsidR="001E5929" w:rsidRDefault="001E5929" w:rsidP="003C1936">
      <w:pPr>
        <w:pStyle w:val="NoSpacing"/>
        <w:rPr>
          <w:iCs/>
        </w:rPr>
      </w:pPr>
    </w:p>
    <w:p w:rsidR="00F21BDF" w:rsidRDefault="001E5929" w:rsidP="003C1936">
      <w:pPr>
        <w:pStyle w:val="NoSpacing"/>
        <w:rPr>
          <w:iCs/>
        </w:rPr>
      </w:pPr>
      <w:r>
        <w:rPr>
          <w:iCs/>
        </w:rPr>
        <w:t xml:space="preserve">First, how does Isaiah 1 – 39 spell out the nature of </w:t>
      </w:r>
      <w:r>
        <w:rPr>
          <w:rFonts w:cstheme="minorHAnsi"/>
        </w:rPr>
        <w:t xml:space="preserve">observing </w:t>
      </w:r>
      <w:r>
        <w:rPr>
          <w:i/>
        </w:rPr>
        <w:t>mišpāṭ</w:t>
      </w:r>
      <w:r>
        <w:t xml:space="preserve"> and doing </w:t>
      </w:r>
      <w:r>
        <w:rPr>
          <w:i/>
          <w:iCs/>
        </w:rPr>
        <w:t>ṣĕdāqâ</w:t>
      </w:r>
      <w:r w:rsidR="00247D18">
        <w:rPr>
          <w:iCs/>
        </w:rPr>
        <w:t>?  In outlining its priorities, a</w:t>
      </w:r>
      <w:r w:rsidR="00B852D3">
        <w:rPr>
          <w:iCs/>
        </w:rPr>
        <w:t>n</w:t>
      </w:r>
      <w:r>
        <w:rPr>
          <w:iCs/>
        </w:rPr>
        <w:t xml:space="preserve"> obvious place to start is Isaiah 5, where the prophet explicitly speaks of </w:t>
      </w:r>
      <w:r>
        <w:rPr>
          <w:i/>
        </w:rPr>
        <w:t>mišpāṭ</w:t>
      </w:r>
      <w:r>
        <w:t xml:space="preserve"> and </w:t>
      </w:r>
      <w:r>
        <w:rPr>
          <w:i/>
          <w:iCs/>
        </w:rPr>
        <w:t>ṣĕdāqâ</w:t>
      </w:r>
      <w:r w:rsidR="00F21BDF">
        <w:rPr>
          <w:iCs/>
        </w:rPr>
        <w:t>.  This hendiadys denotes</w:t>
      </w:r>
      <w:r>
        <w:rPr>
          <w:iCs/>
        </w:rPr>
        <w:t xml:space="preserve"> the exercise of authority in a way that is expressive of faithfulness, which is the opposite of the shedding of blood and the encouraging or ignoring of cries of </w:t>
      </w:r>
      <w:r w:rsidR="00247D18">
        <w:rPr>
          <w:iCs/>
        </w:rPr>
        <w:t>distress.  The context suggests that the prophet refers to</w:t>
      </w:r>
      <w:r>
        <w:rPr>
          <w:iCs/>
        </w:rPr>
        <w:t xml:space="preserve"> the way successful people accumulate land</w:t>
      </w:r>
      <w:r w:rsidR="00B852D3">
        <w:rPr>
          <w:iCs/>
        </w:rPr>
        <w:t xml:space="preserve"> and enlarge their homes</w:t>
      </w:r>
      <w:r>
        <w:rPr>
          <w:iCs/>
        </w:rPr>
        <w:t xml:space="preserve">, </w:t>
      </w:r>
      <w:r w:rsidR="00B852D3">
        <w:rPr>
          <w:iCs/>
        </w:rPr>
        <w:t>engage in bribery and the fixing of cour</w:t>
      </w:r>
      <w:r w:rsidR="00247D18">
        <w:rPr>
          <w:iCs/>
        </w:rPr>
        <w:t xml:space="preserve">t cases in this connection, </w:t>
      </w:r>
      <w:r>
        <w:rPr>
          <w:iCs/>
        </w:rPr>
        <w:t xml:space="preserve">indulge themselves </w:t>
      </w:r>
      <w:r w:rsidR="00B852D3">
        <w:rPr>
          <w:iCs/>
        </w:rPr>
        <w:t>in the excess of their eating and drinking, and behave on the assumption that they can retain their position of importance and ignore the possibility that Yhwh will do anything.  Related passages refer to the associated ignoring of the needs of needy people such as orphans and widows</w:t>
      </w:r>
      <w:r w:rsidR="00DA2620">
        <w:rPr>
          <w:iCs/>
        </w:rPr>
        <w:t xml:space="preserve"> (e.g., 1:11-23; 10:1-4), </w:t>
      </w:r>
      <w:r w:rsidR="00247D18">
        <w:rPr>
          <w:iCs/>
        </w:rPr>
        <w:t xml:space="preserve">and </w:t>
      </w:r>
      <w:r w:rsidR="00DA2620">
        <w:rPr>
          <w:iCs/>
        </w:rPr>
        <w:t>to other forms of self-indulgence (e.g., 3:16 – 4:1</w:t>
      </w:r>
      <w:r w:rsidR="00452C35">
        <w:rPr>
          <w:iCs/>
        </w:rPr>
        <w:t>; 28:1-8</w:t>
      </w:r>
      <w:r w:rsidR="00DA2620">
        <w:rPr>
          <w:iCs/>
        </w:rPr>
        <w:t>).</w:t>
      </w:r>
      <w:r w:rsidR="00452C35">
        <w:rPr>
          <w:iCs/>
        </w:rPr>
        <w:t xml:space="preserve">  </w:t>
      </w:r>
    </w:p>
    <w:p w:rsidR="00F21BDF" w:rsidRDefault="00F21BDF" w:rsidP="003C1936">
      <w:pPr>
        <w:pStyle w:val="NoSpacing"/>
        <w:rPr>
          <w:iCs/>
        </w:rPr>
      </w:pPr>
    </w:p>
    <w:p w:rsidR="00B852D3" w:rsidRDefault="00B852D3" w:rsidP="003C1936">
      <w:pPr>
        <w:pStyle w:val="NoSpacing"/>
        <w:rPr>
          <w:iCs/>
        </w:rPr>
      </w:pPr>
      <w:r>
        <w:rPr>
          <w:iCs/>
        </w:rPr>
        <w:t xml:space="preserve">A second major emphasis in Isaiah 1 – 39 is trust in Yhwh rather than in </w:t>
      </w:r>
      <w:r w:rsidR="00DA2620">
        <w:rPr>
          <w:iCs/>
        </w:rPr>
        <w:t>on</w:t>
      </w:r>
      <w:r w:rsidR="00F21BDF">
        <w:rPr>
          <w:iCs/>
        </w:rPr>
        <w:t xml:space="preserve">e’s own importance or capacities or </w:t>
      </w:r>
      <w:r>
        <w:rPr>
          <w:iCs/>
        </w:rPr>
        <w:t>political resources</w:t>
      </w:r>
      <w:r w:rsidR="00DA2620">
        <w:rPr>
          <w:iCs/>
        </w:rPr>
        <w:t xml:space="preserve"> (1:6-22; 7:1-17; 9:7-9 [8-10]</w:t>
      </w:r>
      <w:r w:rsidR="00452C35">
        <w:rPr>
          <w:iCs/>
        </w:rPr>
        <w:t>; 28:14-22; 30:1-17; 31:1-3</w:t>
      </w:r>
      <w:r w:rsidR="00257F97">
        <w:rPr>
          <w:iCs/>
        </w:rPr>
        <w:t>; 36:1 – 37:20</w:t>
      </w:r>
      <w:r w:rsidR="00DA2620">
        <w:rPr>
          <w:iCs/>
        </w:rPr>
        <w:t>)</w:t>
      </w:r>
      <w:r>
        <w:rPr>
          <w:iCs/>
        </w:rPr>
        <w:t>.</w:t>
      </w:r>
      <w:r w:rsidR="00DA2620">
        <w:rPr>
          <w:iCs/>
        </w:rPr>
        <w:t xml:space="preserve">  </w:t>
      </w:r>
      <w:r w:rsidR="00D734FD">
        <w:rPr>
          <w:iCs/>
        </w:rPr>
        <w:t xml:space="preserve">To judge from Isaiah 28:17, </w:t>
      </w:r>
      <w:r w:rsidR="00247D18">
        <w:rPr>
          <w:iCs/>
        </w:rPr>
        <w:t xml:space="preserve">operating on the basis of </w:t>
      </w:r>
      <w:r w:rsidR="00D734FD">
        <w:rPr>
          <w:iCs/>
        </w:rPr>
        <w:t xml:space="preserve">trust in </w:t>
      </w:r>
      <w:proofErr w:type="gramStart"/>
      <w:r w:rsidR="00D734FD">
        <w:rPr>
          <w:iCs/>
        </w:rPr>
        <w:t>Yhwh</w:t>
      </w:r>
      <w:proofErr w:type="gramEnd"/>
      <w:r w:rsidR="00D734FD">
        <w:rPr>
          <w:iCs/>
        </w:rPr>
        <w:t xml:space="preserve"> rather than in political alliances is a second expression of </w:t>
      </w:r>
      <w:r w:rsidR="00D734FD">
        <w:rPr>
          <w:i/>
        </w:rPr>
        <w:t>mišpāṭ</w:t>
      </w:r>
      <w:r w:rsidR="00D734FD">
        <w:t xml:space="preserve"> and </w:t>
      </w:r>
      <w:r w:rsidR="00D734FD">
        <w:rPr>
          <w:i/>
          <w:iCs/>
        </w:rPr>
        <w:t>ṣĕdāqâ</w:t>
      </w:r>
      <w:r w:rsidR="00D734FD">
        <w:rPr>
          <w:iCs/>
        </w:rPr>
        <w:t xml:space="preserve">.  </w:t>
      </w:r>
      <w:r w:rsidR="00F21BDF">
        <w:rPr>
          <w:iCs/>
        </w:rPr>
        <w:t>The</w:t>
      </w:r>
      <w:r w:rsidR="00DA2620">
        <w:rPr>
          <w:iCs/>
        </w:rPr>
        <w:t xml:space="preserve"> motif is one concern underlying the prophecies about other nations in Isaiah 13 – 23.</w:t>
      </w:r>
      <w:r w:rsidR="00452C35">
        <w:rPr>
          <w:iCs/>
        </w:rPr>
        <w:t xml:space="preserve">  </w:t>
      </w:r>
      <w:r>
        <w:rPr>
          <w:iCs/>
        </w:rPr>
        <w:t xml:space="preserve">A third but </w:t>
      </w:r>
      <w:r w:rsidR="00084187">
        <w:rPr>
          <w:iCs/>
        </w:rPr>
        <w:t xml:space="preserve">much </w:t>
      </w:r>
      <w:r>
        <w:rPr>
          <w:iCs/>
        </w:rPr>
        <w:t xml:space="preserve">lesser emphasis </w:t>
      </w:r>
      <w:r w:rsidR="00084187">
        <w:rPr>
          <w:iCs/>
        </w:rPr>
        <w:t xml:space="preserve">in Isaiah 1 – 39 is </w:t>
      </w:r>
      <w:r>
        <w:rPr>
          <w:iCs/>
        </w:rPr>
        <w:t xml:space="preserve">worship of </w:t>
      </w:r>
      <w:proofErr w:type="gramStart"/>
      <w:r>
        <w:rPr>
          <w:iCs/>
        </w:rPr>
        <w:t>Yhwh</w:t>
      </w:r>
      <w:proofErr w:type="gramEnd"/>
      <w:r>
        <w:rPr>
          <w:iCs/>
        </w:rPr>
        <w:t xml:space="preserve"> alone, worship of a kind that avoids certain traditional </w:t>
      </w:r>
      <w:r w:rsidR="00DA2620">
        <w:rPr>
          <w:iCs/>
        </w:rPr>
        <w:t xml:space="preserve">and foreign </w:t>
      </w:r>
      <w:r>
        <w:rPr>
          <w:iCs/>
        </w:rPr>
        <w:t>forms of worship (e.g., 1:</w:t>
      </w:r>
      <w:r w:rsidR="00DA2620">
        <w:rPr>
          <w:iCs/>
        </w:rPr>
        <w:t>29; 2:6-8, 22; 8:19-22</w:t>
      </w:r>
      <w:r w:rsidR="00452C35">
        <w:rPr>
          <w:iCs/>
        </w:rPr>
        <w:t>; 31:6-7</w:t>
      </w:r>
      <w:r w:rsidR="00DA2620">
        <w:rPr>
          <w:iCs/>
        </w:rPr>
        <w:t>).</w:t>
      </w:r>
    </w:p>
    <w:p w:rsidR="00452C35" w:rsidRDefault="00452C35" w:rsidP="003C1936">
      <w:pPr>
        <w:pStyle w:val="NoSpacing"/>
        <w:rPr>
          <w:iCs/>
        </w:rPr>
      </w:pPr>
    </w:p>
    <w:p w:rsidR="00257F97" w:rsidRDefault="00452C35" w:rsidP="003C1936">
      <w:pPr>
        <w:pStyle w:val="NoSpacing"/>
        <w:rPr>
          <w:iCs/>
        </w:rPr>
      </w:pPr>
      <w:r>
        <w:rPr>
          <w:iCs/>
        </w:rPr>
        <w:t xml:space="preserve">How does this set of concerns compare with those of Isaiah 56 – 66?  </w:t>
      </w:r>
      <w:r w:rsidR="00C16C7F">
        <w:rPr>
          <w:iCs/>
        </w:rPr>
        <w:t>In the last section of the book, the critique of the community’s leadership and their self-indulgence (56:9 – 57:2) and of people’s twisting of judicial procedures in way that leads to the death of the innocent (59:1-15a) compares w</w:t>
      </w:r>
      <w:r w:rsidR="00247D18">
        <w:rPr>
          <w:iCs/>
        </w:rPr>
        <w:t>ith that in Isaiah 1 – 39.  It</w:t>
      </w:r>
      <w:r w:rsidR="00C16C7F">
        <w:rPr>
          <w:iCs/>
        </w:rPr>
        <w:t>s critique of fasting (58:1-12) compares with the critique of worship at the beginning of the book (1:10-20)</w:t>
      </w:r>
      <w:r w:rsidR="00247D18">
        <w:rPr>
          <w:iCs/>
        </w:rPr>
        <w:t>; both relate to the community’s failure</w:t>
      </w:r>
      <w:r w:rsidR="00A56279">
        <w:rPr>
          <w:iCs/>
        </w:rPr>
        <w:t xml:space="preserve"> to live by </w:t>
      </w:r>
      <w:r w:rsidR="00A56279">
        <w:rPr>
          <w:i/>
        </w:rPr>
        <w:t>mišpāṭ</w:t>
      </w:r>
      <w:r w:rsidR="00A56279">
        <w:t xml:space="preserve"> and </w:t>
      </w:r>
      <w:r w:rsidR="00A56279">
        <w:rPr>
          <w:i/>
          <w:iCs/>
        </w:rPr>
        <w:t>ṣĕdāqâ</w:t>
      </w:r>
      <w:r w:rsidR="00A56279">
        <w:rPr>
          <w:iCs/>
        </w:rPr>
        <w:t xml:space="preserve"> (58:2).  </w:t>
      </w:r>
      <w:r w:rsidR="00C16C7F">
        <w:rPr>
          <w:iCs/>
        </w:rPr>
        <w:t xml:space="preserve">On the other hand, Isaiah 56 – 66 </w:t>
      </w:r>
      <w:r w:rsidR="00257F97">
        <w:rPr>
          <w:iCs/>
        </w:rPr>
        <w:t>does not take u</w:t>
      </w:r>
      <w:r w:rsidR="00247D18">
        <w:rPr>
          <w:iCs/>
        </w:rPr>
        <w:t>p the motif of trust that is</w:t>
      </w:r>
      <w:r w:rsidR="00257F97">
        <w:rPr>
          <w:iCs/>
        </w:rPr>
        <w:t xml:space="preserve"> important in Isaiah 1 – 39.  It </w:t>
      </w:r>
      <w:r w:rsidR="00C16C7F">
        <w:rPr>
          <w:iCs/>
        </w:rPr>
        <w:t>manifests a distinctive stress on</w:t>
      </w:r>
      <w:r>
        <w:rPr>
          <w:iCs/>
        </w:rPr>
        <w:t xml:space="preserve"> openness to individual foreigners and eunuchs</w:t>
      </w:r>
      <w:r w:rsidR="00C16C7F">
        <w:rPr>
          <w:iCs/>
        </w:rPr>
        <w:t>,</w:t>
      </w:r>
      <w:r>
        <w:rPr>
          <w:iCs/>
        </w:rPr>
        <w:t xml:space="preserve"> </w:t>
      </w:r>
      <w:r w:rsidR="00C16C7F">
        <w:rPr>
          <w:iCs/>
        </w:rPr>
        <w:t>and on</w:t>
      </w:r>
      <w:r w:rsidR="00621D1E">
        <w:rPr>
          <w:iCs/>
        </w:rPr>
        <w:t xml:space="preserve"> the Sabbath </w:t>
      </w:r>
      <w:r>
        <w:rPr>
          <w:iCs/>
        </w:rPr>
        <w:t>(56:2-8</w:t>
      </w:r>
      <w:r w:rsidR="00621D1E">
        <w:rPr>
          <w:iCs/>
        </w:rPr>
        <w:t>; 58:13-15</w:t>
      </w:r>
      <w:r>
        <w:rPr>
          <w:iCs/>
        </w:rPr>
        <w:t>)</w:t>
      </w:r>
      <w:r w:rsidR="00C16C7F">
        <w:rPr>
          <w:iCs/>
        </w:rPr>
        <w:t>, and</w:t>
      </w:r>
      <w:r>
        <w:rPr>
          <w:iCs/>
        </w:rPr>
        <w:t xml:space="preserve"> places </w:t>
      </w:r>
      <w:r w:rsidR="00257F97">
        <w:rPr>
          <w:iCs/>
        </w:rPr>
        <w:t xml:space="preserve">much </w:t>
      </w:r>
      <w:r>
        <w:rPr>
          <w:iCs/>
        </w:rPr>
        <w:t>great</w:t>
      </w:r>
      <w:r w:rsidR="00257F97">
        <w:rPr>
          <w:iCs/>
        </w:rPr>
        <w:t>er</w:t>
      </w:r>
      <w:r>
        <w:rPr>
          <w:iCs/>
        </w:rPr>
        <w:t xml:space="preserve"> emphasis </w:t>
      </w:r>
      <w:r w:rsidR="00257F97">
        <w:rPr>
          <w:iCs/>
        </w:rPr>
        <w:t xml:space="preserve">than Isaiah 1 – 39 </w:t>
      </w:r>
      <w:r>
        <w:rPr>
          <w:iCs/>
        </w:rPr>
        <w:t xml:space="preserve">on the wickedness of certain traditional worship practices </w:t>
      </w:r>
      <w:r w:rsidR="00621D1E">
        <w:rPr>
          <w:iCs/>
        </w:rPr>
        <w:t xml:space="preserve">and </w:t>
      </w:r>
      <w:r w:rsidR="00C16C7F">
        <w:rPr>
          <w:iCs/>
        </w:rPr>
        <w:t xml:space="preserve">of </w:t>
      </w:r>
      <w:r w:rsidR="00621D1E">
        <w:rPr>
          <w:iCs/>
        </w:rPr>
        <w:t xml:space="preserve">the worship of other deities </w:t>
      </w:r>
      <w:r>
        <w:rPr>
          <w:iCs/>
        </w:rPr>
        <w:t>(57:3-</w:t>
      </w:r>
      <w:r w:rsidR="00621D1E">
        <w:rPr>
          <w:iCs/>
        </w:rPr>
        <w:t xml:space="preserve">13; 65:1-12; 66:1-4, 17).  </w:t>
      </w:r>
    </w:p>
    <w:p w:rsidR="00257F97" w:rsidRDefault="00257F97" w:rsidP="003C1936">
      <w:pPr>
        <w:pStyle w:val="NoSpacing"/>
        <w:rPr>
          <w:iCs/>
        </w:rPr>
      </w:pPr>
    </w:p>
    <w:p w:rsidR="00452C35" w:rsidRDefault="00C16C7F" w:rsidP="00257F97">
      <w:pPr>
        <w:pStyle w:val="NoSpacing"/>
        <w:tabs>
          <w:tab w:val="left" w:pos="2925"/>
        </w:tabs>
        <w:rPr>
          <w:iCs/>
        </w:rPr>
      </w:pPr>
      <w:r>
        <w:rPr>
          <w:iCs/>
        </w:rPr>
        <w:t>The agenda of Isaiah</w:t>
      </w:r>
      <w:r w:rsidR="00257F97">
        <w:rPr>
          <w:iCs/>
        </w:rPr>
        <w:t xml:space="preserve"> 56</w:t>
      </w:r>
      <w:r w:rsidR="00247D18">
        <w:rPr>
          <w:iCs/>
        </w:rPr>
        <w:t xml:space="preserve"> – 66 as it spells out</w:t>
      </w:r>
      <w:r w:rsidR="00AE41AA">
        <w:rPr>
          <w:iCs/>
        </w:rPr>
        <w:t xml:space="preserve"> </w:t>
      </w:r>
      <w:r w:rsidR="00AE41AA">
        <w:rPr>
          <w:rFonts w:cstheme="minorHAnsi"/>
        </w:rPr>
        <w:t xml:space="preserve">”observe </w:t>
      </w:r>
      <w:r w:rsidR="00AE41AA">
        <w:rPr>
          <w:i/>
        </w:rPr>
        <w:t>mišpāṭ</w:t>
      </w:r>
      <w:r w:rsidR="00AE41AA">
        <w:t xml:space="preserve">, do </w:t>
      </w:r>
      <w:r w:rsidR="00AE41AA">
        <w:rPr>
          <w:i/>
          <w:iCs/>
        </w:rPr>
        <w:t>ṣĕdāqâ</w:t>
      </w:r>
      <w:r w:rsidR="00AE41AA">
        <w:rPr>
          <w:iCs/>
        </w:rPr>
        <w:t xml:space="preserve">” overlaps with the agenda of Isaiah </w:t>
      </w:r>
      <w:r w:rsidR="00815BE2">
        <w:rPr>
          <w:iCs/>
        </w:rPr>
        <w:t>1 – 39 but only in part</w:t>
      </w:r>
      <w:r w:rsidR="00AE41AA">
        <w:rPr>
          <w:iCs/>
        </w:rPr>
        <w:t xml:space="preserve"> and not in a way that distinguishes the relationship of Isaiah 56 – 66 to Isaiah 1 – 39 compared with its relationship to (say) Jeremiah or Zechariah.</w:t>
      </w:r>
      <w:r w:rsidR="00815BE2">
        <w:rPr>
          <w:rStyle w:val="FootnoteReference"/>
          <w:iCs/>
        </w:rPr>
        <w:footnoteReference w:id="11"/>
      </w:r>
      <w:r w:rsidR="00815BE2">
        <w:rPr>
          <w:iCs/>
        </w:rPr>
        <w:t xml:space="preserve">  Perhaps it is</w:t>
      </w:r>
      <w:r w:rsidR="00AE41AA">
        <w:rPr>
          <w:iCs/>
        </w:rPr>
        <w:t xml:space="preserve"> indeed the </w:t>
      </w:r>
      <w:r w:rsidR="00AE41AA">
        <w:rPr>
          <w:iCs/>
        </w:rPr>
        <w:lastRenderedPageBreak/>
        <w:t>parallels of specific phrases and lines between Isaiah 1 – 39 and Isaiah 56 – 66 that form the link between the first and last parts of the book rather than an</w:t>
      </w:r>
      <w:r w:rsidR="00815BE2">
        <w:rPr>
          <w:iCs/>
        </w:rPr>
        <w:t>y distinctive theological link, though</w:t>
      </w:r>
      <w:r w:rsidR="00AE41AA">
        <w:rPr>
          <w:iCs/>
        </w:rPr>
        <w:t xml:space="preserve"> even these parallels do not </w:t>
      </w:r>
      <w:r w:rsidR="00686C79">
        <w:rPr>
          <w:iCs/>
        </w:rPr>
        <w:t xml:space="preserve">radically </w:t>
      </w:r>
      <w:r w:rsidR="00815BE2">
        <w:rPr>
          <w:iCs/>
        </w:rPr>
        <w:t>distinguish the connection</w:t>
      </w:r>
      <w:r w:rsidR="00AE41AA">
        <w:rPr>
          <w:iCs/>
        </w:rPr>
        <w:t xml:space="preserve"> between the</w:t>
      </w:r>
      <w:r w:rsidR="00686C79">
        <w:rPr>
          <w:iCs/>
        </w:rPr>
        <w:t>se two sections over against a</w:t>
      </w:r>
      <w:r w:rsidR="00AE41AA">
        <w:rPr>
          <w:iCs/>
        </w:rPr>
        <w:t xml:space="preserve"> </w:t>
      </w:r>
      <w:r w:rsidR="00815BE2">
        <w:rPr>
          <w:iCs/>
        </w:rPr>
        <w:t xml:space="preserve">connection </w:t>
      </w:r>
      <w:r w:rsidR="00AE41AA">
        <w:rPr>
          <w:iCs/>
        </w:rPr>
        <w:t>link with Jeremiah.</w:t>
      </w:r>
      <w:r w:rsidR="00686C79">
        <w:rPr>
          <w:rStyle w:val="FootnoteReference"/>
          <w:iCs/>
        </w:rPr>
        <w:footnoteReference w:id="12"/>
      </w:r>
    </w:p>
    <w:p w:rsidR="00084187" w:rsidRDefault="00084187" w:rsidP="00257F97">
      <w:pPr>
        <w:pStyle w:val="NoSpacing"/>
        <w:tabs>
          <w:tab w:val="left" w:pos="2925"/>
        </w:tabs>
        <w:rPr>
          <w:iCs/>
        </w:rPr>
      </w:pPr>
    </w:p>
    <w:p w:rsidR="00C9024C" w:rsidRPr="00453B99" w:rsidRDefault="00F21BDF" w:rsidP="00257F97">
      <w:pPr>
        <w:pStyle w:val="NoSpacing"/>
        <w:tabs>
          <w:tab w:val="left" w:pos="2925"/>
        </w:tabs>
        <w:rPr>
          <w:iCs/>
        </w:rPr>
      </w:pPr>
      <w:r>
        <w:t>So much by way of comparing the agenda of Isaiah 1 – 39 and that of Isaiah 56 – 66.  H</w:t>
      </w:r>
      <w:r w:rsidR="00815BE2">
        <w:t xml:space="preserve">ow </w:t>
      </w:r>
      <w:r w:rsidR="00084187">
        <w:t>does the agenda of Isaiah 40 – 55 compare with that of Isaiah 56 – 66?  In summarizing the agenda of Isaiah 1 – 39, I ignored its concern with</w:t>
      </w:r>
      <w:r w:rsidR="00084187">
        <w:rPr>
          <w:rFonts w:cstheme="minorHAnsi"/>
        </w:rPr>
        <w:t xml:space="preserve"> </w:t>
      </w:r>
      <w:r w:rsidR="00084187">
        <w:rPr>
          <w:i/>
        </w:rPr>
        <w:t>mišpāṭ</w:t>
      </w:r>
      <w:r w:rsidR="00084187">
        <w:t xml:space="preserve"> and </w:t>
      </w:r>
      <w:r w:rsidR="00084187">
        <w:rPr>
          <w:i/>
          <w:iCs/>
        </w:rPr>
        <w:t>ṣĕdāqâ</w:t>
      </w:r>
      <w:r>
        <w:rPr>
          <w:iCs/>
        </w:rPr>
        <w:t xml:space="preserve"> when these words are used in connection with</w:t>
      </w:r>
      <w:r w:rsidR="00755B97">
        <w:rPr>
          <w:iCs/>
        </w:rPr>
        <w:t xml:space="preserve"> divine actions, though the usage</w:t>
      </w:r>
      <w:r w:rsidR="00084187">
        <w:rPr>
          <w:iCs/>
        </w:rPr>
        <w:t xml:space="preserve"> does </w:t>
      </w:r>
      <w:r>
        <w:rPr>
          <w:iCs/>
        </w:rPr>
        <w:t xml:space="preserve">occasionally </w:t>
      </w:r>
      <w:r w:rsidR="00084187">
        <w:rPr>
          <w:iCs/>
        </w:rPr>
        <w:t xml:space="preserve">appear (1:27; 5:16; 9:6 [7]; 32:16; </w:t>
      </w:r>
      <w:r>
        <w:rPr>
          <w:iCs/>
        </w:rPr>
        <w:t>33:5).  The actual</w:t>
      </w:r>
      <w:r w:rsidR="00DE0D64">
        <w:rPr>
          <w:iCs/>
        </w:rPr>
        <w:t xml:space="preserve"> hendiadys </w:t>
      </w:r>
      <w:r>
        <w:rPr>
          <w:i/>
        </w:rPr>
        <w:t>mišpāṭ</w:t>
      </w:r>
      <w:r>
        <w:t xml:space="preserve"> </w:t>
      </w:r>
      <w:proofErr w:type="spellStart"/>
      <w:r>
        <w:rPr>
          <w:rFonts w:ascii="Times New Roman" w:hAnsi="Times New Roman" w:cs="Times New Roman"/>
          <w:i/>
        </w:rPr>
        <w:t>û</w:t>
      </w:r>
      <w:r>
        <w:rPr>
          <w:i/>
          <w:iCs/>
        </w:rPr>
        <w:t>ṣĕdāqâ</w:t>
      </w:r>
      <w:proofErr w:type="spellEnd"/>
      <w:r>
        <w:rPr>
          <w:iCs/>
        </w:rPr>
        <w:t xml:space="preserve"> </w:t>
      </w:r>
      <w:r w:rsidR="00DE0D64">
        <w:rPr>
          <w:iCs/>
        </w:rPr>
        <w:t xml:space="preserve">does not </w:t>
      </w:r>
      <w:r w:rsidR="00084187">
        <w:rPr>
          <w:iCs/>
        </w:rPr>
        <w:t>appear in Isaiah 40 – 55</w:t>
      </w:r>
      <w:r w:rsidR="00DE0D64">
        <w:rPr>
          <w:iCs/>
        </w:rPr>
        <w:t xml:space="preserve"> (51:5-6 does have </w:t>
      </w:r>
      <w:r w:rsidR="00DE0D64">
        <w:rPr>
          <w:i/>
        </w:rPr>
        <w:t>mišpāṭ</w:t>
      </w:r>
      <w:r w:rsidR="00DE0D64">
        <w:t xml:space="preserve"> and </w:t>
      </w:r>
      <w:r w:rsidR="00DE0D64">
        <w:rPr>
          <w:i/>
          <w:iCs/>
        </w:rPr>
        <w:t>ṣedeq</w:t>
      </w:r>
      <w:r w:rsidR="00DE0D64">
        <w:rPr>
          <w:iCs/>
        </w:rPr>
        <w:t>)</w:t>
      </w:r>
      <w:r w:rsidR="00084187">
        <w:rPr>
          <w:iCs/>
        </w:rPr>
        <w:t xml:space="preserve">, though the chapters do use the two words </w:t>
      </w:r>
      <w:r w:rsidR="00DE0D64">
        <w:rPr>
          <w:iCs/>
        </w:rPr>
        <w:t xml:space="preserve">separately </w:t>
      </w:r>
      <w:r w:rsidR="00084187">
        <w:rPr>
          <w:iCs/>
        </w:rPr>
        <w:t>with reference to divine action</w:t>
      </w:r>
      <w:r w:rsidR="00755B97">
        <w:rPr>
          <w:iCs/>
        </w:rPr>
        <w:t>.  T</w:t>
      </w:r>
      <w:r w:rsidR="00084187">
        <w:rPr>
          <w:iCs/>
        </w:rPr>
        <w:t xml:space="preserve">he combination of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sidR="00441272">
        <w:rPr>
          <w:rFonts w:ascii="Times New Roman" w:hAnsi="Times New Roman" w:cs="Times New Roman"/>
          <w:iCs/>
        </w:rPr>
        <w:t xml:space="preserve"> </w:t>
      </w:r>
      <w:r w:rsidR="00815BE2">
        <w:rPr>
          <w:rFonts w:cstheme="minorHAnsi"/>
          <w:iCs/>
        </w:rPr>
        <w:t>or</w:t>
      </w:r>
      <w:r w:rsidR="00755B97" w:rsidRPr="00815BE2">
        <w:rPr>
          <w:rFonts w:cstheme="minorHAnsi"/>
          <w:iCs/>
        </w:rPr>
        <w:t xml:space="preserve"> related words</w:t>
      </w:r>
      <w:r w:rsidR="00441272">
        <w:rPr>
          <w:rFonts w:ascii="Times New Roman" w:hAnsi="Times New Roman" w:cs="Times New Roman"/>
          <w:iCs/>
        </w:rPr>
        <w:t xml:space="preserve"> </w:t>
      </w:r>
      <w:r w:rsidR="00441272">
        <w:rPr>
          <w:rFonts w:cstheme="minorHAnsi"/>
          <w:iCs/>
        </w:rPr>
        <w:t xml:space="preserve">and </w:t>
      </w:r>
      <w:r w:rsidR="00441272">
        <w:rPr>
          <w:i/>
          <w:iCs/>
        </w:rPr>
        <w:t>ṣĕdāqâ</w:t>
      </w:r>
      <w:r w:rsidR="00441272">
        <w:rPr>
          <w:iCs/>
        </w:rPr>
        <w:t xml:space="preserve"> or </w:t>
      </w:r>
      <w:r w:rsidR="00441272">
        <w:rPr>
          <w:i/>
          <w:iCs/>
        </w:rPr>
        <w:t>ṣedeq</w:t>
      </w:r>
      <w:r w:rsidR="00441272">
        <w:rPr>
          <w:iCs/>
        </w:rPr>
        <w:t xml:space="preserve"> is more characteristic of Isaiah 40 – 55 </w:t>
      </w:r>
      <w:r w:rsidR="00DE0D64">
        <w:rPr>
          <w:iCs/>
        </w:rPr>
        <w:t>(45.8; 46:12-13; 51:5, 6, 8; cf. also 45:22-24</w:t>
      </w:r>
      <w:r w:rsidR="00441272">
        <w:rPr>
          <w:iCs/>
        </w:rPr>
        <w:t>).</w:t>
      </w:r>
      <w:r w:rsidR="00815BE2">
        <w:rPr>
          <w:iCs/>
        </w:rPr>
        <w:t xml:space="preserve">  It is this</w:t>
      </w:r>
      <w:r w:rsidR="00755B97">
        <w:rPr>
          <w:iCs/>
        </w:rPr>
        <w:t xml:space="preserve"> </w:t>
      </w:r>
      <w:r w:rsidR="00C9024C">
        <w:rPr>
          <w:iCs/>
        </w:rPr>
        <w:t xml:space="preserve">combination that appears in 56:1; in other words, that opening verse of Isaiah 56 – 66 makes a good link with what precedes.  The combination reappears in the central section of Isaiah 56 – 66, the section that focuses </w:t>
      </w:r>
      <w:r>
        <w:rPr>
          <w:iCs/>
        </w:rPr>
        <w:t xml:space="preserve">on </w:t>
      </w:r>
      <w:proofErr w:type="gramStart"/>
      <w:r>
        <w:rPr>
          <w:iCs/>
        </w:rPr>
        <w:t>Yhwh’s</w:t>
      </w:r>
      <w:proofErr w:type="gramEnd"/>
      <w:r>
        <w:rPr>
          <w:iCs/>
        </w:rPr>
        <w:t xml:space="preserve"> promise</w:t>
      </w:r>
      <w:r w:rsidR="00A56279">
        <w:rPr>
          <w:iCs/>
        </w:rPr>
        <w:t>s</w:t>
      </w:r>
      <w:r w:rsidR="00C9024C">
        <w:rPr>
          <w:iCs/>
        </w:rPr>
        <w:t xml:space="preserve"> concerning Jerusalem’s future (</w:t>
      </w:r>
      <w:r w:rsidR="00755B97">
        <w:rPr>
          <w:iCs/>
        </w:rPr>
        <w:t>59:9, 14, 16, 17; 61:10; 62:1; 63:1</w:t>
      </w:r>
      <w:r w:rsidR="00C9024C">
        <w:rPr>
          <w:iCs/>
        </w:rPr>
        <w:t>).</w:t>
      </w:r>
      <w:r w:rsidR="00755B97">
        <w:rPr>
          <w:iCs/>
        </w:rPr>
        <w:t xml:space="preserve"> </w:t>
      </w:r>
      <w:r w:rsidR="00A56279">
        <w:rPr>
          <w:iCs/>
        </w:rPr>
        <w:t xml:space="preserve"> The</w:t>
      </w:r>
      <w:r w:rsidR="008349FB">
        <w:rPr>
          <w:iCs/>
        </w:rPr>
        <w:t>re are other ways in which these</w:t>
      </w:r>
      <w:r w:rsidR="00A56279">
        <w:rPr>
          <w:iCs/>
        </w:rPr>
        <w:t xml:space="preserve"> dec</w:t>
      </w:r>
      <w:r w:rsidR="008349FB">
        <w:rPr>
          <w:iCs/>
        </w:rPr>
        <w:t xml:space="preserve">larations compare with </w:t>
      </w:r>
      <w:r w:rsidR="00A56279">
        <w:rPr>
          <w:iCs/>
        </w:rPr>
        <w:t>Isaiah 40</w:t>
      </w:r>
      <w:r w:rsidR="008349FB">
        <w:rPr>
          <w:iCs/>
        </w:rPr>
        <w:t xml:space="preserve"> – 55</w:t>
      </w:r>
      <w:r w:rsidR="00A56279">
        <w:rPr>
          <w:iCs/>
        </w:rPr>
        <w:t>.  They portray Yhwh the warrior at last stirring himself in order to take violent action against his foes</w:t>
      </w:r>
      <w:r w:rsidR="006B1989">
        <w:rPr>
          <w:iCs/>
        </w:rPr>
        <w:t>, and thus</w:t>
      </w:r>
      <w:r w:rsidR="00A56279">
        <w:rPr>
          <w:iCs/>
        </w:rPr>
        <w:t xml:space="preserve"> acting </w:t>
      </w:r>
      <w:r w:rsidR="006B1989">
        <w:rPr>
          <w:iCs/>
        </w:rPr>
        <w:t xml:space="preserve">in </w:t>
      </w:r>
      <w:r w:rsidR="006B1989">
        <w:rPr>
          <w:i/>
          <w:iCs/>
        </w:rPr>
        <w:t>qin’</w:t>
      </w:r>
      <w:r w:rsidR="006B1989">
        <w:rPr>
          <w:rFonts w:ascii="Times New Roman" w:hAnsi="Times New Roman" w:cs="Times New Roman"/>
          <w:i/>
          <w:iCs/>
        </w:rPr>
        <w:t>â</w:t>
      </w:r>
      <w:r w:rsidR="006B1989">
        <w:rPr>
          <w:i/>
          <w:iCs/>
        </w:rPr>
        <w:t xml:space="preserve"> </w:t>
      </w:r>
      <w:r w:rsidR="006B1989">
        <w:rPr>
          <w:iCs/>
        </w:rPr>
        <w:t>(59:17)</w:t>
      </w:r>
      <w:r w:rsidR="008349FB">
        <w:rPr>
          <w:iCs/>
        </w:rPr>
        <w:t xml:space="preserve"> in order </w:t>
      </w:r>
      <w:r w:rsidR="006B1989">
        <w:rPr>
          <w:iCs/>
        </w:rPr>
        <w:t xml:space="preserve">to effect </w:t>
      </w:r>
      <w:r w:rsidR="006B1989">
        <w:rPr>
          <w:i/>
          <w:iCs/>
        </w:rPr>
        <w:t>n</w:t>
      </w:r>
      <w:r w:rsidR="006B1989">
        <w:rPr>
          <w:rFonts w:ascii="Times New Roman" w:hAnsi="Times New Roman" w:cs="Times New Roman"/>
          <w:i/>
          <w:iCs/>
        </w:rPr>
        <w:t>ā</w:t>
      </w:r>
      <w:r w:rsidR="006B1989">
        <w:rPr>
          <w:i/>
          <w:iCs/>
        </w:rPr>
        <w:t>q</w:t>
      </w:r>
      <w:r w:rsidR="006B1989">
        <w:rPr>
          <w:rFonts w:ascii="Times New Roman" w:hAnsi="Times New Roman" w:cs="Times New Roman"/>
          <w:i/>
          <w:iCs/>
        </w:rPr>
        <w:t>ā</w:t>
      </w:r>
      <w:r w:rsidR="006B1989">
        <w:rPr>
          <w:i/>
          <w:iCs/>
        </w:rPr>
        <w:t>m</w:t>
      </w:r>
      <w:r w:rsidR="006B1989">
        <w:rPr>
          <w:iCs/>
        </w:rPr>
        <w:t xml:space="preserve"> (59:17; 61:2; 63:4)</w:t>
      </w:r>
      <w:r w:rsidR="008349FB">
        <w:rPr>
          <w:iCs/>
        </w:rPr>
        <w:t>, acting</w:t>
      </w:r>
      <w:r w:rsidR="006B1989">
        <w:rPr>
          <w:iCs/>
        </w:rPr>
        <w:t xml:space="preserve"> </w:t>
      </w:r>
      <w:r w:rsidR="00A56279">
        <w:rPr>
          <w:iCs/>
        </w:rPr>
        <w:t xml:space="preserve">as Zion’s </w:t>
      </w:r>
      <w:r w:rsidR="00A56279">
        <w:rPr>
          <w:i/>
          <w:iCs/>
        </w:rPr>
        <w:t>g</w:t>
      </w:r>
      <w:r w:rsidR="00A56279">
        <w:rPr>
          <w:rFonts w:ascii="Times New Roman" w:hAnsi="Times New Roman" w:cs="Times New Roman"/>
          <w:i/>
          <w:iCs/>
        </w:rPr>
        <w:t>ō’ēl</w:t>
      </w:r>
      <w:r w:rsidR="00A56279">
        <w:rPr>
          <w:rFonts w:ascii="Times New Roman" w:hAnsi="Times New Roman" w:cs="Times New Roman"/>
          <w:iCs/>
        </w:rPr>
        <w:t xml:space="preserve"> </w:t>
      </w:r>
      <w:r w:rsidR="00A56279">
        <w:rPr>
          <w:iCs/>
        </w:rPr>
        <w:t>(59</w:t>
      </w:r>
      <w:r w:rsidR="006B1989">
        <w:rPr>
          <w:iCs/>
        </w:rPr>
        <w:t>:20; 60:16).</w:t>
      </w:r>
      <w:r w:rsidR="008349FB">
        <w:rPr>
          <w:rStyle w:val="FootnoteReference"/>
          <w:iCs/>
        </w:rPr>
        <w:footnoteReference w:id="13"/>
      </w:r>
      <w:r w:rsidR="006B1989">
        <w:rPr>
          <w:iCs/>
        </w:rPr>
        <w:t xml:space="preserve">  </w:t>
      </w:r>
      <w:r w:rsidR="00453B99">
        <w:rPr>
          <w:iCs/>
        </w:rPr>
        <w:t xml:space="preserve">They speak of </w:t>
      </w:r>
      <w:proofErr w:type="gramStart"/>
      <w:r w:rsidR="00453B99">
        <w:rPr>
          <w:iCs/>
        </w:rPr>
        <w:t>Yhwh’s</w:t>
      </w:r>
      <w:proofErr w:type="gramEnd"/>
      <w:r w:rsidR="00453B99">
        <w:rPr>
          <w:iCs/>
        </w:rPr>
        <w:t xml:space="preserve"> exercise of </w:t>
      </w:r>
      <w:r w:rsidR="00067C16">
        <w:rPr>
          <w:i/>
        </w:rPr>
        <w:t>mišpāṭ</w:t>
      </w:r>
      <w:r w:rsidR="00067C16">
        <w:t>,</w:t>
      </w:r>
      <w:r w:rsidR="00453B99">
        <w:t xml:space="preserve"> sometimes in association with </w:t>
      </w:r>
      <w:r w:rsidR="00453B99">
        <w:rPr>
          <w:i/>
          <w:iCs/>
        </w:rPr>
        <w:t>ṣĕdāqâ</w:t>
      </w:r>
      <w:r w:rsidR="00453B99">
        <w:rPr>
          <w:iCs/>
        </w:rPr>
        <w:t xml:space="preserve"> </w:t>
      </w:r>
      <w:r w:rsidR="00453B99">
        <w:t>(59:9, 11, 14, 15).  They describe at great length the restoration and transformation of Zion, the wondrous return of its peoples from all over the world, and its recognition by the world’s peoples</w:t>
      </w:r>
      <w:r w:rsidR="005E2AEB">
        <w:t>,</w:t>
      </w:r>
      <w:r w:rsidR="00453B99">
        <w:t xml:space="preserve"> whose a</w:t>
      </w:r>
      <w:r w:rsidR="005E2AEB">
        <w:t>ttitude to Zion is thus reversed</w:t>
      </w:r>
      <w:r w:rsidR="00453B99">
        <w:t xml:space="preserve"> from what it had been when Zion had been the nations’ victim.</w:t>
      </w:r>
      <w:r w:rsidR="004317EF">
        <w:t xml:space="preserve">  </w:t>
      </w:r>
      <w:r w:rsidR="004317EF">
        <w:rPr>
          <w:iCs/>
        </w:rPr>
        <w:t>The image of Yhwh as creator is of key importance in Isaiah 40 – 55 and appears briefly in Isaiah 56 – 66 (57:19; 65:17-18).</w:t>
      </w:r>
      <w:r w:rsidR="00F96D23">
        <w:rPr>
          <w:iCs/>
        </w:rPr>
        <w:t xml:space="preserve">  The understanding of the prophet’s own role in Isaiah 61:1-9 compares with that </w:t>
      </w:r>
      <w:r w:rsidR="005E2AEB">
        <w:rPr>
          <w:iCs/>
        </w:rPr>
        <w:t xml:space="preserve">of the prophet’s role </w:t>
      </w:r>
      <w:r w:rsidR="00F96D23">
        <w:rPr>
          <w:iCs/>
        </w:rPr>
        <w:t>in Isaiah 49:1-6; 50:4-9, as does the absence of any concern with a future Davidic ruler.</w:t>
      </w:r>
    </w:p>
    <w:p w:rsidR="006B1989" w:rsidRDefault="006B1989" w:rsidP="00257F97">
      <w:pPr>
        <w:pStyle w:val="NoSpacing"/>
        <w:tabs>
          <w:tab w:val="left" w:pos="2925"/>
        </w:tabs>
        <w:rPr>
          <w:iCs/>
        </w:rPr>
      </w:pPr>
    </w:p>
    <w:p w:rsidR="00755B97" w:rsidRDefault="00A56279" w:rsidP="00257F97">
      <w:pPr>
        <w:pStyle w:val="NoSpacing"/>
        <w:tabs>
          <w:tab w:val="left" w:pos="2925"/>
        </w:tabs>
        <w:rPr>
          <w:iCs/>
        </w:rPr>
      </w:pPr>
      <w:r>
        <w:rPr>
          <w:iCs/>
        </w:rPr>
        <w:t xml:space="preserve">Like Isaiah 1 – 39, however, Isaiah 40 – 55 has other agenda that is not picked </w:t>
      </w:r>
      <w:r w:rsidR="005E2AEB">
        <w:rPr>
          <w:iCs/>
        </w:rPr>
        <w:t>up by Isaiah 56 – 66, even as the latter</w:t>
      </w:r>
      <w:r>
        <w:rPr>
          <w:iCs/>
        </w:rPr>
        <w:t xml:space="preserve"> expounds its declaration that Yhwh’s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Pr>
          <w:iCs/>
        </w:rPr>
        <w:t xml:space="preserve"> is near to coming, its </w:t>
      </w:r>
      <w:r>
        <w:rPr>
          <w:i/>
          <w:iCs/>
        </w:rPr>
        <w:t>ṣĕdāqâ</w:t>
      </w:r>
      <w:r>
        <w:rPr>
          <w:iCs/>
        </w:rPr>
        <w:t xml:space="preserve"> near to arriving.  </w:t>
      </w:r>
      <w:r w:rsidR="004317EF">
        <w:rPr>
          <w:iCs/>
        </w:rPr>
        <w:t xml:space="preserve">Isaiah 56 – 66 is </w:t>
      </w:r>
      <w:r w:rsidR="005E2AEB">
        <w:rPr>
          <w:iCs/>
        </w:rPr>
        <w:t>often said to be preoccupied with an awareness</w:t>
      </w:r>
      <w:r w:rsidR="004317EF">
        <w:rPr>
          <w:iCs/>
        </w:rPr>
        <w:t xml:space="preserve"> that </w:t>
      </w:r>
      <w:proofErr w:type="gramStart"/>
      <w:r w:rsidR="004317EF">
        <w:rPr>
          <w:iCs/>
        </w:rPr>
        <w:t>Yhwh’s</w:t>
      </w:r>
      <w:proofErr w:type="gramEnd"/>
      <w:r w:rsidR="004317EF">
        <w:rPr>
          <w:iCs/>
        </w:rPr>
        <w:t xml:space="preserve"> promis</w:t>
      </w:r>
      <w:r w:rsidR="005E2AEB">
        <w:rPr>
          <w:iCs/>
        </w:rPr>
        <w:t>es have not been fulfilled; it is concerned to explain why this is so and to declare that the promises will be fulfilled.  I</w:t>
      </w:r>
      <w:r w:rsidR="004317EF">
        <w:rPr>
          <w:iCs/>
        </w:rPr>
        <w:t xml:space="preserve">f this is so, the theme is implicit rather than explicit.  In contrast, an overt theme in Isaiah 40 – 55 is the need to convince the community that </w:t>
      </w:r>
      <w:proofErr w:type="gramStart"/>
      <w:r w:rsidR="004317EF">
        <w:rPr>
          <w:iCs/>
        </w:rPr>
        <w:t>Yhwh</w:t>
      </w:r>
      <w:proofErr w:type="gramEnd"/>
      <w:r w:rsidR="004317EF">
        <w:rPr>
          <w:iCs/>
        </w:rPr>
        <w:t xml:space="preserve"> really is going to restore Jerusalem, </w:t>
      </w:r>
      <w:r w:rsidR="003B748F">
        <w:rPr>
          <w:iCs/>
        </w:rPr>
        <w:t xml:space="preserve">indeed that Yhwh is in the midst of doing so, and that the </w:t>
      </w:r>
      <w:r w:rsidR="00F96D23">
        <w:rPr>
          <w:iCs/>
        </w:rPr>
        <w:t>fall of one superpower and the rise of another</w:t>
      </w:r>
      <w:r w:rsidR="003B748F">
        <w:rPr>
          <w:iCs/>
        </w:rPr>
        <w:t xml:space="preserve"> is Yhwh’s means of</w:t>
      </w:r>
      <w:r w:rsidR="005E2AEB">
        <w:rPr>
          <w:iCs/>
        </w:rPr>
        <w:t xml:space="preserve"> bringing about that restoration</w:t>
      </w:r>
      <w:r w:rsidR="003B748F">
        <w:rPr>
          <w:iCs/>
        </w:rPr>
        <w:t>.  M</w:t>
      </w:r>
      <w:r w:rsidR="004317EF">
        <w:rPr>
          <w:iCs/>
        </w:rPr>
        <w:t xml:space="preserve">uch of its argument is </w:t>
      </w:r>
      <w:proofErr w:type="spellStart"/>
      <w:r w:rsidR="004317EF">
        <w:rPr>
          <w:iCs/>
        </w:rPr>
        <w:t>overtly</w:t>
      </w:r>
      <w:proofErr w:type="spellEnd"/>
      <w:r w:rsidR="004317EF">
        <w:rPr>
          <w:iCs/>
        </w:rPr>
        <w:t xml:space="preserve"> concerned to confront the community’s disbelief</w:t>
      </w:r>
      <w:r w:rsidR="003B748F">
        <w:rPr>
          <w:iCs/>
        </w:rPr>
        <w:t xml:space="preserve"> and </w:t>
      </w:r>
      <w:r w:rsidR="005E2AEB">
        <w:rPr>
          <w:iCs/>
        </w:rPr>
        <w:t xml:space="preserve">its </w:t>
      </w:r>
      <w:r w:rsidR="003B748F">
        <w:rPr>
          <w:iCs/>
        </w:rPr>
        <w:t xml:space="preserve">resistance to the </w:t>
      </w:r>
      <w:proofErr w:type="gramStart"/>
      <w:r w:rsidR="003B748F">
        <w:rPr>
          <w:iCs/>
        </w:rPr>
        <w:t>prophet’s understanding</w:t>
      </w:r>
      <w:proofErr w:type="gramEnd"/>
      <w:r w:rsidR="003B748F">
        <w:rPr>
          <w:iCs/>
        </w:rPr>
        <w:t xml:space="preserve"> of Yhwh’s activity, and to encourage it not to be afraid.  These</w:t>
      </w:r>
      <w:r w:rsidR="004317EF">
        <w:rPr>
          <w:iCs/>
        </w:rPr>
        <w:t xml:space="preserve"> concern</w:t>
      </w:r>
      <w:r w:rsidR="003B748F">
        <w:rPr>
          <w:iCs/>
        </w:rPr>
        <w:t>s do</w:t>
      </w:r>
      <w:r w:rsidR="004317EF">
        <w:rPr>
          <w:iCs/>
        </w:rPr>
        <w:t xml:space="preserve"> not feature </w:t>
      </w:r>
      <w:r w:rsidR="003B748F">
        <w:rPr>
          <w:iCs/>
        </w:rPr>
        <w:t xml:space="preserve">overtly </w:t>
      </w:r>
      <w:r w:rsidR="004317EF">
        <w:rPr>
          <w:iCs/>
        </w:rPr>
        <w:t xml:space="preserve">in Isaiah 56 – 66.  The </w:t>
      </w:r>
      <w:r w:rsidR="003B748F">
        <w:rPr>
          <w:iCs/>
        </w:rPr>
        <w:t xml:space="preserve">assertion that </w:t>
      </w:r>
      <w:proofErr w:type="gramStart"/>
      <w:r w:rsidR="003B748F">
        <w:rPr>
          <w:iCs/>
        </w:rPr>
        <w:t>Yhwh</w:t>
      </w:r>
      <w:proofErr w:type="gramEnd"/>
      <w:r w:rsidR="003B748F">
        <w:rPr>
          <w:iCs/>
        </w:rPr>
        <w:t xml:space="preserve"> alone is God, the argument that Yhwh’s sp</w:t>
      </w:r>
      <w:r w:rsidR="00F96D23">
        <w:rPr>
          <w:iCs/>
        </w:rPr>
        <w:t>eaking and then acting is eviden</w:t>
      </w:r>
      <w:r w:rsidR="003B748F">
        <w:rPr>
          <w:iCs/>
        </w:rPr>
        <w:t xml:space="preserve">ce of that fact, and the associated </w:t>
      </w:r>
      <w:r w:rsidR="004317EF">
        <w:rPr>
          <w:iCs/>
        </w:rPr>
        <w:t xml:space="preserve">polemic against images of Yhwh or of other gods and the polemic against the significance of other gods </w:t>
      </w:r>
      <w:r w:rsidR="00067C16">
        <w:rPr>
          <w:iCs/>
        </w:rPr>
        <w:t>are</w:t>
      </w:r>
      <w:r w:rsidR="004317EF">
        <w:rPr>
          <w:iCs/>
        </w:rPr>
        <w:t xml:space="preserve"> missing from Isaiah 56 – 66.  </w:t>
      </w:r>
      <w:r w:rsidR="003B748F">
        <w:rPr>
          <w:iCs/>
        </w:rPr>
        <w:t xml:space="preserve">So </w:t>
      </w:r>
      <w:r w:rsidR="00067C16">
        <w:rPr>
          <w:iCs/>
        </w:rPr>
        <w:t>are</w:t>
      </w:r>
      <w:r w:rsidR="003B748F">
        <w:rPr>
          <w:iCs/>
        </w:rPr>
        <w:t xml:space="preserve"> the image of Israel as </w:t>
      </w:r>
      <w:proofErr w:type="gramStart"/>
      <w:r w:rsidR="003B748F">
        <w:rPr>
          <w:iCs/>
        </w:rPr>
        <w:t>Yhwh’s</w:t>
      </w:r>
      <w:proofErr w:type="gramEnd"/>
      <w:r w:rsidR="003B748F">
        <w:rPr>
          <w:iCs/>
        </w:rPr>
        <w:t xml:space="preserve"> servant</w:t>
      </w:r>
      <w:r w:rsidR="00F96D23">
        <w:rPr>
          <w:iCs/>
        </w:rPr>
        <w:t xml:space="preserve"> and the developed account of the servant in 52:13 – 53:12</w:t>
      </w:r>
      <w:r w:rsidR="003B748F">
        <w:rPr>
          <w:iCs/>
        </w:rPr>
        <w:t>.</w:t>
      </w:r>
    </w:p>
    <w:p w:rsidR="00F96D23" w:rsidRDefault="00F96D23" w:rsidP="00257F97">
      <w:pPr>
        <w:pStyle w:val="NoSpacing"/>
        <w:tabs>
          <w:tab w:val="left" w:pos="2925"/>
        </w:tabs>
        <w:rPr>
          <w:iCs/>
        </w:rPr>
      </w:pPr>
    </w:p>
    <w:p w:rsidR="00F96D23" w:rsidRDefault="00F96D23" w:rsidP="00257F97">
      <w:pPr>
        <w:pStyle w:val="NoSpacing"/>
        <w:tabs>
          <w:tab w:val="left" w:pos="2925"/>
        </w:tabs>
        <w:rPr>
          <w:iCs/>
        </w:rPr>
      </w:pPr>
      <w:r>
        <w:rPr>
          <w:iCs/>
        </w:rPr>
        <w:lastRenderedPageBreak/>
        <w:t>How important, then, is Isai</w:t>
      </w:r>
      <w:r w:rsidR="005E2AEB">
        <w:rPr>
          <w:iCs/>
        </w:rPr>
        <w:t>ah 1 – 55 to Isaiah 56 – 66?  Isaiah 1 - 55 provide Isaiah 56 – 66 with</w:t>
      </w:r>
      <w:r>
        <w:rPr>
          <w:iCs/>
        </w:rPr>
        <w:t xml:space="preserve"> a theological framework, a stress on Yhwh as Israel’s Holy One, a stress on the importance of Zion, a stress on </w:t>
      </w:r>
      <w:r>
        <w:rPr>
          <w:i/>
        </w:rPr>
        <w:t>mišpāṭ</w:t>
      </w:r>
      <w:r>
        <w:t xml:space="preserve"> and </w:t>
      </w:r>
      <w:r>
        <w:rPr>
          <w:i/>
          <w:iCs/>
        </w:rPr>
        <w:t>ṣĕdāqâ</w:t>
      </w:r>
      <w:r>
        <w:rPr>
          <w:iCs/>
        </w:rPr>
        <w:t xml:space="preserve"> and on </w:t>
      </w:r>
      <w:r w:rsidR="00067C16">
        <w:rPr>
          <w:i/>
          <w:iCs/>
        </w:rPr>
        <w:t>y</w:t>
      </w:r>
      <w:r w:rsidR="00067C16">
        <w:rPr>
          <w:rFonts w:ascii="Times New Roman" w:hAnsi="Times New Roman" w:cs="Times New Roman"/>
          <w:i/>
          <w:iCs/>
        </w:rPr>
        <w:t>ĕšû</w:t>
      </w:r>
      <w:r w:rsidR="00067C16">
        <w:rPr>
          <w:i/>
          <w:iCs/>
        </w:rPr>
        <w:t>’</w:t>
      </w:r>
      <w:r w:rsidR="00067C16">
        <w:rPr>
          <w:rFonts w:ascii="Times New Roman" w:hAnsi="Times New Roman" w:cs="Times New Roman"/>
          <w:i/>
          <w:iCs/>
        </w:rPr>
        <w:t>â</w:t>
      </w:r>
      <w:r>
        <w:rPr>
          <w:iCs/>
        </w:rPr>
        <w:t xml:space="preserve"> and </w:t>
      </w:r>
      <w:r>
        <w:rPr>
          <w:i/>
          <w:iCs/>
        </w:rPr>
        <w:t>ṣĕdāqâ</w:t>
      </w:r>
      <w:r>
        <w:rPr>
          <w:iCs/>
        </w:rPr>
        <w:t xml:space="preserve">.  But Isaiah 56 – 66 is not merely an exposition of the statement expressed earlier in the book any more than it is an exposition of actual texts from earlier in the book.  </w:t>
      </w:r>
      <w:r w:rsidR="007D2E0D">
        <w:rPr>
          <w:iCs/>
        </w:rPr>
        <w:t xml:space="preserve">I would not call it a “strong </w:t>
      </w:r>
      <w:r w:rsidR="007D3ADD">
        <w:rPr>
          <w:iCs/>
        </w:rPr>
        <w:t>(</w:t>
      </w:r>
      <w:r w:rsidR="007D2E0D">
        <w:rPr>
          <w:iCs/>
        </w:rPr>
        <w:t>re</w:t>
      </w:r>
      <w:r w:rsidR="007D3ADD">
        <w:rPr>
          <w:iCs/>
        </w:rPr>
        <w:t>)</w:t>
      </w:r>
      <w:r w:rsidR="007D2E0D">
        <w:rPr>
          <w:iCs/>
        </w:rPr>
        <w:t>reading” of Isaiah 1 – 55,</w:t>
      </w:r>
      <w:r w:rsidR="00A7544F">
        <w:rPr>
          <w:rStyle w:val="FootnoteReference"/>
          <w:iCs/>
        </w:rPr>
        <w:footnoteReference w:id="14"/>
      </w:r>
      <w:r w:rsidR="007D2E0D">
        <w:rPr>
          <w:iCs/>
        </w:rPr>
        <w:t xml:space="preserve"> maybe not even a rereading.  It is a partial reading and an expansive reading and a reading that reflects on the issues that the earlier chapters </w:t>
      </w:r>
      <w:proofErr w:type="gramStart"/>
      <w:r w:rsidR="007D2E0D">
        <w:rPr>
          <w:iCs/>
        </w:rPr>
        <w:t>raise</w:t>
      </w:r>
      <w:proofErr w:type="gramEnd"/>
      <w:r w:rsidR="007D2E0D">
        <w:rPr>
          <w:iCs/>
        </w:rPr>
        <w:t xml:space="preserve">. </w:t>
      </w:r>
    </w:p>
    <w:p w:rsidR="007D2E0D" w:rsidRPr="00F96D23" w:rsidRDefault="007D2E0D" w:rsidP="00257F97">
      <w:pPr>
        <w:pStyle w:val="NoSpacing"/>
        <w:tabs>
          <w:tab w:val="left" w:pos="2925"/>
        </w:tabs>
        <w:rPr>
          <w:iCs/>
        </w:rPr>
      </w:pPr>
    </w:p>
    <w:p w:rsidR="00453B99" w:rsidRPr="00A56279" w:rsidRDefault="00453B99" w:rsidP="00257F97">
      <w:pPr>
        <w:pStyle w:val="NoSpacing"/>
        <w:tabs>
          <w:tab w:val="left" w:pos="2925"/>
        </w:tabs>
        <w:rPr>
          <w:iCs/>
        </w:rPr>
      </w:pPr>
      <w:r>
        <w:rPr>
          <w:iCs/>
        </w:rPr>
        <w:t>To put it another</w:t>
      </w:r>
      <w:r w:rsidR="005E2AEB">
        <w:rPr>
          <w:iCs/>
        </w:rPr>
        <w:t xml:space="preserve"> way</w:t>
      </w:r>
      <w:r>
        <w:rPr>
          <w:iCs/>
        </w:rPr>
        <w:t>, the relationship between Isaiah 1 – 55 and Isaiah 56 – 66 resembles the one a Christian might perceive in the relationship between the two Testaments.  The New Testament has a generally similar understanding of God and of humanity to</w:t>
      </w:r>
      <w:r w:rsidR="00E04863">
        <w:rPr>
          <w:iCs/>
        </w:rPr>
        <w:t xml:space="preserve"> that of the earlier Scriptures and</w:t>
      </w:r>
      <w:r>
        <w:rPr>
          <w:iCs/>
        </w:rPr>
        <w:t xml:space="preserve"> it occasionally quotes them</w:t>
      </w:r>
      <w:r w:rsidR="00E04863">
        <w:rPr>
          <w:iCs/>
        </w:rPr>
        <w:t xml:space="preserve">, but </w:t>
      </w:r>
      <w:r w:rsidR="005E2AEB">
        <w:rPr>
          <w:iCs/>
        </w:rPr>
        <w:t xml:space="preserve">more broadly it disregards </w:t>
      </w:r>
      <w:r w:rsidR="00E04863">
        <w:rPr>
          <w:iCs/>
        </w:rPr>
        <w:t xml:space="preserve">much of the agenda of the earlier Scriptures and has an agenda of its own arising out of its </w:t>
      </w:r>
      <w:r w:rsidR="005E2AEB">
        <w:rPr>
          <w:iCs/>
        </w:rPr>
        <w:t xml:space="preserve">own </w:t>
      </w:r>
      <w:r w:rsidR="00E04863">
        <w:rPr>
          <w:iCs/>
        </w:rPr>
        <w:t>context</w:t>
      </w:r>
      <w:r w:rsidR="005E2AEB">
        <w:rPr>
          <w:iCs/>
        </w:rPr>
        <w:t>, one</w:t>
      </w:r>
      <w:r w:rsidR="00E04863">
        <w:rPr>
          <w:iCs/>
        </w:rPr>
        <w:t xml:space="preserve"> th</w:t>
      </w:r>
      <w:r w:rsidR="005E2AEB">
        <w:rPr>
          <w:iCs/>
        </w:rPr>
        <w:t>at is not incompatible with the agenda</w:t>
      </w:r>
      <w:r w:rsidR="00E04863">
        <w:rPr>
          <w:iCs/>
        </w:rPr>
        <w:t xml:space="preserve"> of the earlier Scriptures but is distinctive over against them.</w:t>
      </w:r>
      <w:r w:rsidR="004317EF">
        <w:rPr>
          <w:iCs/>
        </w:rPr>
        <w:t xml:space="preserve">  </w:t>
      </w:r>
      <w:r w:rsidR="00F21BDF">
        <w:rPr>
          <w:iCs/>
        </w:rPr>
        <w:t>The relationship of Isaiah 56 – 66 to Isaiah 1 – 55 is comparable.</w:t>
      </w:r>
    </w:p>
    <w:sectPr w:rsidR="00453B99" w:rsidRPr="00A56279" w:rsidSect="00137EA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BB" w:rsidRDefault="004929BB" w:rsidP="00685D5D">
      <w:pPr>
        <w:spacing w:after="0" w:line="240" w:lineRule="auto"/>
      </w:pPr>
      <w:r>
        <w:separator/>
      </w:r>
    </w:p>
  </w:endnote>
  <w:endnote w:type="continuationSeparator" w:id="0">
    <w:p w:rsidR="004929BB" w:rsidRDefault="004929BB" w:rsidP="00685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bonMTPro-Regular">
    <w:altName w:val="MS Mincho"/>
    <w:panose1 w:val="00000000000000000000"/>
    <w:charset w:val="80"/>
    <w:family w:val="auto"/>
    <w:notTrueType/>
    <w:pitch w:val="default"/>
    <w:sig w:usb0="00000000" w:usb1="08070000" w:usb2="00000010" w:usb3="00000000" w:csb0="00020000" w:csb1="00000000"/>
  </w:font>
  <w:font w:name="SabonMTPro-Italic">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BB" w:rsidRDefault="004929BB" w:rsidP="00685D5D">
      <w:pPr>
        <w:spacing w:after="0" w:line="240" w:lineRule="auto"/>
      </w:pPr>
      <w:r>
        <w:separator/>
      </w:r>
    </w:p>
  </w:footnote>
  <w:footnote w:type="continuationSeparator" w:id="0">
    <w:p w:rsidR="004929BB" w:rsidRDefault="004929BB" w:rsidP="00685D5D">
      <w:pPr>
        <w:spacing w:after="0" w:line="240" w:lineRule="auto"/>
      </w:pPr>
      <w:r>
        <w:continuationSeparator/>
      </w:r>
    </w:p>
  </w:footnote>
  <w:footnote w:id="1">
    <w:p w:rsidR="009F7A3D" w:rsidRDefault="009F7A3D">
      <w:pPr>
        <w:pStyle w:val="FootnoteText"/>
      </w:pPr>
      <w:r>
        <w:rPr>
          <w:rStyle w:val="FootnoteReference"/>
        </w:rPr>
        <w:footnoteRef/>
      </w:r>
      <w:r>
        <w:t xml:space="preserve"> I suspect this question needs further study analogous to that surveyed in respect of Paul’s reading of Romans in J. Ross Wagner, </w:t>
      </w:r>
      <w:r>
        <w:rPr>
          <w:i/>
        </w:rPr>
        <w:t>Heralds of the Good News: Isaiah and Paul ‘In Concert’ in the L</w:t>
      </w:r>
      <w:r w:rsidRPr="001D15D9">
        <w:rPr>
          <w:i/>
        </w:rPr>
        <w:t>etter to the Romans</w:t>
      </w:r>
      <w:r>
        <w:t xml:space="preserve"> (Leiden/Boston: Brill, 2002), pp. 20-28.</w:t>
      </w:r>
    </w:p>
  </w:footnote>
  <w:footnote w:id="2">
    <w:p w:rsidR="0007710F" w:rsidRPr="0007710F" w:rsidRDefault="0007710F">
      <w:pPr>
        <w:pStyle w:val="FootnoteText"/>
      </w:pPr>
      <w:r>
        <w:rPr>
          <w:rStyle w:val="FootnoteReference"/>
        </w:rPr>
        <w:footnoteRef/>
      </w:r>
      <w:r>
        <w:t xml:space="preserve"> </w:t>
      </w:r>
      <w:r w:rsidR="00067C16">
        <w:t>Jacob</w:t>
      </w:r>
      <w:r w:rsidR="00784858">
        <w:t xml:space="preserve"> Stromberg, </w:t>
      </w:r>
      <w:r>
        <w:rPr>
          <w:i/>
        </w:rPr>
        <w:t>Isaiah after Exile</w:t>
      </w:r>
      <w:r>
        <w:t xml:space="preserve"> (Oxford/New York: OUP, 2011</w:t>
      </w:r>
      <w:r w:rsidR="001218F6">
        <w:t>)</w:t>
      </w:r>
      <w:r>
        <w:t>.</w:t>
      </w:r>
    </w:p>
  </w:footnote>
  <w:footnote w:id="3">
    <w:p w:rsidR="00AD5E29" w:rsidRDefault="00AD5E29">
      <w:pPr>
        <w:pStyle w:val="FootnoteText"/>
      </w:pPr>
      <w:r>
        <w:rPr>
          <w:rStyle w:val="FootnoteReference"/>
        </w:rPr>
        <w:footnoteRef/>
      </w:r>
      <w:r>
        <w:t xml:space="preserve"> But </w:t>
      </w:r>
      <w:proofErr w:type="spellStart"/>
      <w:r>
        <w:t>Anneli</w:t>
      </w:r>
      <w:proofErr w:type="spellEnd"/>
      <w:r>
        <w:t xml:space="preserve"> </w:t>
      </w:r>
      <w:proofErr w:type="spellStart"/>
      <w:r>
        <w:t>Aejmelaeus</w:t>
      </w:r>
      <w:proofErr w:type="spellEnd"/>
      <w:r>
        <w:t xml:space="preserve"> has argued that it is an insertion into an earlier form of the collection (“</w:t>
      </w:r>
      <w:proofErr w:type="spellStart"/>
      <w:r>
        <w:t>Der</w:t>
      </w:r>
      <w:proofErr w:type="spellEnd"/>
      <w:r>
        <w:t xml:space="preserve"> Prophet </w:t>
      </w:r>
      <w:proofErr w:type="spellStart"/>
      <w:r>
        <w:t>als</w:t>
      </w:r>
      <w:proofErr w:type="spellEnd"/>
      <w:r>
        <w:t xml:space="preserve"> </w:t>
      </w:r>
      <w:proofErr w:type="spellStart"/>
      <w:r>
        <w:t>Klageliedsänger</w:t>
      </w:r>
      <w:proofErr w:type="spellEnd"/>
      <w:r>
        <w:t xml:space="preserve">: </w:t>
      </w:r>
      <w:proofErr w:type="spellStart"/>
      <w:r>
        <w:t>Zur</w:t>
      </w:r>
      <w:proofErr w:type="spellEnd"/>
      <w:r>
        <w:t xml:space="preserve"> </w:t>
      </w:r>
      <w:proofErr w:type="spellStart"/>
      <w:r>
        <w:t>Funktion</w:t>
      </w:r>
      <w:proofErr w:type="spellEnd"/>
      <w:r>
        <w:t xml:space="preserve"> des Psalms </w:t>
      </w:r>
      <w:proofErr w:type="spellStart"/>
      <w:r>
        <w:t>Jes</w:t>
      </w:r>
      <w:proofErr w:type="spellEnd"/>
      <w:r>
        <w:t xml:space="preserve"> 63</w:t>
      </w:r>
      <w:proofErr w:type="gramStart"/>
      <w:r>
        <w:t>,7</w:t>
      </w:r>
      <w:proofErr w:type="gramEnd"/>
      <w:r>
        <w:t xml:space="preserve"> - 64,11 in </w:t>
      </w:r>
      <w:proofErr w:type="spellStart"/>
      <w:r>
        <w:t>Tritojesaja</w:t>
      </w:r>
      <w:proofErr w:type="spellEnd"/>
      <w:r>
        <w:t xml:space="preserve">.” </w:t>
      </w:r>
      <w:r>
        <w:rPr>
          <w:i/>
          <w:iCs/>
        </w:rPr>
        <w:t>ZAW</w:t>
      </w:r>
      <w:r>
        <w:t xml:space="preserve"> 107 [1995], pp. 31-50 [pp. 36-37]).</w:t>
      </w:r>
    </w:p>
  </w:footnote>
  <w:footnote w:id="4">
    <w:p w:rsidR="00885F44" w:rsidRPr="00885F44" w:rsidRDefault="00885F44">
      <w:pPr>
        <w:pStyle w:val="FootnoteText"/>
      </w:pPr>
      <w:r>
        <w:rPr>
          <w:rStyle w:val="FootnoteReference"/>
        </w:rPr>
        <w:footnoteRef/>
      </w:r>
      <w:r>
        <w:t xml:space="preserve"> Walter Moberly, </w:t>
      </w:r>
      <w:r>
        <w:rPr>
          <w:i/>
        </w:rPr>
        <w:t xml:space="preserve">The Old Testament of the Old Testament </w:t>
      </w:r>
      <w:r>
        <w:t>(Minneapolis: Fortress, 1992), p. 2</w:t>
      </w:r>
      <w:proofErr w:type="gramStart"/>
      <w:r>
        <w:t>.*</w:t>
      </w:r>
      <w:proofErr w:type="gramEnd"/>
      <w:r>
        <w:t xml:space="preserve">* </w:t>
      </w:r>
    </w:p>
  </w:footnote>
  <w:footnote w:id="5">
    <w:p w:rsidR="00A9684D" w:rsidRDefault="00A9684D">
      <w:pPr>
        <w:pStyle w:val="FootnoteText"/>
      </w:pPr>
      <w:r>
        <w:rPr>
          <w:rStyle w:val="FootnoteReference"/>
        </w:rPr>
        <w:footnoteRef/>
      </w:r>
      <w:r>
        <w:t xml:space="preserve"> **</w:t>
      </w:r>
    </w:p>
  </w:footnote>
  <w:footnote w:id="6">
    <w:p w:rsidR="00770D6E" w:rsidRPr="00770D6E" w:rsidRDefault="00770D6E">
      <w:pPr>
        <w:pStyle w:val="FootnoteText"/>
      </w:pPr>
      <w:r>
        <w:rPr>
          <w:rStyle w:val="FootnoteReference"/>
        </w:rPr>
        <w:footnoteRef/>
      </w:r>
      <w:r>
        <w:t xml:space="preserve"> </w:t>
      </w:r>
      <w:r w:rsidRPr="00770D6E">
        <w:rPr>
          <w:i/>
        </w:rPr>
        <w:t>Introduction to</w:t>
      </w:r>
      <w:r>
        <w:rPr>
          <w:i/>
        </w:rPr>
        <w:t xml:space="preserve"> the Old Testament as Scripture</w:t>
      </w:r>
      <w:r>
        <w:t xml:space="preserve"> (Philadelphia: Fortress/London: SCM, 1979), p. 327.</w:t>
      </w:r>
    </w:p>
  </w:footnote>
  <w:footnote w:id="7">
    <w:p w:rsidR="009F3DF7" w:rsidRPr="009F3DF7" w:rsidRDefault="009F3DF7">
      <w:pPr>
        <w:pStyle w:val="FootnoteText"/>
      </w:pPr>
      <w:r>
        <w:rPr>
          <w:rStyle w:val="FootnoteReference"/>
        </w:rPr>
        <w:footnoteRef/>
      </w:r>
      <w:r>
        <w:t xml:space="preserve"> “Jesaja 56,1 </w:t>
      </w:r>
      <w:proofErr w:type="spellStart"/>
      <w:r>
        <w:t>als</w:t>
      </w:r>
      <w:proofErr w:type="spellEnd"/>
      <w:r>
        <w:t xml:space="preserve"> </w:t>
      </w:r>
      <w:proofErr w:type="spellStart"/>
      <w:r>
        <w:t>Schlüssel</w:t>
      </w:r>
      <w:proofErr w:type="spellEnd"/>
      <w:r>
        <w:t xml:space="preserve"> </w:t>
      </w:r>
      <w:proofErr w:type="spellStart"/>
      <w:r>
        <w:t>für</w:t>
      </w:r>
      <w:proofErr w:type="spellEnd"/>
      <w:r>
        <w:t xml:space="preserve"> die </w:t>
      </w:r>
      <w:proofErr w:type="spellStart"/>
      <w:r>
        <w:t>Komposition</w:t>
      </w:r>
      <w:proofErr w:type="spellEnd"/>
      <w:r>
        <w:t xml:space="preserve"> des </w:t>
      </w:r>
      <w:proofErr w:type="spellStart"/>
      <w:r>
        <w:t>Buches</w:t>
      </w:r>
      <w:proofErr w:type="spellEnd"/>
      <w:r>
        <w:t xml:space="preserve"> Jesaja,” in Rendtorff, </w:t>
      </w:r>
      <w:proofErr w:type="spellStart"/>
      <w:r>
        <w:rPr>
          <w:i/>
          <w:iCs/>
        </w:rPr>
        <w:t>Kanon</w:t>
      </w:r>
      <w:proofErr w:type="spellEnd"/>
      <w:r>
        <w:rPr>
          <w:i/>
          <w:iCs/>
        </w:rPr>
        <w:t xml:space="preserve"> und </w:t>
      </w:r>
      <w:proofErr w:type="spellStart"/>
      <w:r>
        <w:rPr>
          <w:i/>
          <w:iCs/>
        </w:rPr>
        <w:t>Theologie</w:t>
      </w:r>
      <w:proofErr w:type="spellEnd"/>
      <w:r>
        <w:t xml:space="preserve"> (</w:t>
      </w:r>
      <w:proofErr w:type="spellStart"/>
      <w:r>
        <w:t>Neukirchen</w:t>
      </w:r>
      <w:proofErr w:type="spellEnd"/>
      <w:r>
        <w:t xml:space="preserve">: </w:t>
      </w:r>
      <w:proofErr w:type="spellStart"/>
      <w:r>
        <w:t>Neuk</w:t>
      </w:r>
      <w:r w:rsidR="00043D09">
        <w:t>irchener</w:t>
      </w:r>
      <w:proofErr w:type="spellEnd"/>
      <w:r w:rsidR="00043D09">
        <w:t xml:space="preserve">, 1991), pp. 172-79; ET </w:t>
      </w:r>
      <w:r>
        <w:t>“Isaiah 56:1 as a Key to the Formation of the Book of Isaiah,”</w:t>
      </w:r>
      <w:r w:rsidR="00043D09">
        <w:t xml:space="preserve"> in Rendtorff, </w:t>
      </w:r>
      <w:r>
        <w:rPr>
          <w:i/>
        </w:rPr>
        <w:t>Canon and Theology</w:t>
      </w:r>
      <w:r>
        <w:t xml:space="preserve"> (Minneapolis Fortress, 1993</w:t>
      </w:r>
      <w:r w:rsidR="00043D09">
        <w:t>), pp. 181-89.</w:t>
      </w:r>
    </w:p>
  </w:footnote>
  <w:footnote w:id="8">
    <w:p w:rsidR="00043D09" w:rsidRDefault="00043D09">
      <w:pPr>
        <w:pStyle w:val="FootnoteText"/>
      </w:pPr>
      <w:r>
        <w:rPr>
          <w:rStyle w:val="FootnoteReference"/>
        </w:rPr>
        <w:footnoteRef/>
      </w:r>
      <w:r>
        <w:t xml:space="preserve"> A neat comparison can be made with a point about the significance of chapters 60 – 62 within Isaiah 56 – 66 as a whole.  Claus </w:t>
      </w:r>
      <w:proofErr w:type="spellStart"/>
      <w:r>
        <w:t>Westermann</w:t>
      </w:r>
      <w:proofErr w:type="spellEnd"/>
      <w:r>
        <w:t xml:space="preserve"> saw those chapters as key to the internal composition of Isaiah 56 – 66, and Childs argued against the point because he wanted to remove the interpretive focus from questions about the material’s development</w:t>
      </w:r>
      <w:r w:rsidR="001218F6">
        <w:t xml:space="preserve"> (see Claus </w:t>
      </w:r>
      <w:proofErr w:type="spellStart"/>
      <w:r w:rsidR="001218F6">
        <w:t>Westermann</w:t>
      </w:r>
      <w:proofErr w:type="spellEnd"/>
      <w:r w:rsidR="001218F6">
        <w:t>,</w:t>
      </w:r>
      <w:r w:rsidR="001218F6" w:rsidRPr="009D49D5">
        <w:rPr>
          <w:i/>
          <w:iCs/>
        </w:rPr>
        <w:t xml:space="preserve"> </w:t>
      </w:r>
      <w:r w:rsidR="001218F6">
        <w:rPr>
          <w:i/>
          <w:iCs/>
        </w:rPr>
        <w:t xml:space="preserve">Das </w:t>
      </w:r>
      <w:proofErr w:type="spellStart"/>
      <w:r w:rsidR="001218F6">
        <w:rPr>
          <w:i/>
          <w:iCs/>
        </w:rPr>
        <w:t>Buch</w:t>
      </w:r>
      <w:proofErr w:type="spellEnd"/>
      <w:r w:rsidR="001218F6">
        <w:rPr>
          <w:i/>
          <w:iCs/>
        </w:rPr>
        <w:t xml:space="preserve"> Jesaja </w:t>
      </w:r>
      <w:proofErr w:type="spellStart"/>
      <w:r w:rsidR="001218F6">
        <w:rPr>
          <w:i/>
          <w:iCs/>
        </w:rPr>
        <w:t>Kapitel</w:t>
      </w:r>
      <w:proofErr w:type="spellEnd"/>
      <w:r w:rsidR="001218F6">
        <w:rPr>
          <w:i/>
          <w:iCs/>
        </w:rPr>
        <w:t xml:space="preserve"> 40—66</w:t>
      </w:r>
      <w:r w:rsidR="001218F6">
        <w:t xml:space="preserve"> [</w:t>
      </w:r>
      <w:proofErr w:type="spellStart"/>
      <w:r w:rsidR="001218F6">
        <w:t>Göttingen</w:t>
      </w:r>
      <w:proofErr w:type="spellEnd"/>
      <w:r w:rsidR="001218F6">
        <w:t xml:space="preserve">: </w:t>
      </w:r>
      <w:proofErr w:type="spellStart"/>
      <w:r w:rsidR="001218F6">
        <w:t>Vandenhoeck</w:t>
      </w:r>
      <w:proofErr w:type="spellEnd"/>
      <w:r w:rsidR="001218F6">
        <w:t>, 1966], pp. 236-46 [ET</w:t>
      </w:r>
      <w:r w:rsidR="001218F6">
        <w:rPr>
          <w:i/>
          <w:iCs/>
        </w:rPr>
        <w:t xml:space="preserve"> Isaiah 40—66</w:t>
      </w:r>
      <w:r w:rsidR="001218F6" w:rsidRPr="009D49D5">
        <w:t xml:space="preserve"> </w:t>
      </w:r>
      <w:r w:rsidR="001218F6">
        <w:t>(</w:t>
      </w:r>
      <w:r w:rsidR="001218F6" w:rsidRPr="009D49D5">
        <w:t>London: SCM/P</w:t>
      </w:r>
      <w:r w:rsidR="001218F6">
        <w:t xml:space="preserve">hiladelphia: Westminster, 1969), pp. 296-308]; Brevard S. Childs, </w:t>
      </w:r>
      <w:r w:rsidR="001218F6">
        <w:rPr>
          <w:i/>
        </w:rPr>
        <w:t xml:space="preserve">Isaiah </w:t>
      </w:r>
      <w:r w:rsidR="001218F6">
        <w:t>[Louisville: WJK, 2001], pp. 448-49)</w:t>
      </w:r>
      <w:r>
        <w:t xml:space="preserve">.  But in the context of the chiasm that comprises Isaiah 56 – 66 as a whole, chapters 60 – 62 indeed occupy a strategic place, at the center.  </w:t>
      </w:r>
    </w:p>
  </w:footnote>
  <w:footnote w:id="9">
    <w:p w:rsidR="00067C16" w:rsidRDefault="00067C16">
      <w:pPr>
        <w:pStyle w:val="FootnoteText"/>
      </w:pPr>
      <w:r>
        <w:rPr>
          <w:rStyle w:val="FootnoteReference"/>
        </w:rPr>
        <w:footnoteRef/>
      </w:r>
      <w:r>
        <w:t xml:space="preserve"> </w:t>
      </w:r>
      <w:r>
        <w:rPr>
          <w:iCs/>
        </w:rPr>
        <w:t xml:space="preserve">I leave the words </w:t>
      </w:r>
      <w:r>
        <w:rPr>
          <w:i/>
        </w:rPr>
        <w:t>mišpāṭ</w:t>
      </w:r>
      <w:r>
        <w:t xml:space="preserve"> and</w:t>
      </w:r>
      <w:r>
        <w:rPr>
          <w:iCs/>
        </w:rPr>
        <w:t xml:space="preserve"> </w:t>
      </w:r>
      <w:r>
        <w:rPr>
          <w:i/>
          <w:iCs/>
        </w:rPr>
        <w:t>ṣĕdāqâ</w:t>
      </w:r>
      <w:r>
        <w:rPr>
          <w:iCs/>
        </w:rPr>
        <w:t xml:space="preserve"> untranslated both because we do not have English words to translate them without being misleading and because the effect of the passage depends in part on its making use of two significances of </w:t>
      </w:r>
      <w:r>
        <w:rPr>
          <w:i/>
          <w:iCs/>
        </w:rPr>
        <w:t xml:space="preserve">ṣĕdāqâ.  </w:t>
      </w:r>
      <w:r>
        <w:rPr>
          <w:iCs/>
        </w:rPr>
        <w:t xml:space="preserve">“Deliverance” is a perfectly adequate translation of </w:t>
      </w:r>
      <w:proofErr w:type="spellStart"/>
      <w:r>
        <w:rPr>
          <w:i/>
          <w:iCs/>
        </w:rPr>
        <w:t>y</w:t>
      </w:r>
      <w:r>
        <w:rPr>
          <w:rFonts w:ascii="Times New Roman" w:hAnsi="Times New Roman" w:cs="Times New Roman"/>
          <w:i/>
          <w:iCs/>
        </w:rPr>
        <w:t>ēšû</w:t>
      </w:r>
      <w:r>
        <w:rPr>
          <w:i/>
          <w:iCs/>
        </w:rPr>
        <w:t>‘</w:t>
      </w:r>
      <w:r>
        <w:rPr>
          <w:rFonts w:ascii="Times New Roman" w:hAnsi="Times New Roman" w:cs="Times New Roman"/>
          <w:i/>
          <w:iCs/>
        </w:rPr>
        <w:t>â</w:t>
      </w:r>
      <w:proofErr w:type="spellEnd"/>
      <w:r>
        <w:rPr>
          <w:rFonts w:ascii="Times New Roman" w:hAnsi="Times New Roman" w:cs="Times New Roman"/>
          <w:iCs/>
        </w:rPr>
        <w:t xml:space="preserve">, </w:t>
      </w:r>
      <w:r w:rsidRPr="00441272">
        <w:rPr>
          <w:rFonts w:cstheme="minorHAnsi"/>
          <w:iCs/>
        </w:rPr>
        <w:t>but as I am not trans</w:t>
      </w:r>
      <w:r>
        <w:rPr>
          <w:rFonts w:cstheme="minorHAnsi"/>
          <w:iCs/>
        </w:rPr>
        <w:t xml:space="preserve">lating the first two Hebrew nouns, it seems </w:t>
      </w:r>
      <w:r w:rsidRPr="00441272">
        <w:rPr>
          <w:rFonts w:cstheme="minorHAnsi"/>
          <w:iCs/>
        </w:rPr>
        <w:t xml:space="preserve">natural </w:t>
      </w:r>
      <w:r>
        <w:rPr>
          <w:rFonts w:cstheme="minorHAnsi"/>
          <w:iCs/>
        </w:rPr>
        <w:t xml:space="preserve">to </w:t>
      </w:r>
      <w:r w:rsidRPr="00441272">
        <w:rPr>
          <w:rFonts w:cstheme="minorHAnsi"/>
          <w:iCs/>
        </w:rPr>
        <w:t>leave this one untranslated</w:t>
      </w:r>
      <w:r>
        <w:rPr>
          <w:rFonts w:ascii="Times New Roman" w:hAnsi="Times New Roman" w:cs="Times New Roman"/>
          <w:i/>
          <w:iCs/>
        </w:rPr>
        <w:t>.</w:t>
      </w:r>
      <w:r>
        <w:rPr>
          <w:iCs/>
        </w:rPr>
        <w:t xml:space="preserve"> </w:t>
      </w:r>
    </w:p>
  </w:footnote>
  <w:footnote w:id="10">
    <w:p w:rsidR="00506C5C" w:rsidRDefault="00506C5C">
      <w:pPr>
        <w:pStyle w:val="FootnoteText"/>
      </w:pPr>
      <w:r>
        <w:rPr>
          <w:rStyle w:val="FootnoteReference"/>
        </w:rPr>
        <w:footnoteRef/>
      </w:r>
      <w:r>
        <w:t xml:space="preserve"> On the use of the two pairs of words in Isaiah, see Gregory J. </w:t>
      </w:r>
      <w:proofErr w:type="spellStart"/>
      <w:r>
        <w:t>Polan</w:t>
      </w:r>
      <w:proofErr w:type="spellEnd"/>
      <w:r>
        <w:t xml:space="preserve">, “Still More Signs of Unity in the Book of Isaiah: The Significance of Third Isaiah,” in </w:t>
      </w:r>
      <w:r w:rsidRPr="00206D5F">
        <w:rPr>
          <w:i/>
          <w:iCs/>
        </w:rPr>
        <w:t>Society of Biblical Literature 1997 Seminar Papers</w:t>
      </w:r>
      <w:r>
        <w:rPr>
          <w:i/>
          <w:iCs/>
        </w:rPr>
        <w:t xml:space="preserve"> </w:t>
      </w:r>
      <w:r>
        <w:t>(Atlanta: Scholars, 1997), pp. 224-33.</w:t>
      </w:r>
    </w:p>
  </w:footnote>
  <w:footnote w:id="11">
    <w:p w:rsidR="00815BE2" w:rsidRDefault="00815BE2">
      <w:pPr>
        <w:pStyle w:val="FootnoteText"/>
      </w:pPr>
      <w:r>
        <w:rPr>
          <w:rStyle w:val="FootnoteReference"/>
        </w:rPr>
        <w:footnoteRef/>
      </w:r>
      <w:r>
        <w:t xml:space="preserve"> Cf. Benjamin D. Sommer, “The Scroll of Isaiah as Jewish Scripture’, in </w:t>
      </w:r>
      <w:r>
        <w:rPr>
          <w:i/>
          <w:iCs/>
        </w:rPr>
        <w:t xml:space="preserve">Society of Biblical Literature 1996 Seminar Papers </w:t>
      </w:r>
      <w:r>
        <w:rPr>
          <w:iCs/>
        </w:rPr>
        <w:t>(</w:t>
      </w:r>
      <w:r>
        <w:t xml:space="preserve">Atlanta: Scholars, 1996), pp. 225-42 (pp. 228-29).  </w:t>
      </w:r>
    </w:p>
  </w:footnote>
  <w:footnote w:id="12">
    <w:p w:rsidR="00686C79" w:rsidRPr="00686C79" w:rsidRDefault="00686C79">
      <w:pPr>
        <w:pStyle w:val="FootnoteText"/>
      </w:pPr>
      <w:r>
        <w:rPr>
          <w:rStyle w:val="FootnoteReference"/>
        </w:rPr>
        <w:footnoteRef/>
      </w:r>
      <w:r>
        <w:t xml:space="preserve"> So Benjamin D. Sommer, </w:t>
      </w:r>
      <w:r>
        <w:rPr>
          <w:i/>
        </w:rPr>
        <w:t>A Prophet Reads Scripture: Allusion in Isaiah 40 – 66</w:t>
      </w:r>
      <w:r>
        <w:t xml:space="preserve"> (Stanford: Stanford University Press, </w:t>
      </w:r>
      <w:r w:rsidR="00815BE2">
        <w:t>1998).</w:t>
      </w:r>
    </w:p>
  </w:footnote>
  <w:footnote w:id="13">
    <w:p w:rsidR="008349FB" w:rsidRDefault="008349FB">
      <w:pPr>
        <w:pStyle w:val="FootnoteText"/>
      </w:pPr>
      <w:r>
        <w:rPr>
          <w:rStyle w:val="FootnoteReference"/>
        </w:rPr>
        <w:footnoteRef/>
      </w:r>
      <w:r>
        <w:t xml:space="preserve"> </w:t>
      </w:r>
      <w:r>
        <w:rPr>
          <w:iCs/>
        </w:rPr>
        <w:t>These Hebrew words, too, I leave untranslated because we do not have close equivalents in English and/or because the conventional equivalents are misleading.</w:t>
      </w:r>
    </w:p>
  </w:footnote>
  <w:footnote w:id="14">
    <w:p w:rsidR="00A7544F" w:rsidRPr="00A7544F" w:rsidRDefault="00A7544F">
      <w:pPr>
        <w:pStyle w:val="FootnoteText"/>
      </w:pPr>
      <w:r>
        <w:rPr>
          <w:rStyle w:val="FootnoteReference"/>
        </w:rPr>
        <w:footnoteRef/>
      </w:r>
      <w:r>
        <w:t xml:space="preserve"> Harold Bloom’s term in </w:t>
      </w:r>
      <w:r>
        <w:rPr>
          <w:i/>
        </w:rPr>
        <w:t>The Anxiety of Influence</w:t>
      </w:r>
      <w:r>
        <w:t xml:space="preserve"> (revised ed., </w:t>
      </w:r>
      <w:r w:rsidR="007D3ADD">
        <w:t>Oxford/</w:t>
      </w:r>
      <w:r>
        <w:t>New York: OUP, 1997)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D943B8"/>
    <w:rsid w:val="00000AEC"/>
    <w:rsid w:val="000076FB"/>
    <w:rsid w:val="000415FB"/>
    <w:rsid w:val="00042CAA"/>
    <w:rsid w:val="00043D09"/>
    <w:rsid w:val="00067C16"/>
    <w:rsid w:val="0007710F"/>
    <w:rsid w:val="000835CE"/>
    <w:rsid w:val="00084187"/>
    <w:rsid w:val="000B12D1"/>
    <w:rsid w:val="000B267A"/>
    <w:rsid w:val="000B5EF7"/>
    <w:rsid w:val="000C4B76"/>
    <w:rsid w:val="000D47C0"/>
    <w:rsid w:val="000E2F4C"/>
    <w:rsid w:val="000F4CEA"/>
    <w:rsid w:val="000F5A0B"/>
    <w:rsid w:val="00113F6A"/>
    <w:rsid w:val="001218F6"/>
    <w:rsid w:val="00134B3B"/>
    <w:rsid w:val="00137EA9"/>
    <w:rsid w:val="00170E53"/>
    <w:rsid w:val="00172B0C"/>
    <w:rsid w:val="001739A4"/>
    <w:rsid w:val="00180BFC"/>
    <w:rsid w:val="001811E8"/>
    <w:rsid w:val="00182AB7"/>
    <w:rsid w:val="00191B61"/>
    <w:rsid w:val="00192773"/>
    <w:rsid w:val="001A33D0"/>
    <w:rsid w:val="001D6A4E"/>
    <w:rsid w:val="001D73EC"/>
    <w:rsid w:val="001E132E"/>
    <w:rsid w:val="001E5929"/>
    <w:rsid w:val="001E71E4"/>
    <w:rsid w:val="00220237"/>
    <w:rsid w:val="002230B6"/>
    <w:rsid w:val="00247D18"/>
    <w:rsid w:val="00253E7D"/>
    <w:rsid w:val="00257F97"/>
    <w:rsid w:val="002872A4"/>
    <w:rsid w:val="002A40C4"/>
    <w:rsid w:val="002D7C21"/>
    <w:rsid w:val="002D7CCF"/>
    <w:rsid w:val="002F0166"/>
    <w:rsid w:val="00306ED9"/>
    <w:rsid w:val="00311062"/>
    <w:rsid w:val="003404DF"/>
    <w:rsid w:val="00362BBA"/>
    <w:rsid w:val="003B34A3"/>
    <w:rsid w:val="003B748F"/>
    <w:rsid w:val="003C1936"/>
    <w:rsid w:val="003C707B"/>
    <w:rsid w:val="003E1EA8"/>
    <w:rsid w:val="00415188"/>
    <w:rsid w:val="004317EF"/>
    <w:rsid w:val="00441272"/>
    <w:rsid w:val="00447195"/>
    <w:rsid w:val="00452C35"/>
    <w:rsid w:val="00453B99"/>
    <w:rsid w:val="004751BA"/>
    <w:rsid w:val="00487A90"/>
    <w:rsid w:val="004929BB"/>
    <w:rsid w:val="004B5137"/>
    <w:rsid w:val="004E7E88"/>
    <w:rsid w:val="00504207"/>
    <w:rsid w:val="00506C5C"/>
    <w:rsid w:val="005472BA"/>
    <w:rsid w:val="00562FA1"/>
    <w:rsid w:val="0057457F"/>
    <w:rsid w:val="005C5510"/>
    <w:rsid w:val="005E2AEB"/>
    <w:rsid w:val="005E68DD"/>
    <w:rsid w:val="00621D1E"/>
    <w:rsid w:val="00624DC6"/>
    <w:rsid w:val="006451F6"/>
    <w:rsid w:val="0065699E"/>
    <w:rsid w:val="00685D5D"/>
    <w:rsid w:val="00686C79"/>
    <w:rsid w:val="006A469C"/>
    <w:rsid w:val="006B1989"/>
    <w:rsid w:val="006B2FED"/>
    <w:rsid w:val="006C07B6"/>
    <w:rsid w:val="006C4D02"/>
    <w:rsid w:val="006D3360"/>
    <w:rsid w:val="006D622D"/>
    <w:rsid w:val="00755B97"/>
    <w:rsid w:val="00764461"/>
    <w:rsid w:val="00770D6E"/>
    <w:rsid w:val="00782DFB"/>
    <w:rsid w:val="00784858"/>
    <w:rsid w:val="007A2283"/>
    <w:rsid w:val="007B45D8"/>
    <w:rsid w:val="007D2E0D"/>
    <w:rsid w:val="007D3ADD"/>
    <w:rsid w:val="00815BE2"/>
    <w:rsid w:val="008349FB"/>
    <w:rsid w:val="00856A9C"/>
    <w:rsid w:val="00885F44"/>
    <w:rsid w:val="00893253"/>
    <w:rsid w:val="008A008A"/>
    <w:rsid w:val="008C6B0F"/>
    <w:rsid w:val="008D7DAD"/>
    <w:rsid w:val="009000CA"/>
    <w:rsid w:val="009469A7"/>
    <w:rsid w:val="009B4BCA"/>
    <w:rsid w:val="009D0075"/>
    <w:rsid w:val="009F3DF7"/>
    <w:rsid w:val="009F7A3D"/>
    <w:rsid w:val="00A0340F"/>
    <w:rsid w:val="00A052E8"/>
    <w:rsid w:val="00A15785"/>
    <w:rsid w:val="00A53B9C"/>
    <w:rsid w:val="00A5549E"/>
    <w:rsid w:val="00A56279"/>
    <w:rsid w:val="00A7544F"/>
    <w:rsid w:val="00A868FB"/>
    <w:rsid w:val="00A86F5F"/>
    <w:rsid w:val="00A870A9"/>
    <w:rsid w:val="00A90569"/>
    <w:rsid w:val="00A9684D"/>
    <w:rsid w:val="00A97E33"/>
    <w:rsid w:val="00AD5E29"/>
    <w:rsid w:val="00AD6272"/>
    <w:rsid w:val="00AE3675"/>
    <w:rsid w:val="00AE41AA"/>
    <w:rsid w:val="00AF64C2"/>
    <w:rsid w:val="00B03D17"/>
    <w:rsid w:val="00B17F6A"/>
    <w:rsid w:val="00B52AA0"/>
    <w:rsid w:val="00B60D10"/>
    <w:rsid w:val="00B65AD1"/>
    <w:rsid w:val="00B67D25"/>
    <w:rsid w:val="00B8193C"/>
    <w:rsid w:val="00B846B5"/>
    <w:rsid w:val="00B852D3"/>
    <w:rsid w:val="00BC1751"/>
    <w:rsid w:val="00BD1D4D"/>
    <w:rsid w:val="00BE37E9"/>
    <w:rsid w:val="00BE7BC2"/>
    <w:rsid w:val="00BF12D9"/>
    <w:rsid w:val="00C16C7F"/>
    <w:rsid w:val="00C466E2"/>
    <w:rsid w:val="00C9024C"/>
    <w:rsid w:val="00CD1FCD"/>
    <w:rsid w:val="00CD7FE2"/>
    <w:rsid w:val="00CF6776"/>
    <w:rsid w:val="00D325F9"/>
    <w:rsid w:val="00D734FD"/>
    <w:rsid w:val="00D943B8"/>
    <w:rsid w:val="00D96264"/>
    <w:rsid w:val="00DA2620"/>
    <w:rsid w:val="00DE0D64"/>
    <w:rsid w:val="00DE589E"/>
    <w:rsid w:val="00DF5FDF"/>
    <w:rsid w:val="00E04863"/>
    <w:rsid w:val="00E413E8"/>
    <w:rsid w:val="00E46702"/>
    <w:rsid w:val="00E5007E"/>
    <w:rsid w:val="00EB4367"/>
    <w:rsid w:val="00EC4271"/>
    <w:rsid w:val="00EC44B8"/>
    <w:rsid w:val="00ED5EDA"/>
    <w:rsid w:val="00F21BDF"/>
    <w:rsid w:val="00F57D46"/>
    <w:rsid w:val="00F76629"/>
    <w:rsid w:val="00F96D23"/>
    <w:rsid w:val="00FC32BA"/>
    <w:rsid w:val="00FD412D"/>
    <w:rsid w:val="00FD69BC"/>
    <w:rsid w:val="00FE3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EA9"/>
  </w:style>
  <w:style w:type="paragraph" w:styleId="Heading1">
    <w:name w:val="heading 1"/>
    <w:basedOn w:val="Normal"/>
    <w:next w:val="Normal"/>
    <w:link w:val="Heading1Char"/>
    <w:uiPriority w:val="9"/>
    <w:qFormat/>
    <w:rsid w:val="003B34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87A90"/>
    <w:pPr>
      <w:spacing w:after="0" w:line="240" w:lineRule="auto"/>
    </w:pPr>
  </w:style>
  <w:style w:type="paragraph" w:styleId="DocumentMap">
    <w:name w:val="Document Map"/>
    <w:basedOn w:val="Normal"/>
    <w:link w:val="DocumentMapChar"/>
    <w:uiPriority w:val="99"/>
    <w:semiHidden/>
    <w:unhideWhenUsed/>
    <w:rsid w:val="005472B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472BA"/>
    <w:rPr>
      <w:rFonts w:ascii="Tahoma" w:hAnsi="Tahoma" w:cs="Tahoma"/>
      <w:sz w:val="16"/>
      <w:szCs w:val="16"/>
    </w:rPr>
  </w:style>
  <w:style w:type="paragraph" w:styleId="FootnoteText">
    <w:name w:val="footnote text"/>
    <w:basedOn w:val="Normal"/>
    <w:link w:val="FootnoteTextChar"/>
    <w:uiPriority w:val="99"/>
    <w:unhideWhenUsed/>
    <w:rsid w:val="00685D5D"/>
    <w:pPr>
      <w:spacing w:after="0" w:line="240" w:lineRule="auto"/>
    </w:pPr>
    <w:rPr>
      <w:sz w:val="20"/>
      <w:szCs w:val="20"/>
    </w:rPr>
  </w:style>
  <w:style w:type="character" w:customStyle="1" w:styleId="FootnoteTextChar">
    <w:name w:val="Footnote Text Char"/>
    <w:basedOn w:val="DefaultParagraphFont"/>
    <w:link w:val="FootnoteText"/>
    <w:uiPriority w:val="99"/>
    <w:rsid w:val="00685D5D"/>
    <w:rPr>
      <w:sz w:val="20"/>
      <w:szCs w:val="20"/>
    </w:rPr>
  </w:style>
  <w:style w:type="character" w:styleId="FootnoteReference">
    <w:name w:val="footnote reference"/>
    <w:basedOn w:val="DefaultParagraphFont"/>
    <w:uiPriority w:val="99"/>
    <w:semiHidden/>
    <w:unhideWhenUsed/>
    <w:rsid w:val="00685D5D"/>
    <w:rPr>
      <w:vertAlign w:val="superscript"/>
    </w:rPr>
  </w:style>
  <w:style w:type="character" w:customStyle="1" w:styleId="Heading1Char">
    <w:name w:val="Heading 1 Char"/>
    <w:basedOn w:val="DefaultParagraphFont"/>
    <w:link w:val="Heading1"/>
    <w:uiPriority w:val="9"/>
    <w:rsid w:val="003B34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2486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925C-070F-4AAE-ABB1-28D47796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3499</Words>
  <Characters>19948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23401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27</cp:revision>
  <dcterms:created xsi:type="dcterms:W3CDTF">2011-04-07T22:19:00Z</dcterms:created>
  <dcterms:modified xsi:type="dcterms:W3CDTF">2012-07-14T04:37:00Z</dcterms:modified>
</cp:coreProperties>
</file>