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4200BE" w:rsidP="00352AAF">
      <w:pPr>
        <w:pStyle w:val="Title"/>
        <w:spacing w:line="360" w:lineRule="auto"/>
        <w:ind w:firstLine="0"/>
      </w:pPr>
      <w:r>
        <w:t>Memory and Old Testament Theology</w:t>
      </w:r>
    </w:p>
    <w:p w:rsidR="004A0AC4" w:rsidRPr="00352AAF" w:rsidRDefault="000D6647" w:rsidP="00352AAF">
      <w:pPr>
        <w:spacing w:line="360" w:lineRule="auto"/>
        <w:rPr>
          <w:sz w:val="24"/>
          <w:szCs w:val="24"/>
        </w:rPr>
      </w:pPr>
      <w:r w:rsidRPr="00352AAF">
        <w:rPr>
          <w:sz w:val="24"/>
          <w:szCs w:val="24"/>
        </w:rPr>
        <w:t>Over recent decades, m</w:t>
      </w:r>
      <w:r w:rsidR="00FF4965" w:rsidRPr="00352AAF">
        <w:rPr>
          <w:sz w:val="24"/>
          <w:szCs w:val="24"/>
        </w:rPr>
        <w:t>emory has become a topic of interest in</w:t>
      </w:r>
      <w:r w:rsidR="0000626E" w:rsidRPr="00352AAF">
        <w:rPr>
          <w:sz w:val="24"/>
          <w:szCs w:val="24"/>
        </w:rPr>
        <w:t xml:space="preserve"> </w:t>
      </w:r>
      <w:r w:rsidR="004D3EB8" w:rsidRPr="00352AAF">
        <w:rPr>
          <w:sz w:val="24"/>
          <w:szCs w:val="24"/>
        </w:rPr>
        <w:t xml:space="preserve">a wide range of </w:t>
      </w:r>
      <w:r w:rsidR="008C5030" w:rsidRPr="00352AAF">
        <w:rPr>
          <w:sz w:val="24"/>
          <w:szCs w:val="24"/>
        </w:rPr>
        <w:t>disciplines</w:t>
      </w:r>
      <w:r w:rsidR="00FD19B3" w:rsidRPr="00352AAF">
        <w:rPr>
          <w:sz w:val="24"/>
          <w:szCs w:val="24"/>
        </w:rPr>
        <w:t>,</w:t>
      </w:r>
      <w:r w:rsidR="003F03A2" w:rsidRPr="00352AAF">
        <w:rPr>
          <w:rStyle w:val="FootnoteReference"/>
          <w:sz w:val="24"/>
          <w:szCs w:val="24"/>
        </w:rPr>
        <w:footnoteReference w:id="1"/>
      </w:r>
      <w:r w:rsidR="00FD19B3" w:rsidRPr="00352AAF">
        <w:rPr>
          <w:sz w:val="24"/>
          <w:szCs w:val="24"/>
        </w:rPr>
        <w:t xml:space="preserve"> including Jew</w:t>
      </w:r>
      <w:r w:rsidR="00FF4965" w:rsidRPr="00352AAF">
        <w:rPr>
          <w:sz w:val="24"/>
          <w:szCs w:val="24"/>
        </w:rPr>
        <w:t>ish Studies, New Testament studies, and Old Testament studies</w:t>
      </w:r>
      <w:r w:rsidR="00FD19B3" w:rsidRPr="00352AAF">
        <w:rPr>
          <w:sz w:val="24"/>
          <w:szCs w:val="24"/>
        </w:rPr>
        <w:t>.</w:t>
      </w:r>
      <w:r w:rsidR="00C562BE" w:rsidRPr="00352AAF">
        <w:rPr>
          <w:sz w:val="24"/>
          <w:szCs w:val="24"/>
        </w:rPr>
        <w:t xml:space="preserve"> It has suggested the possibility of looking at the Torah, the Prophets, and the Writings as a deposit of Israel’s memory</w:t>
      </w:r>
      <w:r w:rsidR="00FF4965" w:rsidRPr="00352AAF">
        <w:rPr>
          <w:sz w:val="24"/>
          <w:szCs w:val="24"/>
        </w:rPr>
        <w:t xml:space="preserve">. </w:t>
      </w:r>
    </w:p>
    <w:p w:rsidR="00AB746D" w:rsidRPr="00352AAF" w:rsidRDefault="00AB746D" w:rsidP="00352AAF">
      <w:pPr>
        <w:spacing w:line="360" w:lineRule="auto"/>
        <w:rPr>
          <w:sz w:val="24"/>
          <w:szCs w:val="24"/>
        </w:rPr>
      </w:pPr>
    </w:p>
    <w:p w:rsidR="009C67ED" w:rsidRPr="00352AAF" w:rsidRDefault="00FF4965" w:rsidP="00352AAF">
      <w:pPr>
        <w:spacing w:line="360" w:lineRule="auto"/>
        <w:rPr>
          <w:sz w:val="24"/>
          <w:szCs w:val="24"/>
        </w:rPr>
      </w:pPr>
      <w:r w:rsidRPr="00352AAF">
        <w:rPr>
          <w:sz w:val="24"/>
          <w:szCs w:val="24"/>
        </w:rPr>
        <w:t>Some</w:t>
      </w:r>
      <w:r w:rsidR="00FD19B3" w:rsidRPr="00352AAF">
        <w:rPr>
          <w:sz w:val="24"/>
          <w:szCs w:val="24"/>
        </w:rPr>
        <w:t xml:space="preserve">time in the first millennium of our era the Torah, the Prophets, and the Writings </w:t>
      </w:r>
      <w:r w:rsidR="00965366" w:rsidRPr="00352AAF">
        <w:rPr>
          <w:sz w:val="24"/>
          <w:szCs w:val="24"/>
        </w:rPr>
        <w:t>be</w:t>
      </w:r>
      <w:r w:rsidR="00FD19B3" w:rsidRPr="00352AAF">
        <w:rPr>
          <w:sz w:val="24"/>
          <w:szCs w:val="24"/>
        </w:rPr>
        <w:t xml:space="preserve">came </w:t>
      </w:r>
      <w:r w:rsidRPr="00352AAF">
        <w:rPr>
          <w:sz w:val="24"/>
          <w:szCs w:val="24"/>
        </w:rPr>
        <w:t>in a Christian context the Old Testament</w:t>
      </w:r>
      <w:r w:rsidR="004A0AC4" w:rsidRPr="00352AAF">
        <w:rPr>
          <w:sz w:val="24"/>
          <w:szCs w:val="24"/>
        </w:rPr>
        <w:t>; t</w:t>
      </w:r>
      <w:r w:rsidR="00FD19B3" w:rsidRPr="00352AAF">
        <w:rPr>
          <w:sz w:val="24"/>
          <w:szCs w:val="24"/>
        </w:rPr>
        <w:t>hen a thousand years later</w:t>
      </w:r>
      <w:r w:rsidR="00965366" w:rsidRPr="00352AAF">
        <w:rPr>
          <w:sz w:val="24"/>
          <w:szCs w:val="24"/>
        </w:rPr>
        <w:t xml:space="preserve"> </w:t>
      </w:r>
      <w:r w:rsidR="005D629B" w:rsidRPr="00352AAF">
        <w:rPr>
          <w:sz w:val="24"/>
          <w:szCs w:val="24"/>
        </w:rPr>
        <w:t xml:space="preserve">books such as Kings and Chronicles </w:t>
      </w:r>
      <w:r w:rsidR="004A0AC4" w:rsidRPr="00352AAF">
        <w:rPr>
          <w:sz w:val="24"/>
          <w:szCs w:val="24"/>
        </w:rPr>
        <w:t>became histories;</w:t>
      </w:r>
      <w:r w:rsidR="00FD19B3" w:rsidRPr="00352AAF">
        <w:rPr>
          <w:sz w:val="24"/>
          <w:szCs w:val="24"/>
        </w:rPr>
        <w:t xml:space="preserve"> and </w:t>
      </w:r>
      <w:r w:rsidRPr="00352AAF">
        <w:rPr>
          <w:sz w:val="24"/>
          <w:szCs w:val="24"/>
        </w:rPr>
        <w:t xml:space="preserve">then </w:t>
      </w:r>
      <w:r w:rsidR="00FD19B3" w:rsidRPr="00352AAF">
        <w:rPr>
          <w:sz w:val="24"/>
          <w:szCs w:val="24"/>
        </w:rPr>
        <w:t>at the end of the second millennium they</w:t>
      </w:r>
      <w:r w:rsidR="005D629B" w:rsidRPr="00352AAF">
        <w:rPr>
          <w:sz w:val="24"/>
          <w:szCs w:val="24"/>
        </w:rPr>
        <w:t xml:space="preserve"> </w:t>
      </w:r>
      <w:r w:rsidR="00965366" w:rsidRPr="00352AAF">
        <w:rPr>
          <w:sz w:val="24"/>
          <w:szCs w:val="24"/>
        </w:rPr>
        <w:t>be</w:t>
      </w:r>
      <w:r w:rsidR="00FD19B3" w:rsidRPr="00352AAF">
        <w:rPr>
          <w:sz w:val="24"/>
          <w:szCs w:val="24"/>
        </w:rPr>
        <w:t>came narratives</w:t>
      </w:r>
      <w:r w:rsidR="004A0AC4" w:rsidRPr="00352AAF">
        <w:rPr>
          <w:sz w:val="24"/>
          <w:szCs w:val="24"/>
        </w:rPr>
        <w:t>,</w:t>
      </w:r>
      <w:r w:rsidR="00C562BE" w:rsidRPr="00352AAF">
        <w:rPr>
          <w:sz w:val="24"/>
          <w:szCs w:val="24"/>
        </w:rPr>
        <w:t xml:space="preserve"> while the collection as a whole became the Hebrew Bible</w:t>
      </w:r>
      <w:r w:rsidR="004A0AC4" w:rsidRPr="00352AAF">
        <w:rPr>
          <w:sz w:val="24"/>
          <w:szCs w:val="24"/>
        </w:rPr>
        <w:t>. T</w:t>
      </w:r>
      <w:r w:rsidR="00FD19B3" w:rsidRPr="00352AAF">
        <w:rPr>
          <w:sz w:val="24"/>
          <w:szCs w:val="24"/>
        </w:rPr>
        <w:t xml:space="preserve">hese </w:t>
      </w:r>
      <w:r w:rsidR="00965366" w:rsidRPr="00352AAF">
        <w:rPr>
          <w:sz w:val="24"/>
          <w:szCs w:val="24"/>
        </w:rPr>
        <w:t xml:space="preserve">frameworks </w:t>
      </w:r>
      <w:r w:rsidR="00FD19B3" w:rsidRPr="00352AAF">
        <w:rPr>
          <w:sz w:val="24"/>
          <w:szCs w:val="24"/>
        </w:rPr>
        <w:t>(Old Testament, histories, narratives</w:t>
      </w:r>
      <w:r w:rsidR="00C562BE" w:rsidRPr="00352AAF">
        <w:rPr>
          <w:sz w:val="24"/>
          <w:szCs w:val="24"/>
        </w:rPr>
        <w:t>, Hebrew Bible</w:t>
      </w:r>
      <w:r w:rsidR="00FD19B3" w:rsidRPr="00352AAF">
        <w:rPr>
          <w:sz w:val="24"/>
          <w:szCs w:val="24"/>
        </w:rPr>
        <w:t xml:space="preserve">) </w:t>
      </w:r>
      <w:r w:rsidR="00965366" w:rsidRPr="00352AAF">
        <w:rPr>
          <w:sz w:val="24"/>
          <w:szCs w:val="24"/>
        </w:rPr>
        <w:t>sometimes skewed</w:t>
      </w:r>
      <w:r w:rsidR="004A0AC4" w:rsidRPr="00352AAF">
        <w:rPr>
          <w:sz w:val="24"/>
          <w:szCs w:val="24"/>
        </w:rPr>
        <w:t xml:space="preserve"> and sometimes facilitated the</w:t>
      </w:r>
      <w:r w:rsidR="00965366" w:rsidRPr="00352AAF">
        <w:rPr>
          <w:sz w:val="24"/>
          <w:szCs w:val="24"/>
        </w:rPr>
        <w:t xml:space="preserve"> interpretation</w:t>
      </w:r>
      <w:r w:rsidR="004A0AC4" w:rsidRPr="00352AAF">
        <w:rPr>
          <w:sz w:val="24"/>
          <w:szCs w:val="24"/>
        </w:rPr>
        <w:t xml:space="preserve"> of the books</w:t>
      </w:r>
      <w:r w:rsidR="00965366" w:rsidRPr="00352AAF">
        <w:rPr>
          <w:sz w:val="24"/>
          <w:szCs w:val="24"/>
        </w:rPr>
        <w:t>. The framework</w:t>
      </w:r>
      <w:r w:rsidR="00857402" w:rsidRPr="00352AAF">
        <w:rPr>
          <w:sz w:val="24"/>
          <w:szCs w:val="24"/>
        </w:rPr>
        <w:t xml:space="preserve"> of memory lacks </w:t>
      </w:r>
      <w:r w:rsidR="005D629B" w:rsidRPr="00352AAF">
        <w:rPr>
          <w:sz w:val="24"/>
          <w:szCs w:val="24"/>
        </w:rPr>
        <w:t>some of the disadvantages of tho</w:t>
      </w:r>
      <w:r w:rsidRPr="00352AAF">
        <w:rPr>
          <w:sz w:val="24"/>
          <w:szCs w:val="24"/>
        </w:rPr>
        <w:t>se frameworks; further,</w:t>
      </w:r>
      <w:r w:rsidR="00857402" w:rsidRPr="00352AAF">
        <w:rPr>
          <w:sz w:val="24"/>
          <w:szCs w:val="24"/>
        </w:rPr>
        <w:t xml:space="preserve"> memor</w:t>
      </w:r>
      <w:r w:rsidR="00FD19B3" w:rsidRPr="00352AAF">
        <w:rPr>
          <w:sz w:val="24"/>
          <w:szCs w:val="24"/>
        </w:rPr>
        <w:t>y is a</w:t>
      </w:r>
      <w:r w:rsidR="00857402" w:rsidRPr="00352AAF">
        <w:rPr>
          <w:sz w:val="24"/>
          <w:szCs w:val="24"/>
        </w:rPr>
        <w:t xml:space="preserve"> category </w:t>
      </w:r>
      <w:r w:rsidR="00FD19B3" w:rsidRPr="00352AAF">
        <w:rPr>
          <w:sz w:val="24"/>
          <w:szCs w:val="24"/>
        </w:rPr>
        <w:t>that explicitly appears in the material</w:t>
      </w:r>
      <w:r w:rsidRPr="00352AAF">
        <w:rPr>
          <w:sz w:val="24"/>
          <w:szCs w:val="24"/>
        </w:rPr>
        <w:t>, which</w:t>
      </w:r>
      <w:r w:rsidR="00FD19B3" w:rsidRPr="00352AAF">
        <w:rPr>
          <w:sz w:val="24"/>
          <w:szCs w:val="24"/>
        </w:rPr>
        <w:t xml:space="preserve"> </w:t>
      </w:r>
      <w:r w:rsidRPr="00352AAF">
        <w:rPr>
          <w:sz w:val="24"/>
          <w:szCs w:val="24"/>
        </w:rPr>
        <w:t>may mean it</w:t>
      </w:r>
      <w:r w:rsidR="004A0AC4" w:rsidRPr="00352AAF">
        <w:rPr>
          <w:sz w:val="24"/>
          <w:szCs w:val="24"/>
        </w:rPr>
        <w:t xml:space="preserve"> might</w:t>
      </w:r>
      <w:r w:rsidRPr="00352AAF">
        <w:rPr>
          <w:sz w:val="24"/>
          <w:szCs w:val="24"/>
        </w:rPr>
        <w:t xml:space="preserve"> help us</w:t>
      </w:r>
      <w:r w:rsidR="00857402" w:rsidRPr="00352AAF">
        <w:rPr>
          <w:sz w:val="24"/>
          <w:szCs w:val="24"/>
        </w:rPr>
        <w:t xml:space="preserve"> </w:t>
      </w:r>
      <w:r w:rsidRPr="00352AAF">
        <w:rPr>
          <w:sz w:val="24"/>
          <w:szCs w:val="24"/>
        </w:rPr>
        <w:t>get</w:t>
      </w:r>
      <w:r w:rsidR="00FD19B3" w:rsidRPr="00352AAF">
        <w:rPr>
          <w:sz w:val="24"/>
          <w:szCs w:val="24"/>
        </w:rPr>
        <w:t xml:space="preserve"> inside an aspect of its own </w:t>
      </w:r>
      <w:r w:rsidR="00857402" w:rsidRPr="00352AAF">
        <w:rPr>
          <w:sz w:val="24"/>
          <w:szCs w:val="24"/>
        </w:rPr>
        <w:t>way of thinking</w:t>
      </w:r>
      <w:r w:rsidR="005D629B" w:rsidRPr="00352AAF">
        <w:rPr>
          <w:sz w:val="24"/>
          <w:szCs w:val="24"/>
        </w:rPr>
        <w:t xml:space="preserve">. </w:t>
      </w:r>
      <w:r w:rsidR="00FD19B3" w:rsidRPr="00352AAF">
        <w:rPr>
          <w:sz w:val="24"/>
          <w:szCs w:val="24"/>
        </w:rPr>
        <w:t>While the Torah, the Prophets, and the Writings do not begin with an instruction to rememb</w:t>
      </w:r>
      <w:r w:rsidR="004A0AC4" w:rsidRPr="00352AAF">
        <w:rPr>
          <w:sz w:val="24"/>
          <w:szCs w:val="24"/>
        </w:rPr>
        <w:t>er, they begin with a huge</w:t>
      </w:r>
      <w:r w:rsidR="00FD19B3" w:rsidRPr="00352AAF">
        <w:rPr>
          <w:sz w:val="24"/>
          <w:szCs w:val="24"/>
        </w:rPr>
        <w:t xml:space="preserve"> exercise in memory,</w:t>
      </w:r>
      <w:r w:rsidR="00C562BE" w:rsidRPr="00352AAF">
        <w:rPr>
          <w:sz w:val="24"/>
          <w:szCs w:val="24"/>
        </w:rPr>
        <w:t xml:space="preserve"> in Genesis to Kings. T</w:t>
      </w:r>
      <w:r w:rsidR="00FD19B3" w:rsidRPr="00352AAF">
        <w:rPr>
          <w:sz w:val="24"/>
          <w:szCs w:val="24"/>
        </w:rPr>
        <w:t xml:space="preserve">he scriptural position and order of Chronicles-Ezra-Nehemiah is less fixed, </w:t>
      </w:r>
      <w:r w:rsidR="00C562BE" w:rsidRPr="00352AAF">
        <w:rPr>
          <w:sz w:val="24"/>
          <w:szCs w:val="24"/>
        </w:rPr>
        <w:t xml:space="preserve">but </w:t>
      </w:r>
      <w:r w:rsidR="004A0AC4" w:rsidRPr="00352AAF">
        <w:rPr>
          <w:sz w:val="24"/>
          <w:szCs w:val="24"/>
        </w:rPr>
        <w:t xml:space="preserve">that </w:t>
      </w:r>
      <w:r w:rsidR="00FD19B3" w:rsidRPr="00352AAF">
        <w:rPr>
          <w:sz w:val="24"/>
          <w:szCs w:val="24"/>
        </w:rPr>
        <w:t>other set of narratives also implies an instruction to remember. Both sequences are exercises in memory</w:t>
      </w:r>
      <w:r w:rsidR="00C562BE" w:rsidRPr="00352AAF">
        <w:rPr>
          <w:sz w:val="24"/>
          <w:szCs w:val="24"/>
        </w:rPr>
        <w:t>,</w:t>
      </w:r>
      <w:r w:rsidR="00FD19B3" w:rsidRPr="00352AAF">
        <w:rPr>
          <w:sz w:val="24"/>
          <w:szCs w:val="24"/>
        </w:rPr>
        <w:t xml:space="preserve"> whose form results from the recycling of earlier memories. </w:t>
      </w:r>
    </w:p>
    <w:p w:rsidR="009C67ED" w:rsidRPr="00352AAF" w:rsidRDefault="009C67ED" w:rsidP="00352AAF">
      <w:pPr>
        <w:spacing w:line="360" w:lineRule="auto"/>
        <w:rPr>
          <w:sz w:val="24"/>
          <w:szCs w:val="24"/>
        </w:rPr>
      </w:pPr>
    </w:p>
    <w:p w:rsidR="008B1ED6" w:rsidRPr="00352AAF" w:rsidRDefault="00FD19B3" w:rsidP="00352AAF">
      <w:pPr>
        <w:spacing w:line="360" w:lineRule="auto"/>
        <w:rPr>
          <w:rFonts w:eastAsiaTheme="minorHAnsi"/>
          <w:sz w:val="24"/>
          <w:szCs w:val="24"/>
        </w:rPr>
      </w:pPr>
      <w:r w:rsidRPr="00352AAF">
        <w:rPr>
          <w:sz w:val="24"/>
          <w:szCs w:val="24"/>
        </w:rPr>
        <w:t xml:space="preserve">As there is a difference between Israelite ethics and Old Testament ethics, or Israelite religion and Old Testament religion, or Israelite theology and Old Testament theology, so there is a difference between Israel’s memory and Old Testament memory. </w:t>
      </w:r>
      <w:r w:rsidR="00FF4965" w:rsidRPr="00352AAF">
        <w:rPr>
          <w:sz w:val="24"/>
          <w:szCs w:val="24"/>
        </w:rPr>
        <w:t xml:space="preserve">In this paper I am concerned with the way the Old Testament </w:t>
      </w:r>
      <w:r w:rsidR="004A0AC4" w:rsidRPr="00352AAF">
        <w:rPr>
          <w:sz w:val="24"/>
          <w:szCs w:val="24"/>
        </w:rPr>
        <w:t>as we have it</w:t>
      </w:r>
      <w:r w:rsidR="001B45B9" w:rsidRPr="00352AAF">
        <w:rPr>
          <w:sz w:val="24"/>
          <w:szCs w:val="24"/>
        </w:rPr>
        <w:t xml:space="preserve"> </w:t>
      </w:r>
      <w:r w:rsidR="00FF4965" w:rsidRPr="00352AAF">
        <w:rPr>
          <w:sz w:val="24"/>
          <w:szCs w:val="24"/>
        </w:rPr>
        <w:t>remembers</w:t>
      </w:r>
      <w:r w:rsidR="004A0AC4" w:rsidRPr="00352AAF">
        <w:rPr>
          <w:sz w:val="24"/>
          <w:szCs w:val="24"/>
        </w:rPr>
        <w:t>,</w:t>
      </w:r>
      <w:r w:rsidR="00FF4965" w:rsidRPr="00352AAF">
        <w:rPr>
          <w:sz w:val="24"/>
          <w:szCs w:val="24"/>
        </w:rPr>
        <w:t xml:space="preserve"> and talks about memory</w:t>
      </w:r>
      <w:r w:rsidR="00D5279C" w:rsidRPr="00352AAF">
        <w:rPr>
          <w:sz w:val="24"/>
          <w:szCs w:val="24"/>
        </w:rPr>
        <w:t>. I want</w:t>
      </w:r>
      <w:r w:rsidR="00965366" w:rsidRPr="00352AAF">
        <w:rPr>
          <w:sz w:val="24"/>
          <w:szCs w:val="24"/>
        </w:rPr>
        <w:t xml:space="preserve"> to think about the relationship of memory </w:t>
      </w:r>
      <w:r w:rsidR="00D5279C" w:rsidRPr="00352AAF">
        <w:rPr>
          <w:sz w:val="24"/>
          <w:szCs w:val="24"/>
        </w:rPr>
        <w:t>and Old Testament t</w:t>
      </w:r>
      <w:r w:rsidR="004A0AC4" w:rsidRPr="00352AAF">
        <w:rPr>
          <w:sz w:val="24"/>
          <w:szCs w:val="24"/>
        </w:rPr>
        <w:t>heology, and specifically</w:t>
      </w:r>
      <w:r w:rsidR="001B45B9" w:rsidRPr="00352AAF">
        <w:rPr>
          <w:sz w:val="24"/>
          <w:szCs w:val="24"/>
        </w:rPr>
        <w:t xml:space="preserve"> to</w:t>
      </w:r>
      <w:r w:rsidR="00D5279C" w:rsidRPr="00352AAF">
        <w:rPr>
          <w:sz w:val="24"/>
          <w:szCs w:val="24"/>
        </w:rPr>
        <w:t xml:space="preserve"> consider</w:t>
      </w:r>
      <w:r w:rsidR="008B1ED6" w:rsidRPr="00352AAF">
        <w:rPr>
          <w:rFonts w:eastAsiaTheme="minorHAnsi"/>
          <w:sz w:val="24"/>
          <w:szCs w:val="24"/>
        </w:rPr>
        <w:t xml:space="preserve"> </w:t>
      </w:r>
      <w:r w:rsidR="00965366" w:rsidRPr="00352AAF">
        <w:rPr>
          <w:rFonts w:eastAsiaTheme="minorHAnsi"/>
          <w:sz w:val="24"/>
          <w:szCs w:val="24"/>
        </w:rPr>
        <w:t>how memory relates to</w:t>
      </w:r>
      <w:r w:rsidR="008B1ED6" w:rsidRPr="00352AAF">
        <w:rPr>
          <w:rFonts w:eastAsiaTheme="minorHAnsi"/>
          <w:sz w:val="24"/>
          <w:szCs w:val="24"/>
        </w:rPr>
        <w:t xml:space="preserve"> </w:t>
      </w:r>
      <w:r w:rsidR="005D629B" w:rsidRPr="00352AAF">
        <w:rPr>
          <w:rFonts w:eastAsiaTheme="minorHAnsi" w:cs="CheltenhamBT-Roman"/>
          <w:sz w:val="24"/>
          <w:szCs w:val="24"/>
        </w:rPr>
        <w:t xml:space="preserve">Israel’s </w:t>
      </w:r>
      <w:r w:rsidR="001B45B9" w:rsidRPr="00352AAF">
        <w:rPr>
          <w:rFonts w:eastAsiaTheme="minorHAnsi"/>
          <w:sz w:val="24"/>
          <w:szCs w:val="24"/>
        </w:rPr>
        <w:t>faith, its hope, and its</w:t>
      </w:r>
      <w:r w:rsidR="00965366" w:rsidRPr="00352AAF">
        <w:rPr>
          <w:rFonts w:eastAsiaTheme="minorHAnsi"/>
          <w:sz w:val="24"/>
          <w:szCs w:val="24"/>
        </w:rPr>
        <w:t xml:space="preserve"> </w:t>
      </w:r>
      <w:r w:rsidR="008B1ED6" w:rsidRPr="00352AAF">
        <w:rPr>
          <w:rFonts w:eastAsiaTheme="minorHAnsi"/>
          <w:sz w:val="24"/>
          <w:szCs w:val="24"/>
        </w:rPr>
        <w:t>ethics</w:t>
      </w:r>
      <w:r w:rsidR="00965366" w:rsidRPr="00352AAF">
        <w:rPr>
          <w:rFonts w:eastAsiaTheme="minorHAnsi"/>
          <w:sz w:val="24"/>
          <w:szCs w:val="24"/>
        </w:rPr>
        <w:t xml:space="preserve">—in each case not Israel </w:t>
      </w:r>
      <w:r w:rsidR="00965366" w:rsidRPr="00352AAF">
        <w:rPr>
          <w:rFonts w:eastAsiaTheme="minorHAnsi"/>
          <w:sz w:val="24"/>
          <w:szCs w:val="24"/>
        </w:rPr>
        <w:lastRenderedPageBreak/>
        <w:t>as it actually was, but Israel as the Torah, the Prophets,</w:t>
      </w:r>
      <w:r w:rsidR="00C562BE" w:rsidRPr="00352AAF">
        <w:rPr>
          <w:rFonts w:eastAsiaTheme="minorHAnsi"/>
          <w:sz w:val="24"/>
          <w:szCs w:val="24"/>
        </w:rPr>
        <w:t xml:space="preserve"> and th</w:t>
      </w:r>
      <w:r w:rsidR="001B45B9" w:rsidRPr="00352AAF">
        <w:rPr>
          <w:rFonts w:eastAsiaTheme="minorHAnsi"/>
          <w:sz w:val="24"/>
          <w:szCs w:val="24"/>
        </w:rPr>
        <w:t>e Writings wish it to be or wish it had been.</w:t>
      </w:r>
      <w:r w:rsidR="00C562BE" w:rsidRPr="00352AAF">
        <w:rPr>
          <w:rFonts w:eastAsiaTheme="minorHAnsi"/>
          <w:sz w:val="24"/>
          <w:szCs w:val="24"/>
        </w:rPr>
        <w:t xml:space="preserve"> I shall follow </w:t>
      </w:r>
      <w:r w:rsidR="001B45B9" w:rsidRPr="00352AAF">
        <w:rPr>
          <w:rFonts w:eastAsiaTheme="minorHAnsi"/>
          <w:sz w:val="24"/>
          <w:szCs w:val="24"/>
        </w:rPr>
        <w:t>Christian</w:t>
      </w:r>
      <w:r w:rsidR="004A0AC4" w:rsidRPr="00352AAF">
        <w:rPr>
          <w:rFonts w:eastAsiaTheme="minorHAnsi"/>
          <w:sz w:val="24"/>
          <w:szCs w:val="24"/>
        </w:rPr>
        <w:t xml:space="preserve"> convention in referring to the</w:t>
      </w:r>
      <w:r w:rsidR="00C562BE" w:rsidRPr="00352AAF">
        <w:rPr>
          <w:rFonts w:eastAsiaTheme="minorHAnsi"/>
          <w:sz w:val="24"/>
          <w:szCs w:val="24"/>
        </w:rPr>
        <w:t xml:space="preserve">se scriptures as “The Old Testament,” though </w:t>
      </w:r>
      <w:r w:rsidR="001B45B9" w:rsidRPr="00352AAF">
        <w:rPr>
          <w:rFonts w:eastAsiaTheme="minorHAnsi"/>
          <w:sz w:val="24"/>
          <w:szCs w:val="24"/>
        </w:rPr>
        <w:t>I hope</w:t>
      </w:r>
      <w:r w:rsidR="00C562BE" w:rsidRPr="00352AAF">
        <w:rPr>
          <w:rFonts w:eastAsiaTheme="minorHAnsi"/>
          <w:sz w:val="24"/>
          <w:szCs w:val="24"/>
        </w:rPr>
        <w:t xml:space="preserve"> to say nothing that is not faithful to the </w:t>
      </w:r>
      <w:proofErr w:type="spellStart"/>
      <w:r w:rsidR="00C562BE" w:rsidRPr="00352AAF">
        <w:rPr>
          <w:rFonts w:eastAsiaTheme="minorHAnsi"/>
          <w:sz w:val="24"/>
          <w:szCs w:val="24"/>
        </w:rPr>
        <w:t>Tanak</w:t>
      </w:r>
      <w:proofErr w:type="spellEnd"/>
      <w:r w:rsidR="001B45B9" w:rsidRPr="00352AAF">
        <w:rPr>
          <w:rFonts w:eastAsiaTheme="minorHAnsi"/>
          <w:sz w:val="24"/>
          <w:szCs w:val="24"/>
        </w:rPr>
        <w:t xml:space="preserve"> in its own right</w:t>
      </w:r>
      <w:r w:rsidR="00C562BE" w:rsidRPr="00352AAF">
        <w:rPr>
          <w:rFonts w:eastAsiaTheme="minorHAnsi"/>
          <w:sz w:val="24"/>
          <w:szCs w:val="24"/>
        </w:rPr>
        <w:t>.</w:t>
      </w:r>
      <w:r w:rsidR="001B45B9" w:rsidRPr="00352AAF">
        <w:rPr>
          <w:rFonts w:eastAsiaTheme="minorHAnsi"/>
          <w:sz w:val="24"/>
          <w:szCs w:val="24"/>
        </w:rPr>
        <w:t xml:space="preserve"> </w:t>
      </w:r>
    </w:p>
    <w:p w:rsidR="000D6647" w:rsidRPr="00352AAF" w:rsidRDefault="00344CE2" w:rsidP="00352AAF">
      <w:pPr>
        <w:pStyle w:val="Heading1"/>
        <w:numPr>
          <w:ilvl w:val="0"/>
          <w:numId w:val="1"/>
        </w:numPr>
        <w:spacing w:line="360" w:lineRule="auto"/>
        <w:rPr>
          <w:sz w:val="24"/>
          <w:szCs w:val="24"/>
        </w:rPr>
      </w:pPr>
      <w:r w:rsidRPr="00352AAF">
        <w:rPr>
          <w:sz w:val="24"/>
          <w:szCs w:val="24"/>
        </w:rPr>
        <w:t xml:space="preserve">Memory and </w:t>
      </w:r>
      <w:r w:rsidR="005D629B" w:rsidRPr="00352AAF">
        <w:rPr>
          <w:sz w:val="24"/>
          <w:szCs w:val="24"/>
        </w:rPr>
        <w:t xml:space="preserve">Israel’s </w:t>
      </w:r>
      <w:r w:rsidR="001B45B9" w:rsidRPr="00352AAF">
        <w:rPr>
          <w:sz w:val="24"/>
          <w:szCs w:val="24"/>
        </w:rPr>
        <w:t>Faith</w:t>
      </w:r>
    </w:p>
    <w:p w:rsidR="00AB746D" w:rsidRPr="00352AAF" w:rsidRDefault="009C67ED" w:rsidP="00352AAF">
      <w:pPr>
        <w:spacing w:line="360" w:lineRule="auto"/>
        <w:rPr>
          <w:sz w:val="24"/>
          <w:szCs w:val="24"/>
        </w:rPr>
      </w:pPr>
      <w:r w:rsidRPr="00352AAF">
        <w:rPr>
          <w:sz w:val="24"/>
          <w:szCs w:val="24"/>
        </w:rPr>
        <w:t>First, then, memory a</w:t>
      </w:r>
      <w:r w:rsidR="00DF66FE" w:rsidRPr="00352AAF">
        <w:rPr>
          <w:sz w:val="24"/>
          <w:szCs w:val="24"/>
        </w:rPr>
        <w:t>s an important element in</w:t>
      </w:r>
      <w:r w:rsidR="00E81135" w:rsidRPr="00352AAF">
        <w:rPr>
          <w:sz w:val="24"/>
          <w:szCs w:val="24"/>
        </w:rPr>
        <w:t xml:space="preserve"> </w:t>
      </w:r>
      <w:r w:rsidR="00DF66FE" w:rsidRPr="00352AAF">
        <w:rPr>
          <w:sz w:val="24"/>
          <w:szCs w:val="24"/>
        </w:rPr>
        <w:t xml:space="preserve">the way the Old Testament portrays </w:t>
      </w:r>
      <w:r w:rsidR="00344CE2" w:rsidRPr="00352AAF">
        <w:rPr>
          <w:sz w:val="24"/>
          <w:szCs w:val="24"/>
        </w:rPr>
        <w:t>Israe</w:t>
      </w:r>
      <w:r w:rsidR="00D5279C" w:rsidRPr="00352AAF">
        <w:rPr>
          <w:sz w:val="24"/>
          <w:szCs w:val="24"/>
        </w:rPr>
        <w:t xml:space="preserve">l’s </w:t>
      </w:r>
      <w:r w:rsidR="0039290D" w:rsidRPr="00352AAF">
        <w:rPr>
          <w:sz w:val="24"/>
          <w:szCs w:val="24"/>
        </w:rPr>
        <w:t>faith</w:t>
      </w:r>
      <w:r w:rsidR="00785F4B" w:rsidRPr="00352AAF">
        <w:rPr>
          <w:sz w:val="24"/>
          <w:szCs w:val="24"/>
        </w:rPr>
        <w:t xml:space="preserve">. </w:t>
      </w:r>
      <w:r w:rsidR="00344CE2" w:rsidRPr="00352AAF">
        <w:rPr>
          <w:sz w:val="24"/>
          <w:szCs w:val="24"/>
        </w:rPr>
        <w:t xml:space="preserve">Deuteronomy is the great book of </w:t>
      </w:r>
      <w:r w:rsidR="00AB2532" w:rsidRPr="00352AAF">
        <w:rPr>
          <w:sz w:val="24"/>
          <w:szCs w:val="24"/>
        </w:rPr>
        <w:t>explicit exhortation to remember</w:t>
      </w:r>
      <w:r w:rsidR="005302D9" w:rsidRPr="00352AAF">
        <w:rPr>
          <w:sz w:val="24"/>
          <w:szCs w:val="24"/>
        </w:rPr>
        <w:t>.</w:t>
      </w:r>
      <w:r w:rsidR="002231BE" w:rsidRPr="00352AAF">
        <w:rPr>
          <w:sz w:val="24"/>
          <w:szCs w:val="24"/>
        </w:rPr>
        <w:t xml:space="preserve"> </w:t>
      </w:r>
      <w:r w:rsidR="005302D9" w:rsidRPr="00352AAF">
        <w:rPr>
          <w:sz w:val="24"/>
          <w:szCs w:val="24"/>
        </w:rPr>
        <w:t>“</w:t>
      </w:r>
      <w:r w:rsidR="00D816DF" w:rsidRPr="00352AAF">
        <w:rPr>
          <w:rStyle w:val="highlight"/>
          <w:sz w:val="24"/>
          <w:szCs w:val="24"/>
        </w:rPr>
        <w:t>Remember</w:t>
      </w:r>
      <w:r w:rsidR="00D816DF" w:rsidRPr="00352AAF">
        <w:rPr>
          <w:sz w:val="24"/>
          <w:szCs w:val="24"/>
        </w:rPr>
        <w:t xml:space="preserve"> the days of old, consider the years </w:t>
      </w:r>
      <w:r w:rsidR="00D816DF" w:rsidRPr="00352AAF">
        <w:rPr>
          <w:rFonts w:ascii="Calibri" w:hAnsi="Calibri"/>
          <w:sz w:val="24"/>
          <w:szCs w:val="24"/>
        </w:rPr>
        <w:t xml:space="preserve">of generations </w:t>
      </w:r>
      <w:r w:rsidR="00D816DF" w:rsidRPr="00352AAF">
        <w:rPr>
          <w:sz w:val="24"/>
          <w:szCs w:val="24"/>
        </w:rPr>
        <w:t>long past, a</w:t>
      </w:r>
      <w:r w:rsidR="00D816DF" w:rsidRPr="00352AAF">
        <w:rPr>
          <w:rFonts w:ascii="Calibri" w:hAnsi="Calibri"/>
          <w:sz w:val="24"/>
          <w:szCs w:val="24"/>
        </w:rPr>
        <w:t>sk your father, and he will explain to you,</w:t>
      </w:r>
      <w:r w:rsidR="00D816DF" w:rsidRPr="00352AAF">
        <w:rPr>
          <w:sz w:val="24"/>
          <w:szCs w:val="24"/>
        </w:rPr>
        <w:t xml:space="preserve"> </w:t>
      </w:r>
      <w:r w:rsidR="00D816DF" w:rsidRPr="00352AAF">
        <w:rPr>
          <w:rFonts w:ascii="Calibri" w:hAnsi="Calibri"/>
          <w:sz w:val="24"/>
          <w:szCs w:val="24"/>
        </w:rPr>
        <w:t>your</w:t>
      </w:r>
      <w:r w:rsidR="00D816DF" w:rsidRPr="00352AAF">
        <w:rPr>
          <w:sz w:val="24"/>
          <w:szCs w:val="24"/>
        </w:rPr>
        <w:t xml:space="preserve"> elders, and they will tell you” (32:7). </w:t>
      </w:r>
      <w:r w:rsidR="007D2A28" w:rsidRPr="00352AAF">
        <w:rPr>
          <w:sz w:val="24"/>
          <w:szCs w:val="24"/>
        </w:rPr>
        <w:t>“</w:t>
      </w:r>
      <w:r w:rsidR="007043DE" w:rsidRPr="00352AAF">
        <w:rPr>
          <w:sz w:val="24"/>
          <w:szCs w:val="24"/>
        </w:rPr>
        <w:t>T</w:t>
      </w:r>
      <w:r w:rsidR="00736853" w:rsidRPr="00352AAF">
        <w:rPr>
          <w:rFonts w:ascii="Calibri" w:hAnsi="Calibri"/>
          <w:sz w:val="24"/>
          <w:szCs w:val="24"/>
        </w:rPr>
        <w:t>ake care for yourself and be very careful of y</w:t>
      </w:r>
      <w:r w:rsidR="004A0AC4" w:rsidRPr="00352AAF">
        <w:rPr>
          <w:rFonts w:ascii="Calibri" w:hAnsi="Calibri"/>
          <w:sz w:val="24"/>
          <w:szCs w:val="24"/>
        </w:rPr>
        <w:t>ourself so you do not forget</w:t>
      </w:r>
      <w:r w:rsidR="00736853" w:rsidRPr="00352AAF">
        <w:rPr>
          <w:rFonts w:ascii="Calibri" w:hAnsi="Calibri"/>
          <w:sz w:val="24"/>
          <w:szCs w:val="24"/>
        </w:rPr>
        <w:t xml:space="preserve"> the things your eyes have seen, and so they do not turn aside from your mind all the days of your life. </w:t>
      </w:r>
      <w:proofErr w:type="gramStart"/>
      <w:r w:rsidR="00736853" w:rsidRPr="00352AAF">
        <w:rPr>
          <w:rFonts w:ascii="Calibri" w:hAnsi="Calibri"/>
          <w:sz w:val="24"/>
          <w:szCs w:val="24"/>
        </w:rPr>
        <w:t>Make them known to your children and your grandchildren</w:t>
      </w:r>
      <w:r w:rsidR="00DC4C30" w:rsidRPr="00352AAF">
        <w:rPr>
          <w:sz w:val="24"/>
          <w:szCs w:val="24"/>
        </w:rPr>
        <w:t>” (4:9).</w:t>
      </w:r>
      <w:proofErr w:type="gramEnd"/>
      <w:r w:rsidR="007D2A28" w:rsidRPr="00352AAF">
        <w:rPr>
          <w:sz w:val="24"/>
          <w:szCs w:val="24"/>
        </w:rPr>
        <w:t xml:space="preserve"> “Take care </w:t>
      </w:r>
      <w:r w:rsidR="007043DE" w:rsidRPr="00352AAF">
        <w:rPr>
          <w:sz w:val="24"/>
          <w:szCs w:val="24"/>
        </w:rPr>
        <w:t xml:space="preserve">for yourself so </w:t>
      </w:r>
      <w:r w:rsidR="007D2A28" w:rsidRPr="00352AAF">
        <w:rPr>
          <w:sz w:val="24"/>
          <w:szCs w:val="24"/>
        </w:rPr>
        <w:t xml:space="preserve">that you do not </w:t>
      </w:r>
      <w:r w:rsidR="004A0AC4" w:rsidRPr="00352AAF">
        <w:rPr>
          <w:rStyle w:val="highlight"/>
          <w:sz w:val="24"/>
          <w:szCs w:val="24"/>
        </w:rPr>
        <w:t>forget</w:t>
      </w:r>
      <w:r w:rsidR="007043DE" w:rsidRPr="00352AAF">
        <w:rPr>
          <w:sz w:val="24"/>
          <w:szCs w:val="24"/>
        </w:rPr>
        <w:t xml:space="preserve"> Yahweh who got you out of the country</w:t>
      </w:r>
      <w:r w:rsidR="007D2A28" w:rsidRPr="00352AAF">
        <w:rPr>
          <w:sz w:val="24"/>
          <w:szCs w:val="24"/>
        </w:rPr>
        <w:t xml:space="preserve"> of Egyp</w:t>
      </w:r>
      <w:r w:rsidR="007043DE" w:rsidRPr="00352AAF">
        <w:rPr>
          <w:sz w:val="24"/>
          <w:szCs w:val="24"/>
        </w:rPr>
        <w:t>t, out of a</w:t>
      </w:r>
      <w:r w:rsidR="007D2A28" w:rsidRPr="00352AAF">
        <w:rPr>
          <w:sz w:val="24"/>
          <w:szCs w:val="24"/>
        </w:rPr>
        <w:t xml:space="preserve"> house</w:t>
      </w:r>
      <w:r w:rsidR="007043DE" w:rsidRPr="00352AAF">
        <w:rPr>
          <w:sz w:val="24"/>
          <w:szCs w:val="24"/>
        </w:rPr>
        <w:t>hold of serfs</w:t>
      </w:r>
      <w:r w:rsidR="007D2A28" w:rsidRPr="00352AAF">
        <w:rPr>
          <w:sz w:val="24"/>
          <w:szCs w:val="24"/>
        </w:rPr>
        <w:t>” (6:12).</w:t>
      </w:r>
      <w:r w:rsidR="00D5279C" w:rsidRPr="00352AAF">
        <w:rPr>
          <w:rStyle w:val="FootnoteReference"/>
          <w:sz w:val="24"/>
          <w:szCs w:val="24"/>
        </w:rPr>
        <w:footnoteReference w:id="2"/>
      </w:r>
      <w:r w:rsidR="007D2A28" w:rsidRPr="00352AAF">
        <w:rPr>
          <w:sz w:val="24"/>
          <w:szCs w:val="24"/>
        </w:rPr>
        <w:t xml:space="preserve"> </w:t>
      </w:r>
      <w:r w:rsidR="00AB2532" w:rsidRPr="00352AAF">
        <w:rPr>
          <w:sz w:val="24"/>
          <w:szCs w:val="24"/>
        </w:rPr>
        <w:t>G</w:t>
      </w:r>
      <w:r w:rsidR="008B4468" w:rsidRPr="00352AAF">
        <w:rPr>
          <w:sz w:val="24"/>
          <w:szCs w:val="24"/>
        </w:rPr>
        <w:t>etting the Israelites out of Egypt constituted an assertion and a reaffirmation of Yahweh’s ownership of Israel.</w:t>
      </w:r>
      <w:r w:rsidR="00DC4C30" w:rsidRPr="00352AAF">
        <w:rPr>
          <w:sz w:val="24"/>
          <w:szCs w:val="24"/>
        </w:rPr>
        <w:t xml:space="preserve"> </w:t>
      </w:r>
      <w:r w:rsidR="00AB2532" w:rsidRPr="00352AAF">
        <w:rPr>
          <w:sz w:val="24"/>
          <w:szCs w:val="24"/>
        </w:rPr>
        <w:t>Israel is now</w:t>
      </w:r>
      <w:r w:rsidR="008B4468" w:rsidRPr="00352AAF">
        <w:rPr>
          <w:sz w:val="24"/>
          <w:szCs w:val="24"/>
        </w:rPr>
        <w:t xml:space="preserve"> under double obligation to be committed to Yahweh</w:t>
      </w:r>
      <w:r w:rsidR="00AB2532" w:rsidRPr="00352AAF">
        <w:rPr>
          <w:sz w:val="24"/>
          <w:szCs w:val="24"/>
        </w:rPr>
        <w:t xml:space="preserve"> and not to rebel</w:t>
      </w:r>
      <w:r w:rsidR="00DC4C30" w:rsidRPr="00352AAF">
        <w:rPr>
          <w:sz w:val="24"/>
          <w:szCs w:val="24"/>
        </w:rPr>
        <w:t>.</w:t>
      </w:r>
      <w:r w:rsidR="00AB2532" w:rsidRPr="00352AAF">
        <w:rPr>
          <w:sz w:val="24"/>
          <w:szCs w:val="24"/>
        </w:rPr>
        <w:t xml:space="preserve"> The point finds expression in</w:t>
      </w:r>
      <w:r w:rsidR="00736853" w:rsidRPr="00352AAF">
        <w:rPr>
          <w:sz w:val="24"/>
          <w:szCs w:val="24"/>
        </w:rPr>
        <w:t xml:space="preserve"> the first of the</w:t>
      </w:r>
      <w:r w:rsidR="00AB746D" w:rsidRPr="00352AAF">
        <w:rPr>
          <w:sz w:val="24"/>
          <w:szCs w:val="24"/>
        </w:rPr>
        <w:t xml:space="preserve"> T</w:t>
      </w:r>
      <w:r w:rsidR="00803F01" w:rsidRPr="00352AAF">
        <w:rPr>
          <w:sz w:val="24"/>
          <w:szCs w:val="24"/>
        </w:rPr>
        <w:t>e</w:t>
      </w:r>
      <w:r w:rsidR="00AB746D" w:rsidRPr="00352AAF">
        <w:rPr>
          <w:sz w:val="24"/>
          <w:szCs w:val="24"/>
        </w:rPr>
        <w:t>n C</w:t>
      </w:r>
      <w:r w:rsidR="00803F01" w:rsidRPr="00352AAF">
        <w:rPr>
          <w:sz w:val="24"/>
          <w:szCs w:val="24"/>
        </w:rPr>
        <w:t>ommandments</w:t>
      </w:r>
      <w:r w:rsidR="00736853" w:rsidRPr="00352AAF">
        <w:rPr>
          <w:sz w:val="24"/>
          <w:szCs w:val="24"/>
        </w:rPr>
        <w:t>, since it was Yahweh who asserted ownership in this way</w:t>
      </w:r>
      <w:r w:rsidR="00AB746D" w:rsidRPr="00352AAF">
        <w:rPr>
          <w:sz w:val="24"/>
          <w:szCs w:val="24"/>
        </w:rPr>
        <w:t>,</w:t>
      </w:r>
      <w:r w:rsidR="00353DBA" w:rsidRPr="00352AAF">
        <w:rPr>
          <w:rStyle w:val="FootnoteReference"/>
          <w:sz w:val="24"/>
          <w:szCs w:val="24"/>
        </w:rPr>
        <w:footnoteReference w:id="3"/>
      </w:r>
      <w:r w:rsidR="00D5279C" w:rsidRPr="00352AAF">
        <w:rPr>
          <w:sz w:val="24"/>
          <w:szCs w:val="24"/>
        </w:rPr>
        <w:t xml:space="preserve"> </w:t>
      </w:r>
      <w:r w:rsidR="00DC4C30" w:rsidRPr="00352AAF">
        <w:rPr>
          <w:sz w:val="24"/>
          <w:szCs w:val="24"/>
        </w:rPr>
        <w:t>and</w:t>
      </w:r>
      <w:r w:rsidR="00780DFB" w:rsidRPr="00352AAF">
        <w:rPr>
          <w:sz w:val="24"/>
          <w:szCs w:val="24"/>
        </w:rPr>
        <w:t xml:space="preserve"> </w:t>
      </w:r>
      <w:r w:rsidR="00AB2532" w:rsidRPr="00352AAF">
        <w:rPr>
          <w:sz w:val="24"/>
          <w:szCs w:val="24"/>
        </w:rPr>
        <w:t>in</w:t>
      </w:r>
      <w:r w:rsidR="00736853" w:rsidRPr="00352AAF">
        <w:rPr>
          <w:sz w:val="24"/>
          <w:szCs w:val="24"/>
        </w:rPr>
        <w:t xml:space="preserve"> the second commandment, about making images, even of Yahweh, because the acts of Yahweh associated with the exodus and Sinai show that Yahweh is not a deity who can be imaged.</w:t>
      </w:r>
      <w:r w:rsidR="00353DBA" w:rsidRPr="00352AAF">
        <w:rPr>
          <w:rStyle w:val="FootnoteReference"/>
          <w:sz w:val="24"/>
          <w:szCs w:val="24"/>
        </w:rPr>
        <w:footnoteReference w:id="4"/>
      </w:r>
      <w:r w:rsidR="00736853" w:rsidRPr="00352AAF">
        <w:rPr>
          <w:sz w:val="24"/>
          <w:szCs w:val="24"/>
        </w:rPr>
        <w:t xml:space="preserve"> </w:t>
      </w:r>
    </w:p>
    <w:p w:rsidR="00AB746D" w:rsidRPr="00352AAF" w:rsidRDefault="00AB746D" w:rsidP="00352AAF">
      <w:pPr>
        <w:spacing w:line="360" w:lineRule="auto"/>
        <w:rPr>
          <w:sz w:val="24"/>
          <w:szCs w:val="24"/>
        </w:rPr>
      </w:pPr>
    </w:p>
    <w:p w:rsidR="0016270B" w:rsidRPr="00352AAF" w:rsidRDefault="00736853" w:rsidP="00352AAF">
      <w:pPr>
        <w:spacing w:line="360" w:lineRule="auto"/>
        <w:rPr>
          <w:sz w:val="24"/>
          <w:szCs w:val="24"/>
        </w:rPr>
      </w:pPr>
      <w:r w:rsidRPr="00352AAF">
        <w:rPr>
          <w:sz w:val="24"/>
          <w:szCs w:val="24"/>
        </w:rPr>
        <w:t xml:space="preserve">Israel </w:t>
      </w:r>
      <w:r w:rsidR="00D5279C" w:rsidRPr="00352AAF">
        <w:rPr>
          <w:sz w:val="24"/>
          <w:szCs w:val="24"/>
        </w:rPr>
        <w:t xml:space="preserve">also </w:t>
      </w:r>
      <w:r w:rsidRPr="00352AAF">
        <w:rPr>
          <w:sz w:val="24"/>
          <w:szCs w:val="24"/>
        </w:rPr>
        <w:t xml:space="preserve">needs to remember </w:t>
      </w:r>
      <w:r w:rsidR="00BD692F" w:rsidRPr="00352AAF">
        <w:rPr>
          <w:sz w:val="24"/>
          <w:szCs w:val="24"/>
        </w:rPr>
        <w:t>the long way Yah</w:t>
      </w:r>
      <w:r w:rsidR="00AB2532" w:rsidRPr="00352AAF">
        <w:rPr>
          <w:sz w:val="24"/>
          <w:szCs w:val="24"/>
        </w:rPr>
        <w:t xml:space="preserve">weh led it </w:t>
      </w:r>
      <w:r w:rsidR="00BD692F" w:rsidRPr="00352AAF">
        <w:rPr>
          <w:sz w:val="24"/>
          <w:szCs w:val="24"/>
        </w:rPr>
        <w:t>in the wilderness, to humble it and discover whether it would keep his comm</w:t>
      </w:r>
      <w:r w:rsidR="00D5279C" w:rsidRPr="00352AAF">
        <w:rPr>
          <w:sz w:val="24"/>
          <w:szCs w:val="24"/>
        </w:rPr>
        <w:t>andments, and to</w:t>
      </w:r>
      <w:r w:rsidR="00BD692F" w:rsidRPr="00352AAF">
        <w:rPr>
          <w:sz w:val="24"/>
          <w:szCs w:val="24"/>
        </w:rPr>
        <w:t xml:space="preserve"> remember </w:t>
      </w:r>
      <w:r w:rsidRPr="00352AAF">
        <w:rPr>
          <w:sz w:val="24"/>
          <w:szCs w:val="24"/>
        </w:rPr>
        <w:t>its</w:t>
      </w:r>
      <w:r w:rsidR="00DC4C30" w:rsidRPr="00352AAF">
        <w:rPr>
          <w:sz w:val="24"/>
          <w:szCs w:val="24"/>
        </w:rPr>
        <w:t xml:space="preserve"> </w:t>
      </w:r>
      <w:r w:rsidR="00353DBA" w:rsidRPr="00352AAF">
        <w:rPr>
          <w:sz w:val="24"/>
          <w:szCs w:val="24"/>
        </w:rPr>
        <w:t>act</w:t>
      </w:r>
      <w:r w:rsidR="00AB2532" w:rsidRPr="00352AAF">
        <w:rPr>
          <w:sz w:val="24"/>
          <w:szCs w:val="24"/>
        </w:rPr>
        <w:t>s of rebellion during that time</w:t>
      </w:r>
      <w:r w:rsidRPr="00352AAF">
        <w:rPr>
          <w:sz w:val="24"/>
          <w:szCs w:val="24"/>
        </w:rPr>
        <w:t xml:space="preserve"> and the</w:t>
      </w:r>
      <w:r w:rsidR="00D5279C" w:rsidRPr="00352AAF">
        <w:rPr>
          <w:sz w:val="24"/>
          <w:szCs w:val="24"/>
        </w:rPr>
        <w:t>ir</w:t>
      </w:r>
      <w:r w:rsidRPr="00352AAF">
        <w:rPr>
          <w:sz w:val="24"/>
          <w:szCs w:val="24"/>
        </w:rPr>
        <w:t xml:space="preserve"> neg</w:t>
      </w:r>
      <w:r w:rsidR="00D5279C" w:rsidRPr="00352AAF">
        <w:rPr>
          <w:sz w:val="24"/>
          <w:szCs w:val="24"/>
        </w:rPr>
        <w:t>ative consequences</w:t>
      </w:r>
      <w:r w:rsidR="00353DBA" w:rsidRPr="00352AAF">
        <w:rPr>
          <w:sz w:val="24"/>
          <w:szCs w:val="24"/>
        </w:rPr>
        <w:t>.</w:t>
      </w:r>
      <w:r w:rsidR="00353DBA" w:rsidRPr="00352AAF">
        <w:rPr>
          <w:rStyle w:val="FootnoteReference"/>
          <w:sz w:val="24"/>
          <w:szCs w:val="24"/>
        </w:rPr>
        <w:footnoteReference w:id="5"/>
      </w:r>
      <w:r w:rsidR="00353DBA" w:rsidRPr="00352AAF">
        <w:rPr>
          <w:sz w:val="24"/>
          <w:szCs w:val="24"/>
        </w:rPr>
        <w:t xml:space="preserve"> </w:t>
      </w:r>
      <w:r w:rsidR="00DC4C30" w:rsidRPr="00352AAF">
        <w:rPr>
          <w:sz w:val="24"/>
          <w:szCs w:val="24"/>
        </w:rPr>
        <w:t>As Ezekiel puts it, t</w:t>
      </w:r>
      <w:r w:rsidR="00814B18" w:rsidRPr="00352AAF">
        <w:rPr>
          <w:sz w:val="24"/>
          <w:szCs w:val="24"/>
        </w:rPr>
        <w:t xml:space="preserve">here </w:t>
      </w:r>
      <w:r w:rsidR="00DC4C30" w:rsidRPr="00352AAF">
        <w:rPr>
          <w:sz w:val="24"/>
          <w:szCs w:val="24"/>
        </w:rPr>
        <w:t xml:space="preserve">thus </w:t>
      </w:r>
      <w:r w:rsidR="00814B18" w:rsidRPr="00352AAF">
        <w:rPr>
          <w:sz w:val="24"/>
          <w:szCs w:val="24"/>
        </w:rPr>
        <w:t>is something to be said for remembering one’s shame</w:t>
      </w:r>
      <w:r w:rsidR="00353DBA" w:rsidRPr="00352AAF">
        <w:rPr>
          <w:sz w:val="24"/>
          <w:szCs w:val="24"/>
        </w:rPr>
        <w:t>.</w:t>
      </w:r>
      <w:r w:rsidR="00353DBA" w:rsidRPr="00352AAF">
        <w:rPr>
          <w:rStyle w:val="FootnoteReference"/>
          <w:sz w:val="24"/>
          <w:szCs w:val="24"/>
        </w:rPr>
        <w:footnoteReference w:id="6"/>
      </w:r>
      <w:r w:rsidR="00814B18" w:rsidRPr="00352AAF">
        <w:rPr>
          <w:sz w:val="24"/>
          <w:szCs w:val="24"/>
        </w:rPr>
        <w:t xml:space="preserve"> </w:t>
      </w:r>
      <w:r w:rsidR="00A27879" w:rsidRPr="00352AAF">
        <w:rPr>
          <w:sz w:val="24"/>
          <w:szCs w:val="24"/>
        </w:rPr>
        <w:t xml:space="preserve">Paradoxically, </w:t>
      </w:r>
      <w:r w:rsidR="00353DBA" w:rsidRPr="00352AAF">
        <w:rPr>
          <w:sz w:val="24"/>
          <w:szCs w:val="24"/>
        </w:rPr>
        <w:t xml:space="preserve">in the land </w:t>
      </w:r>
      <w:r w:rsidR="0036635B" w:rsidRPr="00352AAF">
        <w:rPr>
          <w:sz w:val="24"/>
          <w:szCs w:val="24"/>
        </w:rPr>
        <w:t xml:space="preserve">the pressure of </w:t>
      </w:r>
      <w:r w:rsidR="0036635B" w:rsidRPr="00352AAF">
        <w:rPr>
          <w:sz w:val="24"/>
          <w:szCs w:val="24"/>
        </w:rPr>
        <w:lastRenderedPageBreak/>
        <w:t>abundance, too, will</w:t>
      </w:r>
      <w:r w:rsidR="00353DBA" w:rsidRPr="00352AAF">
        <w:rPr>
          <w:sz w:val="24"/>
          <w:szCs w:val="24"/>
        </w:rPr>
        <w:t xml:space="preserve"> mean </w:t>
      </w:r>
      <w:r w:rsidR="00A74C4E" w:rsidRPr="00352AAF">
        <w:rPr>
          <w:sz w:val="24"/>
          <w:szCs w:val="24"/>
        </w:rPr>
        <w:t xml:space="preserve">Israel </w:t>
      </w:r>
      <w:r w:rsidR="00353DBA" w:rsidRPr="00352AAF">
        <w:rPr>
          <w:sz w:val="24"/>
          <w:szCs w:val="24"/>
        </w:rPr>
        <w:t>will need</w:t>
      </w:r>
      <w:r w:rsidR="00A27879" w:rsidRPr="00352AAF">
        <w:rPr>
          <w:sz w:val="24"/>
          <w:szCs w:val="24"/>
        </w:rPr>
        <w:t xml:space="preserve"> t</w:t>
      </w:r>
      <w:r w:rsidR="00353DBA" w:rsidRPr="00352AAF">
        <w:rPr>
          <w:sz w:val="24"/>
          <w:szCs w:val="24"/>
        </w:rPr>
        <w:t>o cultivate memory.</w:t>
      </w:r>
      <w:r w:rsidR="00353DBA" w:rsidRPr="00352AAF">
        <w:rPr>
          <w:rStyle w:val="FootnoteReference"/>
          <w:sz w:val="24"/>
          <w:szCs w:val="24"/>
        </w:rPr>
        <w:footnoteReference w:id="7"/>
      </w:r>
      <w:r w:rsidR="00660770" w:rsidRPr="00352AAF">
        <w:rPr>
          <w:sz w:val="24"/>
          <w:szCs w:val="24"/>
        </w:rPr>
        <w:t xml:space="preserve"> </w:t>
      </w:r>
      <w:r w:rsidR="00462D72" w:rsidRPr="00352AAF">
        <w:rPr>
          <w:sz w:val="24"/>
          <w:szCs w:val="24"/>
        </w:rPr>
        <w:t xml:space="preserve">Jan </w:t>
      </w:r>
      <w:proofErr w:type="spellStart"/>
      <w:r w:rsidR="00462D72" w:rsidRPr="00352AAF">
        <w:rPr>
          <w:sz w:val="24"/>
          <w:szCs w:val="24"/>
        </w:rPr>
        <w:t>Assmann</w:t>
      </w:r>
      <w:proofErr w:type="spellEnd"/>
      <w:r w:rsidR="0036635B" w:rsidRPr="00352AAF">
        <w:rPr>
          <w:sz w:val="24"/>
          <w:szCs w:val="24"/>
        </w:rPr>
        <w:t xml:space="preserve"> comments</w:t>
      </w:r>
      <w:r w:rsidR="00AB746D" w:rsidRPr="00352AAF">
        <w:rPr>
          <w:sz w:val="24"/>
          <w:szCs w:val="24"/>
        </w:rPr>
        <w:t xml:space="preserve"> that</w:t>
      </w:r>
      <w:r w:rsidR="00660770" w:rsidRPr="00352AAF">
        <w:rPr>
          <w:sz w:val="24"/>
          <w:szCs w:val="24"/>
        </w:rPr>
        <w:t xml:space="preserve"> t</w:t>
      </w:r>
      <w:r w:rsidR="000D6647" w:rsidRPr="00352AAF">
        <w:rPr>
          <w:sz w:val="24"/>
          <w:szCs w:val="24"/>
        </w:rPr>
        <w:t>he people must “master the trick of remembering priva</w:t>
      </w:r>
      <w:r w:rsidR="00A74C4E" w:rsidRPr="00352AAF">
        <w:rPr>
          <w:sz w:val="24"/>
          <w:szCs w:val="24"/>
        </w:rPr>
        <w:t xml:space="preserve">tion in the midst of abundance.” </w:t>
      </w:r>
      <w:r w:rsidR="0036635B" w:rsidRPr="00352AAF">
        <w:rPr>
          <w:sz w:val="24"/>
          <w:szCs w:val="24"/>
        </w:rPr>
        <w:t>It will be one of the reasons why t</w:t>
      </w:r>
      <w:r w:rsidR="00A74C4E" w:rsidRPr="00352AAF">
        <w:rPr>
          <w:sz w:val="24"/>
          <w:szCs w:val="24"/>
        </w:rPr>
        <w:t xml:space="preserve">hey </w:t>
      </w:r>
      <w:r w:rsidR="0036635B" w:rsidRPr="00352AAF">
        <w:rPr>
          <w:sz w:val="24"/>
          <w:szCs w:val="24"/>
        </w:rPr>
        <w:t xml:space="preserve">will </w:t>
      </w:r>
      <w:r w:rsidR="00A74C4E" w:rsidRPr="00352AAF">
        <w:rPr>
          <w:sz w:val="24"/>
          <w:szCs w:val="24"/>
        </w:rPr>
        <w:t>need “a counterfactual memory” such as</w:t>
      </w:r>
      <w:r w:rsidR="000D6647" w:rsidRPr="00352AAF">
        <w:rPr>
          <w:sz w:val="24"/>
          <w:szCs w:val="24"/>
        </w:rPr>
        <w:t xml:space="preserve"> </w:t>
      </w:r>
      <w:r w:rsidR="00A74C4E" w:rsidRPr="00352AAF">
        <w:rPr>
          <w:sz w:val="24"/>
          <w:szCs w:val="24"/>
        </w:rPr>
        <w:t>“</w:t>
      </w:r>
      <w:r w:rsidR="000D6647" w:rsidRPr="00352AAF">
        <w:rPr>
          <w:sz w:val="24"/>
          <w:szCs w:val="24"/>
        </w:rPr>
        <w:t xml:space="preserve">keeps present to the mind a yesterday </w:t>
      </w:r>
      <w:r w:rsidR="00A74C4E" w:rsidRPr="00352AAF">
        <w:rPr>
          <w:sz w:val="24"/>
          <w:szCs w:val="24"/>
        </w:rPr>
        <w:t>that conflicts with every today,</w:t>
      </w:r>
      <w:r w:rsidR="000D6647" w:rsidRPr="00352AAF">
        <w:rPr>
          <w:sz w:val="24"/>
          <w:szCs w:val="24"/>
        </w:rPr>
        <w:t>”</w:t>
      </w:r>
      <w:r w:rsidR="000D6647" w:rsidRPr="00352AAF">
        <w:rPr>
          <w:rStyle w:val="FootnoteReference"/>
          <w:sz w:val="24"/>
          <w:szCs w:val="24"/>
        </w:rPr>
        <w:footnoteReference w:id="8"/>
      </w:r>
      <w:r w:rsidR="00A27879" w:rsidRPr="00352AAF">
        <w:rPr>
          <w:sz w:val="24"/>
          <w:szCs w:val="24"/>
        </w:rPr>
        <w:t xml:space="preserve"> </w:t>
      </w:r>
      <w:r w:rsidR="00AB746D" w:rsidRPr="00352AAF">
        <w:rPr>
          <w:sz w:val="24"/>
          <w:szCs w:val="24"/>
        </w:rPr>
        <w:t xml:space="preserve">and </w:t>
      </w:r>
      <w:r w:rsidR="00A74C4E" w:rsidRPr="00352AAF">
        <w:rPr>
          <w:sz w:val="24"/>
          <w:szCs w:val="24"/>
        </w:rPr>
        <w:t>specifically to ensure that they</w:t>
      </w:r>
      <w:r w:rsidR="00A27879" w:rsidRPr="00352AAF">
        <w:rPr>
          <w:sz w:val="24"/>
          <w:szCs w:val="24"/>
        </w:rPr>
        <w:t xml:space="preserve"> live in the world wit</w:t>
      </w:r>
      <w:r w:rsidR="0036635B" w:rsidRPr="00352AAF">
        <w:rPr>
          <w:sz w:val="24"/>
          <w:szCs w:val="24"/>
        </w:rPr>
        <w:t>hout feeling at home in it.  Because t</w:t>
      </w:r>
      <w:r w:rsidR="00A74C4E" w:rsidRPr="00352AAF">
        <w:rPr>
          <w:sz w:val="24"/>
          <w:szCs w:val="24"/>
        </w:rPr>
        <w:t>his</w:t>
      </w:r>
      <w:r w:rsidR="00A27879" w:rsidRPr="00352AAF">
        <w:rPr>
          <w:sz w:val="24"/>
          <w:szCs w:val="24"/>
        </w:rPr>
        <w:t xml:space="preserve"> memory, far from making you feel a</w:t>
      </w:r>
      <w:r w:rsidR="0036635B" w:rsidRPr="00352AAF">
        <w:rPr>
          <w:sz w:val="24"/>
          <w:szCs w:val="24"/>
        </w:rPr>
        <w:t>t home, denies you a home, it</w:t>
      </w:r>
      <w:r w:rsidR="00A27879" w:rsidRPr="00352AAF">
        <w:rPr>
          <w:sz w:val="24"/>
          <w:szCs w:val="24"/>
        </w:rPr>
        <w:t xml:space="preserve"> is </w:t>
      </w:r>
      <w:r w:rsidR="0036635B" w:rsidRPr="00352AAF">
        <w:rPr>
          <w:sz w:val="24"/>
          <w:szCs w:val="24"/>
        </w:rPr>
        <w:t>greatly at risk. In Isra</w:t>
      </w:r>
      <w:r w:rsidR="00A27879" w:rsidRPr="00352AAF">
        <w:rPr>
          <w:sz w:val="24"/>
          <w:szCs w:val="24"/>
        </w:rPr>
        <w:t>e</w:t>
      </w:r>
      <w:r w:rsidR="0036635B" w:rsidRPr="00352AAF">
        <w:rPr>
          <w:sz w:val="24"/>
          <w:szCs w:val="24"/>
        </w:rPr>
        <w:t>l the</w:t>
      </w:r>
      <w:r w:rsidR="00A27879" w:rsidRPr="00352AAF">
        <w:rPr>
          <w:sz w:val="24"/>
          <w:szCs w:val="24"/>
        </w:rPr>
        <w:t xml:space="preserve"> Rekabites fu</w:t>
      </w:r>
      <w:r w:rsidR="00660770" w:rsidRPr="00352AAF">
        <w:rPr>
          <w:sz w:val="24"/>
          <w:szCs w:val="24"/>
        </w:rPr>
        <w:t xml:space="preserve">lfill an important role in </w:t>
      </w:r>
      <w:r w:rsidR="00A27879" w:rsidRPr="00352AAF">
        <w:rPr>
          <w:sz w:val="24"/>
          <w:szCs w:val="24"/>
        </w:rPr>
        <w:t>connection</w:t>
      </w:r>
      <w:r w:rsidR="00A74C4E" w:rsidRPr="00352AAF">
        <w:rPr>
          <w:sz w:val="24"/>
          <w:szCs w:val="24"/>
        </w:rPr>
        <w:t xml:space="preserve"> with maintaining this memory</w:t>
      </w:r>
      <w:r w:rsidR="00A27879" w:rsidRPr="00352AAF">
        <w:rPr>
          <w:sz w:val="24"/>
          <w:szCs w:val="24"/>
        </w:rPr>
        <w:t>.</w:t>
      </w:r>
    </w:p>
    <w:p w:rsidR="0016270B" w:rsidRPr="00352AAF" w:rsidRDefault="0016270B" w:rsidP="00352AAF">
      <w:pPr>
        <w:spacing w:line="360" w:lineRule="auto"/>
        <w:rPr>
          <w:sz w:val="24"/>
          <w:szCs w:val="24"/>
        </w:rPr>
      </w:pPr>
    </w:p>
    <w:p w:rsidR="00A171AF" w:rsidRPr="00352AAF" w:rsidRDefault="00660770" w:rsidP="00352AAF">
      <w:pPr>
        <w:spacing w:line="360" w:lineRule="auto"/>
        <w:rPr>
          <w:sz w:val="24"/>
          <w:szCs w:val="24"/>
        </w:rPr>
      </w:pPr>
      <w:r w:rsidRPr="00352AAF">
        <w:rPr>
          <w:sz w:val="24"/>
          <w:szCs w:val="24"/>
        </w:rPr>
        <w:t xml:space="preserve">Commenting on </w:t>
      </w:r>
      <w:r w:rsidR="005302D9" w:rsidRPr="00352AAF">
        <w:rPr>
          <w:sz w:val="24"/>
          <w:szCs w:val="24"/>
        </w:rPr>
        <w:t>Deuteronomy’s “theory of individual, collective, and cultural memory</w:t>
      </w:r>
      <w:r w:rsidRPr="00352AAF">
        <w:rPr>
          <w:sz w:val="24"/>
          <w:szCs w:val="24"/>
        </w:rPr>
        <w:t xml:space="preserve">,” </w:t>
      </w:r>
      <w:proofErr w:type="spellStart"/>
      <w:r w:rsidRPr="00352AAF">
        <w:rPr>
          <w:sz w:val="24"/>
          <w:szCs w:val="24"/>
        </w:rPr>
        <w:t>Assmann</w:t>
      </w:r>
      <w:proofErr w:type="spellEnd"/>
      <w:r w:rsidRPr="00352AAF">
        <w:rPr>
          <w:sz w:val="24"/>
          <w:szCs w:val="24"/>
        </w:rPr>
        <w:t xml:space="preserve"> thus </w:t>
      </w:r>
      <w:r w:rsidR="005302D9" w:rsidRPr="00352AAF">
        <w:rPr>
          <w:sz w:val="24"/>
          <w:szCs w:val="24"/>
        </w:rPr>
        <w:t>declare</w:t>
      </w:r>
      <w:r w:rsidRPr="00352AAF">
        <w:rPr>
          <w:sz w:val="24"/>
          <w:szCs w:val="24"/>
        </w:rPr>
        <w:t>s</w:t>
      </w:r>
      <w:r w:rsidR="005302D9" w:rsidRPr="00352AAF">
        <w:rPr>
          <w:sz w:val="24"/>
          <w:szCs w:val="24"/>
        </w:rPr>
        <w:t xml:space="preserve"> that “the entire book is based on the deep fear of forgetting.”</w:t>
      </w:r>
      <w:r w:rsidR="005302D9" w:rsidRPr="00352AAF">
        <w:rPr>
          <w:rStyle w:val="FootnoteReference"/>
          <w:sz w:val="24"/>
          <w:szCs w:val="24"/>
        </w:rPr>
        <w:footnoteReference w:id="9"/>
      </w:r>
      <w:r w:rsidR="005302D9" w:rsidRPr="00352AAF">
        <w:rPr>
          <w:sz w:val="24"/>
          <w:szCs w:val="24"/>
        </w:rPr>
        <w:t xml:space="preserve"> </w:t>
      </w:r>
      <w:r w:rsidRPr="00352AAF">
        <w:rPr>
          <w:sz w:val="24"/>
          <w:szCs w:val="24"/>
        </w:rPr>
        <w:t xml:space="preserve">Paul </w:t>
      </w:r>
      <w:proofErr w:type="spellStart"/>
      <w:r w:rsidRPr="00352AAF">
        <w:rPr>
          <w:sz w:val="24"/>
          <w:szCs w:val="24"/>
        </w:rPr>
        <w:t>Ricoeur</w:t>
      </w:r>
      <w:proofErr w:type="spellEnd"/>
      <w:r w:rsidRPr="00352AAF">
        <w:rPr>
          <w:sz w:val="24"/>
          <w:szCs w:val="24"/>
        </w:rPr>
        <w:t xml:space="preserve"> likewise describes memory a</w:t>
      </w:r>
      <w:r w:rsidR="00A171AF" w:rsidRPr="00352AAF">
        <w:rPr>
          <w:sz w:val="24"/>
          <w:szCs w:val="24"/>
        </w:rPr>
        <w:t>s a struggle against forgetting</w:t>
      </w:r>
      <w:r w:rsidRPr="00352AAF">
        <w:rPr>
          <w:sz w:val="24"/>
          <w:szCs w:val="24"/>
        </w:rPr>
        <w:t>,</w:t>
      </w:r>
      <w:r w:rsidR="00A171AF" w:rsidRPr="00352AAF">
        <w:rPr>
          <w:rStyle w:val="FootnoteReference"/>
          <w:sz w:val="24"/>
          <w:szCs w:val="24"/>
        </w:rPr>
        <w:footnoteReference w:id="10"/>
      </w:r>
      <w:r w:rsidR="00A171AF" w:rsidRPr="00352AAF">
        <w:rPr>
          <w:sz w:val="24"/>
          <w:szCs w:val="24"/>
        </w:rPr>
        <w:t xml:space="preserve"> </w:t>
      </w:r>
      <w:r w:rsidR="0036635B" w:rsidRPr="00352AAF">
        <w:rPr>
          <w:sz w:val="24"/>
          <w:szCs w:val="24"/>
        </w:rPr>
        <w:t xml:space="preserve">and </w:t>
      </w:r>
      <w:proofErr w:type="spellStart"/>
      <w:r w:rsidR="0036635B" w:rsidRPr="00352AAF">
        <w:rPr>
          <w:sz w:val="24"/>
          <w:szCs w:val="24"/>
        </w:rPr>
        <w:t>Yosef</w:t>
      </w:r>
      <w:proofErr w:type="spellEnd"/>
      <w:r w:rsidR="0036635B" w:rsidRPr="00352AAF">
        <w:rPr>
          <w:sz w:val="24"/>
          <w:szCs w:val="24"/>
        </w:rPr>
        <w:t xml:space="preserve"> </w:t>
      </w:r>
      <w:proofErr w:type="spellStart"/>
      <w:r w:rsidR="0036635B" w:rsidRPr="00352AAF">
        <w:rPr>
          <w:sz w:val="24"/>
          <w:szCs w:val="24"/>
        </w:rPr>
        <w:t>Yerushalmi</w:t>
      </w:r>
      <w:proofErr w:type="spellEnd"/>
      <w:r w:rsidR="0036635B" w:rsidRPr="00352AAF">
        <w:rPr>
          <w:sz w:val="24"/>
          <w:szCs w:val="24"/>
        </w:rPr>
        <w:t xml:space="preserve"> observes</w:t>
      </w:r>
      <w:r w:rsidR="00A171AF" w:rsidRPr="00352AAF">
        <w:rPr>
          <w:sz w:val="24"/>
          <w:szCs w:val="24"/>
        </w:rPr>
        <w:t xml:space="preserve"> that in the Bible forgetting is always a terror.</w:t>
      </w:r>
      <w:r w:rsidR="00A171AF" w:rsidRPr="00352AAF">
        <w:rPr>
          <w:rStyle w:val="FootnoteReference"/>
          <w:sz w:val="24"/>
          <w:szCs w:val="24"/>
        </w:rPr>
        <w:footnoteReference w:id="11"/>
      </w:r>
      <w:r w:rsidR="0036635B" w:rsidRPr="00352AAF">
        <w:rPr>
          <w:sz w:val="24"/>
          <w:szCs w:val="24"/>
        </w:rPr>
        <w:t xml:space="preserve"> Yet </w:t>
      </w:r>
      <w:proofErr w:type="spellStart"/>
      <w:r w:rsidR="0036635B" w:rsidRPr="00352AAF">
        <w:rPr>
          <w:sz w:val="24"/>
          <w:szCs w:val="24"/>
        </w:rPr>
        <w:t>Yerushalmi</w:t>
      </w:r>
      <w:proofErr w:type="spellEnd"/>
      <w:r w:rsidR="0036635B" w:rsidRPr="00352AAF">
        <w:rPr>
          <w:sz w:val="24"/>
          <w:szCs w:val="24"/>
        </w:rPr>
        <w:t xml:space="preserve"> thus </w:t>
      </w:r>
      <w:r w:rsidR="00A171AF" w:rsidRPr="00352AAF">
        <w:rPr>
          <w:sz w:val="24"/>
          <w:szCs w:val="24"/>
        </w:rPr>
        <w:t>contra</w:t>
      </w:r>
      <w:r w:rsidR="0036635B" w:rsidRPr="00352AAF">
        <w:rPr>
          <w:sz w:val="24"/>
          <w:szCs w:val="24"/>
        </w:rPr>
        <w:t>dicts something</w:t>
      </w:r>
      <w:r w:rsidRPr="00352AAF">
        <w:rPr>
          <w:sz w:val="24"/>
          <w:szCs w:val="24"/>
        </w:rPr>
        <w:t xml:space="preserve"> </w:t>
      </w:r>
      <w:r w:rsidR="0036635B" w:rsidRPr="00352AAF">
        <w:rPr>
          <w:sz w:val="24"/>
          <w:szCs w:val="24"/>
        </w:rPr>
        <w:t xml:space="preserve">he said </w:t>
      </w:r>
      <w:r w:rsidR="00A171AF" w:rsidRPr="00352AAF">
        <w:rPr>
          <w:sz w:val="24"/>
          <w:szCs w:val="24"/>
        </w:rPr>
        <w:t>earlier (perhaps he had forgotten</w:t>
      </w:r>
      <w:r w:rsidR="0036635B" w:rsidRPr="00352AAF">
        <w:rPr>
          <w:sz w:val="24"/>
          <w:szCs w:val="24"/>
        </w:rPr>
        <w:t xml:space="preserve"> it) in</w:t>
      </w:r>
      <w:r w:rsidR="00A171AF" w:rsidRPr="00352AAF">
        <w:rPr>
          <w:sz w:val="24"/>
          <w:szCs w:val="24"/>
        </w:rPr>
        <w:t xml:space="preserve"> noting that Israel is not commissioned to remember everything, only certain things.</w:t>
      </w:r>
      <w:r w:rsidR="00A171AF" w:rsidRPr="00352AAF">
        <w:rPr>
          <w:rStyle w:val="FootnoteReference"/>
          <w:sz w:val="24"/>
          <w:szCs w:val="24"/>
        </w:rPr>
        <w:footnoteReference w:id="12"/>
      </w:r>
      <w:r w:rsidR="0036635B" w:rsidRPr="00352AAF">
        <w:rPr>
          <w:sz w:val="24"/>
          <w:szCs w:val="24"/>
        </w:rPr>
        <w:t xml:space="preserve"> Deuteronomy, too,</w:t>
      </w:r>
      <w:r w:rsidR="00A171AF" w:rsidRPr="00352AAF">
        <w:rPr>
          <w:sz w:val="24"/>
          <w:szCs w:val="24"/>
        </w:rPr>
        <w:t xml:space="preserve"> presupposes the importance of forgetting. The Old Testament incorporates many exhortations to forget, to put out</w:t>
      </w:r>
      <w:r w:rsidRPr="00352AAF">
        <w:rPr>
          <w:sz w:val="24"/>
          <w:szCs w:val="24"/>
        </w:rPr>
        <w:t xml:space="preserve"> of mind</w:t>
      </w:r>
      <w:r w:rsidR="00A171AF" w:rsidRPr="00352AAF">
        <w:rPr>
          <w:sz w:val="24"/>
          <w:szCs w:val="24"/>
        </w:rPr>
        <w:t>. Remembering involves forgetting.</w:t>
      </w:r>
      <w:r w:rsidR="00A171AF" w:rsidRPr="00352AAF">
        <w:rPr>
          <w:rStyle w:val="FootnoteReference"/>
          <w:sz w:val="24"/>
          <w:szCs w:val="24"/>
        </w:rPr>
        <w:footnoteReference w:id="13"/>
      </w:r>
      <w:r w:rsidR="00A171AF" w:rsidRPr="00352AAF">
        <w:rPr>
          <w:sz w:val="24"/>
          <w:szCs w:val="24"/>
        </w:rPr>
        <w:t xml:space="preserve"> Memory has to negotiate with forgetting, to remember the right things and forget the right things.</w:t>
      </w:r>
      <w:r w:rsidR="00A171AF" w:rsidRPr="00352AAF">
        <w:rPr>
          <w:rStyle w:val="FootnoteReference"/>
          <w:sz w:val="24"/>
          <w:szCs w:val="24"/>
        </w:rPr>
        <w:footnoteReference w:id="14"/>
      </w:r>
      <w:r w:rsidR="00A171AF" w:rsidRPr="00352AAF">
        <w:rPr>
          <w:sz w:val="24"/>
          <w:szCs w:val="24"/>
        </w:rPr>
        <w:t xml:space="preserve"> </w:t>
      </w:r>
    </w:p>
    <w:p w:rsidR="004D6367" w:rsidRPr="00352AAF" w:rsidRDefault="004D6367" w:rsidP="00352AAF">
      <w:pPr>
        <w:spacing w:line="360" w:lineRule="auto"/>
        <w:rPr>
          <w:sz w:val="24"/>
          <w:szCs w:val="24"/>
        </w:rPr>
      </w:pPr>
    </w:p>
    <w:p w:rsidR="004D6367" w:rsidRPr="00352AAF" w:rsidRDefault="00E05E35" w:rsidP="00352AAF">
      <w:pPr>
        <w:spacing w:line="360" w:lineRule="auto"/>
        <w:rPr>
          <w:sz w:val="24"/>
          <w:szCs w:val="24"/>
        </w:rPr>
      </w:pPr>
      <w:r w:rsidRPr="00352AAF">
        <w:rPr>
          <w:sz w:val="24"/>
          <w:szCs w:val="24"/>
        </w:rPr>
        <w:t>While h</w:t>
      </w:r>
      <w:r w:rsidR="00000D18" w:rsidRPr="00352AAF">
        <w:rPr>
          <w:sz w:val="24"/>
          <w:szCs w:val="24"/>
        </w:rPr>
        <w:t>istory in the sense of the events of the past incorporat</w:t>
      </w:r>
      <w:r w:rsidRPr="00352AAF">
        <w:rPr>
          <w:sz w:val="24"/>
          <w:szCs w:val="24"/>
        </w:rPr>
        <w:t>es everything that has happened,</w:t>
      </w:r>
      <w:r w:rsidR="00000D18" w:rsidRPr="00352AAF">
        <w:rPr>
          <w:sz w:val="24"/>
          <w:szCs w:val="24"/>
        </w:rPr>
        <w:t xml:space="preserve"> memory could not do so</w:t>
      </w:r>
      <w:r w:rsidR="00462D72" w:rsidRPr="00352AAF">
        <w:rPr>
          <w:sz w:val="24"/>
          <w:szCs w:val="24"/>
        </w:rPr>
        <w:t>, nor sho</w:t>
      </w:r>
      <w:r w:rsidR="004143F0" w:rsidRPr="00352AAF">
        <w:rPr>
          <w:sz w:val="24"/>
          <w:szCs w:val="24"/>
        </w:rPr>
        <w:t>uld it</w:t>
      </w:r>
      <w:r w:rsidR="00A74C4E" w:rsidRPr="00352AAF">
        <w:rPr>
          <w:sz w:val="24"/>
          <w:szCs w:val="24"/>
        </w:rPr>
        <w:t xml:space="preserve"> do so if it is to fulfill its function</w:t>
      </w:r>
      <w:r w:rsidR="00000D18" w:rsidRPr="00352AAF">
        <w:rPr>
          <w:sz w:val="24"/>
          <w:szCs w:val="24"/>
        </w:rPr>
        <w:t>.</w:t>
      </w:r>
      <w:r w:rsidR="00A74C4E" w:rsidRPr="00352AAF">
        <w:rPr>
          <w:sz w:val="24"/>
          <w:szCs w:val="24"/>
        </w:rPr>
        <w:t xml:space="preserve"> Forgetting</w:t>
      </w:r>
      <w:r w:rsidR="002E5AA7" w:rsidRPr="00352AAF">
        <w:rPr>
          <w:sz w:val="24"/>
          <w:szCs w:val="24"/>
        </w:rPr>
        <w:t xml:space="preserve"> is the companion of remembering, in a good sense as well as a bad</w:t>
      </w:r>
      <w:r w:rsidR="00A74C4E" w:rsidRPr="00352AAF">
        <w:rPr>
          <w:sz w:val="24"/>
          <w:szCs w:val="24"/>
        </w:rPr>
        <w:t xml:space="preserve"> sense. </w:t>
      </w:r>
      <w:r w:rsidR="002E5AA7" w:rsidRPr="00352AAF">
        <w:rPr>
          <w:sz w:val="24"/>
          <w:szCs w:val="24"/>
        </w:rPr>
        <w:t xml:space="preserve">There can be no such </w:t>
      </w:r>
      <w:r w:rsidR="002E5AA7" w:rsidRPr="00352AAF">
        <w:rPr>
          <w:sz w:val="24"/>
          <w:szCs w:val="24"/>
        </w:rPr>
        <w:lastRenderedPageBreak/>
        <w:t xml:space="preserve">thing as an exhaustive narrative, and no such thing as an exhaustive memory. There has to be omission. </w:t>
      </w:r>
      <w:r w:rsidR="004D6367" w:rsidRPr="00352AAF">
        <w:rPr>
          <w:sz w:val="24"/>
          <w:szCs w:val="24"/>
        </w:rPr>
        <w:t>Two contrary</w:t>
      </w:r>
      <w:r w:rsidR="00462D72" w:rsidRPr="00352AAF">
        <w:rPr>
          <w:sz w:val="24"/>
          <w:szCs w:val="24"/>
        </w:rPr>
        <w:t xml:space="preserve"> assertions are thus appropriate to </w:t>
      </w:r>
      <w:r w:rsidR="004D6367" w:rsidRPr="00352AAF">
        <w:rPr>
          <w:sz w:val="24"/>
          <w:szCs w:val="24"/>
        </w:rPr>
        <w:t>the relationship between remembering and forgetting. Remembering excludes forgetting; remembering involves forgetting.</w:t>
      </w:r>
    </w:p>
    <w:p w:rsidR="00E05E35" w:rsidRPr="00352AAF" w:rsidRDefault="00E05E35" w:rsidP="00352AAF">
      <w:pPr>
        <w:spacing w:line="360" w:lineRule="auto"/>
        <w:rPr>
          <w:sz w:val="24"/>
          <w:szCs w:val="24"/>
        </w:rPr>
      </w:pPr>
    </w:p>
    <w:p w:rsidR="00805A76" w:rsidRPr="00352AAF" w:rsidRDefault="00462D72" w:rsidP="00352AAF">
      <w:pPr>
        <w:spacing w:line="360" w:lineRule="auto"/>
        <w:rPr>
          <w:sz w:val="24"/>
          <w:szCs w:val="24"/>
        </w:rPr>
      </w:pPr>
      <w:r w:rsidRPr="00352AAF">
        <w:rPr>
          <w:sz w:val="24"/>
          <w:szCs w:val="24"/>
        </w:rPr>
        <w:t>Y</w:t>
      </w:r>
      <w:r w:rsidR="00E05E35" w:rsidRPr="00352AAF">
        <w:rPr>
          <w:sz w:val="24"/>
          <w:szCs w:val="24"/>
        </w:rPr>
        <w:t xml:space="preserve">ou remember more if you forget some, if you focus. The Jerusalem court had an official called a </w:t>
      </w:r>
      <w:proofErr w:type="spellStart"/>
      <w:r w:rsidR="00E05E35" w:rsidRPr="00352AAF">
        <w:rPr>
          <w:i/>
          <w:sz w:val="24"/>
          <w:szCs w:val="24"/>
        </w:rPr>
        <w:t>mazk</w:t>
      </w:r>
      <w:r w:rsidR="00E05E35" w:rsidRPr="00352AAF">
        <w:rPr>
          <w:rFonts w:ascii="Times New Roman" w:hAnsi="Times New Roman"/>
          <w:i/>
          <w:sz w:val="24"/>
          <w:szCs w:val="24"/>
        </w:rPr>
        <w:t>ȋ</w:t>
      </w:r>
      <w:r w:rsidR="00E05E35" w:rsidRPr="00352AAF">
        <w:rPr>
          <w:i/>
          <w:sz w:val="24"/>
          <w:szCs w:val="24"/>
        </w:rPr>
        <w:t>r</w:t>
      </w:r>
      <w:proofErr w:type="spellEnd"/>
      <w:r w:rsidRPr="00352AAF">
        <w:rPr>
          <w:sz w:val="24"/>
          <w:szCs w:val="24"/>
        </w:rPr>
        <w:t>,</w:t>
      </w:r>
      <w:r w:rsidR="00CD10BB" w:rsidRPr="00352AAF">
        <w:rPr>
          <w:rStyle w:val="FootnoteReference"/>
          <w:sz w:val="24"/>
          <w:szCs w:val="24"/>
        </w:rPr>
        <w:footnoteReference w:id="15"/>
      </w:r>
      <w:r w:rsidRPr="00352AAF">
        <w:rPr>
          <w:sz w:val="24"/>
          <w:szCs w:val="24"/>
        </w:rPr>
        <w:t xml:space="preserve"> whose</w:t>
      </w:r>
      <w:r w:rsidR="004143F0" w:rsidRPr="00352AAF">
        <w:rPr>
          <w:sz w:val="24"/>
          <w:szCs w:val="24"/>
        </w:rPr>
        <w:t xml:space="preserve"> title </w:t>
      </w:r>
      <w:r w:rsidR="00E05E35" w:rsidRPr="00352AAF">
        <w:rPr>
          <w:sz w:val="24"/>
          <w:szCs w:val="24"/>
        </w:rPr>
        <w:t>might sugges</w:t>
      </w:r>
      <w:r w:rsidR="0036635B" w:rsidRPr="00352AAF">
        <w:rPr>
          <w:sz w:val="24"/>
          <w:szCs w:val="24"/>
        </w:rPr>
        <w:t xml:space="preserve">t a recorder whose task included making sure that things were remembered, some of </w:t>
      </w:r>
      <w:r w:rsidRPr="00352AAF">
        <w:rPr>
          <w:sz w:val="24"/>
          <w:szCs w:val="24"/>
        </w:rPr>
        <w:t xml:space="preserve">which would </w:t>
      </w:r>
      <w:r w:rsidR="00E05E35" w:rsidRPr="00352AAF">
        <w:rPr>
          <w:sz w:val="24"/>
          <w:szCs w:val="24"/>
        </w:rPr>
        <w:t xml:space="preserve">take the form of the annals that are referenced elsewhere. This understanding of the </w:t>
      </w:r>
      <w:proofErr w:type="spellStart"/>
      <w:r w:rsidRPr="00352AAF">
        <w:rPr>
          <w:i/>
          <w:sz w:val="24"/>
          <w:szCs w:val="24"/>
        </w:rPr>
        <w:t>mazk</w:t>
      </w:r>
      <w:r w:rsidRPr="00352AAF">
        <w:rPr>
          <w:rFonts w:ascii="Times New Roman" w:hAnsi="Times New Roman"/>
          <w:i/>
          <w:sz w:val="24"/>
          <w:szCs w:val="24"/>
        </w:rPr>
        <w:t>ȋ</w:t>
      </w:r>
      <w:r w:rsidRPr="00352AAF">
        <w:rPr>
          <w:i/>
          <w:sz w:val="24"/>
          <w:szCs w:val="24"/>
        </w:rPr>
        <w:t>r</w:t>
      </w:r>
      <w:r w:rsidRPr="00352AAF">
        <w:rPr>
          <w:sz w:val="24"/>
          <w:szCs w:val="24"/>
        </w:rPr>
        <w:t>’s</w:t>
      </w:r>
      <w:proofErr w:type="spellEnd"/>
      <w:r w:rsidRPr="00352AAF">
        <w:rPr>
          <w:i/>
          <w:sz w:val="24"/>
          <w:szCs w:val="24"/>
        </w:rPr>
        <w:t xml:space="preserve"> </w:t>
      </w:r>
      <w:r w:rsidRPr="00352AAF">
        <w:rPr>
          <w:sz w:val="24"/>
          <w:szCs w:val="24"/>
        </w:rPr>
        <w:t xml:space="preserve">role </w:t>
      </w:r>
      <w:r w:rsidR="00E05E35" w:rsidRPr="00352AAF">
        <w:rPr>
          <w:sz w:val="24"/>
          <w:szCs w:val="24"/>
        </w:rPr>
        <w:t>may rely too much on etymology,</w:t>
      </w:r>
      <w:r w:rsidR="00E05E35" w:rsidRPr="00352AAF">
        <w:rPr>
          <w:rStyle w:val="FootnoteReference"/>
          <w:sz w:val="24"/>
          <w:szCs w:val="24"/>
        </w:rPr>
        <w:footnoteReference w:id="16"/>
      </w:r>
      <w:r w:rsidR="004143F0" w:rsidRPr="00352AAF">
        <w:rPr>
          <w:sz w:val="24"/>
          <w:szCs w:val="24"/>
        </w:rPr>
        <w:t xml:space="preserve"> but presumably</w:t>
      </w:r>
      <w:r w:rsidR="00E05E35" w:rsidRPr="00352AAF">
        <w:rPr>
          <w:sz w:val="24"/>
          <w:szCs w:val="24"/>
        </w:rPr>
        <w:t xml:space="preserve"> </w:t>
      </w:r>
      <w:r w:rsidR="00E05E35" w:rsidRPr="00352AAF">
        <w:rPr>
          <w:i/>
          <w:sz w:val="24"/>
          <w:szCs w:val="24"/>
        </w:rPr>
        <w:t>someone</w:t>
      </w:r>
      <w:r w:rsidR="00E05E35" w:rsidRPr="00352AAF">
        <w:rPr>
          <w:sz w:val="24"/>
          <w:szCs w:val="24"/>
        </w:rPr>
        <w:t xml:space="preserve"> had the task of keeping th</w:t>
      </w:r>
      <w:r w:rsidR="00CD10BB" w:rsidRPr="00352AAF">
        <w:rPr>
          <w:sz w:val="24"/>
          <w:szCs w:val="24"/>
        </w:rPr>
        <w:t>os</w:t>
      </w:r>
      <w:r w:rsidR="00E05E35" w:rsidRPr="00352AAF">
        <w:rPr>
          <w:sz w:val="24"/>
          <w:szCs w:val="24"/>
        </w:rPr>
        <w:t>e</w:t>
      </w:r>
      <w:r w:rsidR="004143F0" w:rsidRPr="00352AAF">
        <w:rPr>
          <w:sz w:val="24"/>
          <w:szCs w:val="24"/>
        </w:rPr>
        <w:t xml:space="preserve"> annals. Yet</w:t>
      </w:r>
      <w:r w:rsidR="00E05E35" w:rsidRPr="00352AAF">
        <w:rPr>
          <w:sz w:val="24"/>
          <w:szCs w:val="24"/>
        </w:rPr>
        <w:t xml:space="preserve"> ironically, they were the place you could go for hard information about events as opposed to the kind of story the books of Kings told</w:t>
      </w:r>
      <w:r w:rsidR="00AB746D" w:rsidRPr="00352AAF">
        <w:rPr>
          <w:sz w:val="24"/>
          <w:szCs w:val="24"/>
        </w:rPr>
        <w:t>; those books</w:t>
      </w:r>
      <w:r w:rsidR="00CD10BB" w:rsidRPr="00352AAF">
        <w:rPr>
          <w:sz w:val="24"/>
          <w:szCs w:val="24"/>
        </w:rPr>
        <w:t xml:space="preserve"> refers you to the annals for those hard facts.</w:t>
      </w:r>
      <w:r w:rsidR="00CD10BB" w:rsidRPr="00352AAF">
        <w:rPr>
          <w:rStyle w:val="FootnoteReference"/>
          <w:sz w:val="24"/>
          <w:szCs w:val="24"/>
        </w:rPr>
        <w:footnoteReference w:id="17"/>
      </w:r>
      <w:r w:rsidR="00CD10BB" w:rsidRPr="00352AAF">
        <w:rPr>
          <w:sz w:val="24"/>
          <w:szCs w:val="24"/>
        </w:rPr>
        <w:t xml:space="preserve"> </w:t>
      </w:r>
      <w:r w:rsidR="00E05E35" w:rsidRPr="00352AAF">
        <w:rPr>
          <w:sz w:val="24"/>
          <w:szCs w:val="24"/>
        </w:rPr>
        <w:t>You would go there for fa</w:t>
      </w:r>
      <w:r w:rsidR="00AB746D" w:rsidRPr="00352AAF">
        <w:rPr>
          <w:sz w:val="24"/>
          <w:szCs w:val="24"/>
        </w:rPr>
        <w:t xml:space="preserve">cts as opposed to memories. </w:t>
      </w:r>
      <w:r w:rsidR="00E05E35" w:rsidRPr="00352AAF">
        <w:rPr>
          <w:sz w:val="24"/>
          <w:szCs w:val="24"/>
        </w:rPr>
        <w:t>Israel didn’t preserve the annals; it preserved the narratives.</w:t>
      </w:r>
      <w:r w:rsidR="00E05E35" w:rsidRPr="00352AAF">
        <w:rPr>
          <w:rStyle w:val="FootnoteReference"/>
          <w:sz w:val="24"/>
          <w:szCs w:val="24"/>
        </w:rPr>
        <w:footnoteReference w:id="18"/>
      </w:r>
      <w:r w:rsidR="00E05E35" w:rsidRPr="00352AAF">
        <w:rPr>
          <w:sz w:val="24"/>
          <w:szCs w:val="24"/>
        </w:rPr>
        <w:t xml:space="preserve"> It forgot some of the bare facts, and</w:t>
      </w:r>
      <w:r w:rsidR="00AB746D" w:rsidRPr="00352AAF">
        <w:rPr>
          <w:sz w:val="24"/>
          <w:szCs w:val="24"/>
        </w:rPr>
        <w:t xml:space="preserve"> kept the narratives that made the</w:t>
      </w:r>
      <w:r w:rsidR="00E05E35" w:rsidRPr="00352AAF">
        <w:rPr>
          <w:sz w:val="24"/>
          <w:szCs w:val="24"/>
        </w:rPr>
        <w:t xml:space="preserve"> connection between past and present</w:t>
      </w:r>
      <w:r w:rsidR="00AB746D" w:rsidRPr="00352AAF">
        <w:rPr>
          <w:sz w:val="24"/>
          <w:szCs w:val="24"/>
        </w:rPr>
        <w:t xml:space="preserve"> in which it was interested</w:t>
      </w:r>
      <w:r w:rsidR="00E05E35" w:rsidRPr="00352AAF">
        <w:rPr>
          <w:sz w:val="24"/>
          <w:szCs w:val="24"/>
        </w:rPr>
        <w:t xml:space="preserve">. </w:t>
      </w:r>
      <w:r w:rsidR="00CD10BB" w:rsidRPr="00352AAF">
        <w:rPr>
          <w:sz w:val="24"/>
          <w:szCs w:val="24"/>
        </w:rPr>
        <w:t>So while memory preserves less than history, in another sense it</w:t>
      </w:r>
      <w:r w:rsidR="00805A76" w:rsidRPr="00352AAF">
        <w:rPr>
          <w:sz w:val="24"/>
          <w:szCs w:val="24"/>
        </w:rPr>
        <w:t xml:space="preserve"> incorporat</w:t>
      </w:r>
      <w:r w:rsidR="00F337E6" w:rsidRPr="00352AAF">
        <w:rPr>
          <w:sz w:val="24"/>
          <w:szCs w:val="24"/>
        </w:rPr>
        <w:t>es more than history,</w:t>
      </w:r>
      <w:r w:rsidR="00805A76" w:rsidRPr="00352AAF">
        <w:rPr>
          <w:sz w:val="24"/>
          <w:szCs w:val="24"/>
        </w:rPr>
        <w:t xml:space="preserve"> by interpreting what it r</w:t>
      </w:r>
      <w:r w:rsidR="00F337E6" w:rsidRPr="00352AAF">
        <w:rPr>
          <w:sz w:val="24"/>
          <w:szCs w:val="24"/>
        </w:rPr>
        <w:t>emembers, and also by the</w:t>
      </w:r>
      <w:r w:rsidR="00805A76" w:rsidRPr="00352AAF">
        <w:rPr>
          <w:sz w:val="24"/>
          <w:szCs w:val="24"/>
        </w:rPr>
        <w:t xml:space="preserve"> selectivity that focuses on things</w:t>
      </w:r>
      <w:r w:rsidR="00F337E6" w:rsidRPr="00352AAF">
        <w:rPr>
          <w:sz w:val="24"/>
          <w:szCs w:val="24"/>
        </w:rPr>
        <w:t xml:space="preserve"> that seem especially important.</w:t>
      </w:r>
    </w:p>
    <w:p w:rsidR="00000D18" w:rsidRPr="00352AAF" w:rsidRDefault="00000D18" w:rsidP="00352AAF">
      <w:pPr>
        <w:spacing w:line="360" w:lineRule="auto"/>
        <w:rPr>
          <w:sz w:val="24"/>
          <w:szCs w:val="24"/>
        </w:rPr>
      </w:pPr>
    </w:p>
    <w:p w:rsidR="004143F0" w:rsidRPr="00352AAF" w:rsidRDefault="00CD10BB" w:rsidP="00352AAF">
      <w:pPr>
        <w:spacing w:line="360" w:lineRule="auto"/>
        <w:rPr>
          <w:sz w:val="24"/>
          <w:szCs w:val="24"/>
        </w:rPr>
      </w:pPr>
      <w:r w:rsidRPr="00352AAF">
        <w:rPr>
          <w:sz w:val="24"/>
          <w:szCs w:val="24"/>
        </w:rPr>
        <w:t>Whereas o</w:t>
      </w:r>
      <w:r w:rsidR="004143F0" w:rsidRPr="00352AAF">
        <w:rPr>
          <w:sz w:val="24"/>
          <w:szCs w:val="24"/>
        </w:rPr>
        <w:t xml:space="preserve">ther religions might have to be wary </w:t>
      </w:r>
      <w:r w:rsidRPr="00352AAF">
        <w:rPr>
          <w:sz w:val="24"/>
          <w:szCs w:val="24"/>
        </w:rPr>
        <w:t>of ignoring an important deity,</w:t>
      </w:r>
      <w:r w:rsidR="004143F0" w:rsidRPr="00352AAF">
        <w:rPr>
          <w:sz w:val="24"/>
          <w:szCs w:val="24"/>
        </w:rPr>
        <w:t xml:space="preserve"> Israel has to forget some</w:t>
      </w:r>
      <w:r w:rsidRPr="00352AAF">
        <w:rPr>
          <w:sz w:val="24"/>
          <w:szCs w:val="24"/>
        </w:rPr>
        <w:t xml:space="preserve"> allegedly important deities.  In this connection, t</w:t>
      </w:r>
      <w:r w:rsidR="004143F0" w:rsidRPr="00352AAF">
        <w:rPr>
          <w:sz w:val="24"/>
          <w:szCs w:val="24"/>
        </w:rPr>
        <w:t xml:space="preserve">he verb </w:t>
      </w:r>
      <w:proofErr w:type="spellStart"/>
      <w:r w:rsidR="004143F0" w:rsidRPr="00352AAF">
        <w:rPr>
          <w:i/>
          <w:sz w:val="24"/>
          <w:szCs w:val="24"/>
        </w:rPr>
        <w:t>shakah</w:t>
      </w:r>
      <w:proofErr w:type="spellEnd"/>
      <w:r w:rsidR="004143F0" w:rsidRPr="00352AAF">
        <w:rPr>
          <w:sz w:val="24"/>
          <w:szCs w:val="24"/>
        </w:rPr>
        <w:t xml:space="preserve"> virtually means “repress.”</w:t>
      </w:r>
      <w:r w:rsidR="004143F0" w:rsidRPr="00352AAF">
        <w:rPr>
          <w:rStyle w:val="FootnoteReference"/>
          <w:sz w:val="24"/>
          <w:szCs w:val="24"/>
        </w:rPr>
        <w:footnoteReference w:id="19"/>
      </w:r>
      <w:r w:rsidR="004143F0" w:rsidRPr="00352AAF">
        <w:rPr>
          <w:sz w:val="24"/>
          <w:szCs w:val="24"/>
        </w:rPr>
        <w:t xml:space="preserve"> Such forgett</w:t>
      </w:r>
      <w:r w:rsidR="00F337E6" w:rsidRPr="00352AAF">
        <w:rPr>
          <w:sz w:val="24"/>
          <w:szCs w:val="24"/>
        </w:rPr>
        <w:t xml:space="preserve">ing is hard because the </w:t>
      </w:r>
      <w:r w:rsidR="004143F0" w:rsidRPr="00352AAF">
        <w:rPr>
          <w:sz w:val="24"/>
          <w:szCs w:val="24"/>
        </w:rPr>
        <w:t xml:space="preserve">gods </w:t>
      </w:r>
      <w:r w:rsidR="00F337E6" w:rsidRPr="00352AAF">
        <w:rPr>
          <w:sz w:val="24"/>
          <w:szCs w:val="24"/>
        </w:rPr>
        <w:t xml:space="preserve">of everyday life who are </w:t>
      </w:r>
      <w:r w:rsidR="004143F0" w:rsidRPr="00352AAF">
        <w:rPr>
          <w:sz w:val="24"/>
          <w:szCs w:val="24"/>
        </w:rPr>
        <w:t>to be renounced hav</w:t>
      </w:r>
      <w:r w:rsidRPr="00352AAF">
        <w:rPr>
          <w:sz w:val="24"/>
          <w:szCs w:val="24"/>
        </w:rPr>
        <w:t>e been evidenced</w:t>
      </w:r>
      <w:r w:rsidR="004143F0" w:rsidRPr="00352AAF">
        <w:rPr>
          <w:sz w:val="24"/>
          <w:szCs w:val="24"/>
        </w:rPr>
        <w:t xml:space="preserve"> to people’s senses.</w:t>
      </w:r>
      <w:r w:rsidR="004143F0" w:rsidRPr="00352AAF">
        <w:rPr>
          <w:rStyle w:val="FootnoteReference"/>
          <w:sz w:val="24"/>
          <w:szCs w:val="24"/>
        </w:rPr>
        <w:footnoteReference w:id="20"/>
      </w:r>
      <w:r w:rsidR="004143F0" w:rsidRPr="00352AAF">
        <w:rPr>
          <w:sz w:val="24"/>
          <w:szCs w:val="24"/>
        </w:rPr>
        <w:t xml:space="preserve"> Collective memory, or rather collective amnesia, Mark Smith comments, “helped Israel </w:t>
      </w:r>
      <w:proofErr w:type="gramStart"/>
      <w:r w:rsidR="004143F0" w:rsidRPr="00352AAF">
        <w:rPr>
          <w:sz w:val="24"/>
          <w:szCs w:val="24"/>
        </w:rPr>
        <w:t>forget</w:t>
      </w:r>
      <w:proofErr w:type="gramEnd"/>
      <w:r w:rsidR="004143F0" w:rsidRPr="00352AAF">
        <w:rPr>
          <w:sz w:val="24"/>
          <w:szCs w:val="24"/>
        </w:rPr>
        <w:t xml:space="preserve"> about its own polytheistic past, and in turn it served to induce a collective amnesia about the other gods, namely, that many of these had </w:t>
      </w:r>
      <w:r w:rsidR="004143F0" w:rsidRPr="00352AAF">
        <w:rPr>
          <w:sz w:val="24"/>
          <w:szCs w:val="24"/>
        </w:rPr>
        <w:lastRenderedPageBreak/>
        <w:t>been Israel’s in the first place.”</w:t>
      </w:r>
      <w:r w:rsidR="004143F0" w:rsidRPr="00352AAF">
        <w:rPr>
          <w:rStyle w:val="FootnoteReference"/>
          <w:sz w:val="24"/>
          <w:szCs w:val="24"/>
        </w:rPr>
        <w:footnoteReference w:id="21"/>
      </w:r>
      <w:r w:rsidR="004143F0" w:rsidRPr="00352AAF">
        <w:rPr>
          <w:sz w:val="24"/>
          <w:szCs w:val="24"/>
        </w:rPr>
        <w:t xml:space="preserve"> Thus archeology tells us about aspects of Israelite religion that its memory does not tell us, because its official memory as preserved in the Old Testament did not wish them to be remembered. Kings and Chronicles tell a story that indicates what people should remember and how they should remember it, and also what they should forget. </w:t>
      </w:r>
    </w:p>
    <w:p w:rsidR="004143F0" w:rsidRPr="00352AAF" w:rsidRDefault="004143F0" w:rsidP="00352AAF">
      <w:pPr>
        <w:spacing w:line="360" w:lineRule="auto"/>
        <w:rPr>
          <w:sz w:val="24"/>
          <w:szCs w:val="24"/>
        </w:rPr>
      </w:pPr>
    </w:p>
    <w:p w:rsidR="004143F0" w:rsidRPr="00352AAF" w:rsidRDefault="004143F0" w:rsidP="00352AAF">
      <w:pPr>
        <w:spacing w:line="360" w:lineRule="auto"/>
        <w:rPr>
          <w:sz w:val="24"/>
          <w:szCs w:val="24"/>
        </w:rPr>
      </w:pPr>
      <w:r w:rsidRPr="00352AAF">
        <w:rPr>
          <w:sz w:val="24"/>
          <w:szCs w:val="24"/>
        </w:rPr>
        <w:t>One should not overstate the point; the memory of Israel’s adherence to other gods is preserved in the text. It does not have to be excavated. The texts do not have to be read against the grain; they themselves tell the history of monotheism in Israel as a history of “memory, remembrance, forgetting, and the repressed, of trauma and guilt.”</w:t>
      </w:r>
      <w:r w:rsidRPr="00352AAF">
        <w:rPr>
          <w:rStyle w:val="FootnoteReference"/>
          <w:sz w:val="24"/>
          <w:szCs w:val="24"/>
        </w:rPr>
        <w:footnoteReference w:id="22"/>
      </w:r>
      <w:r w:rsidRPr="00352AAF">
        <w:rPr>
          <w:sz w:val="24"/>
          <w:szCs w:val="24"/>
        </w:rPr>
        <w:t xml:space="preserve"> But the texts do such an effective job of commending what should be remembered that they succeed in getting readers not to notice the things that they report but do not commend. </w:t>
      </w:r>
    </w:p>
    <w:p w:rsidR="004143F0" w:rsidRPr="00352AAF" w:rsidRDefault="004143F0" w:rsidP="00352AAF">
      <w:pPr>
        <w:spacing w:line="360" w:lineRule="auto"/>
        <w:rPr>
          <w:sz w:val="24"/>
          <w:szCs w:val="24"/>
        </w:rPr>
      </w:pPr>
    </w:p>
    <w:p w:rsidR="003F71A3" w:rsidRPr="00352AAF" w:rsidRDefault="003F71A3" w:rsidP="00352AAF">
      <w:pPr>
        <w:spacing w:line="360" w:lineRule="auto"/>
        <w:rPr>
          <w:sz w:val="24"/>
          <w:szCs w:val="24"/>
        </w:rPr>
      </w:pPr>
      <w:r w:rsidRPr="00352AAF">
        <w:rPr>
          <w:sz w:val="24"/>
          <w:szCs w:val="24"/>
        </w:rPr>
        <w:t>M</w:t>
      </w:r>
      <w:r w:rsidRPr="00352AAF">
        <w:rPr>
          <w:rFonts w:eastAsiaTheme="minorHAnsi" w:cs="CheltenhamBT-Roman"/>
          <w:sz w:val="24"/>
          <w:szCs w:val="24"/>
        </w:rPr>
        <w:t>emory is often contested. “Remind me,” Yahweh challenges Israel, confrontational</w:t>
      </w:r>
      <w:r w:rsidR="00F337E6" w:rsidRPr="00352AAF">
        <w:rPr>
          <w:rFonts w:eastAsiaTheme="minorHAnsi" w:cs="CheltenhamBT-Roman"/>
          <w:sz w:val="24"/>
          <w:szCs w:val="24"/>
        </w:rPr>
        <w:t>ly.</w:t>
      </w:r>
      <w:r w:rsidR="00D80177" w:rsidRPr="00352AAF">
        <w:rPr>
          <w:rStyle w:val="FootnoteReference"/>
          <w:rFonts w:eastAsiaTheme="minorHAnsi" w:cs="CheltenhamBT-Roman"/>
          <w:sz w:val="24"/>
          <w:szCs w:val="24"/>
        </w:rPr>
        <w:footnoteReference w:id="23"/>
      </w:r>
      <w:r w:rsidR="00AB746D" w:rsidRPr="00352AAF">
        <w:rPr>
          <w:rFonts w:eastAsiaTheme="minorHAnsi" w:cs="CheltenhamBT-Roman"/>
          <w:sz w:val="24"/>
          <w:szCs w:val="24"/>
        </w:rPr>
        <w:t xml:space="preserve"> The same prophecy also ur</w:t>
      </w:r>
      <w:r w:rsidR="00F337E6" w:rsidRPr="00352AAF">
        <w:rPr>
          <w:rFonts w:eastAsiaTheme="minorHAnsi" w:cs="CheltenhamBT-Roman"/>
          <w:sz w:val="24"/>
          <w:szCs w:val="24"/>
        </w:rPr>
        <w:t xml:space="preserve">ges people </w:t>
      </w:r>
      <w:r w:rsidRPr="00352AAF">
        <w:rPr>
          <w:rFonts w:eastAsiaTheme="minorHAnsi" w:cs="CheltenhamBT-Roman"/>
          <w:sz w:val="24"/>
          <w:szCs w:val="24"/>
        </w:rPr>
        <w:t xml:space="preserve">to </w:t>
      </w:r>
      <w:r w:rsidR="00D80177" w:rsidRPr="00352AAF">
        <w:rPr>
          <w:rFonts w:eastAsiaTheme="minorHAnsi" w:cs="CheltenhamBT-Roman"/>
          <w:sz w:val="24"/>
          <w:szCs w:val="24"/>
        </w:rPr>
        <w:t>“</w:t>
      </w:r>
      <w:r w:rsidRPr="00352AAF">
        <w:rPr>
          <w:rFonts w:eastAsiaTheme="minorHAnsi" w:cs="CheltenhamBT-Roman"/>
          <w:sz w:val="24"/>
          <w:szCs w:val="24"/>
        </w:rPr>
        <w:t>remember</w:t>
      </w:r>
      <w:r w:rsidR="00D80177" w:rsidRPr="00352AAF">
        <w:rPr>
          <w:rFonts w:eastAsiaTheme="minorHAnsi" w:cs="CheltenhamBT-Roman"/>
          <w:sz w:val="24"/>
          <w:szCs w:val="24"/>
        </w:rPr>
        <w:t>”</w:t>
      </w:r>
      <w:r w:rsidRPr="00352AAF">
        <w:rPr>
          <w:rFonts w:eastAsiaTheme="minorHAnsi" w:cs="CheltenhamBT-Roman"/>
          <w:sz w:val="24"/>
          <w:szCs w:val="24"/>
        </w:rPr>
        <w:t xml:space="preserve"> Abraham and Sarah.</w:t>
      </w:r>
      <w:r w:rsidR="00D80177" w:rsidRPr="00352AAF">
        <w:rPr>
          <w:rStyle w:val="FootnoteReference"/>
          <w:rFonts w:eastAsiaTheme="minorHAnsi" w:cs="CheltenhamBT-Roman"/>
          <w:sz w:val="24"/>
          <w:szCs w:val="24"/>
        </w:rPr>
        <w:footnoteReference w:id="24"/>
      </w:r>
      <w:r w:rsidRPr="00352AAF">
        <w:rPr>
          <w:rFonts w:eastAsiaTheme="minorHAnsi" w:cs="CheltenhamBT-Roman"/>
          <w:sz w:val="24"/>
          <w:szCs w:val="24"/>
        </w:rPr>
        <w:t xml:space="preserve"> Yet when they had</w:t>
      </w:r>
      <w:r w:rsidR="00D80177" w:rsidRPr="00352AAF">
        <w:rPr>
          <w:rFonts w:eastAsiaTheme="minorHAnsi" w:cs="CheltenhamBT-Roman"/>
          <w:sz w:val="24"/>
          <w:szCs w:val="24"/>
        </w:rPr>
        <w:t xml:space="preserve"> </w:t>
      </w:r>
      <w:r w:rsidRPr="00352AAF">
        <w:rPr>
          <w:rFonts w:eastAsiaTheme="minorHAnsi" w:cs="CheltenhamBT-Roman"/>
          <w:sz w:val="24"/>
          <w:szCs w:val="24"/>
        </w:rPr>
        <w:t>encouraged themselves by the memory of Abraham at an earlier point, Ezekie</w:t>
      </w:r>
      <w:r w:rsidR="00D80177" w:rsidRPr="00352AAF">
        <w:rPr>
          <w:rFonts w:eastAsiaTheme="minorHAnsi" w:cs="CheltenhamBT-Roman"/>
          <w:sz w:val="24"/>
          <w:szCs w:val="24"/>
        </w:rPr>
        <w:t>l had warned them not to do so.</w:t>
      </w:r>
      <w:r w:rsidR="00D80177" w:rsidRPr="00352AAF">
        <w:rPr>
          <w:rStyle w:val="FootnoteReference"/>
          <w:rFonts w:eastAsiaTheme="minorHAnsi" w:cs="CheltenhamBT-Roman"/>
          <w:sz w:val="24"/>
          <w:szCs w:val="24"/>
        </w:rPr>
        <w:footnoteReference w:id="25"/>
      </w:r>
      <w:r w:rsidR="00D80177" w:rsidRPr="00352AAF">
        <w:rPr>
          <w:rFonts w:eastAsiaTheme="minorHAnsi" w:cs="CheltenhamBT-Roman"/>
          <w:sz w:val="24"/>
          <w:szCs w:val="24"/>
        </w:rPr>
        <w:t xml:space="preserve"> </w:t>
      </w:r>
      <w:r w:rsidRPr="00352AAF">
        <w:rPr>
          <w:rFonts w:eastAsiaTheme="minorHAnsi" w:cs="CheltenhamBT-Roman"/>
          <w:sz w:val="24"/>
          <w:szCs w:val="24"/>
        </w:rPr>
        <w:t xml:space="preserve">Ronald </w:t>
      </w:r>
      <w:proofErr w:type="spellStart"/>
      <w:r w:rsidRPr="00352AAF">
        <w:rPr>
          <w:rFonts w:eastAsiaTheme="minorHAnsi" w:cs="CheltenhamBT-Roman"/>
          <w:sz w:val="24"/>
          <w:szCs w:val="24"/>
        </w:rPr>
        <w:t>Hendel</w:t>
      </w:r>
      <w:proofErr w:type="spellEnd"/>
      <w:r w:rsidRPr="00352AAF">
        <w:rPr>
          <w:rFonts w:eastAsiaTheme="minorHAnsi" w:cs="CheltenhamBT-Roman"/>
          <w:sz w:val="24"/>
          <w:szCs w:val="24"/>
        </w:rPr>
        <w:t xml:space="preserve"> notes that “the memory of Abraham serves in varying measures to articulate Israelite identity, to motivate the remembering agent to take appropriate actions, to give solace, and to activate social, religious, or political ideals. These memories also serve to mask ambiguities and to create new fissures and oppositions where none were apparent previously. Some of these conditions of memory obtain when God is the </w:t>
      </w:r>
      <w:proofErr w:type="spellStart"/>
      <w:r w:rsidRPr="00352AAF">
        <w:rPr>
          <w:rFonts w:eastAsiaTheme="minorHAnsi" w:cs="CheltenhamBT-Roman"/>
          <w:sz w:val="24"/>
          <w:szCs w:val="24"/>
        </w:rPr>
        <w:t>rememberer</w:t>
      </w:r>
      <w:proofErr w:type="spellEnd"/>
      <w:r w:rsidRPr="00352AAF">
        <w:rPr>
          <w:rFonts w:eastAsiaTheme="minorHAnsi" w:cs="CheltenhamBT-Roman"/>
          <w:sz w:val="24"/>
          <w:szCs w:val="24"/>
        </w:rPr>
        <w:t>, others when humans are; the importance of remembering Abraham embraces both God and Israel. The implications of remembering Abraham are mutable.”</w:t>
      </w:r>
      <w:r w:rsidRPr="00352AAF">
        <w:rPr>
          <w:rStyle w:val="FootnoteReference"/>
          <w:rFonts w:eastAsiaTheme="minorHAnsi" w:cs="CheltenhamBT-Roman"/>
          <w:sz w:val="24"/>
          <w:szCs w:val="24"/>
        </w:rPr>
        <w:footnoteReference w:id="26"/>
      </w:r>
    </w:p>
    <w:p w:rsidR="003F71A3" w:rsidRPr="00352AAF" w:rsidRDefault="003F71A3" w:rsidP="00352AAF">
      <w:pPr>
        <w:spacing w:line="360" w:lineRule="auto"/>
        <w:rPr>
          <w:rFonts w:eastAsiaTheme="minorHAnsi" w:cs="CheltenhamBT-Roman"/>
          <w:sz w:val="24"/>
          <w:szCs w:val="24"/>
        </w:rPr>
      </w:pPr>
    </w:p>
    <w:p w:rsidR="00000D18" w:rsidRPr="00352AAF" w:rsidRDefault="005302D9" w:rsidP="00352AAF">
      <w:pPr>
        <w:spacing w:line="360" w:lineRule="auto"/>
        <w:rPr>
          <w:sz w:val="24"/>
          <w:szCs w:val="24"/>
        </w:rPr>
      </w:pPr>
      <w:r w:rsidRPr="00352AAF">
        <w:rPr>
          <w:sz w:val="24"/>
          <w:szCs w:val="24"/>
        </w:rPr>
        <w:t xml:space="preserve">That </w:t>
      </w:r>
      <w:r w:rsidR="00F337E6" w:rsidRPr="00352AAF">
        <w:rPr>
          <w:sz w:val="24"/>
          <w:szCs w:val="24"/>
        </w:rPr>
        <w:t xml:space="preserve">comment leads </w:t>
      </w:r>
      <w:r w:rsidRPr="00352AAF">
        <w:rPr>
          <w:sz w:val="24"/>
          <w:szCs w:val="24"/>
        </w:rPr>
        <w:t>into a further</w:t>
      </w:r>
      <w:r w:rsidR="00000D18" w:rsidRPr="00352AAF">
        <w:rPr>
          <w:sz w:val="24"/>
          <w:szCs w:val="24"/>
        </w:rPr>
        <w:t xml:space="preserve"> observ</w:t>
      </w:r>
      <w:r w:rsidR="00F337E6" w:rsidRPr="00352AAF">
        <w:rPr>
          <w:sz w:val="24"/>
          <w:szCs w:val="24"/>
        </w:rPr>
        <w:t>ation</w:t>
      </w:r>
      <w:r w:rsidR="00000D18" w:rsidRPr="00352AAF">
        <w:rPr>
          <w:sz w:val="24"/>
          <w:szCs w:val="24"/>
        </w:rPr>
        <w:t>.</w:t>
      </w:r>
      <w:r w:rsidRPr="00352AAF">
        <w:rPr>
          <w:sz w:val="24"/>
          <w:szCs w:val="24"/>
        </w:rPr>
        <w:t xml:space="preserve"> M</w:t>
      </w:r>
      <w:r w:rsidR="00000D18" w:rsidRPr="00352AAF">
        <w:rPr>
          <w:rFonts w:eastAsiaTheme="minorHAnsi"/>
          <w:sz w:val="24"/>
          <w:szCs w:val="24"/>
        </w:rPr>
        <w:t xml:space="preserve">emory is capable of preserving </w:t>
      </w:r>
      <w:r w:rsidR="00000D18" w:rsidRPr="00352AAF">
        <w:rPr>
          <w:rFonts w:eastAsiaTheme="minorHAnsi"/>
          <w:sz w:val="24"/>
          <w:szCs w:val="24"/>
        </w:rPr>
        <w:lastRenderedPageBreak/>
        <w:t>ambiguity.</w:t>
      </w:r>
      <w:r w:rsidR="00A13930" w:rsidRPr="00352AAF">
        <w:rPr>
          <w:rFonts w:eastAsiaTheme="minorHAnsi"/>
          <w:sz w:val="24"/>
          <w:szCs w:val="24"/>
        </w:rPr>
        <w:t xml:space="preserve"> </w:t>
      </w:r>
      <w:r w:rsidR="00A13930" w:rsidRPr="00352AAF">
        <w:rPr>
          <w:sz w:val="24"/>
          <w:szCs w:val="24"/>
        </w:rPr>
        <w:t xml:space="preserve">The date and the social context of Genesis to Kings and </w:t>
      </w:r>
      <w:r w:rsidR="00F85083" w:rsidRPr="00352AAF">
        <w:rPr>
          <w:sz w:val="24"/>
          <w:szCs w:val="24"/>
        </w:rPr>
        <w:t xml:space="preserve">of </w:t>
      </w:r>
      <w:r w:rsidR="00A13930" w:rsidRPr="00352AAF">
        <w:rPr>
          <w:sz w:val="24"/>
          <w:szCs w:val="24"/>
        </w:rPr>
        <w:t>Chronicles-Era-Nehemiah in the form in which we have them, and of the earlier memories that they preserve, are matters of disagreement, and I do</w:t>
      </w:r>
      <w:r w:rsidR="00F85083" w:rsidRPr="00352AAF">
        <w:rPr>
          <w:sz w:val="24"/>
          <w:szCs w:val="24"/>
        </w:rPr>
        <w:t xml:space="preserve"> no</w:t>
      </w:r>
      <w:r w:rsidR="00A13930" w:rsidRPr="00352AAF">
        <w:rPr>
          <w:sz w:val="24"/>
          <w:szCs w:val="24"/>
        </w:rPr>
        <w:t>t see any sign that this disagreement will ever be resolved.</w:t>
      </w:r>
      <w:r w:rsidR="00A13930" w:rsidRPr="00352AAF">
        <w:rPr>
          <w:rStyle w:val="FootnoteReference"/>
          <w:sz w:val="24"/>
          <w:szCs w:val="24"/>
        </w:rPr>
        <w:footnoteReference w:id="27"/>
      </w:r>
      <w:r w:rsidR="00A13930" w:rsidRPr="00352AAF">
        <w:rPr>
          <w:sz w:val="24"/>
          <w:szCs w:val="24"/>
        </w:rPr>
        <w:t xml:space="preserve"> But </w:t>
      </w:r>
      <w:r w:rsidR="008F0251" w:rsidRPr="00352AAF">
        <w:rPr>
          <w:rFonts w:eastAsiaTheme="minorHAnsi" w:cs="CheltenhamBT-Roman"/>
          <w:sz w:val="24"/>
          <w:szCs w:val="24"/>
        </w:rPr>
        <w:t>Fentress and Wickham</w:t>
      </w:r>
      <w:r w:rsidR="008F0251" w:rsidRPr="00352AAF">
        <w:rPr>
          <w:sz w:val="24"/>
          <w:szCs w:val="24"/>
        </w:rPr>
        <w:t xml:space="preserve"> note that </w:t>
      </w:r>
      <w:r w:rsidR="00D80177" w:rsidRPr="00352AAF">
        <w:rPr>
          <w:sz w:val="24"/>
          <w:szCs w:val="24"/>
        </w:rPr>
        <w:t>t</w:t>
      </w:r>
      <w:r w:rsidR="00A13930" w:rsidRPr="00352AAF">
        <w:rPr>
          <w:sz w:val="24"/>
          <w:szCs w:val="24"/>
        </w:rPr>
        <w:t xml:space="preserve">he study of social memory recognizes that </w:t>
      </w:r>
      <w:r w:rsidR="00A13930" w:rsidRPr="00352AAF">
        <w:rPr>
          <w:rFonts w:eastAsiaTheme="minorHAnsi"/>
          <w:sz w:val="24"/>
          <w:szCs w:val="24"/>
        </w:rPr>
        <w:t>memories need to be interpreted on two levels. “Memories have their own specific grammars, and can (mus</w:t>
      </w:r>
      <w:r w:rsidR="00D80177" w:rsidRPr="00352AAF">
        <w:rPr>
          <w:rFonts w:eastAsiaTheme="minorHAnsi"/>
          <w:sz w:val="24"/>
          <w:szCs w:val="24"/>
        </w:rPr>
        <w:t xml:space="preserve">t) be </w:t>
      </w:r>
      <w:proofErr w:type="spellStart"/>
      <w:r w:rsidR="00D80177" w:rsidRPr="00352AAF">
        <w:rPr>
          <w:rFonts w:eastAsiaTheme="minorHAnsi"/>
          <w:sz w:val="24"/>
          <w:szCs w:val="24"/>
        </w:rPr>
        <w:t>analysed</w:t>
      </w:r>
      <w:proofErr w:type="spellEnd"/>
      <w:r w:rsidR="00D80177" w:rsidRPr="00352AAF">
        <w:rPr>
          <w:rFonts w:eastAsiaTheme="minorHAnsi"/>
          <w:sz w:val="24"/>
          <w:szCs w:val="24"/>
        </w:rPr>
        <w:t xml:space="preserve"> as narratives” even though</w:t>
      </w:r>
      <w:r w:rsidR="00A13930" w:rsidRPr="00352AAF">
        <w:rPr>
          <w:rFonts w:eastAsiaTheme="minorHAnsi"/>
          <w:sz w:val="24"/>
          <w:szCs w:val="24"/>
        </w:rPr>
        <w:t xml:space="preserve"> </w:t>
      </w:r>
      <w:r w:rsidR="00D80177" w:rsidRPr="00352AAF">
        <w:rPr>
          <w:rFonts w:eastAsiaTheme="minorHAnsi"/>
          <w:sz w:val="24"/>
          <w:szCs w:val="24"/>
        </w:rPr>
        <w:t>“</w:t>
      </w:r>
      <w:r w:rsidR="00A13930" w:rsidRPr="00352AAF">
        <w:rPr>
          <w:rFonts w:eastAsiaTheme="minorHAnsi"/>
          <w:sz w:val="24"/>
          <w:szCs w:val="24"/>
        </w:rPr>
        <w:t xml:space="preserve">they also have functions, and can (must) be </w:t>
      </w:r>
      <w:proofErr w:type="spellStart"/>
      <w:r w:rsidR="00A13930" w:rsidRPr="00352AAF">
        <w:rPr>
          <w:rFonts w:eastAsiaTheme="minorHAnsi"/>
          <w:sz w:val="24"/>
          <w:szCs w:val="24"/>
        </w:rPr>
        <w:t>analysed</w:t>
      </w:r>
      <w:proofErr w:type="spellEnd"/>
      <w:r w:rsidR="00A13930" w:rsidRPr="00352AAF">
        <w:rPr>
          <w:rFonts w:eastAsiaTheme="minorHAnsi"/>
          <w:sz w:val="24"/>
          <w:szCs w:val="24"/>
        </w:rPr>
        <w:t xml:space="preserve"> in a functionalist manner, as guides… to social identity.”</w:t>
      </w:r>
      <w:r w:rsidR="00A13930" w:rsidRPr="00352AAF">
        <w:rPr>
          <w:rStyle w:val="FootnoteReference"/>
          <w:rFonts w:eastAsiaTheme="minorHAnsi" w:cs="CheltenhamBT-Roman"/>
          <w:sz w:val="24"/>
          <w:szCs w:val="24"/>
        </w:rPr>
        <w:footnoteReference w:id="28"/>
      </w:r>
      <w:r w:rsidR="00A13930" w:rsidRPr="00352AAF">
        <w:rPr>
          <w:rFonts w:eastAsiaTheme="minorHAnsi"/>
          <w:sz w:val="24"/>
          <w:szCs w:val="24"/>
        </w:rPr>
        <w:t xml:space="preserve"> </w:t>
      </w:r>
      <w:r w:rsidR="00A13930" w:rsidRPr="00352AAF">
        <w:rPr>
          <w:sz w:val="24"/>
          <w:szCs w:val="24"/>
        </w:rPr>
        <w:t xml:space="preserve">The documents that make up the Torah, the Prophets, and the Writings, and the earlier works that lie behind them, originally functioned to shape memory in particular contexts to particular ends, but some community thought they could also do so outside the contexts in which they emerged.  </w:t>
      </w:r>
      <w:r w:rsidR="00D80177" w:rsidRPr="00352AAF">
        <w:rPr>
          <w:sz w:val="24"/>
          <w:szCs w:val="24"/>
        </w:rPr>
        <w:t xml:space="preserve">One way of dealing with the </w:t>
      </w:r>
      <w:proofErr w:type="spellStart"/>
      <w:r w:rsidR="00D80177" w:rsidRPr="00352AAF">
        <w:rPr>
          <w:sz w:val="24"/>
          <w:szCs w:val="24"/>
        </w:rPr>
        <w:t>aporia</w:t>
      </w:r>
      <w:proofErr w:type="spellEnd"/>
      <w:r w:rsidR="00D80177" w:rsidRPr="00352AAF">
        <w:rPr>
          <w:sz w:val="24"/>
          <w:szCs w:val="24"/>
        </w:rPr>
        <w:t xml:space="preserve"> over determining the origin and context of works such as Genesis to Kings and Chronicles-Ezra-Nehemiah, then, is to focus on the text that we have, working with the way it has concealed the context out of which it emerged</w:t>
      </w:r>
      <w:r w:rsidR="00F85083" w:rsidRPr="00352AAF">
        <w:rPr>
          <w:sz w:val="24"/>
          <w:szCs w:val="24"/>
        </w:rPr>
        <w:t>,</w:t>
      </w:r>
      <w:r w:rsidR="00D80177" w:rsidRPr="00352AAF">
        <w:rPr>
          <w:sz w:val="24"/>
          <w:szCs w:val="24"/>
        </w:rPr>
        <w:t xml:space="preserve"> rather than resisting this concealing</w:t>
      </w:r>
      <w:r w:rsidR="00F85083" w:rsidRPr="00352AAF">
        <w:rPr>
          <w:sz w:val="24"/>
          <w:szCs w:val="24"/>
        </w:rPr>
        <w:t>, as is appropriate in other forms of study</w:t>
      </w:r>
      <w:r w:rsidR="00D80177" w:rsidRPr="00352AAF">
        <w:rPr>
          <w:sz w:val="24"/>
          <w:szCs w:val="24"/>
        </w:rPr>
        <w:t xml:space="preserve">. In other words, </w:t>
      </w:r>
      <w:r w:rsidR="00D80177" w:rsidRPr="00352AAF">
        <w:rPr>
          <w:rFonts w:eastAsiaTheme="minorHAnsi"/>
          <w:sz w:val="24"/>
          <w:szCs w:val="24"/>
        </w:rPr>
        <w:t xml:space="preserve">Old Testament theology can </w:t>
      </w:r>
      <w:r w:rsidR="001F021E" w:rsidRPr="00352AAF">
        <w:rPr>
          <w:rFonts w:eastAsiaTheme="minorHAnsi"/>
          <w:sz w:val="24"/>
          <w:szCs w:val="24"/>
        </w:rPr>
        <w:t>work</w:t>
      </w:r>
      <w:r w:rsidR="00A13930" w:rsidRPr="00352AAF">
        <w:rPr>
          <w:rFonts w:eastAsiaTheme="minorHAnsi"/>
          <w:sz w:val="24"/>
          <w:szCs w:val="24"/>
        </w:rPr>
        <w:t xml:space="preserve"> primarily with the memory that the Old Testament preserves, and with what the Old Testament has to say about memory. </w:t>
      </w:r>
      <w:r w:rsidR="00A13930" w:rsidRPr="00352AAF">
        <w:rPr>
          <w:sz w:val="24"/>
          <w:szCs w:val="24"/>
        </w:rPr>
        <w:t>Mark Smith comments, “from a theological perspective, the Bible is the revelation of what God selected to be remembered and forgotten of God’s relationship to Israel and to the world” and of “God’s own character and configuration.”</w:t>
      </w:r>
      <w:r w:rsidR="00A13930" w:rsidRPr="00352AAF">
        <w:rPr>
          <w:rStyle w:val="FootnoteReference"/>
          <w:sz w:val="24"/>
          <w:szCs w:val="24"/>
        </w:rPr>
        <w:footnoteReference w:id="29"/>
      </w:r>
    </w:p>
    <w:p w:rsidR="00000D18" w:rsidRPr="00352AAF" w:rsidRDefault="00000D18" w:rsidP="00352AAF">
      <w:pPr>
        <w:spacing w:line="360" w:lineRule="auto"/>
        <w:rPr>
          <w:sz w:val="24"/>
          <w:szCs w:val="24"/>
        </w:rPr>
      </w:pPr>
    </w:p>
    <w:p w:rsidR="00000D18" w:rsidRPr="00352AAF" w:rsidRDefault="005302D9" w:rsidP="00352AAF">
      <w:pPr>
        <w:spacing w:line="360" w:lineRule="auto"/>
        <w:rPr>
          <w:sz w:val="24"/>
          <w:szCs w:val="24"/>
        </w:rPr>
      </w:pPr>
      <w:r w:rsidRPr="00352AAF">
        <w:rPr>
          <w:sz w:val="24"/>
          <w:szCs w:val="24"/>
        </w:rPr>
        <w:t>R</w:t>
      </w:r>
      <w:r w:rsidR="00000D18" w:rsidRPr="00352AAF">
        <w:rPr>
          <w:sz w:val="24"/>
          <w:szCs w:val="24"/>
        </w:rPr>
        <w:t>epl</w:t>
      </w:r>
      <w:r w:rsidRPr="00352AAF">
        <w:rPr>
          <w:sz w:val="24"/>
          <w:szCs w:val="24"/>
        </w:rPr>
        <w:t xml:space="preserve">acing history by memory </w:t>
      </w:r>
      <w:r w:rsidR="00A13930" w:rsidRPr="00352AAF">
        <w:rPr>
          <w:sz w:val="24"/>
          <w:szCs w:val="24"/>
        </w:rPr>
        <w:t xml:space="preserve">doesn’t exactly solve the difficulties involved in asking historical questions, but it does provide another way of approaching them or </w:t>
      </w:r>
      <w:r w:rsidR="008F0251" w:rsidRPr="00352AAF">
        <w:rPr>
          <w:sz w:val="24"/>
          <w:szCs w:val="24"/>
        </w:rPr>
        <w:t xml:space="preserve">of </w:t>
      </w:r>
      <w:r w:rsidR="00A13930" w:rsidRPr="00352AAF">
        <w:rPr>
          <w:sz w:val="24"/>
          <w:szCs w:val="24"/>
        </w:rPr>
        <w:t>sidestepping them</w:t>
      </w:r>
      <w:r w:rsidR="00B878F0" w:rsidRPr="00352AAF">
        <w:rPr>
          <w:sz w:val="24"/>
          <w:szCs w:val="24"/>
        </w:rPr>
        <w:t xml:space="preserve"> when they look as if they lead into a marsh</w:t>
      </w:r>
      <w:r w:rsidR="00A13930" w:rsidRPr="00352AAF">
        <w:rPr>
          <w:sz w:val="24"/>
          <w:szCs w:val="24"/>
        </w:rPr>
        <w:t>, and of avoiding being hamstrung by</w:t>
      </w:r>
      <w:r w:rsidR="00000D18" w:rsidRPr="00352AAF">
        <w:rPr>
          <w:sz w:val="24"/>
          <w:szCs w:val="24"/>
        </w:rPr>
        <w:t xml:space="preserve"> the question in what sense the books are ideological, whether they serve the winners or the losers, the powerful or the weak.</w:t>
      </w:r>
      <w:r w:rsidR="00B878F0" w:rsidRPr="00352AAF">
        <w:rPr>
          <w:sz w:val="24"/>
          <w:szCs w:val="24"/>
        </w:rPr>
        <w:t xml:space="preserve"> </w:t>
      </w:r>
      <w:r w:rsidR="008F0251" w:rsidRPr="00352AAF">
        <w:rPr>
          <w:sz w:val="24"/>
          <w:szCs w:val="24"/>
        </w:rPr>
        <w:t xml:space="preserve">Like recalling Abraham, recalling the exodus can have many kinds of </w:t>
      </w:r>
      <w:r w:rsidR="008F0251" w:rsidRPr="00352AAF">
        <w:rPr>
          <w:sz w:val="24"/>
          <w:szCs w:val="24"/>
        </w:rPr>
        <w:lastRenderedPageBreak/>
        <w:t xml:space="preserve">significance. Teresa </w:t>
      </w:r>
      <w:proofErr w:type="spellStart"/>
      <w:r w:rsidR="008F0251" w:rsidRPr="00352AAF">
        <w:rPr>
          <w:sz w:val="24"/>
          <w:szCs w:val="24"/>
        </w:rPr>
        <w:t>Staneck</w:t>
      </w:r>
      <w:proofErr w:type="spellEnd"/>
      <w:r w:rsidR="008F0251" w:rsidRPr="00352AAF">
        <w:rPr>
          <w:sz w:val="24"/>
          <w:szCs w:val="24"/>
        </w:rPr>
        <w:t xml:space="preserve"> comments that it can aim</w:t>
      </w:r>
      <w:r w:rsidR="00000D18" w:rsidRPr="00352AAF">
        <w:rPr>
          <w:sz w:val="24"/>
          <w:szCs w:val="24"/>
        </w:rPr>
        <w:t xml:space="preserve"> to admonish and present moral demands, effect joy and gratitude, bring hope in distress, affirm Yahweh’s actuality, and justify cultic and administrative enterprises. </w:t>
      </w:r>
      <w:r w:rsidR="00B878F0" w:rsidRPr="00352AAF">
        <w:rPr>
          <w:sz w:val="24"/>
          <w:szCs w:val="24"/>
        </w:rPr>
        <w:t>The description of exodus and covenant “presents not so much the tangled meanders of human memories but, rather, a variety of theological interpretations.”</w:t>
      </w:r>
      <w:r w:rsidR="00B878F0" w:rsidRPr="00352AAF">
        <w:rPr>
          <w:rStyle w:val="FootnoteReference"/>
          <w:sz w:val="24"/>
          <w:szCs w:val="24"/>
        </w:rPr>
        <w:footnoteReference w:id="30"/>
      </w:r>
      <w:r w:rsidR="00B878F0" w:rsidRPr="00352AAF">
        <w:rPr>
          <w:sz w:val="24"/>
          <w:szCs w:val="24"/>
        </w:rPr>
        <w:t xml:space="preserve"> Frank </w:t>
      </w:r>
      <w:proofErr w:type="spellStart"/>
      <w:r w:rsidR="00000D18" w:rsidRPr="00352AAF">
        <w:rPr>
          <w:sz w:val="24"/>
          <w:szCs w:val="24"/>
        </w:rPr>
        <w:t>Polak</w:t>
      </w:r>
      <w:proofErr w:type="spellEnd"/>
      <w:r w:rsidR="00000D18" w:rsidRPr="00352AAF">
        <w:rPr>
          <w:sz w:val="24"/>
          <w:szCs w:val="24"/>
        </w:rPr>
        <w:t>: “Biblical narrative embodies significant parts of the cultural memory of ancient Israelite society….  It provides a picture of the past that bonds the community, provides the charter for its various ways of life and its visions of the future, and thus constructs and confirms a view of Isr</w:t>
      </w:r>
      <w:r w:rsidR="001F021E" w:rsidRPr="00352AAF">
        <w:rPr>
          <w:sz w:val="24"/>
          <w:szCs w:val="24"/>
        </w:rPr>
        <w:t>ael’s communal identity.”  I</w:t>
      </w:r>
      <w:r w:rsidR="00000D18" w:rsidRPr="00352AAF">
        <w:rPr>
          <w:sz w:val="24"/>
          <w:szCs w:val="24"/>
        </w:rPr>
        <w:t>n doing so</w:t>
      </w:r>
      <w:r w:rsidR="00B878F0" w:rsidRPr="00352AAF">
        <w:rPr>
          <w:sz w:val="24"/>
          <w:szCs w:val="24"/>
        </w:rPr>
        <w:t xml:space="preserve">, he goes </w:t>
      </w:r>
      <w:proofErr w:type="gramStart"/>
      <w:r w:rsidR="00B878F0" w:rsidRPr="00352AAF">
        <w:rPr>
          <w:sz w:val="24"/>
          <w:szCs w:val="24"/>
        </w:rPr>
        <w:t>on,</w:t>
      </w:r>
      <w:proofErr w:type="gramEnd"/>
      <w:r w:rsidR="00000D18" w:rsidRPr="00352AAF">
        <w:rPr>
          <w:sz w:val="24"/>
          <w:szCs w:val="24"/>
        </w:rPr>
        <w:t xml:space="preserve"> it “incorporates an endless variety of different voices.”</w:t>
      </w:r>
      <w:r w:rsidR="00000D18" w:rsidRPr="00352AAF">
        <w:rPr>
          <w:rStyle w:val="FootnoteReference"/>
          <w:sz w:val="24"/>
          <w:szCs w:val="24"/>
        </w:rPr>
        <w:footnoteReference w:id="31"/>
      </w:r>
      <w:r w:rsidR="00000D18" w:rsidRPr="00352AAF">
        <w:rPr>
          <w:sz w:val="24"/>
          <w:szCs w:val="24"/>
        </w:rPr>
        <w:t xml:space="preserve"> It remembers things in ways that express their significance for the people who do the remembering. The plural is deliberate: it remembers them in </w:t>
      </w:r>
      <w:r w:rsidR="00000D18" w:rsidRPr="00352AAF">
        <w:rPr>
          <w:i/>
          <w:sz w:val="24"/>
          <w:szCs w:val="24"/>
        </w:rPr>
        <w:t>ways</w:t>
      </w:r>
      <w:r w:rsidR="00000D18" w:rsidRPr="00352AAF">
        <w:rPr>
          <w:sz w:val="24"/>
          <w:szCs w:val="24"/>
        </w:rPr>
        <w:t xml:space="preserve"> that are d</w:t>
      </w:r>
      <w:r w:rsidR="001F021E" w:rsidRPr="00352AAF">
        <w:rPr>
          <w:sz w:val="24"/>
          <w:szCs w:val="24"/>
        </w:rPr>
        <w:t>eliberate. Philip Davies: “B</w:t>
      </w:r>
      <w:r w:rsidR="00000D18" w:rsidRPr="00352AAF">
        <w:rPr>
          <w:sz w:val="24"/>
          <w:szCs w:val="24"/>
        </w:rPr>
        <w:t>iblical ‘history’ is not just one memory… but a memory that is really a combination of collective memories…. The Bible is dialogical: it represents dominant, but also submerged voices, identities, and recollections.”</w:t>
      </w:r>
      <w:r w:rsidR="00000D18" w:rsidRPr="00352AAF">
        <w:rPr>
          <w:rStyle w:val="FootnoteReference"/>
          <w:sz w:val="24"/>
          <w:szCs w:val="24"/>
        </w:rPr>
        <w:footnoteReference w:id="32"/>
      </w:r>
    </w:p>
    <w:p w:rsidR="00000D18" w:rsidRPr="00352AAF" w:rsidRDefault="00000D18" w:rsidP="00352AAF">
      <w:pPr>
        <w:spacing w:line="360" w:lineRule="auto"/>
        <w:rPr>
          <w:sz w:val="24"/>
          <w:szCs w:val="24"/>
        </w:rPr>
      </w:pPr>
    </w:p>
    <w:p w:rsidR="00000D18" w:rsidRPr="00352AAF" w:rsidRDefault="001F021E" w:rsidP="00352AAF">
      <w:pPr>
        <w:spacing w:line="360" w:lineRule="auto"/>
        <w:rPr>
          <w:sz w:val="24"/>
          <w:szCs w:val="24"/>
        </w:rPr>
      </w:pPr>
      <w:r w:rsidRPr="00352AAF">
        <w:rPr>
          <w:sz w:val="24"/>
          <w:szCs w:val="24"/>
        </w:rPr>
        <w:t>I</w:t>
      </w:r>
      <w:r w:rsidR="00000D18" w:rsidRPr="00352AAF">
        <w:rPr>
          <w:sz w:val="24"/>
          <w:szCs w:val="24"/>
        </w:rPr>
        <w:t xml:space="preserve">n considering Israel’s memories, </w:t>
      </w:r>
      <w:r w:rsidR="008F0251" w:rsidRPr="00352AAF">
        <w:rPr>
          <w:sz w:val="24"/>
          <w:szCs w:val="24"/>
        </w:rPr>
        <w:t xml:space="preserve">then, </w:t>
      </w:r>
      <w:r w:rsidR="00000D18" w:rsidRPr="00352AAF">
        <w:rPr>
          <w:sz w:val="24"/>
          <w:szCs w:val="24"/>
        </w:rPr>
        <w:t xml:space="preserve">Old Testament theology brings together differing memories. </w:t>
      </w:r>
      <w:r w:rsidR="00B63EDF" w:rsidRPr="00352AAF">
        <w:rPr>
          <w:sz w:val="24"/>
          <w:szCs w:val="24"/>
        </w:rPr>
        <w:t>Mark Smith notes how t</w:t>
      </w:r>
      <w:r w:rsidR="00000D18" w:rsidRPr="00352AAF">
        <w:rPr>
          <w:sz w:val="24"/>
          <w:szCs w:val="24"/>
        </w:rPr>
        <w:t>he Old Testament often declares that it is impossi</w:t>
      </w:r>
      <w:r w:rsidR="00B63EDF" w:rsidRPr="00352AAF">
        <w:rPr>
          <w:sz w:val="24"/>
          <w:szCs w:val="24"/>
        </w:rPr>
        <w:t xml:space="preserve">ble or inadvisable to see God, yet in Exodus 24:9-11 </w:t>
      </w:r>
      <w:r w:rsidR="00000D18" w:rsidRPr="00352AAF">
        <w:rPr>
          <w:sz w:val="24"/>
          <w:szCs w:val="24"/>
        </w:rPr>
        <w:t>preserves a memory about Moses and his entourage seeing God.</w:t>
      </w:r>
      <w:r w:rsidR="00000D18" w:rsidRPr="00352AAF">
        <w:rPr>
          <w:rStyle w:val="FootnoteReference"/>
          <w:sz w:val="24"/>
          <w:szCs w:val="24"/>
        </w:rPr>
        <w:footnoteReference w:id="33"/>
      </w:r>
      <w:r w:rsidR="00000D18" w:rsidRPr="00352AAF">
        <w:rPr>
          <w:sz w:val="24"/>
          <w:szCs w:val="24"/>
        </w:rPr>
        <w:t xml:space="preserve"> </w:t>
      </w:r>
      <w:r w:rsidR="008F0251" w:rsidRPr="00352AAF">
        <w:rPr>
          <w:sz w:val="24"/>
          <w:szCs w:val="24"/>
        </w:rPr>
        <w:t xml:space="preserve">Sometimes Israel was happy to affirm </w:t>
      </w:r>
      <w:r w:rsidRPr="00352AAF">
        <w:rPr>
          <w:sz w:val="24"/>
          <w:szCs w:val="24"/>
        </w:rPr>
        <w:t>conflicting memories</w:t>
      </w:r>
      <w:r w:rsidR="00B63EDF" w:rsidRPr="00352AAF">
        <w:rPr>
          <w:sz w:val="24"/>
          <w:szCs w:val="24"/>
        </w:rPr>
        <w:t>. T</w:t>
      </w:r>
      <w:r w:rsidRPr="00352AAF">
        <w:rPr>
          <w:sz w:val="24"/>
          <w:szCs w:val="24"/>
        </w:rPr>
        <w:t>here were other points at</w:t>
      </w:r>
      <w:r w:rsidR="004621A5" w:rsidRPr="00352AAF">
        <w:rPr>
          <w:sz w:val="24"/>
          <w:szCs w:val="24"/>
        </w:rPr>
        <w:t xml:space="preserve"> which it was unwillin</w:t>
      </w:r>
      <w:r w:rsidR="008F0251" w:rsidRPr="00352AAF">
        <w:rPr>
          <w:sz w:val="24"/>
          <w:szCs w:val="24"/>
        </w:rPr>
        <w:t>g to do so</w:t>
      </w:r>
      <w:r w:rsidR="00B63EDF" w:rsidRPr="00352AAF">
        <w:rPr>
          <w:sz w:val="24"/>
          <w:szCs w:val="24"/>
        </w:rPr>
        <w:t>. It</w:t>
      </w:r>
      <w:r w:rsidRPr="00352AAF">
        <w:rPr>
          <w:sz w:val="24"/>
          <w:szCs w:val="24"/>
        </w:rPr>
        <w:t xml:space="preserve"> felt differently concerning</w:t>
      </w:r>
      <w:r w:rsidR="00B63EDF" w:rsidRPr="00352AAF">
        <w:rPr>
          <w:sz w:val="24"/>
          <w:szCs w:val="24"/>
        </w:rPr>
        <w:t xml:space="preserve"> that</w:t>
      </w:r>
      <w:r w:rsidR="00000D18" w:rsidRPr="00352AAF">
        <w:rPr>
          <w:sz w:val="24"/>
          <w:szCs w:val="24"/>
        </w:rPr>
        <w:t xml:space="preserve"> memory </w:t>
      </w:r>
      <w:r w:rsidRPr="00352AAF">
        <w:rPr>
          <w:sz w:val="24"/>
          <w:szCs w:val="24"/>
        </w:rPr>
        <w:t xml:space="preserve">about seeing God </w:t>
      </w:r>
      <w:r w:rsidR="00000D18" w:rsidRPr="00352AAF">
        <w:rPr>
          <w:sz w:val="24"/>
          <w:szCs w:val="24"/>
        </w:rPr>
        <w:t>from the way it felt about the memory of treating Yahweh as having a consort. Archeological discoveries suggest that Yahweh could be understoo</w:t>
      </w:r>
      <w:r w:rsidR="00B878F0" w:rsidRPr="00352AAF">
        <w:rPr>
          <w:sz w:val="24"/>
          <w:szCs w:val="24"/>
        </w:rPr>
        <w:t xml:space="preserve">d to have a consort, </w:t>
      </w:r>
      <w:r w:rsidRPr="00352AAF">
        <w:rPr>
          <w:sz w:val="24"/>
          <w:szCs w:val="24"/>
        </w:rPr>
        <w:t xml:space="preserve">and that this understanding was </w:t>
      </w:r>
      <w:r w:rsidR="00000D18" w:rsidRPr="00352AAF">
        <w:rPr>
          <w:sz w:val="24"/>
          <w:szCs w:val="24"/>
        </w:rPr>
        <w:t xml:space="preserve">not merely </w:t>
      </w:r>
      <w:r w:rsidR="0008015B" w:rsidRPr="00352AAF">
        <w:rPr>
          <w:sz w:val="24"/>
          <w:szCs w:val="24"/>
        </w:rPr>
        <w:t xml:space="preserve">as </w:t>
      </w:r>
      <w:r w:rsidR="00000D18" w:rsidRPr="00352AAF">
        <w:rPr>
          <w:sz w:val="24"/>
          <w:szCs w:val="24"/>
        </w:rPr>
        <w:t>part of unofficial or private religion but part of public, official religion.</w:t>
      </w:r>
      <w:r w:rsidR="00000D18" w:rsidRPr="00352AAF">
        <w:rPr>
          <w:rStyle w:val="FootnoteReference"/>
          <w:sz w:val="24"/>
          <w:szCs w:val="24"/>
        </w:rPr>
        <w:footnoteReference w:id="34"/>
      </w:r>
      <w:r w:rsidR="00000D18" w:rsidRPr="00352AAF">
        <w:rPr>
          <w:sz w:val="24"/>
          <w:szCs w:val="24"/>
        </w:rPr>
        <w:t xml:space="preserve"> </w:t>
      </w:r>
      <w:r w:rsidR="00000D18" w:rsidRPr="00352AAF">
        <w:rPr>
          <w:bCs/>
          <w:sz w:val="24"/>
          <w:szCs w:val="24"/>
        </w:rPr>
        <w:t>In Israel, the memory of the community’s worshiping Yahweh’s consort is construed differently by the people whose memor</w:t>
      </w:r>
      <w:r w:rsidR="00305710" w:rsidRPr="00352AAF">
        <w:rPr>
          <w:bCs/>
          <w:sz w:val="24"/>
          <w:szCs w:val="24"/>
        </w:rPr>
        <w:t>y is reported in Jeremiah 44</w:t>
      </w:r>
      <w:r w:rsidR="00000D18" w:rsidRPr="00352AAF">
        <w:rPr>
          <w:bCs/>
          <w:sz w:val="24"/>
          <w:szCs w:val="24"/>
        </w:rPr>
        <w:t xml:space="preserve"> and by </w:t>
      </w:r>
      <w:r w:rsidR="00000D18" w:rsidRPr="00352AAF">
        <w:rPr>
          <w:bCs/>
          <w:sz w:val="24"/>
          <w:szCs w:val="24"/>
        </w:rPr>
        <w:lastRenderedPageBreak/>
        <w:t xml:space="preserve">the people who wrote that narrative. </w:t>
      </w:r>
      <w:r w:rsidRPr="00352AAF">
        <w:rPr>
          <w:bCs/>
          <w:sz w:val="24"/>
          <w:szCs w:val="24"/>
        </w:rPr>
        <w:t xml:space="preserve">It is </w:t>
      </w:r>
      <w:r w:rsidR="008F0251" w:rsidRPr="00352AAF">
        <w:rPr>
          <w:bCs/>
          <w:sz w:val="24"/>
          <w:szCs w:val="24"/>
        </w:rPr>
        <w:t xml:space="preserve">indeed </w:t>
      </w:r>
      <w:r w:rsidRPr="00352AAF">
        <w:rPr>
          <w:bCs/>
          <w:sz w:val="24"/>
          <w:szCs w:val="24"/>
        </w:rPr>
        <w:t xml:space="preserve">regularly the case that memory is contested. </w:t>
      </w:r>
      <w:r w:rsidRPr="00352AAF">
        <w:rPr>
          <w:sz w:val="24"/>
          <w:szCs w:val="24"/>
        </w:rPr>
        <w:t xml:space="preserve">While the Old Testament </w:t>
      </w:r>
      <w:r w:rsidR="00305710" w:rsidRPr="00352AAF">
        <w:rPr>
          <w:sz w:val="24"/>
          <w:szCs w:val="24"/>
        </w:rPr>
        <w:t>preserves reference to</w:t>
      </w:r>
      <w:r w:rsidR="00000D18" w:rsidRPr="00352AAF">
        <w:rPr>
          <w:sz w:val="24"/>
          <w:szCs w:val="24"/>
        </w:rPr>
        <w:t xml:space="preserve"> Israel’s acknowledging other deities, male and female</w:t>
      </w:r>
      <w:r w:rsidR="00305710" w:rsidRPr="00352AAF">
        <w:rPr>
          <w:sz w:val="24"/>
          <w:szCs w:val="24"/>
        </w:rPr>
        <w:t>, it has eliminated this memory from its account of what counted as proper Israelite religion.</w:t>
      </w:r>
    </w:p>
    <w:p w:rsidR="00000D18" w:rsidRPr="00352AAF" w:rsidRDefault="00000D18" w:rsidP="00352AAF">
      <w:pPr>
        <w:spacing w:line="360" w:lineRule="auto"/>
        <w:rPr>
          <w:sz w:val="24"/>
          <w:szCs w:val="24"/>
        </w:rPr>
      </w:pPr>
    </w:p>
    <w:p w:rsidR="00000D18" w:rsidRPr="00352AAF" w:rsidRDefault="00000D18" w:rsidP="00352AAF">
      <w:pPr>
        <w:spacing w:line="360" w:lineRule="auto"/>
        <w:rPr>
          <w:sz w:val="24"/>
          <w:szCs w:val="24"/>
        </w:rPr>
      </w:pPr>
      <w:r w:rsidRPr="00352AAF">
        <w:rPr>
          <w:sz w:val="24"/>
          <w:szCs w:val="24"/>
        </w:rPr>
        <w:t>Michel Foucault argues that “Since memory is actually a very important factor in struggle…, if one controls people's memory, one controls their dynamism. And one also controls their experience, their knowledge of previous struggles…. It is vital to have possession of this memory.”</w:t>
      </w:r>
      <w:r w:rsidRPr="00352AAF">
        <w:rPr>
          <w:rStyle w:val="FootnoteReference"/>
          <w:sz w:val="24"/>
          <w:szCs w:val="24"/>
        </w:rPr>
        <w:footnoteReference w:id="35"/>
      </w:r>
      <w:r w:rsidR="004621A5" w:rsidRPr="00352AAF">
        <w:rPr>
          <w:sz w:val="24"/>
          <w:szCs w:val="24"/>
        </w:rPr>
        <w:t xml:space="preserve"> Yet how far is it </w:t>
      </w:r>
      <w:r w:rsidRPr="00352AAF">
        <w:rPr>
          <w:sz w:val="24"/>
          <w:szCs w:val="24"/>
        </w:rPr>
        <w:t>possible</w:t>
      </w:r>
      <w:r w:rsidR="008F0251" w:rsidRPr="00352AAF">
        <w:rPr>
          <w:sz w:val="24"/>
          <w:szCs w:val="24"/>
        </w:rPr>
        <w:t xml:space="preserve"> to control people’s memory? M</w:t>
      </w:r>
      <w:r w:rsidR="004621A5" w:rsidRPr="00352AAF">
        <w:rPr>
          <w:sz w:val="24"/>
          <w:szCs w:val="24"/>
        </w:rPr>
        <w:t xml:space="preserve">emory </w:t>
      </w:r>
      <w:r w:rsidR="008F0251" w:rsidRPr="00352AAF">
        <w:rPr>
          <w:sz w:val="24"/>
          <w:szCs w:val="24"/>
        </w:rPr>
        <w:t xml:space="preserve">can surely </w:t>
      </w:r>
      <w:r w:rsidRPr="00352AAF">
        <w:rPr>
          <w:sz w:val="24"/>
          <w:szCs w:val="24"/>
        </w:rPr>
        <w:t xml:space="preserve">subvert the powers that seek control. </w:t>
      </w:r>
      <w:r w:rsidR="00305710" w:rsidRPr="00352AAF">
        <w:rPr>
          <w:sz w:val="24"/>
          <w:szCs w:val="24"/>
        </w:rPr>
        <w:t xml:space="preserve">In the short term, at least, the account of Israel’s story in the Books of </w:t>
      </w:r>
      <w:r w:rsidR="004621A5" w:rsidRPr="00352AAF">
        <w:rPr>
          <w:sz w:val="24"/>
          <w:szCs w:val="24"/>
        </w:rPr>
        <w:t>Kings failed to</w:t>
      </w:r>
      <w:r w:rsidR="008E37BD" w:rsidRPr="00352AAF">
        <w:rPr>
          <w:sz w:val="24"/>
          <w:szCs w:val="24"/>
        </w:rPr>
        <w:t xml:space="preserve"> determine how people</w:t>
      </w:r>
      <w:r w:rsidR="00305710" w:rsidRPr="00352AAF">
        <w:rPr>
          <w:sz w:val="24"/>
          <w:szCs w:val="24"/>
        </w:rPr>
        <w:t xml:space="preserve"> would now relate to Yahweh and to other deities. </w:t>
      </w:r>
      <w:r w:rsidR="004621A5" w:rsidRPr="00352AAF">
        <w:rPr>
          <w:sz w:val="24"/>
          <w:szCs w:val="24"/>
        </w:rPr>
        <w:t>Judah as a whole</w:t>
      </w:r>
      <w:r w:rsidR="008E37BD" w:rsidRPr="00352AAF">
        <w:rPr>
          <w:sz w:val="24"/>
          <w:szCs w:val="24"/>
        </w:rPr>
        <w:t xml:space="preserve"> did not submit to the perspective commended by the books. </w:t>
      </w:r>
      <w:r w:rsidRPr="00352AAF">
        <w:rPr>
          <w:sz w:val="24"/>
          <w:szCs w:val="24"/>
        </w:rPr>
        <w:t xml:space="preserve">Richard </w:t>
      </w:r>
      <w:proofErr w:type="spellStart"/>
      <w:r w:rsidRPr="00352AAF">
        <w:rPr>
          <w:sz w:val="24"/>
          <w:szCs w:val="24"/>
        </w:rPr>
        <w:t>Terdiman</w:t>
      </w:r>
      <w:proofErr w:type="spellEnd"/>
      <w:r w:rsidRPr="00352AAF">
        <w:rPr>
          <w:sz w:val="24"/>
          <w:szCs w:val="24"/>
        </w:rPr>
        <w:t>: “</w:t>
      </w:r>
      <w:r w:rsidRPr="00352AAF">
        <w:rPr>
          <w:rFonts w:eastAsiaTheme="minorHAnsi"/>
          <w:sz w:val="24"/>
          <w:szCs w:val="24"/>
        </w:rPr>
        <w:t>Although memory sustains hegemony, it also subverts it through its capacity to recollect and to restore the alternative discourses the dominant wou</w:t>
      </w:r>
      <w:r w:rsidR="00B63EDF" w:rsidRPr="00352AAF">
        <w:rPr>
          <w:rFonts w:eastAsiaTheme="minorHAnsi"/>
          <w:sz w:val="24"/>
          <w:szCs w:val="24"/>
        </w:rPr>
        <w:t>ld simply bleach out and forget</w:t>
      </w:r>
      <w:r w:rsidRPr="00352AAF">
        <w:rPr>
          <w:rFonts w:eastAsiaTheme="minorHAnsi"/>
          <w:sz w:val="24"/>
          <w:szCs w:val="24"/>
        </w:rPr>
        <w:t>.”</w:t>
      </w:r>
      <w:r w:rsidRPr="00352AAF">
        <w:rPr>
          <w:rStyle w:val="FootnoteReference"/>
          <w:rFonts w:eastAsiaTheme="minorHAnsi"/>
          <w:sz w:val="24"/>
          <w:szCs w:val="24"/>
        </w:rPr>
        <w:footnoteReference w:id="36"/>
      </w:r>
      <w:r w:rsidRPr="00352AAF">
        <w:rPr>
          <w:rFonts w:eastAsiaTheme="minorHAnsi"/>
          <w:sz w:val="24"/>
          <w:szCs w:val="24"/>
        </w:rPr>
        <w:t xml:space="preserve"> </w:t>
      </w:r>
      <w:proofErr w:type="spellStart"/>
      <w:r w:rsidRPr="00352AAF">
        <w:rPr>
          <w:sz w:val="24"/>
          <w:szCs w:val="24"/>
        </w:rPr>
        <w:t>Assmann</w:t>
      </w:r>
      <w:proofErr w:type="spellEnd"/>
      <w:r w:rsidRPr="00352AAF">
        <w:rPr>
          <w:sz w:val="24"/>
          <w:szCs w:val="24"/>
        </w:rPr>
        <w:t xml:space="preserve"> notes the contrast between canonization from below against the monarchy (in Deuteronomy), canonization from below against the hegemony of the imperial culture (in exilic writings),</w:t>
      </w:r>
      <w:r w:rsidR="00305710" w:rsidRPr="00352AAF">
        <w:rPr>
          <w:sz w:val="24"/>
          <w:szCs w:val="24"/>
        </w:rPr>
        <w:t xml:space="preserve"> </w:t>
      </w:r>
      <w:r w:rsidR="008B1ED6" w:rsidRPr="00352AAF">
        <w:rPr>
          <w:sz w:val="24"/>
          <w:szCs w:val="24"/>
        </w:rPr>
        <w:t xml:space="preserve">and </w:t>
      </w:r>
      <w:r w:rsidRPr="00352AAF">
        <w:rPr>
          <w:sz w:val="24"/>
          <w:szCs w:val="24"/>
        </w:rPr>
        <w:t>canonization from above by the authorization of the imperial authority (in Ezra).</w:t>
      </w:r>
      <w:r w:rsidRPr="00352AAF">
        <w:rPr>
          <w:rStyle w:val="FootnoteReference"/>
          <w:sz w:val="24"/>
          <w:szCs w:val="24"/>
        </w:rPr>
        <w:footnoteReference w:id="37"/>
      </w:r>
      <w:r w:rsidR="00B63EDF" w:rsidRPr="00352AAF">
        <w:rPr>
          <w:sz w:val="24"/>
          <w:szCs w:val="24"/>
        </w:rPr>
        <w:t xml:space="preserve"> Further, there is an ambiguity within</w:t>
      </w:r>
      <w:r w:rsidR="004621A5" w:rsidRPr="00352AAF">
        <w:rPr>
          <w:sz w:val="24"/>
          <w:szCs w:val="24"/>
        </w:rPr>
        <w:t xml:space="preserve"> </w:t>
      </w:r>
      <w:r w:rsidRPr="00352AAF">
        <w:rPr>
          <w:sz w:val="24"/>
          <w:szCs w:val="24"/>
        </w:rPr>
        <w:t>these embodiments of memory. The attitude taken to the Persian a</w:t>
      </w:r>
      <w:r w:rsidR="00B63EDF" w:rsidRPr="00352AAF">
        <w:rPr>
          <w:sz w:val="24"/>
          <w:szCs w:val="24"/>
        </w:rPr>
        <w:t>uthorities in Ezra-Nehemiah is both positive and negative. N</w:t>
      </w:r>
      <w:r w:rsidRPr="00352AAF">
        <w:rPr>
          <w:sz w:val="24"/>
          <w:szCs w:val="24"/>
        </w:rPr>
        <w:t xml:space="preserve">arrative memory is </w:t>
      </w:r>
      <w:r w:rsidR="00B63EDF" w:rsidRPr="00352AAF">
        <w:rPr>
          <w:sz w:val="24"/>
          <w:szCs w:val="24"/>
        </w:rPr>
        <w:t xml:space="preserve">indeed </w:t>
      </w:r>
      <w:r w:rsidRPr="00352AAF">
        <w:rPr>
          <w:sz w:val="24"/>
          <w:szCs w:val="24"/>
        </w:rPr>
        <w:t>capable of preserving ambiguity. Writing supports memory and creates a symbolic order that undergirds the state</w:t>
      </w:r>
      <w:r w:rsidR="00B63EDF" w:rsidRPr="00352AAF">
        <w:rPr>
          <w:sz w:val="24"/>
          <w:szCs w:val="24"/>
        </w:rPr>
        <w:t>;</w:t>
      </w:r>
      <w:r w:rsidRPr="00352AAF">
        <w:rPr>
          <w:rStyle w:val="FootnoteReference"/>
          <w:sz w:val="24"/>
          <w:szCs w:val="24"/>
        </w:rPr>
        <w:footnoteReference w:id="38"/>
      </w:r>
      <w:r w:rsidR="00B63EDF" w:rsidRPr="00352AAF">
        <w:rPr>
          <w:sz w:val="24"/>
          <w:szCs w:val="24"/>
        </w:rPr>
        <w:t xml:space="preserve"> yet Isaiah and Jeremiah </w:t>
      </w:r>
      <w:r w:rsidRPr="00352AAF">
        <w:rPr>
          <w:sz w:val="24"/>
          <w:szCs w:val="24"/>
        </w:rPr>
        <w:t>have their words written down, to subvert the state.</w:t>
      </w:r>
      <w:r w:rsidR="008E37BD" w:rsidRPr="00352AAF">
        <w:rPr>
          <w:sz w:val="24"/>
          <w:szCs w:val="24"/>
        </w:rPr>
        <w:t xml:space="preserve"> Memory can</w:t>
      </w:r>
      <w:r w:rsidR="004621A5" w:rsidRPr="00352AAF">
        <w:rPr>
          <w:sz w:val="24"/>
          <w:szCs w:val="24"/>
        </w:rPr>
        <w:t xml:space="preserve"> preserve</w:t>
      </w:r>
      <w:r w:rsidRPr="00352AAF">
        <w:rPr>
          <w:sz w:val="24"/>
          <w:szCs w:val="24"/>
        </w:rPr>
        <w:t xml:space="preserve"> plura</w:t>
      </w:r>
      <w:r w:rsidR="005D215A" w:rsidRPr="00352AAF">
        <w:rPr>
          <w:sz w:val="24"/>
          <w:szCs w:val="24"/>
        </w:rPr>
        <w:t>lity, complexity, and ambiguity.</w:t>
      </w:r>
    </w:p>
    <w:p w:rsidR="005131FB" w:rsidRPr="00352AAF" w:rsidRDefault="005131FB" w:rsidP="00352AAF">
      <w:pPr>
        <w:pStyle w:val="Heading1"/>
        <w:numPr>
          <w:ilvl w:val="0"/>
          <w:numId w:val="1"/>
        </w:numPr>
        <w:spacing w:line="360" w:lineRule="auto"/>
        <w:rPr>
          <w:sz w:val="24"/>
          <w:szCs w:val="24"/>
        </w:rPr>
      </w:pPr>
      <w:r w:rsidRPr="00352AAF">
        <w:rPr>
          <w:sz w:val="24"/>
          <w:szCs w:val="24"/>
        </w:rPr>
        <w:t xml:space="preserve">Memory and </w:t>
      </w:r>
      <w:r w:rsidR="005D629B" w:rsidRPr="00352AAF">
        <w:rPr>
          <w:sz w:val="24"/>
          <w:szCs w:val="24"/>
        </w:rPr>
        <w:t xml:space="preserve">Israel’s </w:t>
      </w:r>
      <w:r w:rsidR="00BD692F" w:rsidRPr="00352AAF">
        <w:rPr>
          <w:sz w:val="24"/>
          <w:szCs w:val="24"/>
        </w:rPr>
        <w:t>Hope</w:t>
      </w:r>
    </w:p>
    <w:p w:rsidR="008D1687" w:rsidRPr="00352AAF" w:rsidRDefault="0039290D" w:rsidP="00352AAF">
      <w:pPr>
        <w:spacing w:line="360" w:lineRule="auto"/>
        <w:rPr>
          <w:rFonts w:eastAsiaTheme="minorHAnsi" w:cs="CheltenhamBT-Roman"/>
          <w:sz w:val="24"/>
          <w:szCs w:val="24"/>
        </w:rPr>
      </w:pPr>
      <w:r w:rsidRPr="00352AAF">
        <w:rPr>
          <w:sz w:val="24"/>
          <w:szCs w:val="24"/>
        </w:rPr>
        <w:t xml:space="preserve">I come </w:t>
      </w:r>
      <w:r w:rsidR="00B63EDF" w:rsidRPr="00352AAF">
        <w:rPr>
          <w:sz w:val="24"/>
          <w:szCs w:val="24"/>
        </w:rPr>
        <w:t xml:space="preserve">to </w:t>
      </w:r>
      <w:r w:rsidR="001B6D87" w:rsidRPr="00352AAF">
        <w:rPr>
          <w:sz w:val="24"/>
          <w:szCs w:val="24"/>
        </w:rPr>
        <w:t xml:space="preserve">memory and hope. </w:t>
      </w:r>
      <w:proofErr w:type="spellStart"/>
      <w:r w:rsidR="001B6D87" w:rsidRPr="00352AAF">
        <w:rPr>
          <w:sz w:val="24"/>
          <w:szCs w:val="24"/>
        </w:rPr>
        <w:t>Elie</w:t>
      </w:r>
      <w:proofErr w:type="spellEnd"/>
      <w:r w:rsidR="001B6D87" w:rsidRPr="00352AAF">
        <w:rPr>
          <w:sz w:val="24"/>
          <w:szCs w:val="24"/>
        </w:rPr>
        <w:t xml:space="preserve"> Wiesel has said that “remember” is the most frequent </w:t>
      </w:r>
      <w:r w:rsidR="001B6D87" w:rsidRPr="00352AAF">
        <w:rPr>
          <w:sz w:val="24"/>
          <w:szCs w:val="24"/>
        </w:rPr>
        <w:lastRenderedPageBreak/>
        <w:t>command in the Bible.</w:t>
      </w:r>
      <w:r w:rsidR="001B6D87" w:rsidRPr="00352AAF">
        <w:rPr>
          <w:rStyle w:val="FootnoteReference"/>
          <w:sz w:val="24"/>
          <w:szCs w:val="24"/>
        </w:rPr>
        <w:footnoteReference w:id="39"/>
      </w:r>
      <w:r w:rsidR="001B6D87" w:rsidRPr="00352AAF">
        <w:rPr>
          <w:sz w:val="24"/>
          <w:szCs w:val="24"/>
        </w:rPr>
        <w:t xml:space="preserve"> It’s an exaggeration; indeed, my wife thought that “Don’t be afraid” was the most frequent command in the Bible. Then we realized that these tw</w:t>
      </w:r>
      <w:r w:rsidR="0008015B" w:rsidRPr="00352AAF">
        <w:rPr>
          <w:sz w:val="24"/>
          <w:szCs w:val="24"/>
        </w:rPr>
        <w:t>o commands can be connected:</w:t>
      </w:r>
      <w:r w:rsidR="001B6D87" w:rsidRPr="00352AAF">
        <w:rPr>
          <w:sz w:val="24"/>
          <w:szCs w:val="24"/>
        </w:rPr>
        <w:t xml:space="preserve"> one key to avoiding fear is to remember. </w:t>
      </w:r>
      <w:r w:rsidR="00CF4914" w:rsidRPr="00352AAF">
        <w:rPr>
          <w:sz w:val="24"/>
          <w:szCs w:val="24"/>
        </w:rPr>
        <w:t xml:space="preserve">Deuteronomy bids Israel </w:t>
      </w:r>
      <w:r w:rsidR="001B6D87" w:rsidRPr="00352AAF">
        <w:rPr>
          <w:sz w:val="24"/>
          <w:szCs w:val="24"/>
        </w:rPr>
        <w:t xml:space="preserve">not to be afraid of the Canaanites but to </w:t>
      </w:r>
      <w:r w:rsidR="001B6D87" w:rsidRPr="00352AAF">
        <w:rPr>
          <w:rStyle w:val="highlight"/>
          <w:sz w:val="24"/>
          <w:szCs w:val="24"/>
        </w:rPr>
        <w:t>remember</w:t>
      </w:r>
      <w:r w:rsidR="001B6D87" w:rsidRPr="00352AAF">
        <w:rPr>
          <w:sz w:val="24"/>
          <w:szCs w:val="24"/>
        </w:rPr>
        <w:t xml:space="preserve"> car</w:t>
      </w:r>
      <w:r w:rsidR="00CF4914" w:rsidRPr="00352AAF">
        <w:rPr>
          <w:sz w:val="24"/>
          <w:szCs w:val="24"/>
        </w:rPr>
        <w:t>efully what Yahweh did to Egypt.</w:t>
      </w:r>
      <w:r w:rsidR="00CF4914" w:rsidRPr="00352AAF">
        <w:rPr>
          <w:rStyle w:val="FootnoteReference"/>
          <w:sz w:val="24"/>
          <w:szCs w:val="24"/>
        </w:rPr>
        <w:footnoteReference w:id="40"/>
      </w:r>
      <w:r w:rsidR="00CF4914" w:rsidRPr="00352AAF">
        <w:rPr>
          <w:sz w:val="24"/>
          <w:szCs w:val="24"/>
        </w:rPr>
        <w:t xml:space="preserve"> </w:t>
      </w:r>
      <w:r w:rsidR="001B6D87" w:rsidRPr="00352AAF">
        <w:rPr>
          <w:sz w:val="24"/>
          <w:szCs w:val="24"/>
        </w:rPr>
        <w:t xml:space="preserve">In keeping with the complementary nature of remembering and forgetting, forgetting can also be a safeguard against fear. </w:t>
      </w:r>
      <w:r w:rsidR="00CF4914" w:rsidRPr="00352AAF">
        <w:rPr>
          <w:sz w:val="24"/>
          <w:szCs w:val="24"/>
        </w:rPr>
        <w:t>In Isaiah 54, t</w:t>
      </w:r>
      <w:r w:rsidR="001B6D87" w:rsidRPr="00352AAF">
        <w:rPr>
          <w:sz w:val="24"/>
          <w:szCs w:val="24"/>
        </w:rPr>
        <w:t>he promise that people will be able to forget their past shame is a key to avoiding fear.</w:t>
      </w:r>
      <w:r w:rsidR="00CF4914" w:rsidRPr="00352AAF">
        <w:rPr>
          <w:rStyle w:val="FootnoteReference"/>
          <w:sz w:val="24"/>
          <w:szCs w:val="24"/>
        </w:rPr>
        <w:footnoteReference w:id="41"/>
      </w:r>
      <w:r w:rsidR="00CF4914" w:rsidRPr="00352AAF">
        <w:rPr>
          <w:sz w:val="24"/>
          <w:szCs w:val="24"/>
        </w:rPr>
        <w:t xml:space="preserve"> </w:t>
      </w:r>
      <w:r w:rsidR="0008015B" w:rsidRPr="00352AAF">
        <w:rPr>
          <w:sz w:val="24"/>
          <w:szCs w:val="24"/>
        </w:rPr>
        <w:t xml:space="preserve">What </w:t>
      </w:r>
      <w:proofErr w:type="spellStart"/>
      <w:r w:rsidR="00FD19B3" w:rsidRPr="00352AAF">
        <w:rPr>
          <w:sz w:val="24"/>
          <w:szCs w:val="24"/>
        </w:rPr>
        <w:t>Assmann</w:t>
      </w:r>
      <w:proofErr w:type="spellEnd"/>
      <w:r w:rsidR="00FD19B3" w:rsidRPr="00352AAF">
        <w:rPr>
          <w:sz w:val="24"/>
          <w:szCs w:val="24"/>
        </w:rPr>
        <w:t xml:space="preserve"> </w:t>
      </w:r>
      <w:r w:rsidR="0008015B" w:rsidRPr="00352AAF">
        <w:rPr>
          <w:sz w:val="24"/>
          <w:szCs w:val="24"/>
        </w:rPr>
        <w:t>describes as Deuteronomy’s “</w:t>
      </w:r>
      <w:r w:rsidR="00FD19B3" w:rsidRPr="00352AAF">
        <w:rPr>
          <w:sz w:val="24"/>
          <w:szCs w:val="24"/>
        </w:rPr>
        <w:t>elaborate set of cultural memory techniques</w:t>
      </w:r>
      <w:r w:rsidR="00CF4914" w:rsidRPr="00352AAF">
        <w:rPr>
          <w:sz w:val="24"/>
          <w:szCs w:val="24"/>
        </w:rPr>
        <w:t>”</w:t>
      </w:r>
      <w:r w:rsidR="00FD19B3" w:rsidRPr="00352AAF">
        <w:rPr>
          <w:sz w:val="24"/>
          <w:szCs w:val="24"/>
        </w:rPr>
        <w:t xml:space="preserve"> to ensure </w:t>
      </w:r>
      <w:r w:rsidR="00CF4914" w:rsidRPr="00352AAF">
        <w:rPr>
          <w:sz w:val="24"/>
          <w:szCs w:val="24"/>
        </w:rPr>
        <w:t>that Yahweh’s acts and the revelation of Yahweh’s expectations</w:t>
      </w:r>
      <w:r w:rsidR="00FD19B3" w:rsidRPr="00352AAF">
        <w:rPr>
          <w:sz w:val="24"/>
          <w:szCs w:val="24"/>
        </w:rPr>
        <w:t xml:space="preserve"> </w:t>
      </w:r>
      <w:r w:rsidR="00CF4914" w:rsidRPr="00352AAF">
        <w:rPr>
          <w:sz w:val="24"/>
          <w:szCs w:val="24"/>
        </w:rPr>
        <w:t>“</w:t>
      </w:r>
      <w:r w:rsidR="00FD19B3" w:rsidRPr="00352AAF">
        <w:rPr>
          <w:sz w:val="24"/>
          <w:szCs w:val="24"/>
        </w:rPr>
        <w:t xml:space="preserve">are handed down to future generations and </w:t>
      </w:r>
      <w:r w:rsidR="0008015B" w:rsidRPr="00352AAF">
        <w:rPr>
          <w:sz w:val="24"/>
          <w:szCs w:val="24"/>
        </w:rPr>
        <w:t>are not forgotten</w:t>
      </w:r>
      <w:r w:rsidR="00FD19B3" w:rsidRPr="00352AAF">
        <w:rPr>
          <w:sz w:val="24"/>
          <w:szCs w:val="24"/>
        </w:rPr>
        <w:t>” reinforce memory when the present offers it no support. They reinforce memory’s “counterfactual” nature.</w:t>
      </w:r>
      <w:r w:rsidR="00FD19B3" w:rsidRPr="00352AAF">
        <w:rPr>
          <w:rStyle w:val="FootnoteReference"/>
          <w:sz w:val="24"/>
          <w:szCs w:val="24"/>
        </w:rPr>
        <w:footnoteReference w:id="42"/>
      </w:r>
    </w:p>
    <w:p w:rsidR="00CF4914" w:rsidRPr="00352AAF" w:rsidRDefault="00CF4914" w:rsidP="00352AAF">
      <w:pPr>
        <w:spacing w:line="360" w:lineRule="auto"/>
        <w:rPr>
          <w:sz w:val="24"/>
          <w:szCs w:val="24"/>
        </w:rPr>
      </w:pPr>
    </w:p>
    <w:p w:rsidR="008D1687" w:rsidRPr="00352AAF" w:rsidRDefault="001B6D87" w:rsidP="00352AAF">
      <w:pPr>
        <w:spacing w:line="360" w:lineRule="auto"/>
        <w:rPr>
          <w:sz w:val="24"/>
          <w:szCs w:val="24"/>
        </w:rPr>
      </w:pPr>
      <w:r w:rsidRPr="00352AAF">
        <w:rPr>
          <w:sz w:val="24"/>
          <w:szCs w:val="24"/>
        </w:rPr>
        <w:t>Memory encourages or discourages hope, depending on what you remember. A</w:t>
      </w:r>
      <w:r w:rsidR="00CF4914" w:rsidRPr="00352AAF">
        <w:rPr>
          <w:sz w:val="24"/>
          <w:szCs w:val="24"/>
        </w:rPr>
        <w:t>ccording to Lamentations, after the fall of Jerusalem</w:t>
      </w:r>
      <w:r w:rsidRPr="00352AAF">
        <w:rPr>
          <w:sz w:val="24"/>
          <w:szCs w:val="24"/>
        </w:rPr>
        <w:t xml:space="preserve"> the city remembered its great past and remembered its more recent experience of distress but it did not “remember” its future</w:t>
      </w:r>
      <w:r w:rsidR="00CF4914" w:rsidRPr="00352AAF">
        <w:rPr>
          <w:sz w:val="24"/>
          <w:szCs w:val="24"/>
        </w:rPr>
        <w:t>.</w:t>
      </w:r>
      <w:r w:rsidR="00CF4914" w:rsidRPr="00352AAF">
        <w:rPr>
          <w:rStyle w:val="FootnoteReference"/>
          <w:sz w:val="24"/>
          <w:szCs w:val="24"/>
        </w:rPr>
        <w:footnoteReference w:id="43"/>
      </w:r>
      <w:r w:rsidRPr="00352AAF">
        <w:rPr>
          <w:sz w:val="24"/>
          <w:szCs w:val="24"/>
        </w:rPr>
        <w:t xml:space="preserve"> In such contexts, human remember</w:t>
      </w:r>
      <w:r w:rsidR="00CF4914" w:rsidRPr="00352AAF">
        <w:rPr>
          <w:sz w:val="24"/>
          <w:szCs w:val="24"/>
        </w:rPr>
        <w:t>ing is both painful and hopeful, Psalm 77 suggests</w:t>
      </w:r>
      <w:r w:rsidRPr="00352AAF">
        <w:rPr>
          <w:sz w:val="24"/>
          <w:szCs w:val="24"/>
        </w:rPr>
        <w:t xml:space="preserve">: “I shall remember God and complain…. I shall remember my song at night…. I shall cause Yahweh’s deeds to be remembered; I shall </w:t>
      </w:r>
      <w:r w:rsidRPr="00352AAF">
        <w:rPr>
          <w:rStyle w:val="highlight"/>
          <w:sz w:val="24"/>
          <w:szCs w:val="24"/>
        </w:rPr>
        <w:t>remember</w:t>
      </w:r>
      <w:r w:rsidR="00CF4914" w:rsidRPr="00352AAF">
        <w:rPr>
          <w:sz w:val="24"/>
          <w:szCs w:val="24"/>
        </w:rPr>
        <w:t xml:space="preserve"> your wonders of old</w:t>
      </w:r>
      <w:r w:rsidRPr="00352AAF">
        <w:rPr>
          <w:sz w:val="24"/>
          <w:szCs w:val="24"/>
        </w:rPr>
        <w:t>.</w:t>
      </w:r>
      <w:r w:rsidR="00CF4914" w:rsidRPr="00352AAF">
        <w:rPr>
          <w:sz w:val="24"/>
          <w:szCs w:val="24"/>
        </w:rPr>
        <w:t>”</w:t>
      </w:r>
      <w:r w:rsidRPr="00352AAF">
        <w:rPr>
          <w:rStyle w:val="FootnoteReference"/>
          <w:sz w:val="24"/>
          <w:szCs w:val="24"/>
        </w:rPr>
        <w:footnoteReference w:id="44"/>
      </w:r>
      <w:r w:rsidRPr="00352AAF">
        <w:rPr>
          <w:sz w:val="24"/>
          <w:szCs w:val="24"/>
        </w:rPr>
        <w:t xml:space="preserve"> </w:t>
      </w:r>
      <w:r w:rsidR="0008015B" w:rsidRPr="00352AAF">
        <w:rPr>
          <w:rFonts w:eastAsiaTheme="minorHAnsi" w:cs="CheltenhamBT-Roman"/>
          <w:sz w:val="24"/>
          <w:szCs w:val="24"/>
        </w:rPr>
        <w:t>M</w:t>
      </w:r>
      <w:r w:rsidR="0008015B" w:rsidRPr="00352AAF">
        <w:rPr>
          <w:rFonts w:eastAsiaTheme="minorHAnsi"/>
          <w:sz w:val="24"/>
          <w:szCs w:val="24"/>
        </w:rPr>
        <w:t>emory can help people cope with disaster or disappointment.</w:t>
      </w:r>
    </w:p>
    <w:p w:rsidR="00CF51D9" w:rsidRPr="00352AAF" w:rsidRDefault="00CF51D9" w:rsidP="00352AAF">
      <w:pPr>
        <w:spacing w:line="360" w:lineRule="auto"/>
        <w:rPr>
          <w:sz w:val="24"/>
          <w:szCs w:val="24"/>
        </w:rPr>
      </w:pPr>
    </w:p>
    <w:p w:rsidR="00DF7A8D" w:rsidRPr="00352AAF" w:rsidRDefault="00A7224A" w:rsidP="00352AAF">
      <w:pPr>
        <w:spacing w:line="360" w:lineRule="auto"/>
        <w:rPr>
          <w:rFonts w:eastAsiaTheme="minorHAnsi"/>
          <w:sz w:val="24"/>
          <w:szCs w:val="24"/>
        </w:rPr>
      </w:pPr>
      <w:r w:rsidRPr="00352AAF">
        <w:rPr>
          <w:rFonts w:eastAsiaTheme="minorHAnsi"/>
          <w:sz w:val="24"/>
          <w:szCs w:val="24"/>
        </w:rPr>
        <w:t>Given</w:t>
      </w:r>
      <w:r w:rsidR="006D6F15" w:rsidRPr="00352AAF">
        <w:rPr>
          <w:rFonts w:eastAsiaTheme="minorHAnsi"/>
          <w:sz w:val="24"/>
          <w:szCs w:val="24"/>
        </w:rPr>
        <w:t xml:space="preserve"> that the ability to influence if not to</w:t>
      </w:r>
      <w:r w:rsidR="00DF7A8D" w:rsidRPr="00352AAF">
        <w:rPr>
          <w:rFonts w:eastAsiaTheme="minorHAnsi"/>
          <w:sz w:val="24"/>
          <w:szCs w:val="24"/>
        </w:rPr>
        <w:t xml:space="preserve"> co</w:t>
      </w:r>
      <w:r w:rsidR="006D6F15" w:rsidRPr="00352AAF">
        <w:rPr>
          <w:rFonts w:eastAsiaTheme="minorHAnsi"/>
          <w:sz w:val="24"/>
          <w:szCs w:val="24"/>
        </w:rPr>
        <w:t xml:space="preserve">ntrol social memory is </w:t>
      </w:r>
      <w:r w:rsidR="00DF7A8D" w:rsidRPr="00352AAF">
        <w:rPr>
          <w:rFonts w:eastAsiaTheme="minorHAnsi"/>
          <w:sz w:val="24"/>
          <w:szCs w:val="24"/>
        </w:rPr>
        <w:t>ass</w:t>
      </w:r>
      <w:r w:rsidRPr="00352AAF">
        <w:rPr>
          <w:rFonts w:eastAsiaTheme="minorHAnsi"/>
          <w:sz w:val="24"/>
          <w:szCs w:val="24"/>
        </w:rPr>
        <w:t>ociated with power and status, w</w:t>
      </w:r>
      <w:r w:rsidR="00DF7A8D" w:rsidRPr="00352AAF">
        <w:rPr>
          <w:rFonts w:eastAsiaTheme="minorHAnsi"/>
          <w:sz w:val="24"/>
          <w:szCs w:val="24"/>
        </w:rPr>
        <w:t xml:space="preserve">ho gets to tell the story has important consequences. Social memory is malleable, vulnerable to manipulation, neglect, and loss. </w:t>
      </w:r>
      <w:r w:rsidRPr="00352AAF">
        <w:rPr>
          <w:rStyle w:val="Emphasis"/>
          <w:i w:val="0"/>
          <w:sz w:val="24"/>
          <w:szCs w:val="24"/>
        </w:rPr>
        <w:t>The Psalms are</w:t>
      </w:r>
      <w:r w:rsidR="00DF7A8D" w:rsidRPr="00352AAF">
        <w:rPr>
          <w:rStyle w:val="Emphasis"/>
          <w:i w:val="0"/>
          <w:sz w:val="24"/>
          <w:szCs w:val="24"/>
        </w:rPr>
        <w:t xml:space="preserve"> an official version of how people are encouraged to pray, but that fact makes it the more striking that they incorporate so much material that undercuts the power and authority of people in power, not </w:t>
      </w:r>
      <w:r w:rsidR="00DF7A8D" w:rsidRPr="00352AAF">
        <w:rPr>
          <w:rStyle w:val="Emphasis"/>
          <w:i w:val="0"/>
          <w:sz w:val="24"/>
          <w:szCs w:val="24"/>
        </w:rPr>
        <w:lastRenderedPageBreak/>
        <w:t xml:space="preserve">least God. Indeed, they thus embody or at least parallel what </w:t>
      </w:r>
      <w:r w:rsidR="00DF7A8D" w:rsidRPr="00352AAF">
        <w:rPr>
          <w:rFonts w:eastAsiaTheme="minorHAnsi"/>
          <w:sz w:val="24"/>
          <w:szCs w:val="24"/>
        </w:rPr>
        <w:t>Foucault</w:t>
      </w:r>
      <w:r w:rsidR="006D6F15" w:rsidRPr="00352AAF">
        <w:rPr>
          <w:rFonts w:eastAsiaTheme="minorHAnsi"/>
          <w:sz w:val="24"/>
          <w:szCs w:val="24"/>
        </w:rPr>
        <w:t>, again,</w:t>
      </w:r>
      <w:r w:rsidR="00DF7A8D" w:rsidRPr="00352AAF">
        <w:rPr>
          <w:rFonts w:eastAsiaTheme="minorHAnsi"/>
          <w:sz w:val="24"/>
          <w:szCs w:val="24"/>
        </w:rPr>
        <w:t xml:space="preserve"> calls “counter-memory,” </w:t>
      </w:r>
      <w:r w:rsidR="00DF7A8D" w:rsidRPr="00352AAF">
        <w:rPr>
          <w:rStyle w:val="Emphasis"/>
          <w:i w:val="0"/>
          <w:sz w:val="24"/>
          <w:szCs w:val="24"/>
        </w:rPr>
        <w:t>an individual or a small group’s resistance to the official versions of the past as it affects the present.</w:t>
      </w:r>
      <w:r w:rsidR="00DF7A8D" w:rsidRPr="00352AAF">
        <w:rPr>
          <w:rStyle w:val="FootnoteReference"/>
          <w:iCs/>
          <w:sz w:val="24"/>
          <w:szCs w:val="24"/>
        </w:rPr>
        <w:footnoteReference w:id="45"/>
      </w:r>
      <w:r w:rsidR="00DF7A8D" w:rsidRPr="00352AAF">
        <w:rPr>
          <w:rStyle w:val="Emphasis"/>
          <w:i w:val="0"/>
          <w:sz w:val="24"/>
          <w:szCs w:val="24"/>
        </w:rPr>
        <w:t xml:space="preserve"> </w:t>
      </w:r>
      <w:r w:rsidRPr="00352AAF">
        <w:rPr>
          <w:rStyle w:val="Emphasis"/>
          <w:i w:val="0"/>
          <w:sz w:val="24"/>
          <w:szCs w:val="24"/>
        </w:rPr>
        <w:t xml:space="preserve">The prayer in Isaiah 63:7—64:12 [11] begins, </w:t>
      </w:r>
      <w:r w:rsidR="00DF7A8D" w:rsidRPr="00352AAF">
        <w:rPr>
          <w:rStyle w:val="Emphasis"/>
          <w:i w:val="0"/>
          <w:sz w:val="24"/>
          <w:szCs w:val="24"/>
        </w:rPr>
        <w:t xml:space="preserve">“I will </w:t>
      </w:r>
      <w:r w:rsidR="00C333BF" w:rsidRPr="00352AAF">
        <w:rPr>
          <w:rStyle w:val="Emphasis"/>
          <w:i w:val="0"/>
          <w:sz w:val="24"/>
          <w:szCs w:val="24"/>
        </w:rPr>
        <w:t>cause</w:t>
      </w:r>
      <w:r w:rsidRPr="00352AAF">
        <w:rPr>
          <w:rStyle w:val="Emphasis"/>
          <w:i w:val="0"/>
          <w:sz w:val="24"/>
          <w:szCs w:val="24"/>
        </w:rPr>
        <w:t xml:space="preserve"> </w:t>
      </w:r>
      <w:r w:rsidR="00DF7A8D" w:rsidRPr="00352AAF">
        <w:rPr>
          <w:rStyle w:val="Emphasis"/>
          <w:i w:val="0"/>
          <w:sz w:val="24"/>
          <w:szCs w:val="24"/>
        </w:rPr>
        <w:t>Yahweh’s acts of commitment</w:t>
      </w:r>
      <w:r w:rsidR="00C333BF" w:rsidRPr="00352AAF">
        <w:rPr>
          <w:rStyle w:val="Emphasis"/>
          <w:i w:val="0"/>
          <w:sz w:val="24"/>
          <w:szCs w:val="24"/>
        </w:rPr>
        <w:t xml:space="preserve"> to be remembered</w:t>
      </w:r>
      <w:r w:rsidRPr="00352AAF">
        <w:rPr>
          <w:rStyle w:val="Emphasis"/>
          <w:i w:val="0"/>
          <w:sz w:val="24"/>
          <w:szCs w:val="24"/>
        </w:rPr>
        <w:t xml:space="preserve">,” </w:t>
      </w:r>
      <w:r w:rsidR="00DF7A8D" w:rsidRPr="00352AAF">
        <w:rPr>
          <w:rStyle w:val="Emphasis"/>
          <w:i w:val="0"/>
          <w:sz w:val="24"/>
          <w:szCs w:val="24"/>
        </w:rPr>
        <w:t xml:space="preserve">but the intention is to face Yahweh with the tension between those past acts and the present neglect. </w:t>
      </w:r>
      <w:r w:rsidRPr="00352AAF">
        <w:rPr>
          <w:sz w:val="24"/>
          <w:szCs w:val="24"/>
        </w:rPr>
        <w:t>T</w:t>
      </w:r>
      <w:r w:rsidR="00DF7A8D" w:rsidRPr="00352AAF">
        <w:rPr>
          <w:sz w:val="24"/>
          <w:szCs w:val="24"/>
        </w:rPr>
        <w:t xml:space="preserve">he pressure of </w:t>
      </w:r>
      <w:r w:rsidRPr="00352AAF">
        <w:rPr>
          <w:sz w:val="24"/>
          <w:szCs w:val="24"/>
        </w:rPr>
        <w:t>deprivation often</w:t>
      </w:r>
      <w:r w:rsidR="00C333BF" w:rsidRPr="00352AAF">
        <w:rPr>
          <w:sz w:val="24"/>
          <w:szCs w:val="24"/>
        </w:rPr>
        <w:t xml:space="preserve"> issued in Israel’s</w:t>
      </w:r>
      <w:r w:rsidR="00DF7A8D" w:rsidRPr="00352AAF">
        <w:rPr>
          <w:sz w:val="24"/>
          <w:szCs w:val="24"/>
        </w:rPr>
        <w:t xml:space="preserve"> rebelli</w:t>
      </w:r>
      <w:r w:rsidRPr="00352AAF">
        <w:rPr>
          <w:sz w:val="24"/>
          <w:szCs w:val="24"/>
        </w:rPr>
        <w:t xml:space="preserve">ons, and that pressure is </w:t>
      </w:r>
      <w:r w:rsidR="00DF7A8D" w:rsidRPr="00352AAF">
        <w:rPr>
          <w:sz w:val="24"/>
          <w:szCs w:val="24"/>
        </w:rPr>
        <w:t xml:space="preserve">a reality in Canaan. “Here [says </w:t>
      </w:r>
      <w:proofErr w:type="spellStart"/>
      <w:r w:rsidR="00DF7A8D" w:rsidRPr="00352AAF">
        <w:rPr>
          <w:sz w:val="24"/>
          <w:szCs w:val="24"/>
        </w:rPr>
        <w:t>Assmann</w:t>
      </w:r>
      <w:proofErr w:type="spellEnd"/>
      <w:r w:rsidR="00DF7A8D" w:rsidRPr="00352AAF">
        <w:rPr>
          <w:sz w:val="24"/>
          <w:szCs w:val="24"/>
        </w:rPr>
        <w:t>] we are concerned with a memory that finds no confirmation in the existing framework of the present, and, indeed, that even contradicts it.”</w:t>
      </w:r>
      <w:r w:rsidR="00DF7A8D" w:rsidRPr="00352AAF">
        <w:rPr>
          <w:rStyle w:val="FootnoteReference"/>
          <w:sz w:val="24"/>
          <w:szCs w:val="24"/>
        </w:rPr>
        <w:footnoteReference w:id="46"/>
      </w:r>
    </w:p>
    <w:p w:rsidR="00DF7A8D" w:rsidRPr="00352AAF" w:rsidRDefault="00DF7A8D" w:rsidP="00352AAF">
      <w:pPr>
        <w:spacing w:line="360" w:lineRule="auto"/>
        <w:rPr>
          <w:rStyle w:val="Emphasis"/>
          <w:i w:val="0"/>
          <w:sz w:val="24"/>
          <w:szCs w:val="24"/>
        </w:rPr>
      </w:pPr>
    </w:p>
    <w:p w:rsidR="00DF7A8D" w:rsidRPr="00352AAF" w:rsidRDefault="00DF7A8D" w:rsidP="00352AAF">
      <w:pPr>
        <w:spacing w:line="360" w:lineRule="auto"/>
        <w:rPr>
          <w:sz w:val="24"/>
          <w:szCs w:val="24"/>
        </w:rPr>
      </w:pPr>
      <w:r w:rsidRPr="00352AAF">
        <w:rPr>
          <w:sz w:val="24"/>
          <w:szCs w:val="24"/>
        </w:rPr>
        <w:t xml:space="preserve"> “Remember his covenant forever,” the </w:t>
      </w:r>
      <w:proofErr w:type="spellStart"/>
      <w:r w:rsidRPr="00352AAF">
        <w:rPr>
          <w:sz w:val="24"/>
          <w:szCs w:val="24"/>
        </w:rPr>
        <w:t>Asaphites</w:t>
      </w:r>
      <w:proofErr w:type="spellEnd"/>
      <w:r w:rsidRPr="00352AAF">
        <w:rPr>
          <w:sz w:val="24"/>
          <w:szCs w:val="24"/>
        </w:rPr>
        <w:t xml:space="preserve"> thus urge in 1</w:t>
      </w:r>
      <w:r w:rsidR="001B45B9" w:rsidRPr="00352AAF">
        <w:rPr>
          <w:sz w:val="24"/>
          <w:szCs w:val="24"/>
        </w:rPr>
        <w:t xml:space="preserve"> Chronicles 16:15, in </w:t>
      </w:r>
      <w:r w:rsidRPr="00352AAF">
        <w:rPr>
          <w:sz w:val="24"/>
          <w:szCs w:val="24"/>
        </w:rPr>
        <w:t xml:space="preserve">a hymn of praise that also appears in the Psalms. Neatly, however, the version in Psalm 105:8 declares that </w:t>
      </w:r>
      <w:r w:rsidR="00A7224A" w:rsidRPr="00352AAF">
        <w:rPr>
          <w:sz w:val="24"/>
          <w:szCs w:val="24"/>
        </w:rPr>
        <w:t>“</w:t>
      </w:r>
      <w:r w:rsidRPr="00352AAF">
        <w:rPr>
          <w:i/>
          <w:sz w:val="24"/>
          <w:szCs w:val="24"/>
        </w:rPr>
        <w:t>Yahweh</w:t>
      </w:r>
      <w:r w:rsidR="001B45B9" w:rsidRPr="00352AAF">
        <w:rPr>
          <w:sz w:val="24"/>
          <w:szCs w:val="24"/>
        </w:rPr>
        <w:t xml:space="preserve"> </w:t>
      </w:r>
      <w:r w:rsidRPr="00352AAF">
        <w:rPr>
          <w:i/>
          <w:sz w:val="24"/>
          <w:szCs w:val="24"/>
        </w:rPr>
        <w:t>has</w:t>
      </w:r>
      <w:r w:rsidRPr="00352AAF">
        <w:rPr>
          <w:sz w:val="24"/>
          <w:szCs w:val="24"/>
        </w:rPr>
        <w:t xml:space="preserve"> remembered his covenant forever.” It is t</w:t>
      </w:r>
      <w:r w:rsidRPr="00352AAF">
        <w:rPr>
          <w:rFonts w:eastAsia="Times New Roman"/>
          <w:sz w:val="24"/>
          <w:szCs w:val="24"/>
        </w:rPr>
        <w:t xml:space="preserve">he other side of the coin. We are to remember; God remembers. </w:t>
      </w:r>
      <w:r w:rsidRPr="00352AAF">
        <w:rPr>
          <w:rFonts w:eastAsiaTheme="minorHAnsi" w:cs="CheltenhamBT-Roman"/>
          <w:sz w:val="24"/>
          <w:szCs w:val="24"/>
        </w:rPr>
        <w:t>Israel is to remember Abraham</w:t>
      </w:r>
      <w:r w:rsidR="001B45B9" w:rsidRPr="00352AAF">
        <w:rPr>
          <w:rFonts w:eastAsiaTheme="minorHAnsi" w:cs="CheltenhamBT-Roman"/>
          <w:sz w:val="24"/>
          <w:szCs w:val="24"/>
        </w:rPr>
        <w:t>;</w:t>
      </w:r>
      <w:r w:rsidR="001B45B9" w:rsidRPr="00352AAF">
        <w:rPr>
          <w:rStyle w:val="FootnoteReference"/>
          <w:rFonts w:eastAsiaTheme="minorHAnsi" w:cs="CheltenhamBT-Roman"/>
          <w:sz w:val="24"/>
          <w:szCs w:val="24"/>
        </w:rPr>
        <w:footnoteReference w:id="47"/>
      </w:r>
      <w:r w:rsidRPr="00352AAF">
        <w:rPr>
          <w:rFonts w:eastAsiaTheme="minorHAnsi" w:cs="CheltenhamBT-Roman"/>
          <w:sz w:val="24"/>
          <w:szCs w:val="24"/>
        </w:rPr>
        <w:t xml:space="preserve"> God remembers Abraham or promises to do so.</w:t>
      </w:r>
      <w:r w:rsidR="001B45B9" w:rsidRPr="00352AAF">
        <w:rPr>
          <w:rStyle w:val="FootnoteReference"/>
          <w:rFonts w:eastAsiaTheme="minorHAnsi" w:cs="CheltenhamBT-Roman"/>
          <w:sz w:val="24"/>
          <w:szCs w:val="24"/>
        </w:rPr>
        <w:footnoteReference w:id="48"/>
      </w:r>
      <w:r w:rsidRPr="00352AAF">
        <w:rPr>
          <w:rFonts w:eastAsiaTheme="minorHAnsi" w:cs="CheltenhamBT-Roman"/>
          <w:sz w:val="24"/>
          <w:szCs w:val="24"/>
        </w:rPr>
        <w:t xml:space="preserve"> </w:t>
      </w:r>
      <w:r w:rsidRPr="00352AAF">
        <w:rPr>
          <w:sz w:val="24"/>
          <w:szCs w:val="24"/>
        </w:rPr>
        <w:t xml:space="preserve">“He will not </w:t>
      </w:r>
      <w:r w:rsidRPr="00352AAF">
        <w:rPr>
          <w:rStyle w:val="highlight"/>
          <w:sz w:val="24"/>
          <w:szCs w:val="24"/>
        </w:rPr>
        <w:t>forget</w:t>
      </w:r>
      <w:r w:rsidRPr="00352AAF">
        <w:rPr>
          <w:sz w:val="24"/>
          <w:szCs w:val="24"/>
        </w:rPr>
        <w:t xml:space="preserve"> the covenant with your </w:t>
      </w:r>
      <w:r w:rsidR="001B45B9" w:rsidRPr="00352AAF">
        <w:rPr>
          <w:sz w:val="24"/>
          <w:szCs w:val="24"/>
        </w:rPr>
        <w:t>ancestors that he swore to them,” Moses promises</w:t>
      </w:r>
      <w:r w:rsidRPr="00352AAF">
        <w:rPr>
          <w:sz w:val="24"/>
          <w:szCs w:val="24"/>
        </w:rPr>
        <w:t>.</w:t>
      </w:r>
      <w:r w:rsidR="001B45B9" w:rsidRPr="00352AAF">
        <w:rPr>
          <w:rStyle w:val="FootnoteReference"/>
          <w:sz w:val="24"/>
          <w:szCs w:val="24"/>
        </w:rPr>
        <w:footnoteReference w:id="49"/>
      </w:r>
      <w:r w:rsidRPr="00352AAF">
        <w:rPr>
          <w:sz w:val="24"/>
          <w:szCs w:val="24"/>
        </w:rPr>
        <w:t xml:space="preserve"> </w:t>
      </w:r>
      <w:r w:rsidR="00A7224A" w:rsidRPr="00352AAF">
        <w:rPr>
          <w:rFonts w:eastAsia="Times New Roman"/>
          <w:sz w:val="24"/>
          <w:szCs w:val="24"/>
        </w:rPr>
        <w:t>As</w:t>
      </w:r>
      <w:r w:rsidRPr="00352AAF">
        <w:rPr>
          <w:rFonts w:eastAsia="Times New Roman"/>
          <w:sz w:val="24"/>
          <w:szCs w:val="24"/>
        </w:rPr>
        <w:t xml:space="preserve"> God urges us to remember, so we urge God to remember. </w:t>
      </w:r>
      <w:r w:rsidRPr="00352AAF">
        <w:rPr>
          <w:sz w:val="24"/>
          <w:szCs w:val="24"/>
        </w:rPr>
        <w:t>On Sinai, Moses urges God to remember the ancestors and the oath he swore to them to multiply their descendants and give them a country of their own,</w:t>
      </w:r>
      <w:r w:rsidR="00272C5A" w:rsidRPr="00352AAF">
        <w:rPr>
          <w:rStyle w:val="FootnoteReference"/>
          <w:sz w:val="24"/>
          <w:szCs w:val="24"/>
        </w:rPr>
        <w:footnoteReference w:id="50"/>
      </w:r>
      <w:r w:rsidRPr="00352AAF">
        <w:rPr>
          <w:sz w:val="24"/>
          <w:szCs w:val="24"/>
        </w:rPr>
        <w:t xml:space="preserve"> rather than remembering the</w:t>
      </w:r>
      <w:r w:rsidR="00272C5A" w:rsidRPr="00352AAF">
        <w:rPr>
          <w:sz w:val="24"/>
          <w:szCs w:val="24"/>
        </w:rPr>
        <w:t xml:space="preserve"> people’s sins of the past.</w:t>
      </w:r>
      <w:r w:rsidR="00272C5A" w:rsidRPr="00352AAF">
        <w:rPr>
          <w:rStyle w:val="FootnoteReference"/>
          <w:sz w:val="24"/>
          <w:szCs w:val="24"/>
        </w:rPr>
        <w:footnoteReference w:id="51"/>
      </w:r>
      <w:r w:rsidR="00272C5A" w:rsidRPr="00352AAF">
        <w:rPr>
          <w:sz w:val="24"/>
          <w:szCs w:val="24"/>
        </w:rPr>
        <w:t xml:space="preserve"> Nehemiah even </w:t>
      </w:r>
      <w:r w:rsidRPr="00352AAF">
        <w:rPr>
          <w:sz w:val="24"/>
          <w:szCs w:val="24"/>
        </w:rPr>
        <w:t>ask</w:t>
      </w:r>
      <w:r w:rsidR="00272C5A" w:rsidRPr="00352AAF">
        <w:rPr>
          <w:sz w:val="24"/>
          <w:szCs w:val="24"/>
        </w:rPr>
        <w:t>s</w:t>
      </w:r>
      <w:r w:rsidRPr="00352AAF">
        <w:rPr>
          <w:sz w:val="24"/>
          <w:szCs w:val="24"/>
        </w:rPr>
        <w:t xml:space="preserve"> God</w:t>
      </w:r>
      <w:r w:rsidR="00272C5A" w:rsidRPr="00352AAF">
        <w:rPr>
          <w:sz w:val="24"/>
          <w:szCs w:val="24"/>
        </w:rPr>
        <w:t xml:space="preserve"> to remember his good actions.</w:t>
      </w:r>
      <w:r w:rsidR="00272C5A" w:rsidRPr="00352AAF">
        <w:rPr>
          <w:rStyle w:val="FootnoteReference"/>
          <w:sz w:val="24"/>
          <w:szCs w:val="24"/>
        </w:rPr>
        <w:footnoteReference w:id="52"/>
      </w:r>
      <w:r w:rsidR="00272C5A" w:rsidRPr="00352AAF">
        <w:rPr>
          <w:sz w:val="24"/>
          <w:szCs w:val="24"/>
        </w:rPr>
        <w:t xml:space="preserve"> </w:t>
      </w:r>
      <w:r w:rsidRPr="00352AAF">
        <w:rPr>
          <w:sz w:val="24"/>
          <w:szCs w:val="24"/>
        </w:rPr>
        <w:t>Chil</w:t>
      </w:r>
      <w:r w:rsidR="00272C5A" w:rsidRPr="00352AAF">
        <w:rPr>
          <w:sz w:val="24"/>
          <w:szCs w:val="24"/>
        </w:rPr>
        <w:t>ds notes that</w:t>
      </w:r>
      <w:r w:rsidRPr="00352AAF">
        <w:rPr>
          <w:sz w:val="24"/>
          <w:szCs w:val="24"/>
        </w:rPr>
        <w:t xml:space="preserve"> “the phrase ‘God remembers</w:t>
      </w:r>
      <w:r w:rsidR="00272C5A" w:rsidRPr="00352AAF">
        <w:rPr>
          <w:sz w:val="24"/>
          <w:szCs w:val="24"/>
        </w:rPr>
        <w:t>’</w:t>
      </w:r>
      <w:r w:rsidRPr="00352AAF">
        <w:rPr>
          <w:sz w:val="24"/>
          <w:szCs w:val="24"/>
        </w:rPr>
        <w:t>… appears to have its original context within the structure of the hymn,” while the imperative “remember” characteristically appears in protest psalms</w:t>
      </w:r>
      <w:r w:rsidR="00272C5A" w:rsidRPr="00352AAF">
        <w:rPr>
          <w:sz w:val="24"/>
          <w:szCs w:val="24"/>
        </w:rPr>
        <w:t>;</w:t>
      </w:r>
      <w:r w:rsidRPr="00352AAF">
        <w:rPr>
          <w:rStyle w:val="FootnoteReference"/>
          <w:sz w:val="24"/>
          <w:szCs w:val="24"/>
        </w:rPr>
        <w:footnoteReference w:id="53"/>
      </w:r>
      <w:r w:rsidR="00272C5A" w:rsidRPr="00352AAF">
        <w:rPr>
          <w:sz w:val="24"/>
          <w:szCs w:val="24"/>
        </w:rPr>
        <w:t xml:space="preserve"> </w:t>
      </w:r>
      <w:r w:rsidRPr="00352AAF">
        <w:rPr>
          <w:sz w:val="24"/>
          <w:szCs w:val="24"/>
        </w:rPr>
        <w:t>the</w:t>
      </w:r>
      <w:r w:rsidR="00272C5A" w:rsidRPr="00352AAF">
        <w:rPr>
          <w:sz w:val="24"/>
          <w:szCs w:val="24"/>
        </w:rPr>
        <w:t xml:space="preserve"> practice of remembering is at least as</w:t>
      </w:r>
      <w:r w:rsidRPr="00352AAF">
        <w:rPr>
          <w:sz w:val="24"/>
          <w:szCs w:val="24"/>
        </w:rPr>
        <w:t xml:space="preserve"> integral to thanksgiving psalms. The fall of Jerusalem was an occasion when Yahweh </w:t>
      </w:r>
      <w:r w:rsidR="00272C5A" w:rsidRPr="00352AAF">
        <w:rPr>
          <w:sz w:val="24"/>
          <w:szCs w:val="24"/>
        </w:rPr>
        <w:t>did not remember his footstool.</w:t>
      </w:r>
      <w:r w:rsidR="00272C5A" w:rsidRPr="00352AAF">
        <w:rPr>
          <w:rStyle w:val="FootnoteReference"/>
          <w:sz w:val="24"/>
          <w:szCs w:val="24"/>
        </w:rPr>
        <w:footnoteReference w:id="54"/>
      </w:r>
      <w:r w:rsidR="00272C5A" w:rsidRPr="00352AAF">
        <w:rPr>
          <w:sz w:val="24"/>
          <w:szCs w:val="24"/>
        </w:rPr>
        <w:t xml:space="preserve"> </w:t>
      </w:r>
      <w:r w:rsidRPr="00352AAF">
        <w:rPr>
          <w:sz w:val="24"/>
          <w:szCs w:val="24"/>
        </w:rPr>
        <w:t xml:space="preserve">Only near the end of Lamentations do people bid Yahweh remember what has happened to the city, </w:t>
      </w:r>
      <w:r w:rsidRPr="00352AAF">
        <w:rPr>
          <w:sz w:val="24"/>
          <w:szCs w:val="24"/>
        </w:rPr>
        <w:lastRenderedPageBreak/>
        <w:t>but they also go on to ask there why</w:t>
      </w:r>
      <w:r w:rsidR="00272C5A" w:rsidRPr="00352AAF">
        <w:rPr>
          <w:sz w:val="24"/>
          <w:szCs w:val="24"/>
        </w:rPr>
        <w:t xml:space="preserve"> he has utterly forgotten them</w:t>
      </w:r>
      <w:r w:rsidRPr="00352AAF">
        <w:rPr>
          <w:sz w:val="24"/>
          <w:szCs w:val="24"/>
        </w:rPr>
        <w:t>.</w:t>
      </w:r>
      <w:r w:rsidR="00272C5A" w:rsidRPr="00352AAF">
        <w:rPr>
          <w:rStyle w:val="FootnoteReference"/>
          <w:sz w:val="24"/>
          <w:szCs w:val="24"/>
        </w:rPr>
        <w:footnoteReference w:id="55"/>
      </w:r>
    </w:p>
    <w:p w:rsidR="00DF7A8D" w:rsidRPr="00352AAF" w:rsidRDefault="00DF7A8D" w:rsidP="00352AAF">
      <w:pPr>
        <w:spacing w:line="360" w:lineRule="auto"/>
        <w:rPr>
          <w:sz w:val="24"/>
          <w:szCs w:val="24"/>
        </w:rPr>
      </w:pPr>
    </w:p>
    <w:p w:rsidR="005131FB" w:rsidRPr="00352AAF" w:rsidRDefault="005131FB" w:rsidP="00352AAF">
      <w:pPr>
        <w:spacing w:line="360" w:lineRule="auto"/>
        <w:rPr>
          <w:sz w:val="24"/>
          <w:szCs w:val="24"/>
        </w:rPr>
      </w:pPr>
      <w:r w:rsidRPr="00352AAF">
        <w:rPr>
          <w:sz w:val="24"/>
          <w:szCs w:val="24"/>
        </w:rPr>
        <w:t xml:space="preserve">A prayer for Jewish fast days </w:t>
      </w:r>
      <w:r w:rsidR="00BE0B06" w:rsidRPr="00352AAF">
        <w:rPr>
          <w:sz w:val="24"/>
          <w:szCs w:val="24"/>
        </w:rPr>
        <w:t xml:space="preserve">recalls the many occasions when God has answered </w:t>
      </w:r>
      <w:r w:rsidR="00272C5A" w:rsidRPr="00352AAF">
        <w:rPr>
          <w:sz w:val="24"/>
          <w:szCs w:val="24"/>
        </w:rPr>
        <w:t>his people’s prayers</w:t>
      </w:r>
      <w:r w:rsidR="00BE0B06" w:rsidRPr="00352AAF">
        <w:rPr>
          <w:sz w:val="24"/>
          <w:szCs w:val="24"/>
        </w:rPr>
        <w:t>, and thus asks,</w:t>
      </w:r>
    </w:p>
    <w:p w:rsidR="005131FB" w:rsidRPr="00352AAF" w:rsidRDefault="005131FB" w:rsidP="00352AAF">
      <w:pPr>
        <w:pStyle w:val="PlainText"/>
        <w:spacing w:line="360" w:lineRule="auto"/>
        <w:rPr>
          <w:sz w:val="24"/>
          <w:szCs w:val="24"/>
        </w:rPr>
      </w:pP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 xml:space="preserve">May the One who answered Abraham our father on Mount </w:t>
      </w:r>
      <w:proofErr w:type="spellStart"/>
      <w:r w:rsidRPr="00352AAF">
        <w:rPr>
          <w:rFonts w:eastAsiaTheme="minorHAnsi"/>
          <w:sz w:val="24"/>
          <w:szCs w:val="24"/>
        </w:rPr>
        <w:t>Moriah</w:t>
      </w:r>
      <w:proofErr w:type="spellEnd"/>
      <w:r w:rsidR="00BE0B06" w:rsidRPr="00352AAF">
        <w:rPr>
          <w:rFonts w:eastAsiaTheme="minorHAnsi"/>
          <w:sz w:val="24"/>
          <w:szCs w:val="24"/>
        </w:rPr>
        <w:t>,</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Sarah our mother at the door of the tent</w:t>
      </w:r>
      <w:r w:rsidR="00BE0B06" w:rsidRPr="00352AAF">
        <w:rPr>
          <w:rFonts w:eastAsiaTheme="minorHAnsi"/>
          <w:sz w:val="24"/>
          <w:szCs w:val="24"/>
        </w:rPr>
        <w:t>,</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our ancestors at the Sea of Reeds</w:t>
      </w:r>
      <w:r w:rsidR="00BE0B06" w:rsidRPr="00352AAF">
        <w:rPr>
          <w:rFonts w:eastAsiaTheme="minorHAnsi"/>
          <w:sz w:val="24"/>
          <w:szCs w:val="24"/>
        </w:rPr>
        <w:t>,</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 xml:space="preserve">May the One who answered Joshua at </w:t>
      </w:r>
      <w:proofErr w:type="spellStart"/>
      <w:r w:rsidRPr="00352AAF">
        <w:rPr>
          <w:rFonts w:eastAsiaTheme="minorHAnsi"/>
          <w:sz w:val="24"/>
          <w:szCs w:val="24"/>
        </w:rPr>
        <w:t>Gilgal</w:t>
      </w:r>
      <w:proofErr w:type="spellEnd"/>
      <w:r w:rsidR="00BE0B06" w:rsidRPr="00352AAF">
        <w:rPr>
          <w:rFonts w:eastAsiaTheme="minorHAnsi"/>
          <w:sz w:val="24"/>
          <w:szCs w:val="24"/>
        </w:rPr>
        <w:t>,</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Deborah at Mount Tabor</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Samuel at Mizpah</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David and Solomon in Jerusalem</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Elijah on Mount Carmel</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Jonah in the insides of the fish</w:t>
      </w:r>
    </w:p>
    <w:p w:rsidR="005131FB" w:rsidRPr="00352AAF" w:rsidRDefault="005131FB" w:rsidP="00352AAF">
      <w:pPr>
        <w:pStyle w:val="Quote"/>
        <w:spacing w:line="360" w:lineRule="auto"/>
        <w:rPr>
          <w:rFonts w:eastAsiaTheme="minorHAnsi"/>
          <w:sz w:val="24"/>
          <w:szCs w:val="24"/>
        </w:rPr>
      </w:pPr>
      <w:r w:rsidRPr="00352AAF">
        <w:rPr>
          <w:rFonts w:eastAsiaTheme="minorHAnsi"/>
          <w:sz w:val="24"/>
          <w:szCs w:val="24"/>
        </w:rPr>
        <w:t>May the One who answered Mordecai and Esther in Susa</w:t>
      </w:r>
    </w:p>
    <w:p w:rsidR="00272C5A" w:rsidRPr="00352AAF" w:rsidRDefault="00272C5A" w:rsidP="00352AAF">
      <w:pPr>
        <w:spacing w:line="360" w:lineRule="auto"/>
        <w:rPr>
          <w:sz w:val="24"/>
          <w:szCs w:val="24"/>
        </w:rPr>
      </w:pPr>
      <w:r w:rsidRPr="00352AAF">
        <w:rPr>
          <w:sz w:val="24"/>
          <w:szCs w:val="24"/>
        </w:rPr>
        <w:t>(</w:t>
      </w:r>
      <w:proofErr w:type="gramStart"/>
      <w:r w:rsidRPr="00352AAF">
        <w:rPr>
          <w:sz w:val="24"/>
          <w:szCs w:val="24"/>
        </w:rPr>
        <w:t>and</w:t>
      </w:r>
      <w:proofErr w:type="gramEnd"/>
      <w:r w:rsidRPr="00352AAF">
        <w:rPr>
          <w:sz w:val="24"/>
          <w:szCs w:val="24"/>
        </w:rPr>
        <w:t xml:space="preserve"> so on)</w:t>
      </w:r>
    </w:p>
    <w:p w:rsidR="005131FB" w:rsidRPr="00352AAF" w:rsidRDefault="005131FB" w:rsidP="00352AAF">
      <w:pPr>
        <w:widowControl/>
        <w:spacing w:line="360" w:lineRule="auto"/>
        <w:ind w:firstLine="0"/>
        <w:rPr>
          <w:rFonts w:eastAsiaTheme="minorHAnsi" w:cs="TimesNewRoman"/>
          <w:sz w:val="24"/>
          <w:szCs w:val="24"/>
        </w:rPr>
      </w:pPr>
    </w:p>
    <w:p w:rsidR="009D14F1" w:rsidRPr="00352AAF" w:rsidRDefault="00A7224A" w:rsidP="00352AAF">
      <w:pPr>
        <w:spacing w:line="360" w:lineRule="auto"/>
        <w:ind w:firstLine="0"/>
        <w:rPr>
          <w:sz w:val="24"/>
          <w:szCs w:val="24"/>
        </w:rPr>
      </w:pPr>
      <w:r w:rsidRPr="00352AAF">
        <w:rPr>
          <w:sz w:val="24"/>
          <w:szCs w:val="24"/>
        </w:rPr>
        <w:t>…m</w:t>
      </w:r>
      <w:r w:rsidR="003C6755" w:rsidRPr="00352AAF">
        <w:rPr>
          <w:sz w:val="24"/>
          <w:szCs w:val="24"/>
        </w:rPr>
        <w:t>ay he “</w:t>
      </w:r>
      <w:r w:rsidR="005131FB" w:rsidRPr="00352AAF">
        <w:rPr>
          <w:rFonts w:eastAsiaTheme="minorHAnsi"/>
          <w:sz w:val="24"/>
          <w:szCs w:val="24"/>
        </w:rPr>
        <w:t>answer you and hearken to the sound of your cry this day.”</w:t>
      </w:r>
      <w:r w:rsidR="00BE0B06" w:rsidRPr="00352AAF">
        <w:rPr>
          <w:rStyle w:val="FootnoteReference"/>
          <w:sz w:val="24"/>
          <w:szCs w:val="24"/>
        </w:rPr>
        <w:footnoteReference w:id="56"/>
      </w:r>
      <w:r w:rsidR="005131FB" w:rsidRPr="00352AAF">
        <w:rPr>
          <w:rFonts w:eastAsiaTheme="minorHAnsi"/>
          <w:sz w:val="24"/>
          <w:szCs w:val="24"/>
        </w:rPr>
        <w:t xml:space="preserve"> </w:t>
      </w:r>
      <w:r w:rsidR="003C6755" w:rsidRPr="00352AAF">
        <w:rPr>
          <w:rFonts w:eastAsiaTheme="minorHAnsi"/>
          <w:sz w:val="24"/>
          <w:szCs w:val="24"/>
        </w:rPr>
        <w:t xml:space="preserve">The memories shape the hope and the prayers. </w:t>
      </w:r>
      <w:r w:rsidR="008D1687" w:rsidRPr="00352AAF">
        <w:rPr>
          <w:rFonts w:eastAsiaTheme="minorHAnsi"/>
          <w:sz w:val="24"/>
          <w:szCs w:val="24"/>
        </w:rPr>
        <w:t>It i</w:t>
      </w:r>
      <w:r w:rsidR="00BE0B06" w:rsidRPr="00352AAF">
        <w:rPr>
          <w:rFonts w:eastAsiaTheme="minorHAnsi"/>
          <w:sz w:val="24"/>
          <w:szCs w:val="24"/>
        </w:rPr>
        <w:t>s in light of the way the scriptures pro</w:t>
      </w:r>
      <w:r w:rsidR="00B27D96" w:rsidRPr="00352AAF">
        <w:rPr>
          <w:rFonts w:eastAsiaTheme="minorHAnsi"/>
          <w:sz w:val="24"/>
          <w:szCs w:val="24"/>
        </w:rPr>
        <w:t>vide so much insight on God’s involvement</w:t>
      </w:r>
      <w:r w:rsidR="00965366" w:rsidRPr="00352AAF">
        <w:rPr>
          <w:rFonts w:eastAsiaTheme="minorHAnsi"/>
          <w:sz w:val="24"/>
          <w:szCs w:val="24"/>
        </w:rPr>
        <w:t xml:space="preserve"> with his people</w:t>
      </w:r>
      <w:r w:rsidR="003C6755" w:rsidRPr="00352AAF">
        <w:rPr>
          <w:rFonts w:eastAsiaTheme="minorHAnsi"/>
          <w:sz w:val="24"/>
          <w:szCs w:val="24"/>
        </w:rPr>
        <w:t xml:space="preserve"> and </w:t>
      </w:r>
      <w:r w:rsidRPr="00352AAF">
        <w:rPr>
          <w:rFonts w:eastAsiaTheme="minorHAnsi"/>
          <w:sz w:val="24"/>
          <w:szCs w:val="24"/>
        </w:rPr>
        <w:t xml:space="preserve">so much </w:t>
      </w:r>
      <w:r w:rsidR="003C6755" w:rsidRPr="00352AAF">
        <w:rPr>
          <w:rFonts w:eastAsiaTheme="minorHAnsi"/>
          <w:sz w:val="24"/>
          <w:szCs w:val="24"/>
        </w:rPr>
        <w:t>recollection of it</w:t>
      </w:r>
      <w:r w:rsidR="00965366" w:rsidRPr="00352AAF">
        <w:rPr>
          <w:rFonts w:eastAsiaTheme="minorHAnsi"/>
          <w:sz w:val="24"/>
          <w:szCs w:val="24"/>
        </w:rPr>
        <w:t xml:space="preserve">, </w:t>
      </w:r>
      <w:proofErr w:type="spellStart"/>
      <w:r w:rsidR="00965366" w:rsidRPr="00352AAF">
        <w:rPr>
          <w:rFonts w:eastAsiaTheme="minorHAnsi"/>
          <w:sz w:val="24"/>
          <w:szCs w:val="24"/>
        </w:rPr>
        <w:t>Yerushalmi</w:t>
      </w:r>
      <w:proofErr w:type="spellEnd"/>
      <w:r w:rsidR="00965366" w:rsidRPr="00352AAF">
        <w:rPr>
          <w:rFonts w:eastAsiaTheme="minorHAnsi"/>
          <w:sz w:val="24"/>
          <w:szCs w:val="24"/>
        </w:rPr>
        <w:t xml:space="preserve"> </w:t>
      </w:r>
      <w:r w:rsidR="00BE0B06" w:rsidRPr="00352AAF">
        <w:rPr>
          <w:rFonts w:eastAsiaTheme="minorHAnsi"/>
          <w:sz w:val="24"/>
          <w:szCs w:val="24"/>
        </w:rPr>
        <w:t xml:space="preserve">comments, that </w:t>
      </w:r>
      <w:r w:rsidR="00BE0B06" w:rsidRPr="00352AAF">
        <w:rPr>
          <w:sz w:val="24"/>
          <w:szCs w:val="24"/>
        </w:rPr>
        <w:t>a</w:t>
      </w:r>
      <w:r w:rsidR="005B2CFC" w:rsidRPr="00352AAF">
        <w:rPr>
          <w:sz w:val="24"/>
          <w:szCs w:val="24"/>
        </w:rPr>
        <w:t xml:space="preserve">fter Josephus Jews </w:t>
      </w:r>
      <w:r w:rsidR="00CF51D9" w:rsidRPr="00352AAF">
        <w:rPr>
          <w:sz w:val="24"/>
          <w:szCs w:val="24"/>
        </w:rPr>
        <w:t>did not write</w:t>
      </w:r>
      <w:r w:rsidR="005B2CFC" w:rsidRPr="00352AAF">
        <w:rPr>
          <w:sz w:val="24"/>
          <w:szCs w:val="24"/>
        </w:rPr>
        <w:t xml:space="preserve"> historiography</w:t>
      </w:r>
      <w:r w:rsidR="00CF51D9" w:rsidRPr="00352AAF">
        <w:rPr>
          <w:sz w:val="24"/>
          <w:szCs w:val="24"/>
        </w:rPr>
        <w:t xml:space="preserve"> for centuries</w:t>
      </w:r>
      <w:r w:rsidR="005B2CFC" w:rsidRPr="00352AAF">
        <w:rPr>
          <w:sz w:val="24"/>
          <w:szCs w:val="24"/>
        </w:rPr>
        <w:t>.</w:t>
      </w:r>
      <w:r w:rsidR="009D72BB" w:rsidRPr="00352AAF">
        <w:rPr>
          <w:sz w:val="24"/>
          <w:szCs w:val="24"/>
        </w:rPr>
        <w:t xml:space="preserve"> Reading through scripture each year in the lectionary means that </w:t>
      </w:r>
      <w:r w:rsidR="003C6755" w:rsidRPr="00352AAF">
        <w:rPr>
          <w:sz w:val="24"/>
          <w:szCs w:val="24"/>
        </w:rPr>
        <w:t xml:space="preserve">their ancestor Joseph did not </w:t>
      </w:r>
      <w:r w:rsidR="009D72BB" w:rsidRPr="00352AAF">
        <w:rPr>
          <w:sz w:val="24"/>
          <w:szCs w:val="24"/>
        </w:rPr>
        <w:t xml:space="preserve">get imprisoned and released </w:t>
      </w:r>
      <w:r w:rsidR="003C6755" w:rsidRPr="00352AAF">
        <w:rPr>
          <w:sz w:val="24"/>
          <w:szCs w:val="24"/>
        </w:rPr>
        <w:t xml:space="preserve">only </w:t>
      </w:r>
      <w:r w:rsidR="009D72BB" w:rsidRPr="00352AAF">
        <w:rPr>
          <w:sz w:val="24"/>
          <w:szCs w:val="24"/>
        </w:rPr>
        <w:t xml:space="preserve">once in the long-gone past. </w:t>
      </w:r>
      <w:r w:rsidR="001E2167" w:rsidRPr="00352AAF">
        <w:rPr>
          <w:sz w:val="24"/>
          <w:szCs w:val="24"/>
        </w:rPr>
        <w:t xml:space="preserve">At Passover, people declare that “this </w:t>
      </w:r>
      <w:r w:rsidR="001E2167" w:rsidRPr="00352AAF">
        <w:rPr>
          <w:i/>
          <w:sz w:val="24"/>
          <w:szCs w:val="24"/>
        </w:rPr>
        <w:t>is</w:t>
      </w:r>
      <w:r w:rsidR="001E2167" w:rsidRPr="00352AAF">
        <w:rPr>
          <w:sz w:val="24"/>
          <w:szCs w:val="24"/>
        </w:rPr>
        <w:t xml:space="preserve"> the bread of affliction”: memory is not simply recollection but </w:t>
      </w:r>
      <w:proofErr w:type="spellStart"/>
      <w:r w:rsidR="001E2167" w:rsidRPr="00352AAF">
        <w:rPr>
          <w:sz w:val="24"/>
          <w:szCs w:val="24"/>
        </w:rPr>
        <w:t>reactualization</w:t>
      </w:r>
      <w:proofErr w:type="spellEnd"/>
      <w:r w:rsidR="001E2167" w:rsidRPr="00352AAF">
        <w:rPr>
          <w:sz w:val="24"/>
          <w:szCs w:val="24"/>
        </w:rPr>
        <w:t>. While t</w:t>
      </w:r>
      <w:r w:rsidR="009D72BB" w:rsidRPr="00352AAF">
        <w:rPr>
          <w:sz w:val="24"/>
          <w:szCs w:val="24"/>
        </w:rPr>
        <w:t>he ev</w:t>
      </w:r>
      <w:r w:rsidR="001E2167" w:rsidRPr="00352AAF">
        <w:rPr>
          <w:sz w:val="24"/>
          <w:szCs w:val="24"/>
        </w:rPr>
        <w:t xml:space="preserve">ents happened once for all, </w:t>
      </w:r>
      <w:r w:rsidR="009D72BB" w:rsidRPr="00352AAF">
        <w:rPr>
          <w:sz w:val="24"/>
          <w:szCs w:val="24"/>
        </w:rPr>
        <w:t xml:space="preserve">they are experienced </w:t>
      </w:r>
      <w:proofErr w:type="spellStart"/>
      <w:r w:rsidR="009D72BB" w:rsidRPr="00352AAF">
        <w:rPr>
          <w:sz w:val="24"/>
          <w:szCs w:val="24"/>
        </w:rPr>
        <w:t>atemporally</w:t>
      </w:r>
      <w:proofErr w:type="spellEnd"/>
      <w:r w:rsidR="009D72BB" w:rsidRPr="00352AAF">
        <w:rPr>
          <w:sz w:val="24"/>
          <w:szCs w:val="24"/>
        </w:rPr>
        <w:t xml:space="preserve">. </w:t>
      </w:r>
      <w:r w:rsidR="005B2CFC" w:rsidRPr="00352AAF">
        <w:rPr>
          <w:sz w:val="24"/>
          <w:szCs w:val="24"/>
        </w:rPr>
        <w:t xml:space="preserve">Medieval Jews knew the Babylonians and the Romans as the destroyers of the temple, but neither Babylon nor Rome were historical realities for them. </w:t>
      </w:r>
      <w:r w:rsidR="003C6755" w:rsidRPr="00352AAF">
        <w:rPr>
          <w:sz w:val="24"/>
          <w:szCs w:val="24"/>
        </w:rPr>
        <w:t xml:space="preserve">As they remembered the events, they experienced </w:t>
      </w:r>
      <w:r w:rsidR="00B27D96" w:rsidRPr="00352AAF">
        <w:rPr>
          <w:sz w:val="24"/>
          <w:szCs w:val="24"/>
        </w:rPr>
        <w:t xml:space="preserve">it. A </w:t>
      </w:r>
      <w:r w:rsidR="009D72BB" w:rsidRPr="00352AAF">
        <w:rPr>
          <w:sz w:val="24"/>
          <w:szCs w:val="24"/>
        </w:rPr>
        <w:t xml:space="preserve">lament </w:t>
      </w:r>
      <w:r w:rsidR="003C6755" w:rsidRPr="00352AAF">
        <w:rPr>
          <w:sz w:val="24"/>
          <w:szCs w:val="24"/>
        </w:rPr>
        <w:t>for</w:t>
      </w:r>
      <w:r w:rsidR="00B27D96" w:rsidRPr="00352AAF">
        <w:rPr>
          <w:sz w:val="24"/>
          <w:szCs w:val="24"/>
        </w:rPr>
        <w:t xml:space="preserve"> </w:t>
      </w:r>
      <w:proofErr w:type="spellStart"/>
      <w:r w:rsidR="00B27D96" w:rsidRPr="00352AAF">
        <w:rPr>
          <w:sz w:val="24"/>
          <w:szCs w:val="24"/>
        </w:rPr>
        <w:t>Tisha</w:t>
      </w:r>
      <w:proofErr w:type="spellEnd"/>
      <w:r w:rsidR="00B27D96" w:rsidRPr="00352AAF">
        <w:rPr>
          <w:sz w:val="24"/>
          <w:szCs w:val="24"/>
        </w:rPr>
        <w:t xml:space="preserve"> </w:t>
      </w:r>
      <w:proofErr w:type="spellStart"/>
      <w:r w:rsidR="00B27D96" w:rsidRPr="00352AAF">
        <w:rPr>
          <w:sz w:val="24"/>
          <w:szCs w:val="24"/>
        </w:rPr>
        <w:t>be’Av</w:t>
      </w:r>
      <w:proofErr w:type="spellEnd"/>
      <w:r w:rsidR="00B27D96" w:rsidRPr="00352AAF">
        <w:rPr>
          <w:sz w:val="24"/>
          <w:szCs w:val="24"/>
        </w:rPr>
        <w:t xml:space="preserve">, which </w:t>
      </w:r>
      <w:r w:rsidR="00B27D96" w:rsidRPr="00352AAF">
        <w:rPr>
          <w:sz w:val="24"/>
          <w:szCs w:val="24"/>
        </w:rPr>
        <w:lastRenderedPageBreak/>
        <w:t xml:space="preserve">fell last week, </w:t>
      </w:r>
      <w:r w:rsidR="009D72BB" w:rsidRPr="00352AAF">
        <w:rPr>
          <w:sz w:val="24"/>
          <w:szCs w:val="24"/>
        </w:rPr>
        <w:t>has a refrain that</w:t>
      </w:r>
      <w:r w:rsidR="005B2CFC" w:rsidRPr="00352AAF">
        <w:rPr>
          <w:sz w:val="24"/>
          <w:szCs w:val="24"/>
        </w:rPr>
        <w:t xml:space="preserve"> s</w:t>
      </w:r>
      <w:r w:rsidR="00B27D96" w:rsidRPr="00352AAF">
        <w:rPr>
          <w:sz w:val="24"/>
          <w:szCs w:val="24"/>
        </w:rPr>
        <w:t>peaks of</w:t>
      </w:r>
      <w:r w:rsidR="003C6755" w:rsidRPr="00352AAF">
        <w:rPr>
          <w:sz w:val="24"/>
          <w:szCs w:val="24"/>
        </w:rPr>
        <w:t xml:space="preserve"> when “I” experienced the fall of Jerusalem</w:t>
      </w:r>
      <w:r w:rsidR="00B27D96" w:rsidRPr="00352AAF">
        <w:rPr>
          <w:sz w:val="24"/>
          <w:szCs w:val="24"/>
        </w:rPr>
        <w:t>. Memory makes</w:t>
      </w:r>
      <w:r w:rsidR="005B2CFC" w:rsidRPr="00352AAF">
        <w:rPr>
          <w:sz w:val="24"/>
          <w:szCs w:val="24"/>
        </w:rPr>
        <w:t xml:space="preserve"> that </w:t>
      </w:r>
      <w:r w:rsidR="009D72BB" w:rsidRPr="00352AAF">
        <w:rPr>
          <w:sz w:val="24"/>
          <w:szCs w:val="24"/>
        </w:rPr>
        <w:t xml:space="preserve">process </w:t>
      </w:r>
      <w:r w:rsidR="005B2CFC" w:rsidRPr="00352AAF">
        <w:rPr>
          <w:sz w:val="24"/>
          <w:szCs w:val="24"/>
        </w:rPr>
        <w:t>possible.</w:t>
      </w:r>
      <w:r w:rsidR="009D72BB" w:rsidRPr="00352AAF">
        <w:rPr>
          <w:rStyle w:val="FootnoteReference"/>
          <w:sz w:val="24"/>
          <w:szCs w:val="24"/>
        </w:rPr>
        <w:footnoteReference w:id="57"/>
      </w:r>
      <w:r w:rsidR="005B2CFC" w:rsidRPr="00352AAF">
        <w:rPr>
          <w:sz w:val="24"/>
          <w:szCs w:val="24"/>
        </w:rPr>
        <w:t xml:space="preserve"> </w:t>
      </w:r>
      <w:r w:rsidR="009D72BB" w:rsidRPr="00352AAF">
        <w:rPr>
          <w:sz w:val="24"/>
          <w:szCs w:val="24"/>
        </w:rPr>
        <w:t xml:space="preserve">In the context of the Crusades, </w:t>
      </w:r>
      <w:proofErr w:type="spellStart"/>
      <w:r w:rsidR="009D72BB" w:rsidRPr="00352AAF">
        <w:rPr>
          <w:rFonts w:eastAsiaTheme="minorHAnsi"/>
          <w:sz w:val="24"/>
          <w:szCs w:val="24"/>
        </w:rPr>
        <w:t>Yerushalmi</w:t>
      </w:r>
      <w:proofErr w:type="spellEnd"/>
      <w:r w:rsidR="009D72BB" w:rsidRPr="00352AAF">
        <w:rPr>
          <w:rFonts w:eastAsiaTheme="minorHAnsi"/>
          <w:sz w:val="24"/>
          <w:szCs w:val="24"/>
        </w:rPr>
        <w:t xml:space="preserve"> also notes,</w:t>
      </w:r>
      <w:r w:rsidR="009D72BB" w:rsidRPr="00352AAF">
        <w:rPr>
          <w:sz w:val="24"/>
          <w:szCs w:val="24"/>
        </w:rPr>
        <w:t xml:space="preserve"> the story of the offering of Isaac resonated afresh. “While the horror remained vivid, it was no longer absurd, and grief, though profound, could be at least partly assuaged.”</w:t>
      </w:r>
      <w:r w:rsidR="009D72BB" w:rsidRPr="00352AAF">
        <w:rPr>
          <w:rStyle w:val="FootnoteReference"/>
          <w:sz w:val="24"/>
          <w:szCs w:val="24"/>
        </w:rPr>
        <w:footnoteReference w:id="58"/>
      </w:r>
      <w:r w:rsidR="002A0654" w:rsidRPr="00352AAF">
        <w:rPr>
          <w:sz w:val="24"/>
          <w:szCs w:val="24"/>
        </w:rPr>
        <w:t xml:space="preserve"> </w:t>
      </w:r>
      <w:r w:rsidR="009D72BB" w:rsidRPr="00352AAF">
        <w:rPr>
          <w:sz w:val="24"/>
          <w:szCs w:val="24"/>
        </w:rPr>
        <w:t xml:space="preserve">Michael </w:t>
      </w:r>
      <w:r w:rsidR="008D1687" w:rsidRPr="00352AAF">
        <w:rPr>
          <w:sz w:val="24"/>
          <w:szCs w:val="24"/>
        </w:rPr>
        <w:t xml:space="preserve">V. </w:t>
      </w:r>
      <w:r w:rsidR="009D72BB" w:rsidRPr="00352AAF">
        <w:rPr>
          <w:sz w:val="24"/>
          <w:szCs w:val="24"/>
        </w:rPr>
        <w:t>Fo</w:t>
      </w:r>
      <w:r w:rsidRPr="00352AAF">
        <w:rPr>
          <w:sz w:val="24"/>
          <w:szCs w:val="24"/>
        </w:rPr>
        <w:t>x provides a parallel in describing</w:t>
      </w:r>
      <w:r w:rsidR="00B92805" w:rsidRPr="00352AAF">
        <w:rPr>
          <w:sz w:val="24"/>
          <w:szCs w:val="24"/>
        </w:rPr>
        <w:t xml:space="preserve"> his</w:t>
      </w:r>
      <w:r w:rsidR="009D72BB" w:rsidRPr="00352AAF">
        <w:rPr>
          <w:sz w:val="24"/>
          <w:szCs w:val="24"/>
        </w:rPr>
        <w:t xml:space="preserve"> annual involvement in the reading of Esther</w:t>
      </w:r>
      <w:r w:rsidR="008D1687" w:rsidRPr="00352AAF">
        <w:rPr>
          <w:sz w:val="24"/>
          <w:szCs w:val="24"/>
        </w:rPr>
        <w:t>.</w:t>
      </w:r>
    </w:p>
    <w:p w:rsidR="008D1687" w:rsidRPr="00352AAF" w:rsidRDefault="008D1687" w:rsidP="00352AAF">
      <w:pPr>
        <w:spacing w:line="360" w:lineRule="auto"/>
        <w:rPr>
          <w:sz w:val="24"/>
          <w:szCs w:val="24"/>
        </w:rPr>
      </w:pPr>
    </w:p>
    <w:p w:rsidR="008D1687" w:rsidRPr="00352AAF" w:rsidRDefault="008D1687" w:rsidP="00352AAF">
      <w:pPr>
        <w:pStyle w:val="PlainText"/>
        <w:spacing w:line="360" w:lineRule="auto"/>
        <w:rPr>
          <w:sz w:val="24"/>
          <w:szCs w:val="24"/>
        </w:rPr>
      </w:pPr>
      <w:r w:rsidRPr="00352AAF">
        <w:rPr>
          <w:sz w:val="24"/>
          <w:szCs w:val="24"/>
        </w:rPr>
        <w:t xml:space="preserve">Although I doubt the historicity of the Esther story…, every year at Purim when I hear the Scroll read in the synagogue, I know that it is </w:t>
      </w:r>
      <w:r w:rsidRPr="00352AAF">
        <w:rPr>
          <w:i/>
          <w:iCs/>
          <w:sz w:val="24"/>
          <w:szCs w:val="24"/>
        </w:rPr>
        <w:t>true</w:t>
      </w:r>
      <w:r w:rsidRPr="00352AAF">
        <w:rPr>
          <w:sz w:val="24"/>
          <w:szCs w:val="24"/>
        </w:rPr>
        <w:t>, whatever the historical accuracy of its details. Almost without an effort of imagination, I feel something of the anxiety that seized the Jews of Persia upon hearing of Haman's threat to their lives, and I join in their exhilaration at their deliverance. Except that I do not think “</w:t>
      </w:r>
      <w:proofErr w:type="spellStart"/>
      <w:r w:rsidRPr="00352AAF">
        <w:rPr>
          <w:sz w:val="24"/>
          <w:szCs w:val="24"/>
        </w:rPr>
        <w:t>their</w:t>
      </w:r>
      <w:proofErr w:type="spellEnd"/>
      <w:r w:rsidRPr="00352AAF">
        <w:rPr>
          <w:sz w:val="24"/>
          <w:szCs w:val="24"/>
        </w:rPr>
        <w:t>,” but “my.”</w:t>
      </w:r>
    </w:p>
    <w:p w:rsidR="008D1687" w:rsidRPr="00352AAF" w:rsidRDefault="008D1687" w:rsidP="00352AAF">
      <w:pPr>
        <w:pStyle w:val="PlainText"/>
        <w:spacing w:line="360" w:lineRule="auto"/>
        <w:rPr>
          <w:sz w:val="24"/>
          <w:szCs w:val="24"/>
        </w:rPr>
      </w:pPr>
    </w:p>
    <w:p w:rsidR="003F71A3" w:rsidRPr="00352AAF" w:rsidRDefault="008D1687" w:rsidP="00352AAF">
      <w:pPr>
        <w:spacing w:line="360" w:lineRule="auto"/>
        <w:ind w:firstLine="0"/>
        <w:rPr>
          <w:sz w:val="24"/>
          <w:szCs w:val="24"/>
        </w:rPr>
      </w:pPr>
      <w:r w:rsidRPr="00352AAF">
        <w:rPr>
          <w:sz w:val="24"/>
          <w:szCs w:val="24"/>
        </w:rPr>
        <w:t>Fox goes on to describe some of the “</w:t>
      </w:r>
      <w:proofErr w:type="spellStart"/>
      <w:r w:rsidRPr="00352AAF">
        <w:rPr>
          <w:sz w:val="24"/>
          <w:szCs w:val="24"/>
        </w:rPr>
        <w:t>antisemitic</w:t>
      </w:r>
      <w:proofErr w:type="spellEnd"/>
      <w:r w:rsidRPr="00352AAF">
        <w:rPr>
          <w:sz w:val="24"/>
          <w:szCs w:val="24"/>
        </w:rPr>
        <w:t xml:space="preserve"> horrors” of the twen</w:t>
      </w:r>
      <w:r w:rsidR="003F71A3" w:rsidRPr="00352AAF">
        <w:rPr>
          <w:sz w:val="24"/>
          <w:szCs w:val="24"/>
        </w:rPr>
        <w:t>tieth century that his family narrowly escaped</w:t>
      </w:r>
      <w:r w:rsidRPr="00352AAF">
        <w:rPr>
          <w:sz w:val="24"/>
          <w:szCs w:val="24"/>
        </w:rPr>
        <w:t>. “I know the sense of precariousness that impelled Esther's author to insist on the inner powers o</w:t>
      </w:r>
      <w:r w:rsidR="003C6755" w:rsidRPr="00352AAF">
        <w:rPr>
          <w:sz w:val="24"/>
          <w:szCs w:val="24"/>
        </w:rPr>
        <w:t>f a vulnerable people but also—</w:t>
      </w:r>
      <w:r w:rsidRPr="00352AAF">
        <w:rPr>
          <w:sz w:val="24"/>
          <w:szCs w:val="24"/>
        </w:rPr>
        <w:t>somewhat irrationally</w:t>
      </w:r>
      <w:r w:rsidR="003C6755" w:rsidRPr="00352AAF">
        <w:rPr>
          <w:sz w:val="24"/>
          <w:szCs w:val="24"/>
        </w:rPr>
        <w:t>—</w:t>
      </w:r>
      <w:r w:rsidRPr="00352AAF">
        <w:rPr>
          <w:sz w:val="24"/>
          <w:szCs w:val="24"/>
        </w:rPr>
        <w:t>on the certainty of their deliverance.”</w:t>
      </w:r>
      <w:r w:rsidRPr="00352AAF">
        <w:rPr>
          <w:rStyle w:val="FootnoteReference"/>
          <w:sz w:val="24"/>
          <w:szCs w:val="24"/>
        </w:rPr>
        <w:footnoteReference w:id="59"/>
      </w:r>
      <w:r w:rsidR="003C6755" w:rsidRPr="00352AAF">
        <w:rPr>
          <w:sz w:val="24"/>
          <w:szCs w:val="24"/>
        </w:rPr>
        <w:t xml:space="preserve"> </w:t>
      </w:r>
      <w:r w:rsidR="003F71A3" w:rsidRPr="00352AAF">
        <w:rPr>
          <w:sz w:val="24"/>
          <w:szCs w:val="24"/>
        </w:rPr>
        <w:t>In remembering events in this way, Jews have been continuing to relat</w:t>
      </w:r>
      <w:r w:rsidR="003C6755" w:rsidRPr="00352AAF">
        <w:rPr>
          <w:sz w:val="24"/>
          <w:szCs w:val="24"/>
        </w:rPr>
        <w:t>e to them in the way Moses commends in his introduction</w:t>
      </w:r>
      <w:r w:rsidR="003F71A3" w:rsidRPr="00352AAF">
        <w:rPr>
          <w:sz w:val="24"/>
          <w:szCs w:val="24"/>
        </w:rPr>
        <w:t xml:space="preserve"> to the Decalogue: Yahweh made t</w:t>
      </w:r>
      <w:r w:rsidR="003C6755" w:rsidRPr="00352AAF">
        <w:rPr>
          <w:sz w:val="24"/>
          <w:szCs w:val="24"/>
        </w:rPr>
        <w:t xml:space="preserve">he covenant at </w:t>
      </w:r>
      <w:proofErr w:type="spellStart"/>
      <w:r w:rsidR="003C6755" w:rsidRPr="00352AAF">
        <w:rPr>
          <w:sz w:val="24"/>
          <w:szCs w:val="24"/>
        </w:rPr>
        <w:t>Horeb</w:t>
      </w:r>
      <w:proofErr w:type="spellEnd"/>
      <w:r w:rsidR="003C6755" w:rsidRPr="00352AAF">
        <w:rPr>
          <w:sz w:val="24"/>
          <w:szCs w:val="24"/>
        </w:rPr>
        <w:t xml:space="preserve"> with his hearers, not with their parents or ancestors.</w:t>
      </w:r>
      <w:r w:rsidR="003C6755" w:rsidRPr="00352AAF">
        <w:rPr>
          <w:rStyle w:val="FootnoteReference"/>
          <w:sz w:val="24"/>
          <w:szCs w:val="24"/>
        </w:rPr>
        <w:footnoteReference w:id="60"/>
      </w:r>
      <w:r w:rsidR="003F71A3" w:rsidRPr="00352AAF">
        <w:rPr>
          <w:sz w:val="24"/>
          <w:szCs w:val="24"/>
        </w:rPr>
        <w:t xml:space="preserve"> </w:t>
      </w:r>
    </w:p>
    <w:p w:rsidR="003F71A3" w:rsidRPr="00352AAF" w:rsidRDefault="003F71A3" w:rsidP="00352AAF">
      <w:pPr>
        <w:spacing w:line="360" w:lineRule="auto"/>
        <w:rPr>
          <w:sz w:val="24"/>
          <w:szCs w:val="24"/>
        </w:rPr>
      </w:pPr>
    </w:p>
    <w:p w:rsidR="008D1687" w:rsidRPr="00352AAF" w:rsidRDefault="006C1F73" w:rsidP="00352AAF">
      <w:pPr>
        <w:spacing w:line="360" w:lineRule="auto"/>
        <w:rPr>
          <w:sz w:val="24"/>
          <w:szCs w:val="24"/>
        </w:rPr>
      </w:pPr>
      <w:r w:rsidRPr="00352AAF">
        <w:rPr>
          <w:sz w:val="24"/>
          <w:szCs w:val="24"/>
        </w:rPr>
        <w:t>After t</w:t>
      </w:r>
      <w:r w:rsidR="003C6755" w:rsidRPr="00352AAF">
        <w:rPr>
          <w:sz w:val="24"/>
          <w:szCs w:val="24"/>
        </w:rPr>
        <w:t>he fall of Jerusalem</w:t>
      </w:r>
      <w:r w:rsidR="00B92805" w:rsidRPr="00352AAF">
        <w:rPr>
          <w:sz w:val="24"/>
          <w:szCs w:val="24"/>
        </w:rPr>
        <w:t>,</w:t>
      </w:r>
      <w:r w:rsidRPr="00352AAF">
        <w:rPr>
          <w:sz w:val="24"/>
          <w:szCs w:val="24"/>
        </w:rPr>
        <w:t xml:space="preserve"> </w:t>
      </w:r>
      <w:r w:rsidR="008D1687" w:rsidRPr="00352AAF">
        <w:rPr>
          <w:sz w:val="24"/>
          <w:szCs w:val="24"/>
        </w:rPr>
        <w:t>the communit</w:t>
      </w:r>
      <w:r w:rsidR="00B92805" w:rsidRPr="00352AAF">
        <w:rPr>
          <w:sz w:val="24"/>
          <w:szCs w:val="24"/>
        </w:rPr>
        <w:t>y that has been overwhelmed by disaster</w:t>
      </w:r>
      <w:r w:rsidR="008D1687" w:rsidRPr="00352AAF">
        <w:rPr>
          <w:sz w:val="24"/>
          <w:szCs w:val="24"/>
        </w:rPr>
        <w:t xml:space="preserve"> looks to t</w:t>
      </w:r>
      <w:r w:rsidRPr="00352AAF">
        <w:rPr>
          <w:sz w:val="24"/>
          <w:szCs w:val="24"/>
        </w:rPr>
        <w:t xml:space="preserve">he past for understanding. </w:t>
      </w:r>
      <w:r w:rsidR="004359AF" w:rsidRPr="00352AAF">
        <w:rPr>
          <w:sz w:val="24"/>
          <w:szCs w:val="24"/>
        </w:rPr>
        <w:t xml:space="preserve">However many editions of the Books of Kings there were, I assume that an important one was produced in this context. Gerhard von </w:t>
      </w:r>
      <w:proofErr w:type="spellStart"/>
      <w:r w:rsidR="004359AF" w:rsidRPr="00352AAF">
        <w:rPr>
          <w:sz w:val="24"/>
          <w:szCs w:val="24"/>
        </w:rPr>
        <w:t>Rad</w:t>
      </w:r>
      <w:proofErr w:type="spellEnd"/>
      <w:r w:rsidR="004359AF" w:rsidRPr="00352AAF">
        <w:rPr>
          <w:sz w:val="24"/>
          <w:szCs w:val="24"/>
        </w:rPr>
        <w:t xml:space="preserve"> called this work a </w:t>
      </w:r>
      <w:proofErr w:type="spellStart"/>
      <w:r w:rsidR="004359AF" w:rsidRPr="00352AAF">
        <w:rPr>
          <w:i/>
          <w:sz w:val="24"/>
          <w:szCs w:val="24"/>
        </w:rPr>
        <w:t>Gerichtsdoxologie</w:t>
      </w:r>
      <w:proofErr w:type="spellEnd"/>
      <w:r w:rsidR="004359AF" w:rsidRPr="00352AAF">
        <w:rPr>
          <w:sz w:val="24"/>
          <w:szCs w:val="24"/>
        </w:rPr>
        <w:t>, an act of praise at the justice of God’s judgment,</w:t>
      </w:r>
      <w:r w:rsidR="00C03E75" w:rsidRPr="00352AAF">
        <w:rPr>
          <w:rStyle w:val="FootnoteReference"/>
          <w:rFonts w:ascii="Calibri" w:eastAsia="Times New Roman" w:hAnsi="Calibri"/>
          <w:sz w:val="24"/>
          <w:szCs w:val="24"/>
        </w:rPr>
        <w:footnoteReference w:id="61"/>
      </w:r>
      <w:r w:rsidR="004359AF" w:rsidRPr="00352AAF">
        <w:rPr>
          <w:sz w:val="24"/>
          <w:szCs w:val="24"/>
        </w:rPr>
        <w:t xml:space="preserve"> which is an illuminating description, but in a formal sense the books are not an act of praise but a story, and stories address people. They are an account of Israel’s story that indeed portrays it as God’s just </w:t>
      </w:r>
      <w:r w:rsidR="004359AF" w:rsidRPr="00352AAF">
        <w:rPr>
          <w:sz w:val="24"/>
          <w:szCs w:val="24"/>
        </w:rPr>
        <w:lastRenderedPageBreak/>
        <w:t>judgment, but addresses the Judahite community, to encourage it to remember its story, and to remember it in a certain way. T</w:t>
      </w:r>
      <w:r w:rsidR="00B92805" w:rsidRPr="00352AAF">
        <w:rPr>
          <w:rFonts w:eastAsiaTheme="minorHAnsi"/>
          <w:sz w:val="24"/>
          <w:szCs w:val="24"/>
        </w:rPr>
        <w:t>he</w:t>
      </w:r>
      <w:r w:rsidR="004359AF" w:rsidRPr="00352AAF">
        <w:rPr>
          <w:rFonts w:eastAsiaTheme="minorHAnsi"/>
          <w:sz w:val="24"/>
          <w:szCs w:val="24"/>
        </w:rPr>
        <w:t>y</w:t>
      </w:r>
      <w:r w:rsidR="008D1687" w:rsidRPr="00352AAF">
        <w:rPr>
          <w:sz w:val="24"/>
          <w:szCs w:val="24"/>
        </w:rPr>
        <w:t xml:space="preserve"> sought to shap</w:t>
      </w:r>
      <w:r w:rsidRPr="00352AAF">
        <w:rPr>
          <w:sz w:val="24"/>
          <w:szCs w:val="24"/>
        </w:rPr>
        <w:t>e Judah’s collective memory, the</w:t>
      </w:r>
      <w:r w:rsidR="008D1687" w:rsidRPr="00352AAF">
        <w:rPr>
          <w:sz w:val="24"/>
          <w:szCs w:val="24"/>
        </w:rPr>
        <w:t xml:space="preserve"> memory of the past that the authors wanted to mold people’s attitudes in the present. The construction of memory they express is the means whereby the past might frame the present. They explain how the present emerged from the past and thus enable people to understand the present</w:t>
      </w:r>
      <w:r w:rsidRPr="00352AAF">
        <w:rPr>
          <w:sz w:val="24"/>
          <w:szCs w:val="24"/>
        </w:rPr>
        <w:t xml:space="preserve"> and begin to hope for the future. </w:t>
      </w:r>
      <w:proofErr w:type="spellStart"/>
      <w:r w:rsidRPr="00352AAF">
        <w:rPr>
          <w:sz w:val="24"/>
          <w:szCs w:val="24"/>
        </w:rPr>
        <w:t>Ritva</w:t>
      </w:r>
      <w:proofErr w:type="spellEnd"/>
      <w:r w:rsidRPr="00352AAF">
        <w:rPr>
          <w:sz w:val="24"/>
          <w:szCs w:val="24"/>
        </w:rPr>
        <w:t xml:space="preserve"> Williams summarizes</w:t>
      </w:r>
      <w:r w:rsidR="008D1687" w:rsidRPr="00352AAF">
        <w:rPr>
          <w:sz w:val="24"/>
          <w:szCs w:val="24"/>
        </w:rPr>
        <w:t xml:space="preserve"> the way s</w:t>
      </w:r>
      <w:r w:rsidR="008D1687" w:rsidRPr="00352AAF">
        <w:rPr>
          <w:rFonts w:eastAsiaTheme="minorHAnsi" w:cs="CheltenhamBT-Roman"/>
          <w:sz w:val="24"/>
          <w:szCs w:val="24"/>
        </w:rPr>
        <w:t>ocial memory works, by continuously condensing, sorting, re-sorting, organizing and re-org</w:t>
      </w:r>
      <w:r w:rsidRPr="00352AAF">
        <w:rPr>
          <w:rFonts w:eastAsiaTheme="minorHAnsi" w:cs="CheltenhamBT-Roman"/>
          <w:sz w:val="24"/>
          <w:szCs w:val="24"/>
        </w:rPr>
        <w:t>anizing the data it receives to connect</w:t>
      </w:r>
      <w:r w:rsidR="008D1687" w:rsidRPr="00352AAF">
        <w:rPr>
          <w:rFonts w:eastAsiaTheme="minorHAnsi" w:cs="CheltenhamBT-Roman"/>
          <w:sz w:val="24"/>
          <w:szCs w:val="24"/>
        </w:rPr>
        <w:t xml:space="preserve"> where we are now to where we hav</w:t>
      </w:r>
      <w:r w:rsidRPr="00352AAF">
        <w:rPr>
          <w:rFonts w:eastAsiaTheme="minorHAnsi" w:cs="CheltenhamBT-Roman"/>
          <w:sz w:val="24"/>
          <w:szCs w:val="24"/>
        </w:rPr>
        <w:t>e been in the past. It recalls</w:t>
      </w:r>
      <w:r w:rsidR="008D1687" w:rsidRPr="00352AAF">
        <w:rPr>
          <w:rFonts w:eastAsiaTheme="minorHAnsi" w:cs="CheltenhamBT-Roman"/>
          <w:sz w:val="24"/>
          <w:szCs w:val="24"/>
        </w:rPr>
        <w:t xml:space="preserve"> events that have unified, animated, oriented or re-oriented the commun</w:t>
      </w:r>
      <w:r w:rsidRPr="00352AAF">
        <w:rPr>
          <w:rFonts w:eastAsiaTheme="minorHAnsi" w:cs="CheltenhamBT-Roman"/>
          <w:sz w:val="24"/>
          <w:szCs w:val="24"/>
        </w:rPr>
        <w:t>ity in fundamental ways, and presents</w:t>
      </w:r>
      <w:r w:rsidR="008D1687" w:rsidRPr="00352AAF">
        <w:rPr>
          <w:rFonts w:eastAsiaTheme="minorHAnsi" w:cs="CheltenhamBT-Roman"/>
          <w:sz w:val="24"/>
          <w:szCs w:val="24"/>
        </w:rPr>
        <w:t xml:space="preserve"> these watershed moments as frameworks for evaluating and navigating through current circumstances.</w:t>
      </w:r>
      <w:r w:rsidR="008D1687" w:rsidRPr="00352AAF">
        <w:rPr>
          <w:rStyle w:val="FootnoteReference"/>
          <w:sz w:val="24"/>
          <w:szCs w:val="24"/>
        </w:rPr>
        <w:footnoteReference w:id="62"/>
      </w:r>
      <w:r w:rsidR="008D1687" w:rsidRPr="00352AAF">
        <w:rPr>
          <w:rFonts w:eastAsiaTheme="minorHAnsi" w:cs="CheltenhamBT-Roman"/>
          <w:sz w:val="24"/>
          <w:szCs w:val="24"/>
        </w:rPr>
        <w:t xml:space="preserve"> </w:t>
      </w:r>
    </w:p>
    <w:p w:rsidR="00E56A50" w:rsidRPr="00352AAF" w:rsidRDefault="00E56A50" w:rsidP="00352AAF">
      <w:pPr>
        <w:spacing w:line="360" w:lineRule="auto"/>
        <w:rPr>
          <w:sz w:val="24"/>
          <w:szCs w:val="24"/>
        </w:rPr>
      </w:pPr>
    </w:p>
    <w:p w:rsidR="00E56A50" w:rsidRPr="00352AAF" w:rsidRDefault="00E56A50" w:rsidP="00352AAF">
      <w:pPr>
        <w:spacing w:line="360" w:lineRule="auto"/>
        <w:rPr>
          <w:sz w:val="24"/>
          <w:szCs w:val="24"/>
        </w:rPr>
      </w:pPr>
      <w:r w:rsidRPr="00352AAF">
        <w:rPr>
          <w:sz w:val="24"/>
          <w:szCs w:val="24"/>
        </w:rPr>
        <w:t>It might seem that remembering your past as a story of disobedience would be discouraging. The implication of Kings’ portrayal is the opposite. It invites the community to face facts. Only when people have done so is there the possib</w:t>
      </w:r>
      <w:r w:rsidR="007F215F" w:rsidRPr="00352AAF">
        <w:rPr>
          <w:sz w:val="24"/>
          <w:szCs w:val="24"/>
        </w:rPr>
        <w:t>ility of facing the future and of having</w:t>
      </w:r>
      <w:r w:rsidRPr="00352AAF">
        <w:rPr>
          <w:sz w:val="24"/>
          <w:szCs w:val="24"/>
        </w:rPr>
        <w:t xml:space="preserve"> hope </w:t>
      </w:r>
      <w:r w:rsidR="007F215F" w:rsidRPr="00352AAF">
        <w:rPr>
          <w:sz w:val="24"/>
          <w:szCs w:val="24"/>
        </w:rPr>
        <w:t xml:space="preserve">for a future.  God </w:t>
      </w:r>
      <w:r w:rsidRPr="00352AAF">
        <w:rPr>
          <w:sz w:val="24"/>
          <w:szCs w:val="24"/>
        </w:rPr>
        <w:t>may grant them</w:t>
      </w:r>
      <w:r w:rsidR="007F215F" w:rsidRPr="00352AAF">
        <w:rPr>
          <w:sz w:val="24"/>
          <w:szCs w:val="24"/>
        </w:rPr>
        <w:t xml:space="preserve"> a future simply because of his</w:t>
      </w:r>
      <w:r w:rsidRPr="00352AAF">
        <w:rPr>
          <w:sz w:val="24"/>
          <w:szCs w:val="24"/>
        </w:rPr>
        <w:t xml:space="preserve"> grace and not because they have faced facts, and indeed God seems to have done so (the epilogue to Kings in 2 Kings 25:27-30 points in this direction). But if they want to make any movement themselves towards having a future, remembering the past in a way that does justice to the facts is a place to start.</w:t>
      </w:r>
    </w:p>
    <w:p w:rsidR="008D1687" w:rsidRPr="00352AAF" w:rsidRDefault="008D1687" w:rsidP="00352AAF">
      <w:pPr>
        <w:spacing w:line="360" w:lineRule="auto"/>
        <w:rPr>
          <w:sz w:val="24"/>
          <w:szCs w:val="24"/>
        </w:rPr>
      </w:pPr>
    </w:p>
    <w:p w:rsidR="00922AEC" w:rsidRPr="00352AAF" w:rsidRDefault="00922AEC" w:rsidP="00352AAF">
      <w:pPr>
        <w:spacing w:line="360" w:lineRule="auto"/>
        <w:rPr>
          <w:sz w:val="24"/>
          <w:szCs w:val="24"/>
        </w:rPr>
      </w:pPr>
      <w:r w:rsidRPr="00352AAF">
        <w:rPr>
          <w:sz w:val="24"/>
          <w:szCs w:val="24"/>
        </w:rPr>
        <w:t>Chronicles-Ezra-Nehemiah does not reflect a situation of disaster and tragedy. Chronicles knows more than Kings about t</w:t>
      </w:r>
      <w:r w:rsidR="004D4D1E" w:rsidRPr="00352AAF">
        <w:rPr>
          <w:sz w:val="24"/>
          <w:szCs w:val="24"/>
        </w:rPr>
        <w:t>he process whereby God manifested</w:t>
      </w:r>
      <w:r w:rsidRPr="00352AAF">
        <w:rPr>
          <w:sz w:val="24"/>
          <w:szCs w:val="24"/>
        </w:rPr>
        <w:t xml:space="preserve"> that mercy, as it shows by its own epilogue, and Ezra-Nehemiah can go on to remember the rebuilding of the temple and the work of Ezra and Nehemiah themselves. Yet the books do reflect a situation of disappointment and failure. The weeping in Ezra 3 is commonly read to reflect disappointment with the Second Temple as it being built. The prayers in Ezra 9 and Nehemiah 9 express disappointment with the commitment of the Second Temple community, and with its </w:t>
      </w:r>
      <w:r w:rsidRPr="00352AAF">
        <w:rPr>
          <w:sz w:val="24"/>
          <w:szCs w:val="24"/>
        </w:rPr>
        <w:lastRenderedPageBreak/>
        <w:t xml:space="preserve">continuing subjection to foreign kings, while Nehemiah is disappointed with the state of the city and with the division within the community. </w:t>
      </w:r>
    </w:p>
    <w:p w:rsidR="00922AEC" w:rsidRPr="00352AAF" w:rsidRDefault="00922AEC" w:rsidP="00352AAF">
      <w:pPr>
        <w:spacing w:line="360" w:lineRule="auto"/>
        <w:rPr>
          <w:sz w:val="24"/>
          <w:szCs w:val="24"/>
        </w:rPr>
      </w:pPr>
    </w:p>
    <w:p w:rsidR="00922AEC" w:rsidRPr="00352AAF" w:rsidRDefault="00922AEC" w:rsidP="00352AAF">
      <w:pPr>
        <w:spacing w:line="360" w:lineRule="auto"/>
        <w:rPr>
          <w:sz w:val="24"/>
          <w:szCs w:val="24"/>
        </w:rPr>
      </w:pPr>
      <w:r w:rsidRPr="00352AAF">
        <w:rPr>
          <w:sz w:val="24"/>
          <w:szCs w:val="24"/>
        </w:rPr>
        <w:t>The discouraging state of things encourages Chronicles to reframe the community’s memory in a different way from that which appears in Kings. Chronicles invites it to remember the way David set up the worship of the temple, in which the Judahites are privileged to take part. It has often been assumed that Chronicles’ account of David is implicitly messianic, and I wonder wheth</w:t>
      </w:r>
      <w:r w:rsidR="004D4D1E" w:rsidRPr="00352AAF">
        <w:rPr>
          <w:sz w:val="24"/>
          <w:szCs w:val="24"/>
        </w:rPr>
        <w:t>er this assump</w:t>
      </w:r>
      <w:r w:rsidRPr="00352AAF">
        <w:rPr>
          <w:sz w:val="24"/>
          <w:szCs w:val="24"/>
        </w:rPr>
        <w:t>t</w:t>
      </w:r>
      <w:r w:rsidR="004359AF" w:rsidRPr="00352AAF">
        <w:rPr>
          <w:sz w:val="24"/>
          <w:szCs w:val="24"/>
        </w:rPr>
        <w:t>ion issues from puzzlement about</w:t>
      </w:r>
      <w:r w:rsidRPr="00352AAF">
        <w:rPr>
          <w:sz w:val="24"/>
          <w:szCs w:val="24"/>
        </w:rPr>
        <w:t xml:space="preserve"> what other point the emphasis on David might have. Reflection on the sign</w:t>
      </w:r>
      <w:r w:rsidR="004359AF" w:rsidRPr="00352AAF">
        <w:rPr>
          <w:sz w:val="24"/>
          <w:szCs w:val="24"/>
        </w:rPr>
        <w:t>ificance of memory may help</w:t>
      </w:r>
      <w:r w:rsidRPr="00352AAF">
        <w:rPr>
          <w:sz w:val="24"/>
          <w:szCs w:val="24"/>
        </w:rPr>
        <w:t>. Reme</w:t>
      </w:r>
      <w:r w:rsidR="004D4D1E" w:rsidRPr="00352AAF">
        <w:rPr>
          <w:sz w:val="24"/>
          <w:szCs w:val="24"/>
        </w:rPr>
        <w:t xml:space="preserve">mbering David in the </w:t>
      </w:r>
      <w:r w:rsidR="004359AF" w:rsidRPr="00352AAF">
        <w:rPr>
          <w:sz w:val="24"/>
          <w:szCs w:val="24"/>
        </w:rPr>
        <w:t>way Chronicles</w:t>
      </w:r>
      <w:r w:rsidRPr="00352AAF">
        <w:rPr>
          <w:sz w:val="24"/>
          <w:szCs w:val="24"/>
        </w:rPr>
        <w:t xml:space="preserve"> does help</w:t>
      </w:r>
      <w:r w:rsidR="004D4D1E" w:rsidRPr="00352AAF">
        <w:rPr>
          <w:sz w:val="24"/>
          <w:szCs w:val="24"/>
        </w:rPr>
        <w:t xml:space="preserve">s the community understand </w:t>
      </w:r>
      <w:r w:rsidRPr="00352AAF">
        <w:rPr>
          <w:sz w:val="24"/>
          <w:szCs w:val="24"/>
        </w:rPr>
        <w:t>it</w:t>
      </w:r>
      <w:r w:rsidR="004D4D1E" w:rsidRPr="00352AAF">
        <w:rPr>
          <w:sz w:val="24"/>
          <w:szCs w:val="24"/>
        </w:rPr>
        <w:t xml:space="preserve">self </w:t>
      </w:r>
      <w:r w:rsidRPr="00352AAF">
        <w:rPr>
          <w:sz w:val="24"/>
          <w:szCs w:val="24"/>
        </w:rPr>
        <w:t>as a worshiping community.</w:t>
      </w:r>
    </w:p>
    <w:p w:rsidR="00922AEC" w:rsidRPr="00352AAF" w:rsidRDefault="00922AEC" w:rsidP="00352AAF">
      <w:pPr>
        <w:spacing w:line="360" w:lineRule="auto"/>
        <w:rPr>
          <w:sz w:val="24"/>
          <w:szCs w:val="24"/>
        </w:rPr>
      </w:pPr>
    </w:p>
    <w:p w:rsidR="00A4513C" w:rsidRPr="00352AAF" w:rsidRDefault="004359AF" w:rsidP="00352AAF">
      <w:pPr>
        <w:spacing w:line="360" w:lineRule="auto"/>
        <w:rPr>
          <w:rFonts w:eastAsiaTheme="minorHAnsi"/>
          <w:sz w:val="24"/>
          <w:szCs w:val="24"/>
        </w:rPr>
      </w:pPr>
      <w:r w:rsidRPr="00352AAF">
        <w:rPr>
          <w:sz w:val="24"/>
          <w:szCs w:val="24"/>
        </w:rPr>
        <w:t xml:space="preserve"> W</w:t>
      </w:r>
      <w:r w:rsidR="0049571A" w:rsidRPr="00352AAF">
        <w:rPr>
          <w:sz w:val="24"/>
          <w:szCs w:val="24"/>
        </w:rPr>
        <w:t>hat of the fact</w:t>
      </w:r>
      <w:r w:rsidR="001B6D87" w:rsidRPr="00352AAF">
        <w:rPr>
          <w:sz w:val="24"/>
          <w:szCs w:val="24"/>
        </w:rPr>
        <w:t xml:space="preserve"> that much of Chronicles’ account of David is im</w:t>
      </w:r>
      <w:r w:rsidRPr="00352AAF">
        <w:rPr>
          <w:sz w:val="24"/>
          <w:szCs w:val="24"/>
        </w:rPr>
        <w:t>aginary? While</w:t>
      </w:r>
      <w:r w:rsidR="00DF7A8D" w:rsidRPr="00352AAF">
        <w:rPr>
          <w:sz w:val="24"/>
          <w:szCs w:val="24"/>
        </w:rPr>
        <w:t xml:space="preserve"> m</w:t>
      </w:r>
      <w:r w:rsidR="004D4D1E" w:rsidRPr="00352AAF">
        <w:rPr>
          <w:sz w:val="24"/>
          <w:szCs w:val="24"/>
        </w:rPr>
        <w:t>emory incorporate</w:t>
      </w:r>
      <w:r w:rsidRPr="00352AAF">
        <w:rPr>
          <w:sz w:val="24"/>
          <w:szCs w:val="24"/>
        </w:rPr>
        <w:t>s less than history</w:t>
      </w:r>
      <w:r w:rsidR="001B6D87" w:rsidRPr="00352AAF">
        <w:rPr>
          <w:sz w:val="24"/>
          <w:szCs w:val="24"/>
        </w:rPr>
        <w:t xml:space="preserve"> </w:t>
      </w:r>
      <w:r w:rsidRPr="00352AAF">
        <w:rPr>
          <w:sz w:val="24"/>
          <w:szCs w:val="24"/>
        </w:rPr>
        <w:t>(</w:t>
      </w:r>
      <w:r w:rsidR="0049571A" w:rsidRPr="00352AAF">
        <w:rPr>
          <w:sz w:val="24"/>
          <w:szCs w:val="24"/>
        </w:rPr>
        <w:t>it</w:t>
      </w:r>
      <w:r w:rsidR="001B6D87" w:rsidRPr="00352AAF">
        <w:rPr>
          <w:sz w:val="24"/>
          <w:szCs w:val="24"/>
        </w:rPr>
        <w:t xml:space="preserve"> </w:t>
      </w:r>
      <w:r w:rsidRPr="00352AAF">
        <w:rPr>
          <w:sz w:val="24"/>
          <w:szCs w:val="24"/>
        </w:rPr>
        <w:t>can forget), m</w:t>
      </w:r>
      <w:r w:rsidR="001B6D87" w:rsidRPr="00352AAF">
        <w:rPr>
          <w:sz w:val="24"/>
          <w:szCs w:val="24"/>
        </w:rPr>
        <w:t xml:space="preserve">emory </w:t>
      </w:r>
      <w:r w:rsidR="00DF7A8D" w:rsidRPr="00352AAF">
        <w:rPr>
          <w:sz w:val="24"/>
          <w:szCs w:val="24"/>
        </w:rPr>
        <w:t xml:space="preserve">also </w:t>
      </w:r>
      <w:r w:rsidR="004D4D1E" w:rsidRPr="00352AAF">
        <w:rPr>
          <w:sz w:val="24"/>
          <w:szCs w:val="24"/>
        </w:rPr>
        <w:t>incorporate</w:t>
      </w:r>
      <w:r w:rsidR="0049571A" w:rsidRPr="00352AAF">
        <w:rPr>
          <w:sz w:val="24"/>
          <w:szCs w:val="24"/>
        </w:rPr>
        <w:t xml:space="preserve">s more than history; it </w:t>
      </w:r>
      <w:r w:rsidRPr="00352AAF">
        <w:rPr>
          <w:sz w:val="24"/>
          <w:szCs w:val="24"/>
        </w:rPr>
        <w:t>can embellish, in</w:t>
      </w:r>
      <w:r w:rsidR="001B6D87" w:rsidRPr="00352AAF">
        <w:rPr>
          <w:rFonts w:eastAsiaTheme="minorHAnsi"/>
          <w:sz w:val="24"/>
          <w:szCs w:val="24"/>
        </w:rPr>
        <w:t xml:space="preserve"> </w:t>
      </w:r>
      <w:r w:rsidRPr="00352AAF">
        <w:rPr>
          <w:rFonts w:eastAsiaTheme="minorHAnsi"/>
          <w:sz w:val="24"/>
          <w:szCs w:val="24"/>
        </w:rPr>
        <w:t>interpreting</w:t>
      </w:r>
      <w:r w:rsidR="000E6D8C" w:rsidRPr="00352AAF">
        <w:rPr>
          <w:rFonts w:eastAsiaTheme="minorHAnsi"/>
          <w:sz w:val="24"/>
          <w:szCs w:val="24"/>
        </w:rPr>
        <w:t xml:space="preserve"> in light of its own day</w:t>
      </w:r>
      <w:r w:rsidR="0049571A" w:rsidRPr="00352AAF">
        <w:rPr>
          <w:rFonts w:eastAsiaTheme="minorHAnsi"/>
          <w:sz w:val="24"/>
          <w:szCs w:val="24"/>
        </w:rPr>
        <w:t xml:space="preserve">. </w:t>
      </w:r>
      <w:r w:rsidR="00A4513C" w:rsidRPr="00352AAF">
        <w:rPr>
          <w:rFonts w:eastAsiaTheme="minorHAnsi"/>
          <w:sz w:val="24"/>
          <w:szCs w:val="24"/>
        </w:rPr>
        <w:t xml:space="preserve">The framework of memory may help us </w:t>
      </w:r>
      <w:r w:rsidRPr="00352AAF">
        <w:rPr>
          <w:rFonts w:eastAsiaTheme="minorHAnsi"/>
          <w:sz w:val="24"/>
          <w:szCs w:val="24"/>
        </w:rPr>
        <w:t xml:space="preserve">rethink </w:t>
      </w:r>
      <w:r w:rsidR="00A4513C" w:rsidRPr="00352AAF">
        <w:rPr>
          <w:rFonts w:eastAsiaTheme="minorHAnsi"/>
          <w:sz w:val="24"/>
          <w:szCs w:val="24"/>
        </w:rPr>
        <w:t>the hoary question of the relationship between theology and history—not to resolve the question,</w:t>
      </w:r>
      <w:r w:rsidRPr="00352AAF">
        <w:rPr>
          <w:rFonts w:eastAsiaTheme="minorHAnsi"/>
          <w:sz w:val="24"/>
          <w:szCs w:val="24"/>
        </w:rPr>
        <w:t xml:space="preserve"> but to think about it </w:t>
      </w:r>
      <w:r w:rsidR="00A4513C" w:rsidRPr="00352AAF">
        <w:rPr>
          <w:rFonts w:eastAsiaTheme="minorHAnsi"/>
          <w:sz w:val="24"/>
          <w:szCs w:val="24"/>
        </w:rPr>
        <w:t>differently.</w:t>
      </w:r>
    </w:p>
    <w:p w:rsidR="00A4513C" w:rsidRPr="00352AAF" w:rsidRDefault="00A4513C" w:rsidP="00352AAF">
      <w:pPr>
        <w:spacing w:line="360" w:lineRule="auto"/>
        <w:rPr>
          <w:rFonts w:eastAsiaTheme="minorHAnsi"/>
          <w:sz w:val="24"/>
          <w:szCs w:val="24"/>
        </w:rPr>
      </w:pPr>
    </w:p>
    <w:p w:rsidR="00A4513C" w:rsidRPr="00352AAF" w:rsidRDefault="00C71454" w:rsidP="00352AAF">
      <w:pPr>
        <w:spacing w:line="360" w:lineRule="auto"/>
        <w:rPr>
          <w:sz w:val="24"/>
          <w:szCs w:val="24"/>
        </w:rPr>
      </w:pPr>
      <w:r w:rsidRPr="00352AAF">
        <w:rPr>
          <w:sz w:val="24"/>
          <w:szCs w:val="24"/>
        </w:rPr>
        <w:t>When there is an</w:t>
      </w:r>
      <w:r w:rsidR="0049571A" w:rsidRPr="00352AAF">
        <w:rPr>
          <w:sz w:val="24"/>
          <w:szCs w:val="24"/>
        </w:rPr>
        <w:t xml:space="preserve"> interpretation of past events that both reflects and shapes the way current events are perceived and lived with, so that it becomes a lens through which the community perceives reality and looks to the future, </w:t>
      </w:r>
      <w:r w:rsidRPr="00352AAF">
        <w:rPr>
          <w:sz w:val="24"/>
          <w:szCs w:val="24"/>
        </w:rPr>
        <w:t>we may call it the community’s</w:t>
      </w:r>
      <w:r w:rsidR="0049571A" w:rsidRPr="00352AAF">
        <w:rPr>
          <w:sz w:val="24"/>
          <w:szCs w:val="24"/>
        </w:rPr>
        <w:t xml:space="preserve"> myth.</w:t>
      </w:r>
      <w:r w:rsidR="0049571A" w:rsidRPr="00352AAF">
        <w:rPr>
          <w:rStyle w:val="FootnoteReference"/>
          <w:sz w:val="24"/>
          <w:szCs w:val="24"/>
        </w:rPr>
        <w:footnoteReference w:id="63"/>
      </w:r>
      <w:r w:rsidR="0049571A" w:rsidRPr="00352AAF">
        <w:rPr>
          <w:sz w:val="24"/>
          <w:szCs w:val="24"/>
        </w:rPr>
        <w:t xml:space="preserve"> Bu</w:t>
      </w:r>
      <w:r w:rsidR="001B6D87" w:rsidRPr="00352AAF">
        <w:rPr>
          <w:sz w:val="24"/>
          <w:szCs w:val="24"/>
        </w:rPr>
        <w:t xml:space="preserve">t </w:t>
      </w:r>
      <w:r w:rsidR="004D4D1E" w:rsidRPr="00352AAF">
        <w:rPr>
          <w:sz w:val="24"/>
          <w:szCs w:val="24"/>
        </w:rPr>
        <w:t>“</w:t>
      </w:r>
      <w:r w:rsidR="001B6D87" w:rsidRPr="00352AAF">
        <w:rPr>
          <w:sz w:val="24"/>
          <w:szCs w:val="24"/>
        </w:rPr>
        <w:t>myth</w:t>
      </w:r>
      <w:r w:rsidR="004D4D1E" w:rsidRPr="00352AAF">
        <w:rPr>
          <w:sz w:val="24"/>
          <w:szCs w:val="24"/>
        </w:rPr>
        <w:t>”</w:t>
      </w:r>
      <w:r w:rsidR="001B6D87" w:rsidRPr="00352AAF">
        <w:rPr>
          <w:i/>
          <w:sz w:val="24"/>
          <w:szCs w:val="24"/>
        </w:rPr>
        <w:t xml:space="preserve"> </w:t>
      </w:r>
      <w:r w:rsidR="001B6D87" w:rsidRPr="00352AAF">
        <w:rPr>
          <w:sz w:val="24"/>
          <w:szCs w:val="24"/>
        </w:rPr>
        <w:t xml:space="preserve">can suggest something that never happened. </w:t>
      </w:r>
      <w:r w:rsidR="004E59F8" w:rsidRPr="00352AAF">
        <w:rPr>
          <w:sz w:val="24"/>
          <w:szCs w:val="24"/>
        </w:rPr>
        <w:t>W</w:t>
      </w:r>
      <w:r w:rsidR="00296A4A" w:rsidRPr="00352AAF">
        <w:rPr>
          <w:sz w:val="24"/>
          <w:szCs w:val="24"/>
        </w:rPr>
        <w:t xml:space="preserve">e </w:t>
      </w:r>
      <w:r w:rsidR="004E59F8" w:rsidRPr="00352AAF">
        <w:rPr>
          <w:sz w:val="24"/>
          <w:szCs w:val="24"/>
        </w:rPr>
        <w:t xml:space="preserve">do </w:t>
      </w:r>
      <w:r w:rsidR="001B6D87" w:rsidRPr="00352AAF">
        <w:rPr>
          <w:sz w:val="24"/>
          <w:szCs w:val="24"/>
        </w:rPr>
        <w:t>talk about remembering something as having happened in a certain way when it d</w:t>
      </w:r>
      <w:r w:rsidR="00296A4A" w:rsidRPr="00352AAF">
        <w:rPr>
          <w:sz w:val="24"/>
          <w:szCs w:val="24"/>
        </w:rPr>
        <w:t xml:space="preserve">id not, </w:t>
      </w:r>
      <w:r w:rsidR="004E59F8" w:rsidRPr="00352AAF">
        <w:rPr>
          <w:sz w:val="24"/>
          <w:szCs w:val="24"/>
        </w:rPr>
        <w:t xml:space="preserve">but then </w:t>
      </w:r>
      <w:r w:rsidR="00DF7A8D" w:rsidRPr="00352AAF">
        <w:rPr>
          <w:sz w:val="24"/>
          <w:szCs w:val="24"/>
        </w:rPr>
        <w:t xml:space="preserve">we are </w:t>
      </w:r>
      <w:r w:rsidR="001B6D87" w:rsidRPr="00352AAF">
        <w:rPr>
          <w:sz w:val="24"/>
          <w:szCs w:val="24"/>
        </w:rPr>
        <w:t xml:space="preserve">using the word </w:t>
      </w:r>
      <w:r w:rsidR="004D4D1E" w:rsidRPr="00352AAF">
        <w:rPr>
          <w:sz w:val="24"/>
          <w:szCs w:val="24"/>
        </w:rPr>
        <w:t>“</w:t>
      </w:r>
      <w:r w:rsidR="001B6D87" w:rsidRPr="00352AAF">
        <w:rPr>
          <w:sz w:val="24"/>
          <w:szCs w:val="24"/>
        </w:rPr>
        <w:t>remember</w:t>
      </w:r>
      <w:r w:rsidR="004D4D1E" w:rsidRPr="00352AAF">
        <w:rPr>
          <w:sz w:val="24"/>
          <w:szCs w:val="24"/>
        </w:rPr>
        <w:t>”</w:t>
      </w:r>
      <w:r w:rsidR="001B6D87" w:rsidRPr="00352AAF">
        <w:rPr>
          <w:i/>
          <w:sz w:val="24"/>
          <w:szCs w:val="24"/>
        </w:rPr>
        <w:t xml:space="preserve"> </w:t>
      </w:r>
      <w:r w:rsidR="004D4D1E" w:rsidRPr="00352AAF">
        <w:rPr>
          <w:sz w:val="24"/>
          <w:szCs w:val="24"/>
        </w:rPr>
        <w:t xml:space="preserve">in a </w:t>
      </w:r>
      <w:proofErr w:type="spellStart"/>
      <w:r w:rsidRPr="00352AAF">
        <w:rPr>
          <w:sz w:val="24"/>
          <w:szCs w:val="24"/>
        </w:rPr>
        <w:t>Pickwickian</w:t>
      </w:r>
      <w:proofErr w:type="spellEnd"/>
      <w:r w:rsidRPr="00352AAF">
        <w:rPr>
          <w:sz w:val="24"/>
          <w:szCs w:val="24"/>
        </w:rPr>
        <w:t xml:space="preserve"> fashion</w:t>
      </w:r>
      <w:r w:rsidR="001B6D87" w:rsidRPr="00352AAF">
        <w:rPr>
          <w:sz w:val="24"/>
          <w:szCs w:val="24"/>
        </w:rPr>
        <w:t>.</w:t>
      </w:r>
      <w:r w:rsidR="004359AF" w:rsidRPr="00352AAF">
        <w:rPr>
          <w:sz w:val="24"/>
          <w:szCs w:val="24"/>
        </w:rPr>
        <w:t xml:space="preserve"> In theory, b</w:t>
      </w:r>
      <w:r w:rsidR="00DF7A8D" w:rsidRPr="00352AAF">
        <w:rPr>
          <w:sz w:val="24"/>
          <w:szCs w:val="24"/>
        </w:rPr>
        <w:t>y its nature m</w:t>
      </w:r>
      <w:r w:rsidR="005F64D3" w:rsidRPr="00352AAF">
        <w:rPr>
          <w:sz w:val="24"/>
          <w:szCs w:val="24"/>
        </w:rPr>
        <w:t xml:space="preserve">emory refers to </w:t>
      </w:r>
      <w:r w:rsidR="001B6D87" w:rsidRPr="00352AAF">
        <w:rPr>
          <w:sz w:val="24"/>
          <w:szCs w:val="24"/>
        </w:rPr>
        <w:t>thing</w:t>
      </w:r>
      <w:r w:rsidR="005F64D3" w:rsidRPr="00352AAF">
        <w:rPr>
          <w:sz w:val="24"/>
          <w:szCs w:val="24"/>
        </w:rPr>
        <w:t>s that</w:t>
      </w:r>
      <w:r w:rsidR="001B6D87" w:rsidRPr="00352AAF">
        <w:rPr>
          <w:sz w:val="24"/>
          <w:szCs w:val="24"/>
        </w:rPr>
        <w:t xml:space="preserve"> happened. </w:t>
      </w:r>
      <w:r w:rsidR="00A4513C" w:rsidRPr="00352AAF">
        <w:rPr>
          <w:sz w:val="24"/>
          <w:szCs w:val="24"/>
        </w:rPr>
        <w:t xml:space="preserve">The Jewish historian of Amos </w:t>
      </w:r>
      <w:proofErr w:type="spellStart"/>
      <w:r w:rsidR="00A4513C" w:rsidRPr="00352AAF">
        <w:rPr>
          <w:sz w:val="24"/>
          <w:szCs w:val="24"/>
        </w:rPr>
        <w:t>Funkenstein</w:t>
      </w:r>
      <w:proofErr w:type="spellEnd"/>
      <w:r w:rsidR="00A4513C" w:rsidRPr="00352AAF">
        <w:rPr>
          <w:sz w:val="24"/>
          <w:szCs w:val="24"/>
        </w:rPr>
        <w:t xml:space="preserve"> describes Ruth, Job, Jonah, and Esther as historical novels, but then as reflexive literature.</w:t>
      </w:r>
      <w:r w:rsidR="00A4513C" w:rsidRPr="00352AAF">
        <w:rPr>
          <w:rStyle w:val="FootnoteReference"/>
          <w:sz w:val="24"/>
          <w:szCs w:val="24"/>
        </w:rPr>
        <w:footnoteReference w:id="64"/>
      </w:r>
      <w:r w:rsidR="00A4513C" w:rsidRPr="00352AAF">
        <w:rPr>
          <w:sz w:val="24"/>
          <w:szCs w:val="24"/>
        </w:rPr>
        <w:t xml:space="preserve"> </w:t>
      </w:r>
      <w:r w:rsidR="001B6D87" w:rsidRPr="00352AAF">
        <w:rPr>
          <w:sz w:val="24"/>
          <w:szCs w:val="24"/>
        </w:rPr>
        <w:t xml:space="preserve">While I can imagine </w:t>
      </w:r>
      <w:r w:rsidR="00DF7A8D" w:rsidRPr="00352AAF">
        <w:rPr>
          <w:sz w:val="24"/>
          <w:szCs w:val="24"/>
        </w:rPr>
        <w:t xml:space="preserve">that </w:t>
      </w:r>
      <w:r w:rsidR="001B6D87" w:rsidRPr="00352AAF">
        <w:rPr>
          <w:sz w:val="24"/>
          <w:szCs w:val="24"/>
        </w:rPr>
        <w:t>the autho</w:t>
      </w:r>
      <w:r w:rsidR="00DF7A8D" w:rsidRPr="00352AAF">
        <w:rPr>
          <w:sz w:val="24"/>
          <w:szCs w:val="24"/>
        </w:rPr>
        <w:t xml:space="preserve">r of Jonah knew he was </w:t>
      </w:r>
      <w:r w:rsidR="001B6D87" w:rsidRPr="00352AAF">
        <w:rPr>
          <w:sz w:val="24"/>
          <w:szCs w:val="24"/>
        </w:rPr>
        <w:t xml:space="preserve">writing </w:t>
      </w:r>
      <w:r w:rsidR="000E6D8C" w:rsidRPr="00352AAF">
        <w:rPr>
          <w:sz w:val="24"/>
          <w:szCs w:val="24"/>
        </w:rPr>
        <w:t xml:space="preserve">a </w:t>
      </w:r>
      <w:r w:rsidR="001B6D87" w:rsidRPr="00352AAF">
        <w:rPr>
          <w:sz w:val="24"/>
          <w:szCs w:val="24"/>
        </w:rPr>
        <w:t xml:space="preserve">piece of fiction, </w:t>
      </w:r>
      <w:r w:rsidR="004359AF" w:rsidRPr="00352AAF">
        <w:rPr>
          <w:sz w:val="24"/>
          <w:szCs w:val="24"/>
        </w:rPr>
        <w:t>even thoug</w:t>
      </w:r>
      <w:r w:rsidR="004E59F8" w:rsidRPr="00352AAF">
        <w:rPr>
          <w:sz w:val="24"/>
          <w:szCs w:val="24"/>
        </w:rPr>
        <w:t>h writing about a real prophet,</w:t>
      </w:r>
      <w:r w:rsidR="004359AF" w:rsidRPr="00352AAF">
        <w:rPr>
          <w:sz w:val="24"/>
          <w:szCs w:val="24"/>
        </w:rPr>
        <w:t xml:space="preserve"> </w:t>
      </w:r>
      <w:r w:rsidRPr="00352AAF">
        <w:rPr>
          <w:sz w:val="24"/>
          <w:szCs w:val="24"/>
        </w:rPr>
        <w:t xml:space="preserve">I do not think </w:t>
      </w:r>
      <w:r w:rsidRPr="00352AAF">
        <w:rPr>
          <w:sz w:val="24"/>
          <w:szCs w:val="24"/>
        </w:rPr>
        <w:lastRenderedPageBreak/>
        <w:t>of</w:t>
      </w:r>
      <w:r w:rsidR="004E59F8" w:rsidRPr="00352AAF">
        <w:rPr>
          <w:sz w:val="24"/>
          <w:szCs w:val="24"/>
        </w:rPr>
        <w:t xml:space="preserve"> Jonah as an exercise in memory. But</w:t>
      </w:r>
      <w:r w:rsidRPr="00352AAF">
        <w:rPr>
          <w:sz w:val="24"/>
          <w:szCs w:val="24"/>
        </w:rPr>
        <w:t xml:space="preserve"> </w:t>
      </w:r>
      <w:r w:rsidR="004E59F8" w:rsidRPr="00352AAF">
        <w:rPr>
          <w:sz w:val="24"/>
          <w:szCs w:val="24"/>
        </w:rPr>
        <w:t xml:space="preserve">I think it less </w:t>
      </w:r>
      <w:r w:rsidR="001B6D87" w:rsidRPr="00352AAF">
        <w:rPr>
          <w:sz w:val="24"/>
          <w:szCs w:val="24"/>
        </w:rPr>
        <w:t>likely that the authors of</w:t>
      </w:r>
      <w:r w:rsidR="005F64D3" w:rsidRPr="00352AAF">
        <w:rPr>
          <w:sz w:val="24"/>
          <w:szCs w:val="24"/>
        </w:rPr>
        <w:t xml:space="preserve"> Chronicles thought in a parallel way. </w:t>
      </w:r>
      <w:r w:rsidR="001B6D87" w:rsidRPr="00352AAF">
        <w:rPr>
          <w:sz w:val="24"/>
          <w:szCs w:val="24"/>
        </w:rPr>
        <w:t xml:space="preserve">Chronicles was </w:t>
      </w:r>
      <w:r w:rsidR="00296A4A" w:rsidRPr="00352AAF">
        <w:rPr>
          <w:sz w:val="24"/>
          <w:szCs w:val="24"/>
        </w:rPr>
        <w:t xml:space="preserve">surely written and </w:t>
      </w:r>
      <w:r w:rsidR="005F64D3" w:rsidRPr="00352AAF">
        <w:rPr>
          <w:sz w:val="24"/>
          <w:szCs w:val="24"/>
        </w:rPr>
        <w:t>received as a story that reminded</w:t>
      </w:r>
      <w:r w:rsidR="001B6D87" w:rsidRPr="00352AAF">
        <w:rPr>
          <w:sz w:val="24"/>
          <w:szCs w:val="24"/>
        </w:rPr>
        <w:t xml:space="preserve"> people </w:t>
      </w:r>
      <w:r w:rsidR="005F64D3" w:rsidRPr="00352AAF">
        <w:rPr>
          <w:sz w:val="24"/>
          <w:szCs w:val="24"/>
        </w:rPr>
        <w:t xml:space="preserve">of </w:t>
      </w:r>
      <w:r w:rsidR="001B6D87" w:rsidRPr="00352AAF">
        <w:rPr>
          <w:sz w:val="24"/>
          <w:szCs w:val="24"/>
        </w:rPr>
        <w:t xml:space="preserve">who they were </w:t>
      </w:r>
      <w:r w:rsidR="005F64D3" w:rsidRPr="00352AAF">
        <w:rPr>
          <w:sz w:val="24"/>
          <w:szCs w:val="24"/>
        </w:rPr>
        <w:t>on the basis of remind</w:t>
      </w:r>
      <w:r w:rsidR="00296A4A" w:rsidRPr="00352AAF">
        <w:rPr>
          <w:sz w:val="24"/>
          <w:szCs w:val="24"/>
        </w:rPr>
        <w:t xml:space="preserve">ing them </w:t>
      </w:r>
      <w:r w:rsidR="005F64D3" w:rsidRPr="00352AAF">
        <w:rPr>
          <w:sz w:val="24"/>
          <w:szCs w:val="24"/>
        </w:rPr>
        <w:t>of who they had been. F</w:t>
      </w:r>
      <w:r w:rsidR="004E59F8" w:rsidRPr="00352AAF">
        <w:rPr>
          <w:sz w:val="24"/>
          <w:szCs w:val="24"/>
        </w:rPr>
        <w:t>ictionalized history</w:t>
      </w:r>
      <w:r w:rsidR="00296A4A" w:rsidRPr="00352AAF">
        <w:rPr>
          <w:sz w:val="24"/>
          <w:szCs w:val="24"/>
        </w:rPr>
        <w:t xml:space="preserve"> </w:t>
      </w:r>
      <w:r w:rsidR="005F64D3" w:rsidRPr="00352AAF">
        <w:rPr>
          <w:sz w:val="24"/>
          <w:szCs w:val="24"/>
        </w:rPr>
        <w:t xml:space="preserve">functions similarly </w:t>
      </w:r>
      <w:r w:rsidR="00296A4A" w:rsidRPr="00352AAF">
        <w:rPr>
          <w:sz w:val="24"/>
          <w:szCs w:val="24"/>
        </w:rPr>
        <w:t xml:space="preserve">in our culture. </w:t>
      </w:r>
      <w:r w:rsidR="002905D4" w:rsidRPr="00352AAF">
        <w:rPr>
          <w:sz w:val="24"/>
          <w:szCs w:val="24"/>
        </w:rPr>
        <w:t xml:space="preserve">The recent movies </w:t>
      </w:r>
      <w:r w:rsidR="002905D4" w:rsidRPr="00352AAF">
        <w:rPr>
          <w:i/>
          <w:sz w:val="24"/>
          <w:szCs w:val="24"/>
        </w:rPr>
        <w:t>Lincoln</w:t>
      </w:r>
      <w:r w:rsidR="002905D4" w:rsidRPr="00352AAF">
        <w:rPr>
          <w:sz w:val="24"/>
          <w:szCs w:val="24"/>
        </w:rPr>
        <w:t xml:space="preserve">, and </w:t>
      </w:r>
      <w:r w:rsidR="002905D4" w:rsidRPr="00352AAF">
        <w:rPr>
          <w:i/>
          <w:sz w:val="24"/>
          <w:szCs w:val="24"/>
        </w:rPr>
        <w:t xml:space="preserve">Zero Dark Thirty </w:t>
      </w:r>
      <w:r w:rsidR="002905D4" w:rsidRPr="00352AAF">
        <w:rPr>
          <w:sz w:val="24"/>
          <w:szCs w:val="24"/>
        </w:rPr>
        <w:t xml:space="preserve">(about the capture of </w:t>
      </w:r>
      <w:r w:rsidR="005F64D3" w:rsidRPr="00352AAF">
        <w:rPr>
          <w:sz w:val="24"/>
          <w:szCs w:val="24"/>
        </w:rPr>
        <w:t>Osama bin Laden), for instance</w:t>
      </w:r>
      <w:r w:rsidR="002905D4" w:rsidRPr="00352AAF">
        <w:rPr>
          <w:sz w:val="24"/>
          <w:szCs w:val="24"/>
        </w:rPr>
        <w:t xml:space="preserve"> seek to tell Americans something about themselves. The autho</w:t>
      </w:r>
      <w:r w:rsidR="005F64D3" w:rsidRPr="00352AAF">
        <w:rPr>
          <w:sz w:val="24"/>
          <w:szCs w:val="24"/>
        </w:rPr>
        <w:t>rs of such stories base</w:t>
      </w:r>
      <w:r w:rsidR="002905D4" w:rsidRPr="00352AAF">
        <w:rPr>
          <w:sz w:val="24"/>
          <w:szCs w:val="24"/>
        </w:rPr>
        <w:t xml:space="preserve"> </w:t>
      </w:r>
      <w:r w:rsidR="005F64D3" w:rsidRPr="00352AAF">
        <w:rPr>
          <w:sz w:val="24"/>
          <w:szCs w:val="24"/>
        </w:rPr>
        <w:t>them on fact</w:t>
      </w:r>
      <w:r w:rsidRPr="00352AAF">
        <w:rPr>
          <w:sz w:val="24"/>
          <w:szCs w:val="24"/>
        </w:rPr>
        <w:t>, but using</w:t>
      </w:r>
      <w:r w:rsidR="002905D4" w:rsidRPr="00352AAF">
        <w:rPr>
          <w:sz w:val="24"/>
          <w:szCs w:val="24"/>
        </w:rPr>
        <w:t xml:space="preserve"> thei</w:t>
      </w:r>
      <w:r w:rsidR="005F64D3" w:rsidRPr="00352AAF">
        <w:rPr>
          <w:sz w:val="24"/>
          <w:szCs w:val="24"/>
        </w:rPr>
        <w:t xml:space="preserve">r imagination helps </w:t>
      </w:r>
      <w:proofErr w:type="gramStart"/>
      <w:r w:rsidR="005F64D3" w:rsidRPr="00352AAF">
        <w:rPr>
          <w:sz w:val="24"/>
          <w:szCs w:val="24"/>
        </w:rPr>
        <w:t>them</w:t>
      </w:r>
      <w:proofErr w:type="gramEnd"/>
      <w:r w:rsidR="005F64D3" w:rsidRPr="00352AAF">
        <w:rPr>
          <w:sz w:val="24"/>
          <w:szCs w:val="24"/>
        </w:rPr>
        <w:t xml:space="preserve"> get</w:t>
      </w:r>
      <w:r w:rsidR="002905D4" w:rsidRPr="00352AAF">
        <w:rPr>
          <w:sz w:val="24"/>
          <w:szCs w:val="24"/>
        </w:rPr>
        <w:t xml:space="preserve"> purchase in the present.</w:t>
      </w:r>
      <w:r w:rsidR="00A4513C" w:rsidRPr="00352AAF">
        <w:rPr>
          <w:sz w:val="24"/>
          <w:szCs w:val="24"/>
        </w:rPr>
        <w:t xml:space="preserve"> Talk in terms of memory preserves the distinction between Chronicles and Jonah. Both sought to shape people’s thinking and lives, but they did </w:t>
      </w:r>
      <w:proofErr w:type="gramStart"/>
      <w:r w:rsidR="00A4513C" w:rsidRPr="00352AAF">
        <w:rPr>
          <w:sz w:val="24"/>
          <w:szCs w:val="24"/>
        </w:rPr>
        <w:t>so on</w:t>
      </w:r>
      <w:proofErr w:type="gramEnd"/>
      <w:r w:rsidR="00A4513C" w:rsidRPr="00352AAF">
        <w:rPr>
          <w:sz w:val="24"/>
          <w:szCs w:val="24"/>
        </w:rPr>
        <w:t xml:space="preserve"> different bases.</w:t>
      </w:r>
    </w:p>
    <w:p w:rsidR="002905D4" w:rsidRPr="00352AAF" w:rsidRDefault="002905D4" w:rsidP="00352AAF">
      <w:pPr>
        <w:spacing w:line="360" w:lineRule="auto"/>
        <w:rPr>
          <w:sz w:val="24"/>
          <w:szCs w:val="24"/>
        </w:rPr>
      </w:pPr>
    </w:p>
    <w:p w:rsidR="001B6D87" w:rsidRPr="00352AAF" w:rsidRDefault="002905D4" w:rsidP="00352AAF">
      <w:pPr>
        <w:spacing w:line="360" w:lineRule="auto"/>
        <w:rPr>
          <w:sz w:val="24"/>
          <w:szCs w:val="24"/>
        </w:rPr>
      </w:pPr>
      <w:r w:rsidRPr="00352AAF">
        <w:rPr>
          <w:sz w:val="24"/>
          <w:szCs w:val="24"/>
        </w:rPr>
        <w:t>Deute</w:t>
      </w:r>
      <w:r w:rsidR="002F092B" w:rsidRPr="00352AAF">
        <w:rPr>
          <w:sz w:val="24"/>
          <w:szCs w:val="24"/>
        </w:rPr>
        <w:t>ronomy</w:t>
      </w:r>
      <w:r w:rsidRPr="00352AAF">
        <w:rPr>
          <w:sz w:val="24"/>
          <w:szCs w:val="24"/>
        </w:rPr>
        <w:t xml:space="preserve">, while urging the importance of memory and implicitly claiming to be </w:t>
      </w:r>
      <w:r w:rsidR="002F092B" w:rsidRPr="00352AAF">
        <w:rPr>
          <w:sz w:val="24"/>
          <w:szCs w:val="24"/>
        </w:rPr>
        <w:t>in continuity with the past, is</w:t>
      </w:r>
      <w:r w:rsidRPr="00352AAF">
        <w:rPr>
          <w:sz w:val="24"/>
          <w:szCs w:val="24"/>
        </w:rPr>
        <w:t xml:space="preserve"> in some ways expounding novel teaching, in the manner of Harold Bloom’s bold rereading of texts.</w:t>
      </w:r>
      <w:r w:rsidR="005F64D3" w:rsidRPr="00352AAF">
        <w:rPr>
          <w:rStyle w:val="FootnoteReference"/>
          <w:sz w:val="24"/>
          <w:szCs w:val="24"/>
        </w:rPr>
        <w:footnoteReference w:id="65"/>
      </w:r>
      <w:r w:rsidRPr="00352AAF">
        <w:rPr>
          <w:sz w:val="24"/>
          <w:szCs w:val="24"/>
        </w:rPr>
        <w:t xml:space="preserve"> But if Deuteronomy is a revisionist exercise in memory, it is </w:t>
      </w:r>
      <w:r w:rsidR="004E59F8" w:rsidRPr="00352AAF">
        <w:rPr>
          <w:sz w:val="24"/>
          <w:szCs w:val="24"/>
        </w:rPr>
        <w:t xml:space="preserve">surely </w:t>
      </w:r>
      <w:r w:rsidRPr="00352AAF">
        <w:rPr>
          <w:sz w:val="24"/>
          <w:szCs w:val="24"/>
        </w:rPr>
        <w:t xml:space="preserve">claiming to be one that Moses or the author of the covenant code would recognize. Or if it was not making this claim, the authors of the Pentateuch were implying that they believed it to </w:t>
      </w:r>
      <w:r w:rsidR="007E4BD4" w:rsidRPr="00352AAF">
        <w:rPr>
          <w:sz w:val="24"/>
          <w:szCs w:val="24"/>
        </w:rPr>
        <w:t>be so, though</w:t>
      </w:r>
      <w:r w:rsidRPr="00352AAF">
        <w:rPr>
          <w:sz w:val="24"/>
          <w:szCs w:val="24"/>
        </w:rPr>
        <w:t xml:space="preserve"> other Israelites w</w:t>
      </w:r>
      <w:r w:rsidR="002F092B" w:rsidRPr="00352AAF">
        <w:rPr>
          <w:sz w:val="24"/>
          <w:szCs w:val="24"/>
        </w:rPr>
        <w:t>ould contest the point</w:t>
      </w:r>
      <w:r w:rsidRPr="00352AAF">
        <w:rPr>
          <w:sz w:val="24"/>
          <w:szCs w:val="24"/>
        </w:rPr>
        <w:t xml:space="preserve">. </w:t>
      </w:r>
      <w:r w:rsidR="001B6D87" w:rsidRPr="00352AAF">
        <w:rPr>
          <w:rFonts w:eastAsiaTheme="minorHAnsi"/>
          <w:sz w:val="24"/>
          <w:szCs w:val="24"/>
        </w:rPr>
        <w:t>Chronicles illustrates m</w:t>
      </w:r>
      <w:r w:rsidR="00DF7A8D" w:rsidRPr="00352AAF">
        <w:rPr>
          <w:rFonts w:eastAsiaTheme="minorHAnsi"/>
          <w:sz w:val="24"/>
          <w:szCs w:val="24"/>
        </w:rPr>
        <w:t>ore clearly than Kings how t</w:t>
      </w:r>
      <w:r w:rsidR="00E642DD" w:rsidRPr="00352AAF">
        <w:rPr>
          <w:rFonts w:eastAsiaTheme="minorHAnsi"/>
          <w:sz w:val="24"/>
          <w:szCs w:val="24"/>
        </w:rPr>
        <w:t xml:space="preserve">he reformulating of memory can </w:t>
      </w:r>
      <w:r w:rsidR="00DF7A8D" w:rsidRPr="00352AAF">
        <w:rPr>
          <w:rFonts w:eastAsiaTheme="minorHAnsi"/>
          <w:sz w:val="24"/>
          <w:szCs w:val="24"/>
        </w:rPr>
        <w:t>in</w:t>
      </w:r>
      <w:r w:rsidR="00E642DD" w:rsidRPr="00352AAF">
        <w:rPr>
          <w:rFonts w:eastAsiaTheme="minorHAnsi"/>
          <w:sz w:val="24"/>
          <w:szCs w:val="24"/>
        </w:rPr>
        <w:t>volve</w:t>
      </w:r>
      <w:r w:rsidR="00DF7A8D" w:rsidRPr="00352AAF">
        <w:rPr>
          <w:rFonts w:eastAsiaTheme="minorHAnsi"/>
          <w:sz w:val="24"/>
          <w:szCs w:val="24"/>
        </w:rPr>
        <w:t xml:space="preserve"> </w:t>
      </w:r>
      <w:r w:rsidR="001B6D87" w:rsidRPr="00352AAF">
        <w:rPr>
          <w:rFonts w:eastAsiaTheme="minorHAnsi"/>
          <w:sz w:val="24"/>
          <w:szCs w:val="24"/>
        </w:rPr>
        <w:t>a fictionalizi</w:t>
      </w:r>
      <w:r w:rsidR="00E642DD" w:rsidRPr="00352AAF">
        <w:rPr>
          <w:rFonts w:eastAsiaTheme="minorHAnsi"/>
          <w:sz w:val="24"/>
          <w:szCs w:val="24"/>
        </w:rPr>
        <w:t>ng of facts that</w:t>
      </w:r>
      <w:r w:rsidR="001B6D87" w:rsidRPr="00352AAF">
        <w:rPr>
          <w:rFonts w:eastAsiaTheme="minorHAnsi"/>
          <w:sz w:val="24"/>
          <w:szCs w:val="24"/>
        </w:rPr>
        <w:t xml:space="preserve"> is part of what makes possible the bridging of past and present. If one is trying to chart </w:t>
      </w:r>
      <w:r w:rsidR="007E4BD4" w:rsidRPr="00352AAF">
        <w:rPr>
          <w:rFonts w:eastAsiaTheme="minorHAnsi"/>
          <w:sz w:val="24"/>
          <w:szCs w:val="24"/>
        </w:rPr>
        <w:t xml:space="preserve">with accuracy </w:t>
      </w:r>
      <w:r w:rsidR="001B6D87" w:rsidRPr="00352AAF">
        <w:rPr>
          <w:rFonts w:eastAsiaTheme="minorHAnsi"/>
          <w:sz w:val="24"/>
          <w:szCs w:val="24"/>
        </w:rPr>
        <w:t xml:space="preserve">the history of the events to which the story refers, the fictionalizing process is an unfortunate consequence of this bridging, but </w:t>
      </w:r>
      <w:r w:rsidR="007E4BD4" w:rsidRPr="00352AAF">
        <w:rPr>
          <w:rFonts w:eastAsiaTheme="minorHAnsi"/>
          <w:sz w:val="24"/>
          <w:szCs w:val="24"/>
        </w:rPr>
        <w:t xml:space="preserve">in terms of its own aim </w:t>
      </w:r>
      <w:r w:rsidR="004E59F8" w:rsidRPr="00352AAF">
        <w:rPr>
          <w:rFonts w:eastAsiaTheme="minorHAnsi"/>
          <w:sz w:val="24"/>
          <w:szCs w:val="24"/>
        </w:rPr>
        <w:t>it is a positive aspect of the work</w:t>
      </w:r>
      <w:r w:rsidR="001B6D87" w:rsidRPr="00352AAF">
        <w:rPr>
          <w:rFonts w:eastAsiaTheme="minorHAnsi"/>
          <w:sz w:val="24"/>
          <w:szCs w:val="24"/>
        </w:rPr>
        <w:t xml:space="preserve">. </w:t>
      </w:r>
    </w:p>
    <w:p w:rsidR="001B6D87" w:rsidRPr="00352AAF" w:rsidRDefault="001B6D87" w:rsidP="00352AAF">
      <w:pPr>
        <w:spacing w:line="360" w:lineRule="auto"/>
        <w:rPr>
          <w:rFonts w:eastAsiaTheme="minorHAnsi"/>
          <w:sz w:val="24"/>
          <w:szCs w:val="24"/>
        </w:rPr>
      </w:pPr>
    </w:p>
    <w:p w:rsidR="002905D4" w:rsidRPr="00352AAF" w:rsidRDefault="00B55B5F" w:rsidP="00352AAF">
      <w:pPr>
        <w:spacing w:line="360" w:lineRule="auto"/>
        <w:rPr>
          <w:rFonts w:eastAsiaTheme="minorHAnsi"/>
          <w:sz w:val="24"/>
          <w:szCs w:val="24"/>
        </w:rPr>
      </w:pPr>
      <w:r w:rsidRPr="00352AAF">
        <w:rPr>
          <w:sz w:val="24"/>
          <w:szCs w:val="24"/>
        </w:rPr>
        <w:t>The fact that alleged past events have significance in the present may mean that they were invented</w:t>
      </w:r>
      <w:r w:rsidR="002F092B" w:rsidRPr="00352AAF">
        <w:rPr>
          <w:sz w:val="24"/>
          <w:szCs w:val="24"/>
        </w:rPr>
        <w:t xml:space="preserve"> to that end. Yet</w:t>
      </w:r>
      <w:r w:rsidRPr="00352AAF">
        <w:rPr>
          <w:sz w:val="24"/>
          <w:szCs w:val="24"/>
        </w:rPr>
        <w:t xml:space="preserve"> it is also the present significance of real past events that caus</w:t>
      </w:r>
      <w:r w:rsidR="007E4BD4" w:rsidRPr="00352AAF">
        <w:rPr>
          <w:sz w:val="24"/>
          <w:szCs w:val="24"/>
        </w:rPr>
        <w:t>es them to be remembered. P</w:t>
      </w:r>
      <w:r w:rsidRPr="00352AAF">
        <w:rPr>
          <w:sz w:val="24"/>
          <w:szCs w:val="24"/>
        </w:rPr>
        <w:t>resent relevance encourages both false memory and true memory.</w:t>
      </w:r>
      <w:r w:rsidRPr="00352AAF">
        <w:rPr>
          <w:rStyle w:val="FootnoteReference"/>
          <w:sz w:val="24"/>
          <w:szCs w:val="24"/>
        </w:rPr>
        <w:footnoteReference w:id="66"/>
      </w:r>
      <w:r w:rsidRPr="00352AAF">
        <w:rPr>
          <w:sz w:val="24"/>
          <w:szCs w:val="24"/>
        </w:rPr>
        <w:t xml:space="preserve"> </w:t>
      </w:r>
      <w:r w:rsidR="001B6D87" w:rsidRPr="00352AAF">
        <w:rPr>
          <w:rFonts w:eastAsiaTheme="minorHAnsi"/>
          <w:sz w:val="24"/>
          <w:szCs w:val="24"/>
        </w:rPr>
        <w:t>En</w:t>
      </w:r>
      <w:r w:rsidR="007E4BD4" w:rsidRPr="00352AAF">
        <w:rPr>
          <w:rFonts w:eastAsiaTheme="minorHAnsi"/>
          <w:sz w:val="24"/>
          <w:szCs w:val="24"/>
        </w:rPr>
        <w:t xml:space="preserve">couraging </w:t>
      </w:r>
      <w:r w:rsidR="002F092B" w:rsidRPr="00352AAF">
        <w:rPr>
          <w:rFonts w:eastAsiaTheme="minorHAnsi"/>
          <w:sz w:val="24"/>
          <w:szCs w:val="24"/>
        </w:rPr>
        <w:t xml:space="preserve">people to remember David </w:t>
      </w:r>
      <w:r w:rsidR="007E4BD4" w:rsidRPr="00352AAF">
        <w:rPr>
          <w:rFonts w:eastAsiaTheme="minorHAnsi"/>
          <w:sz w:val="24"/>
          <w:szCs w:val="24"/>
        </w:rPr>
        <w:t>d</w:t>
      </w:r>
      <w:r w:rsidR="002F092B" w:rsidRPr="00352AAF">
        <w:rPr>
          <w:rFonts w:eastAsiaTheme="minorHAnsi"/>
          <w:sz w:val="24"/>
          <w:szCs w:val="24"/>
        </w:rPr>
        <w:t xml:space="preserve">oing things he did not </w:t>
      </w:r>
      <w:r w:rsidR="007E4BD4" w:rsidRPr="00352AAF">
        <w:rPr>
          <w:rFonts w:eastAsiaTheme="minorHAnsi"/>
          <w:sz w:val="24"/>
          <w:szCs w:val="24"/>
        </w:rPr>
        <w:t>do may involve</w:t>
      </w:r>
      <w:r w:rsidR="001B6D87" w:rsidRPr="00352AAF">
        <w:rPr>
          <w:rFonts w:eastAsiaTheme="minorHAnsi"/>
          <w:sz w:val="24"/>
          <w:szCs w:val="24"/>
        </w:rPr>
        <w:t xml:space="preserve"> the assumption that there was enough of a link between his historical acts and the worship of the Second Temple to justify this reformulating of his memory.  Barry Schwartz, in his writing on memory, has </w:t>
      </w:r>
      <w:r w:rsidR="007E4BD4" w:rsidRPr="00352AAF">
        <w:rPr>
          <w:rFonts w:eastAsiaTheme="minorHAnsi"/>
          <w:sz w:val="24"/>
          <w:szCs w:val="24"/>
        </w:rPr>
        <w:t xml:space="preserve">also </w:t>
      </w:r>
      <w:r w:rsidR="001B6D87" w:rsidRPr="00352AAF">
        <w:rPr>
          <w:rFonts w:eastAsiaTheme="minorHAnsi"/>
          <w:sz w:val="24"/>
          <w:szCs w:val="24"/>
        </w:rPr>
        <w:t>reflected on the memory of Abraham Lincoln in a way tha</w:t>
      </w:r>
      <w:r w:rsidR="002905D4" w:rsidRPr="00352AAF">
        <w:rPr>
          <w:rFonts w:eastAsiaTheme="minorHAnsi"/>
          <w:sz w:val="24"/>
          <w:szCs w:val="24"/>
        </w:rPr>
        <w:t xml:space="preserve">t provides a parallel. In the </w:t>
      </w:r>
      <w:r w:rsidR="002905D4" w:rsidRPr="00352AAF">
        <w:rPr>
          <w:rFonts w:eastAsiaTheme="minorHAnsi"/>
          <w:sz w:val="24"/>
          <w:szCs w:val="24"/>
        </w:rPr>
        <w:lastRenderedPageBreak/>
        <w:t>1</w:t>
      </w:r>
      <w:r w:rsidR="001B6D87" w:rsidRPr="00352AAF">
        <w:rPr>
          <w:rFonts w:eastAsiaTheme="minorHAnsi"/>
          <w:sz w:val="24"/>
          <w:szCs w:val="24"/>
        </w:rPr>
        <w:t xml:space="preserve">960s, </w:t>
      </w:r>
      <w:r w:rsidR="002905D4" w:rsidRPr="00352AAF">
        <w:rPr>
          <w:rFonts w:eastAsiaTheme="minorHAnsi"/>
          <w:sz w:val="24"/>
          <w:szCs w:val="24"/>
        </w:rPr>
        <w:t xml:space="preserve">he argues, </w:t>
      </w:r>
      <w:r w:rsidR="001B6D87" w:rsidRPr="00352AAF">
        <w:rPr>
          <w:rFonts w:eastAsiaTheme="minorHAnsi"/>
          <w:sz w:val="24"/>
          <w:szCs w:val="24"/>
        </w:rPr>
        <w:t>Lincoln’s support was invoked for the granting of civil rights</w:t>
      </w:r>
      <w:r w:rsidR="002905D4" w:rsidRPr="00352AAF">
        <w:rPr>
          <w:rFonts w:eastAsiaTheme="minorHAnsi"/>
          <w:sz w:val="24"/>
          <w:szCs w:val="24"/>
        </w:rPr>
        <w:t xml:space="preserve"> to African Americans, but </w:t>
      </w:r>
      <w:r w:rsidR="001B6D87" w:rsidRPr="00352AAF">
        <w:rPr>
          <w:rFonts w:eastAsiaTheme="minorHAnsi"/>
          <w:sz w:val="24"/>
          <w:szCs w:val="24"/>
        </w:rPr>
        <w:t xml:space="preserve">Lincoln’s support for the abolition of slavery did not extend to the granting of civil rights. Yet there is some validity in the claim that in a twentieth-century context the granting of civil rights coheres with Lincoln’s commitment to abolition. It is hard to imagine a 1960s Lincoln opposing civil rights. </w:t>
      </w:r>
    </w:p>
    <w:p w:rsidR="007E4BD4" w:rsidRPr="00352AAF" w:rsidRDefault="007E4BD4" w:rsidP="00352AAF">
      <w:pPr>
        <w:spacing w:line="360" w:lineRule="auto"/>
        <w:rPr>
          <w:rFonts w:eastAsiaTheme="minorHAnsi"/>
          <w:sz w:val="24"/>
          <w:szCs w:val="24"/>
        </w:rPr>
      </w:pPr>
    </w:p>
    <w:p w:rsidR="001B6D87" w:rsidRPr="00352AAF" w:rsidRDefault="002905D4" w:rsidP="00352AAF">
      <w:pPr>
        <w:spacing w:line="360" w:lineRule="auto"/>
        <w:rPr>
          <w:sz w:val="24"/>
          <w:szCs w:val="24"/>
        </w:rPr>
      </w:pPr>
      <w:r w:rsidRPr="00352AAF">
        <w:rPr>
          <w:rFonts w:eastAsiaTheme="minorHAnsi"/>
          <w:sz w:val="24"/>
          <w:szCs w:val="24"/>
        </w:rPr>
        <w:t>So m</w:t>
      </w:r>
      <w:r w:rsidR="001B6D87" w:rsidRPr="00352AAF">
        <w:rPr>
          <w:rFonts w:eastAsiaTheme="minorHAnsi"/>
          <w:sz w:val="24"/>
          <w:szCs w:val="24"/>
        </w:rPr>
        <w:t xml:space="preserve">emory bridges past and present in a way that </w:t>
      </w:r>
      <w:r w:rsidR="002F092B" w:rsidRPr="00352AAF">
        <w:rPr>
          <w:rFonts w:eastAsiaTheme="minorHAnsi"/>
          <w:sz w:val="24"/>
          <w:szCs w:val="24"/>
        </w:rPr>
        <w:t>may falsify</w:t>
      </w:r>
      <w:r w:rsidR="001B6D87" w:rsidRPr="00352AAF">
        <w:rPr>
          <w:rFonts w:eastAsiaTheme="minorHAnsi"/>
          <w:sz w:val="24"/>
          <w:szCs w:val="24"/>
        </w:rPr>
        <w:t xml:space="preserve"> history but may also be tru</w:t>
      </w:r>
      <w:r w:rsidR="007E4BD4" w:rsidRPr="00352AAF">
        <w:rPr>
          <w:rFonts w:eastAsiaTheme="minorHAnsi"/>
          <w:sz w:val="24"/>
          <w:szCs w:val="24"/>
        </w:rPr>
        <w:t>e to history. One cannot prove</w:t>
      </w:r>
      <w:r w:rsidR="001B6D87" w:rsidRPr="00352AAF">
        <w:rPr>
          <w:rFonts w:eastAsiaTheme="minorHAnsi"/>
          <w:sz w:val="24"/>
          <w:szCs w:val="24"/>
        </w:rPr>
        <w:t xml:space="preserve"> the point about</w:t>
      </w:r>
      <w:r w:rsidR="007E4BD4" w:rsidRPr="00352AAF">
        <w:rPr>
          <w:rFonts w:eastAsiaTheme="minorHAnsi"/>
          <w:sz w:val="24"/>
          <w:szCs w:val="24"/>
        </w:rPr>
        <w:t xml:space="preserve"> Lincoln</w:t>
      </w:r>
      <w:r w:rsidR="002F092B" w:rsidRPr="00352AAF">
        <w:rPr>
          <w:rFonts w:eastAsiaTheme="minorHAnsi"/>
          <w:sz w:val="24"/>
          <w:szCs w:val="24"/>
        </w:rPr>
        <w:t>,</w:t>
      </w:r>
      <w:r w:rsidR="007E4BD4" w:rsidRPr="00352AAF">
        <w:rPr>
          <w:rFonts w:eastAsiaTheme="minorHAnsi"/>
          <w:sz w:val="24"/>
          <w:szCs w:val="24"/>
        </w:rPr>
        <w:t xml:space="preserve"> or</w:t>
      </w:r>
      <w:r w:rsidR="001B6D87" w:rsidRPr="00352AAF">
        <w:rPr>
          <w:rFonts w:eastAsiaTheme="minorHAnsi"/>
          <w:sz w:val="24"/>
          <w:szCs w:val="24"/>
        </w:rPr>
        <w:t xml:space="preserve"> Chronicles’ point about David. All one can say is that the Second Temple community was </w:t>
      </w:r>
      <w:r w:rsidR="007E4BD4" w:rsidRPr="00352AAF">
        <w:rPr>
          <w:rFonts w:eastAsiaTheme="minorHAnsi"/>
          <w:sz w:val="24"/>
          <w:szCs w:val="24"/>
        </w:rPr>
        <w:t xml:space="preserve">sufficiently </w:t>
      </w:r>
      <w:r w:rsidR="001B6D87" w:rsidRPr="00352AAF">
        <w:rPr>
          <w:rFonts w:eastAsiaTheme="minorHAnsi"/>
          <w:sz w:val="24"/>
          <w:szCs w:val="24"/>
        </w:rPr>
        <w:t>per</w:t>
      </w:r>
      <w:r w:rsidR="007E4BD4" w:rsidRPr="00352AAF">
        <w:rPr>
          <w:rFonts w:eastAsiaTheme="minorHAnsi"/>
          <w:sz w:val="24"/>
          <w:szCs w:val="24"/>
        </w:rPr>
        <w:t>suaded by Chronicles’ memory to incorporate</w:t>
      </w:r>
      <w:r w:rsidR="001B6D87" w:rsidRPr="00352AAF">
        <w:rPr>
          <w:rFonts w:eastAsiaTheme="minorHAnsi"/>
          <w:sz w:val="24"/>
          <w:szCs w:val="24"/>
        </w:rPr>
        <w:t xml:space="preserve"> it into its Scriptures. </w:t>
      </w:r>
      <w:r w:rsidR="001B6D87" w:rsidRPr="00352AAF">
        <w:rPr>
          <w:sz w:val="24"/>
          <w:szCs w:val="24"/>
        </w:rPr>
        <w:t>“Considering Lincoln’s image as a mere projection of present problems is as wrong as taking it as a literal account of his life and character,” Schwartz comments.</w:t>
      </w:r>
      <w:r w:rsidR="001B6D87" w:rsidRPr="00352AAF">
        <w:rPr>
          <w:rStyle w:val="FootnoteReference"/>
          <w:rFonts w:ascii="Times New Roman" w:eastAsiaTheme="minorHAnsi" w:hAnsi="Times New Roman"/>
          <w:sz w:val="24"/>
          <w:szCs w:val="24"/>
        </w:rPr>
        <w:footnoteReference w:id="67"/>
      </w:r>
      <w:r w:rsidR="001B6D87" w:rsidRPr="00352AAF">
        <w:rPr>
          <w:sz w:val="24"/>
          <w:szCs w:val="24"/>
        </w:rPr>
        <w:t xml:space="preserve"> It selects from the real Lincoln and then projects it forward to reject later convictions or ideals. I assume that likewise it is mistaken to treat the Old Testament narratives either as pure fact or as pure fiction.</w:t>
      </w:r>
      <w:r w:rsidR="007E4BD4" w:rsidRPr="00352AAF">
        <w:rPr>
          <w:sz w:val="24"/>
          <w:szCs w:val="24"/>
        </w:rPr>
        <w:t xml:space="preserve"> Minimalism emphasizes how </w:t>
      </w:r>
      <w:r w:rsidR="00B55B5F" w:rsidRPr="00352AAF">
        <w:rPr>
          <w:sz w:val="24"/>
          <w:szCs w:val="24"/>
        </w:rPr>
        <w:t xml:space="preserve">the past is shaped by the present; </w:t>
      </w:r>
      <w:proofErr w:type="spellStart"/>
      <w:r w:rsidR="00B55B5F" w:rsidRPr="00352AAF">
        <w:rPr>
          <w:sz w:val="24"/>
          <w:szCs w:val="24"/>
        </w:rPr>
        <w:t>maximalism</w:t>
      </w:r>
      <w:proofErr w:type="spellEnd"/>
      <w:r w:rsidR="00B55B5F" w:rsidRPr="00352AAF">
        <w:rPr>
          <w:sz w:val="24"/>
          <w:szCs w:val="24"/>
        </w:rPr>
        <w:t xml:space="preserve"> works on the hypothesis that the present is shaped by the past. I guess </w:t>
      </w:r>
      <w:r w:rsidR="00347716" w:rsidRPr="00352AAF">
        <w:rPr>
          <w:sz w:val="24"/>
          <w:szCs w:val="24"/>
        </w:rPr>
        <w:t xml:space="preserve">that </w:t>
      </w:r>
      <w:r w:rsidR="00B55B5F" w:rsidRPr="00352AAF">
        <w:rPr>
          <w:sz w:val="24"/>
          <w:szCs w:val="24"/>
        </w:rPr>
        <w:t xml:space="preserve">both minimalists and maximalists (if anyone is happy to be described by either term) would grant that past and present are mutually influential. </w:t>
      </w:r>
    </w:p>
    <w:p w:rsidR="00347716" w:rsidRPr="00352AAF" w:rsidRDefault="00347716" w:rsidP="00352AAF">
      <w:pPr>
        <w:spacing w:line="360" w:lineRule="auto"/>
        <w:rPr>
          <w:sz w:val="24"/>
          <w:szCs w:val="24"/>
        </w:rPr>
      </w:pPr>
    </w:p>
    <w:p w:rsidR="002F092B" w:rsidRPr="00352AAF" w:rsidRDefault="00965366" w:rsidP="00352AAF">
      <w:pPr>
        <w:spacing w:line="360" w:lineRule="auto"/>
        <w:rPr>
          <w:sz w:val="24"/>
          <w:szCs w:val="24"/>
        </w:rPr>
      </w:pPr>
      <w:r w:rsidRPr="00352AAF">
        <w:rPr>
          <w:sz w:val="24"/>
          <w:szCs w:val="24"/>
        </w:rPr>
        <w:t xml:space="preserve">In a study of the memory of the exodus, Teresa </w:t>
      </w:r>
      <w:proofErr w:type="spellStart"/>
      <w:r w:rsidRPr="00352AAF">
        <w:rPr>
          <w:sz w:val="24"/>
          <w:szCs w:val="24"/>
        </w:rPr>
        <w:t>Staneck</w:t>
      </w:r>
      <w:proofErr w:type="spellEnd"/>
      <w:r w:rsidRPr="00352AAF">
        <w:rPr>
          <w:sz w:val="24"/>
          <w:szCs w:val="24"/>
        </w:rPr>
        <w:t xml:space="preserve"> has commented that “some actual experiences hide concealed beyond those descriptions; however, it is impossible to </w:t>
      </w:r>
      <w:proofErr w:type="spellStart"/>
      <w:r w:rsidRPr="00352AAF">
        <w:rPr>
          <w:sz w:val="24"/>
          <w:szCs w:val="24"/>
        </w:rPr>
        <w:t>recognise</w:t>
      </w:r>
      <w:proofErr w:type="spellEnd"/>
      <w:r w:rsidRPr="00352AAF">
        <w:rPr>
          <w:sz w:val="24"/>
          <w:szCs w:val="24"/>
        </w:rPr>
        <w:t xml:space="preserve"> what exactly had happened.</w:t>
      </w:r>
      <w:r w:rsidR="00BE1C29" w:rsidRPr="00352AAF">
        <w:rPr>
          <w:sz w:val="24"/>
          <w:szCs w:val="24"/>
        </w:rPr>
        <w:t>” I acknowledge the truth in that statement. “</w:t>
      </w:r>
      <w:r w:rsidRPr="00352AAF">
        <w:rPr>
          <w:sz w:val="24"/>
          <w:szCs w:val="24"/>
        </w:rPr>
        <w:t>From the perspective of sacred texts,</w:t>
      </w:r>
      <w:r w:rsidR="00BE1C29" w:rsidRPr="00352AAF">
        <w:rPr>
          <w:sz w:val="24"/>
          <w:szCs w:val="24"/>
        </w:rPr>
        <w:t>”</w:t>
      </w:r>
      <w:r w:rsidRPr="00352AAF">
        <w:rPr>
          <w:sz w:val="24"/>
          <w:szCs w:val="24"/>
        </w:rPr>
        <w:t xml:space="preserve"> </w:t>
      </w:r>
      <w:r w:rsidR="00BE1C29" w:rsidRPr="00352AAF">
        <w:rPr>
          <w:sz w:val="24"/>
          <w:szCs w:val="24"/>
        </w:rPr>
        <w:t>she goes on, “</w:t>
      </w:r>
      <w:r w:rsidRPr="00352AAF">
        <w:rPr>
          <w:sz w:val="24"/>
          <w:szCs w:val="24"/>
        </w:rPr>
        <w:t>the reality of events behind the narratives is irrelevant.”</w:t>
      </w:r>
      <w:r w:rsidRPr="00352AAF">
        <w:rPr>
          <w:rStyle w:val="FootnoteReference"/>
          <w:sz w:val="24"/>
          <w:szCs w:val="24"/>
        </w:rPr>
        <w:footnoteReference w:id="68"/>
      </w:r>
      <w:r w:rsidR="00BE1C29" w:rsidRPr="00352AAF">
        <w:rPr>
          <w:sz w:val="24"/>
          <w:szCs w:val="24"/>
        </w:rPr>
        <w:t xml:space="preserve"> T</w:t>
      </w:r>
      <w:r w:rsidRPr="00352AAF">
        <w:rPr>
          <w:sz w:val="24"/>
          <w:szCs w:val="24"/>
        </w:rPr>
        <w:t xml:space="preserve">hat </w:t>
      </w:r>
      <w:r w:rsidR="00BE1C29" w:rsidRPr="00352AAF">
        <w:rPr>
          <w:sz w:val="24"/>
          <w:szCs w:val="24"/>
        </w:rPr>
        <w:t>second statement seems implausible</w:t>
      </w:r>
      <w:r w:rsidRPr="00352AAF">
        <w:rPr>
          <w:sz w:val="24"/>
          <w:szCs w:val="24"/>
        </w:rPr>
        <w:t xml:space="preserve">. </w:t>
      </w:r>
      <w:r w:rsidR="002F092B" w:rsidRPr="00352AAF">
        <w:rPr>
          <w:sz w:val="24"/>
          <w:szCs w:val="24"/>
        </w:rPr>
        <w:t xml:space="preserve">In general, Paul </w:t>
      </w:r>
      <w:proofErr w:type="spellStart"/>
      <w:r w:rsidR="002F092B" w:rsidRPr="00352AAF">
        <w:rPr>
          <w:sz w:val="24"/>
          <w:szCs w:val="24"/>
        </w:rPr>
        <w:t>Ricoeur</w:t>
      </w:r>
      <w:proofErr w:type="spellEnd"/>
      <w:r w:rsidR="002F092B" w:rsidRPr="00352AAF">
        <w:rPr>
          <w:sz w:val="24"/>
          <w:szCs w:val="24"/>
        </w:rPr>
        <w:t xml:space="preserve"> comments, “The truthful status of memory… will later have to be confronted with the truth claims of history.”</w:t>
      </w:r>
      <w:r w:rsidR="002F092B" w:rsidRPr="00352AAF">
        <w:rPr>
          <w:rStyle w:val="FootnoteReference"/>
          <w:sz w:val="24"/>
          <w:szCs w:val="24"/>
        </w:rPr>
        <w:footnoteReference w:id="69"/>
      </w:r>
      <w:r w:rsidR="00BE1C29" w:rsidRPr="00352AAF">
        <w:rPr>
          <w:sz w:val="24"/>
          <w:szCs w:val="24"/>
        </w:rPr>
        <w:t xml:space="preserve"> T</w:t>
      </w:r>
      <w:r w:rsidRPr="00352AAF">
        <w:rPr>
          <w:sz w:val="24"/>
          <w:szCs w:val="24"/>
        </w:rPr>
        <w:t>he having-happened-</w:t>
      </w:r>
      <w:proofErr w:type="spellStart"/>
      <w:r w:rsidRPr="00352AAF">
        <w:rPr>
          <w:sz w:val="24"/>
          <w:szCs w:val="24"/>
        </w:rPr>
        <w:t>ness</w:t>
      </w:r>
      <w:proofErr w:type="spellEnd"/>
      <w:r w:rsidRPr="00352AAF">
        <w:rPr>
          <w:sz w:val="24"/>
          <w:szCs w:val="24"/>
        </w:rPr>
        <w:t xml:space="preserve"> of the exodus </w:t>
      </w:r>
      <w:r w:rsidR="00BE1C29" w:rsidRPr="00352AAF">
        <w:rPr>
          <w:sz w:val="24"/>
          <w:szCs w:val="24"/>
        </w:rPr>
        <w:t xml:space="preserve">surely </w:t>
      </w:r>
      <w:r w:rsidRPr="00352AAF">
        <w:rPr>
          <w:sz w:val="24"/>
          <w:szCs w:val="24"/>
        </w:rPr>
        <w:t xml:space="preserve">mattered to the authors and readers of these sacred texts. </w:t>
      </w:r>
      <w:r w:rsidR="00BE1C29" w:rsidRPr="00352AAF">
        <w:rPr>
          <w:sz w:val="24"/>
          <w:szCs w:val="24"/>
        </w:rPr>
        <w:t>I</w:t>
      </w:r>
      <w:r w:rsidR="002F092B" w:rsidRPr="00352AAF">
        <w:rPr>
          <w:sz w:val="24"/>
          <w:szCs w:val="24"/>
        </w:rPr>
        <w:t xml:space="preserve">t’s a stretch for me to imagine that the story of the exodus issued </w:t>
      </w:r>
      <w:r w:rsidR="00BE1C29" w:rsidRPr="00352AAF">
        <w:rPr>
          <w:sz w:val="24"/>
          <w:szCs w:val="24"/>
        </w:rPr>
        <w:t xml:space="preserve">simply </w:t>
      </w:r>
      <w:r w:rsidR="002F092B" w:rsidRPr="00352AAF">
        <w:rPr>
          <w:sz w:val="24"/>
          <w:szCs w:val="24"/>
        </w:rPr>
        <w:t>from the reworking of memories concerning an escape from quasi-</w:t>
      </w:r>
      <w:r w:rsidR="00BE1C29" w:rsidRPr="00352AAF">
        <w:rPr>
          <w:sz w:val="24"/>
          <w:szCs w:val="24"/>
        </w:rPr>
        <w:t xml:space="preserve">Egyptian rule within Canaan, </w:t>
      </w:r>
      <w:r w:rsidR="00BE1C29" w:rsidRPr="00352AAF">
        <w:rPr>
          <w:sz w:val="24"/>
          <w:szCs w:val="24"/>
        </w:rPr>
        <w:lastRenderedPageBreak/>
        <w:t>though</w:t>
      </w:r>
      <w:r w:rsidR="002F092B" w:rsidRPr="00352AAF">
        <w:rPr>
          <w:sz w:val="24"/>
          <w:szCs w:val="24"/>
        </w:rPr>
        <w:t xml:space="preserve"> I wouldn’t fight over the question. Maybe th</w:t>
      </w:r>
      <w:r w:rsidR="00BE1C29" w:rsidRPr="00352AAF">
        <w:rPr>
          <w:sz w:val="24"/>
          <w:szCs w:val="24"/>
        </w:rPr>
        <w:t>e actual event had enough significance</w:t>
      </w:r>
      <w:r w:rsidR="002F092B" w:rsidRPr="00352AAF">
        <w:rPr>
          <w:sz w:val="24"/>
          <w:szCs w:val="24"/>
        </w:rPr>
        <w:t xml:space="preserve"> to carry the theological freight of the way the story came to be told.</w:t>
      </w:r>
    </w:p>
    <w:p w:rsidR="00A46040" w:rsidRPr="00352AAF" w:rsidRDefault="00A46040" w:rsidP="00352AAF">
      <w:pPr>
        <w:pStyle w:val="Heading1"/>
        <w:numPr>
          <w:ilvl w:val="0"/>
          <w:numId w:val="1"/>
        </w:numPr>
        <w:spacing w:line="360" w:lineRule="auto"/>
        <w:rPr>
          <w:sz w:val="24"/>
          <w:szCs w:val="24"/>
        </w:rPr>
      </w:pPr>
      <w:r w:rsidRPr="00352AAF">
        <w:rPr>
          <w:sz w:val="24"/>
          <w:szCs w:val="24"/>
        </w:rPr>
        <w:t xml:space="preserve">Memory and </w:t>
      </w:r>
      <w:r w:rsidR="005D629B" w:rsidRPr="00352AAF">
        <w:rPr>
          <w:sz w:val="24"/>
          <w:szCs w:val="24"/>
        </w:rPr>
        <w:t xml:space="preserve">Israel’s </w:t>
      </w:r>
      <w:r w:rsidRPr="00352AAF">
        <w:rPr>
          <w:sz w:val="24"/>
          <w:szCs w:val="24"/>
        </w:rPr>
        <w:t>Ethics</w:t>
      </w:r>
    </w:p>
    <w:p w:rsidR="00A46040" w:rsidRPr="00352AAF" w:rsidRDefault="00B55B5F" w:rsidP="00352AAF">
      <w:pPr>
        <w:spacing w:line="360" w:lineRule="auto"/>
        <w:rPr>
          <w:sz w:val="24"/>
          <w:szCs w:val="24"/>
        </w:rPr>
      </w:pPr>
      <w:proofErr w:type="gramStart"/>
      <w:r w:rsidRPr="00352AAF">
        <w:rPr>
          <w:sz w:val="24"/>
          <w:szCs w:val="24"/>
        </w:rPr>
        <w:t>Finally, memory and ethics.</w:t>
      </w:r>
      <w:proofErr w:type="gramEnd"/>
      <w:r w:rsidRPr="00352AAF">
        <w:rPr>
          <w:sz w:val="24"/>
          <w:szCs w:val="24"/>
        </w:rPr>
        <w:t xml:space="preserve"> </w:t>
      </w:r>
      <w:r w:rsidR="00A46040" w:rsidRPr="00352AAF">
        <w:rPr>
          <w:sz w:val="24"/>
          <w:szCs w:val="24"/>
        </w:rPr>
        <w:t>I teach a PhD seminar on Old Testament Ethics, in which both Old Testam</w:t>
      </w:r>
      <w:r w:rsidR="00352AAF">
        <w:rPr>
          <w:sz w:val="24"/>
          <w:szCs w:val="24"/>
        </w:rPr>
        <w:t>ent students and Ethics student</w:t>
      </w:r>
      <w:r w:rsidR="00A46040" w:rsidRPr="00352AAF">
        <w:rPr>
          <w:sz w:val="24"/>
          <w:szCs w:val="24"/>
        </w:rPr>
        <w:t xml:space="preserve">s take part. </w:t>
      </w:r>
      <w:r w:rsidR="00347716" w:rsidRPr="00352AAF">
        <w:rPr>
          <w:sz w:val="24"/>
          <w:szCs w:val="24"/>
        </w:rPr>
        <w:t>O</w:t>
      </w:r>
      <w:r w:rsidR="002D7884" w:rsidRPr="00352AAF">
        <w:rPr>
          <w:sz w:val="24"/>
          <w:szCs w:val="24"/>
        </w:rPr>
        <w:t xml:space="preserve">ne of the Ethics students </w:t>
      </w:r>
      <w:r w:rsidR="00347716" w:rsidRPr="00352AAF">
        <w:rPr>
          <w:sz w:val="24"/>
          <w:szCs w:val="24"/>
        </w:rPr>
        <w:t xml:space="preserve">once </w:t>
      </w:r>
      <w:r w:rsidR="002D7884" w:rsidRPr="00352AAF">
        <w:rPr>
          <w:sz w:val="24"/>
          <w:szCs w:val="24"/>
        </w:rPr>
        <w:t>commented</w:t>
      </w:r>
      <w:r w:rsidR="00A46040" w:rsidRPr="00352AAF">
        <w:rPr>
          <w:sz w:val="24"/>
          <w:szCs w:val="24"/>
        </w:rPr>
        <w:t xml:space="preserve"> that there didn’t seem to be much work on memory and Old Tes</w:t>
      </w:r>
      <w:r w:rsidR="002D7884" w:rsidRPr="00352AAF">
        <w:rPr>
          <w:sz w:val="24"/>
          <w:szCs w:val="24"/>
        </w:rPr>
        <w:t>tament ethics</w:t>
      </w:r>
      <w:r w:rsidR="00A46040" w:rsidRPr="00352AAF">
        <w:rPr>
          <w:sz w:val="24"/>
          <w:szCs w:val="24"/>
        </w:rPr>
        <w:t xml:space="preserve">, and </w:t>
      </w:r>
      <w:r w:rsidR="00785C53" w:rsidRPr="00352AAF">
        <w:rPr>
          <w:sz w:val="24"/>
          <w:szCs w:val="24"/>
        </w:rPr>
        <w:t xml:space="preserve">in light of the focus in our president’s work </w:t>
      </w:r>
      <w:r w:rsidR="00A46040" w:rsidRPr="00352AAF">
        <w:rPr>
          <w:sz w:val="24"/>
          <w:szCs w:val="24"/>
        </w:rPr>
        <w:t xml:space="preserve">I should </w:t>
      </w:r>
      <w:r w:rsidR="00785C53" w:rsidRPr="00352AAF">
        <w:rPr>
          <w:sz w:val="24"/>
          <w:szCs w:val="24"/>
        </w:rPr>
        <w:t xml:space="preserve">finally </w:t>
      </w:r>
      <w:r w:rsidR="00A46040" w:rsidRPr="00352AAF">
        <w:rPr>
          <w:sz w:val="24"/>
          <w:szCs w:val="24"/>
        </w:rPr>
        <w:t xml:space="preserve">consider this link. </w:t>
      </w:r>
    </w:p>
    <w:p w:rsidR="00A46040" w:rsidRPr="00352AAF" w:rsidRDefault="00A46040" w:rsidP="00352AAF">
      <w:pPr>
        <w:spacing w:line="360" w:lineRule="auto"/>
        <w:rPr>
          <w:sz w:val="24"/>
          <w:szCs w:val="24"/>
        </w:rPr>
      </w:pPr>
    </w:p>
    <w:p w:rsidR="00A46040" w:rsidRPr="00352AAF" w:rsidRDefault="002D7884" w:rsidP="00352AAF">
      <w:pPr>
        <w:spacing w:line="360" w:lineRule="auto"/>
        <w:rPr>
          <w:sz w:val="24"/>
          <w:szCs w:val="24"/>
        </w:rPr>
      </w:pPr>
      <w:proofErr w:type="spellStart"/>
      <w:r w:rsidRPr="00352AAF">
        <w:rPr>
          <w:sz w:val="24"/>
          <w:szCs w:val="24"/>
        </w:rPr>
        <w:t>Assmann</w:t>
      </w:r>
      <w:proofErr w:type="spellEnd"/>
      <w:r w:rsidRPr="00352AAF">
        <w:rPr>
          <w:sz w:val="24"/>
          <w:szCs w:val="24"/>
        </w:rPr>
        <w:t>, again: c</w:t>
      </w:r>
      <w:r w:rsidR="00A46040" w:rsidRPr="00352AAF">
        <w:rPr>
          <w:sz w:val="24"/>
          <w:szCs w:val="24"/>
        </w:rPr>
        <w:t>ultural memory establishes who we are, and also what we should do.</w:t>
      </w:r>
      <w:r w:rsidR="00A46040" w:rsidRPr="00352AAF">
        <w:rPr>
          <w:rStyle w:val="FootnoteReference"/>
          <w:sz w:val="24"/>
          <w:szCs w:val="24"/>
        </w:rPr>
        <w:footnoteReference w:id="70"/>
      </w:r>
      <w:r w:rsidR="00A46040" w:rsidRPr="00352AAF">
        <w:rPr>
          <w:rFonts w:eastAsiaTheme="minorHAnsi"/>
          <w:sz w:val="24"/>
          <w:szCs w:val="24"/>
        </w:rPr>
        <w:t xml:space="preserve"> </w:t>
      </w:r>
      <w:r w:rsidRPr="00352AAF">
        <w:rPr>
          <w:rFonts w:eastAsiaTheme="minorHAnsi"/>
          <w:sz w:val="24"/>
          <w:szCs w:val="24"/>
        </w:rPr>
        <w:t xml:space="preserve">He goes on to summarize </w:t>
      </w:r>
      <w:r w:rsidRPr="00352AAF">
        <w:rPr>
          <w:sz w:val="24"/>
          <w:szCs w:val="24"/>
        </w:rPr>
        <w:t xml:space="preserve">Nietzsche’s work in </w:t>
      </w:r>
      <w:r w:rsidRPr="00352AAF">
        <w:rPr>
          <w:i/>
          <w:sz w:val="24"/>
          <w:szCs w:val="24"/>
        </w:rPr>
        <w:t>The Genealogy of Morals</w:t>
      </w:r>
      <w:r w:rsidRPr="00352AAF">
        <w:rPr>
          <w:sz w:val="24"/>
          <w:szCs w:val="24"/>
        </w:rPr>
        <w:t xml:space="preserve">: “the human animal… has been given memory so that it is capable of keeping a promise and undertaking responsibilities.  Man needs a memory in order to live in a community.” </w:t>
      </w:r>
      <w:r w:rsidRPr="00352AAF">
        <w:rPr>
          <w:rStyle w:val="FootnoteReference"/>
          <w:sz w:val="24"/>
          <w:szCs w:val="24"/>
        </w:rPr>
        <w:footnoteReference w:id="71"/>
      </w:r>
      <w:r w:rsidRPr="00352AAF">
        <w:rPr>
          <w:sz w:val="24"/>
          <w:szCs w:val="24"/>
        </w:rPr>
        <w:t xml:space="preserve"> </w:t>
      </w:r>
      <w:r w:rsidR="00A46040" w:rsidRPr="00352AAF">
        <w:rPr>
          <w:rFonts w:eastAsiaTheme="minorHAnsi"/>
          <w:sz w:val="24"/>
          <w:szCs w:val="24"/>
        </w:rPr>
        <w:t xml:space="preserve">Schwartz, again: “As a model </w:t>
      </w:r>
      <w:r w:rsidR="00A46040" w:rsidRPr="00352AAF">
        <w:rPr>
          <w:rFonts w:eastAsiaTheme="minorHAnsi"/>
          <w:i/>
          <w:iCs/>
          <w:sz w:val="24"/>
          <w:szCs w:val="24"/>
        </w:rPr>
        <w:t xml:space="preserve">of </w:t>
      </w:r>
      <w:r w:rsidR="00A46040" w:rsidRPr="00352AAF">
        <w:rPr>
          <w:rFonts w:eastAsiaTheme="minorHAnsi"/>
          <w:sz w:val="24"/>
          <w:szCs w:val="24"/>
        </w:rPr>
        <w:t xml:space="preserve">society, collective memory reflects past events in terms of needs, interest, fears, and aspirations of the present. As a model </w:t>
      </w:r>
      <w:r w:rsidR="00A46040" w:rsidRPr="00352AAF">
        <w:rPr>
          <w:rFonts w:eastAsiaTheme="minorHAnsi"/>
          <w:i/>
          <w:iCs/>
          <w:sz w:val="24"/>
          <w:szCs w:val="24"/>
        </w:rPr>
        <w:t xml:space="preserve">for </w:t>
      </w:r>
      <w:r w:rsidR="00A46040" w:rsidRPr="00352AAF">
        <w:rPr>
          <w:rFonts w:eastAsiaTheme="minorHAnsi"/>
          <w:sz w:val="24"/>
          <w:szCs w:val="24"/>
        </w:rPr>
        <w:t xml:space="preserve">society, collective memory performs two functions: it embodies a </w:t>
      </w:r>
      <w:r w:rsidR="00A46040" w:rsidRPr="00352AAF">
        <w:rPr>
          <w:rFonts w:eastAsiaTheme="minorHAnsi"/>
          <w:i/>
          <w:sz w:val="24"/>
          <w:szCs w:val="24"/>
        </w:rPr>
        <w:t>template</w:t>
      </w:r>
      <w:r w:rsidR="00A46040" w:rsidRPr="00352AAF">
        <w:rPr>
          <w:rFonts w:eastAsiaTheme="minorHAnsi"/>
          <w:sz w:val="24"/>
          <w:szCs w:val="24"/>
        </w:rPr>
        <w:t xml:space="preserve"> that organizes and animates behavior and a </w:t>
      </w:r>
      <w:r w:rsidR="00A46040" w:rsidRPr="00352AAF">
        <w:rPr>
          <w:rFonts w:eastAsiaTheme="minorHAnsi"/>
          <w:i/>
          <w:sz w:val="24"/>
          <w:szCs w:val="24"/>
        </w:rPr>
        <w:t>frame</w:t>
      </w:r>
      <w:r w:rsidR="00A46040" w:rsidRPr="00352AAF">
        <w:rPr>
          <w:rFonts w:eastAsiaTheme="minorHAnsi"/>
          <w:sz w:val="24"/>
          <w:szCs w:val="24"/>
        </w:rPr>
        <w:t xml:space="preserve"> with which people locate and find meaning for their present experience. Collective memory affects social reality by </w:t>
      </w:r>
      <w:r w:rsidR="00A46040" w:rsidRPr="00352AAF">
        <w:rPr>
          <w:rFonts w:eastAsiaTheme="minorHAnsi"/>
          <w:i/>
          <w:sz w:val="24"/>
          <w:szCs w:val="24"/>
        </w:rPr>
        <w:t xml:space="preserve">reflecting, shaping, and framing </w:t>
      </w:r>
      <w:r w:rsidR="00A46040" w:rsidRPr="00352AAF">
        <w:rPr>
          <w:rFonts w:eastAsiaTheme="minorHAnsi"/>
          <w:sz w:val="24"/>
          <w:szCs w:val="24"/>
        </w:rPr>
        <w:t>it.”</w:t>
      </w:r>
      <w:r w:rsidR="00A46040" w:rsidRPr="00352AAF">
        <w:rPr>
          <w:rStyle w:val="FootnoteReference"/>
          <w:rFonts w:eastAsiaTheme="minorHAnsi"/>
          <w:sz w:val="24"/>
          <w:szCs w:val="24"/>
        </w:rPr>
        <w:footnoteReference w:id="72"/>
      </w:r>
      <w:r w:rsidR="00A46040" w:rsidRPr="00352AAF">
        <w:rPr>
          <w:rFonts w:eastAsiaTheme="minorHAnsi"/>
          <w:sz w:val="24"/>
          <w:szCs w:val="24"/>
        </w:rPr>
        <w:t xml:space="preserve"> </w:t>
      </w:r>
    </w:p>
    <w:p w:rsidR="00347716" w:rsidRPr="00352AAF" w:rsidRDefault="00347716" w:rsidP="00352AAF">
      <w:pPr>
        <w:spacing w:line="360" w:lineRule="auto"/>
        <w:rPr>
          <w:sz w:val="24"/>
          <w:szCs w:val="24"/>
        </w:rPr>
      </w:pPr>
    </w:p>
    <w:p w:rsidR="00A46040" w:rsidRPr="00352AAF" w:rsidRDefault="00347716" w:rsidP="00352AAF">
      <w:pPr>
        <w:spacing w:line="360" w:lineRule="auto"/>
        <w:rPr>
          <w:sz w:val="24"/>
          <w:szCs w:val="24"/>
        </w:rPr>
      </w:pPr>
      <w:r w:rsidRPr="00352AAF">
        <w:rPr>
          <w:sz w:val="24"/>
          <w:szCs w:val="24"/>
        </w:rPr>
        <w:t>In</w:t>
      </w:r>
      <w:r w:rsidR="00A46040" w:rsidRPr="00352AAF">
        <w:rPr>
          <w:sz w:val="24"/>
          <w:szCs w:val="24"/>
        </w:rPr>
        <w:t xml:space="preserve"> the Old Testament, one importance of remembering the exodus was its ethical implications. When Deuteronomy reworks the </w:t>
      </w:r>
      <w:r w:rsidRPr="00352AAF">
        <w:rPr>
          <w:sz w:val="24"/>
          <w:szCs w:val="24"/>
        </w:rPr>
        <w:t xml:space="preserve">Sabbath command, </w:t>
      </w:r>
      <w:r w:rsidR="00A46040" w:rsidRPr="00352AAF">
        <w:rPr>
          <w:sz w:val="24"/>
          <w:szCs w:val="24"/>
        </w:rPr>
        <w:t xml:space="preserve">it both underscores the aim that your </w:t>
      </w:r>
      <w:r w:rsidR="00A46040" w:rsidRPr="00352AAF">
        <w:rPr>
          <w:i/>
          <w:sz w:val="24"/>
          <w:szCs w:val="24"/>
        </w:rPr>
        <w:t>‘</w:t>
      </w:r>
      <w:proofErr w:type="spellStart"/>
      <w:r w:rsidR="00A46040" w:rsidRPr="00352AAF">
        <w:rPr>
          <w:i/>
          <w:sz w:val="24"/>
          <w:szCs w:val="24"/>
        </w:rPr>
        <w:t>abadim</w:t>
      </w:r>
      <w:proofErr w:type="spellEnd"/>
      <w:r w:rsidR="00A46040" w:rsidRPr="00352AAF">
        <w:rPr>
          <w:sz w:val="24"/>
          <w:szCs w:val="24"/>
        </w:rPr>
        <w:t xml:space="preserve"> should be able to rest in the same way as you</w:t>
      </w:r>
      <w:r w:rsidRPr="00352AAF">
        <w:rPr>
          <w:sz w:val="24"/>
          <w:szCs w:val="24"/>
        </w:rPr>
        <w:t>,</w:t>
      </w:r>
      <w:r w:rsidR="00A46040" w:rsidRPr="00352AAF">
        <w:rPr>
          <w:sz w:val="24"/>
          <w:szCs w:val="24"/>
        </w:rPr>
        <w:t xml:space="preserve"> and replaces the reference to creation in </w:t>
      </w:r>
      <w:r w:rsidRPr="00352AAF">
        <w:rPr>
          <w:sz w:val="24"/>
          <w:szCs w:val="24"/>
        </w:rPr>
        <w:t xml:space="preserve">the </w:t>
      </w:r>
      <w:r w:rsidR="00A46040" w:rsidRPr="00352AAF">
        <w:rPr>
          <w:sz w:val="24"/>
          <w:szCs w:val="24"/>
        </w:rPr>
        <w:t>Exodus</w:t>
      </w:r>
      <w:r w:rsidRPr="00352AAF">
        <w:rPr>
          <w:sz w:val="24"/>
          <w:szCs w:val="24"/>
        </w:rPr>
        <w:t xml:space="preserve"> version</w:t>
      </w:r>
      <w:r w:rsidR="00A46040" w:rsidRPr="00352AAF">
        <w:rPr>
          <w:sz w:val="24"/>
          <w:szCs w:val="24"/>
        </w:rPr>
        <w:t xml:space="preserve"> by an exhortation to remember that you were an </w:t>
      </w:r>
      <w:r w:rsidR="00A46040" w:rsidRPr="00352AAF">
        <w:rPr>
          <w:i/>
          <w:sz w:val="24"/>
          <w:szCs w:val="24"/>
        </w:rPr>
        <w:t>‘</w:t>
      </w:r>
      <w:proofErr w:type="spellStart"/>
      <w:r w:rsidR="00A46040" w:rsidRPr="00352AAF">
        <w:rPr>
          <w:i/>
          <w:sz w:val="24"/>
          <w:szCs w:val="24"/>
        </w:rPr>
        <w:t>ebed</w:t>
      </w:r>
      <w:proofErr w:type="spellEnd"/>
      <w:r w:rsidR="00A46040" w:rsidRPr="00352AAF">
        <w:rPr>
          <w:sz w:val="24"/>
          <w:szCs w:val="24"/>
        </w:rPr>
        <w:t xml:space="preserve"> in Egypt and that Yahweh acted to bring </w:t>
      </w:r>
      <w:r w:rsidRPr="00352AAF">
        <w:rPr>
          <w:sz w:val="24"/>
          <w:szCs w:val="24"/>
        </w:rPr>
        <w:t>you out from there.</w:t>
      </w:r>
      <w:r w:rsidRPr="00352AAF">
        <w:rPr>
          <w:rStyle w:val="FootnoteReference"/>
          <w:sz w:val="24"/>
          <w:szCs w:val="24"/>
        </w:rPr>
        <w:footnoteReference w:id="73"/>
      </w:r>
      <w:r w:rsidRPr="00352AAF">
        <w:rPr>
          <w:sz w:val="24"/>
          <w:szCs w:val="24"/>
        </w:rPr>
        <w:t xml:space="preserve"> </w:t>
      </w:r>
      <w:r w:rsidR="002D7884" w:rsidRPr="00352AAF">
        <w:rPr>
          <w:sz w:val="24"/>
          <w:szCs w:val="24"/>
        </w:rPr>
        <w:t>The challenge to “r</w:t>
      </w:r>
      <w:r w:rsidR="00A46040" w:rsidRPr="00352AAF">
        <w:rPr>
          <w:sz w:val="24"/>
          <w:szCs w:val="24"/>
        </w:rPr>
        <w:t xml:space="preserve">emember that you were an </w:t>
      </w:r>
      <w:r w:rsidR="00A46040" w:rsidRPr="00352AAF">
        <w:rPr>
          <w:i/>
          <w:sz w:val="24"/>
          <w:szCs w:val="24"/>
        </w:rPr>
        <w:t>‘</w:t>
      </w:r>
      <w:proofErr w:type="spellStart"/>
      <w:r w:rsidR="00A46040" w:rsidRPr="00352AAF">
        <w:rPr>
          <w:i/>
          <w:sz w:val="24"/>
          <w:szCs w:val="24"/>
        </w:rPr>
        <w:t>ebed</w:t>
      </w:r>
      <w:proofErr w:type="spellEnd"/>
      <w:r w:rsidR="00A46040" w:rsidRPr="00352AAF">
        <w:rPr>
          <w:i/>
          <w:sz w:val="24"/>
          <w:szCs w:val="24"/>
        </w:rPr>
        <w:t xml:space="preserve"> </w:t>
      </w:r>
      <w:r w:rsidR="00A46040" w:rsidRPr="00352AAF">
        <w:rPr>
          <w:sz w:val="24"/>
          <w:szCs w:val="24"/>
        </w:rPr>
        <w:t>in Egypt” recurs in connection with the requirement that</w:t>
      </w:r>
      <w:r w:rsidR="002D7884" w:rsidRPr="00352AAF">
        <w:rPr>
          <w:sz w:val="24"/>
          <w:szCs w:val="24"/>
        </w:rPr>
        <w:t xml:space="preserve"> you should provide </w:t>
      </w:r>
      <w:r w:rsidR="002D7884" w:rsidRPr="00352AAF">
        <w:rPr>
          <w:sz w:val="24"/>
          <w:szCs w:val="24"/>
        </w:rPr>
        <w:lastRenderedPageBreak/>
        <w:t xml:space="preserve">your </w:t>
      </w:r>
      <w:r w:rsidR="002D7884" w:rsidRPr="00352AAF">
        <w:rPr>
          <w:i/>
          <w:sz w:val="24"/>
          <w:szCs w:val="24"/>
        </w:rPr>
        <w:t>‘</w:t>
      </w:r>
      <w:proofErr w:type="spellStart"/>
      <w:r w:rsidR="002D7884" w:rsidRPr="00352AAF">
        <w:rPr>
          <w:i/>
          <w:sz w:val="24"/>
          <w:szCs w:val="24"/>
        </w:rPr>
        <w:t>ebed</w:t>
      </w:r>
      <w:proofErr w:type="spellEnd"/>
      <w:r w:rsidR="00A46040" w:rsidRPr="00352AAF">
        <w:rPr>
          <w:sz w:val="24"/>
          <w:szCs w:val="24"/>
        </w:rPr>
        <w:t xml:space="preserve"> with flocks, grain, and wine when you free him at the end of his six-</w:t>
      </w:r>
      <w:r w:rsidRPr="00352AAF">
        <w:rPr>
          <w:sz w:val="24"/>
          <w:szCs w:val="24"/>
        </w:rPr>
        <w:t xml:space="preserve">year term, </w:t>
      </w:r>
      <w:r w:rsidR="00A46040" w:rsidRPr="00352AAF">
        <w:rPr>
          <w:sz w:val="24"/>
          <w:szCs w:val="24"/>
        </w:rPr>
        <w:t xml:space="preserve">in connection with the incorporation of </w:t>
      </w:r>
      <w:r w:rsidR="00A46040" w:rsidRPr="00352AAF">
        <w:rPr>
          <w:i/>
          <w:sz w:val="24"/>
          <w:szCs w:val="24"/>
        </w:rPr>
        <w:t>‘</w:t>
      </w:r>
      <w:proofErr w:type="spellStart"/>
      <w:r w:rsidR="00A46040" w:rsidRPr="00352AAF">
        <w:rPr>
          <w:i/>
          <w:sz w:val="24"/>
          <w:szCs w:val="24"/>
        </w:rPr>
        <w:t>abadim</w:t>
      </w:r>
      <w:proofErr w:type="spellEnd"/>
      <w:r w:rsidR="00A46040" w:rsidRPr="00352AAF">
        <w:rPr>
          <w:sz w:val="24"/>
          <w:szCs w:val="24"/>
        </w:rPr>
        <w:t xml:space="preserve"> in the observance of Sukkot</w:t>
      </w:r>
      <w:r w:rsidRPr="00352AAF">
        <w:rPr>
          <w:sz w:val="24"/>
          <w:szCs w:val="24"/>
        </w:rPr>
        <w:t>,</w:t>
      </w:r>
      <w:r w:rsidR="002D7884" w:rsidRPr="00352AAF">
        <w:rPr>
          <w:sz w:val="24"/>
          <w:szCs w:val="24"/>
        </w:rPr>
        <w:t xml:space="preserve"> and </w:t>
      </w:r>
      <w:r w:rsidR="00A46040" w:rsidRPr="00352AAF">
        <w:rPr>
          <w:sz w:val="24"/>
          <w:szCs w:val="24"/>
        </w:rPr>
        <w:t>in connection with the avoidance of taking legal advantage of alien, orphan, and widow and with leaving gleanings for them.</w:t>
      </w:r>
      <w:r w:rsidRPr="00352AAF">
        <w:rPr>
          <w:rStyle w:val="FootnoteReference"/>
          <w:sz w:val="24"/>
          <w:szCs w:val="24"/>
        </w:rPr>
        <w:footnoteReference w:id="74"/>
      </w:r>
    </w:p>
    <w:p w:rsidR="00A46040" w:rsidRPr="00352AAF" w:rsidRDefault="00A46040" w:rsidP="00352AAF">
      <w:pPr>
        <w:spacing w:line="360" w:lineRule="auto"/>
        <w:rPr>
          <w:sz w:val="24"/>
          <w:szCs w:val="24"/>
        </w:rPr>
      </w:pPr>
    </w:p>
    <w:p w:rsidR="00A46040" w:rsidRPr="00352AAF" w:rsidRDefault="00A46040" w:rsidP="00352AAF">
      <w:pPr>
        <w:spacing w:line="360" w:lineRule="auto"/>
        <w:rPr>
          <w:sz w:val="24"/>
          <w:szCs w:val="24"/>
        </w:rPr>
      </w:pPr>
      <w:r w:rsidRPr="00352AAF">
        <w:rPr>
          <w:rStyle w:val="highlight"/>
          <w:sz w:val="24"/>
          <w:szCs w:val="24"/>
        </w:rPr>
        <w:t xml:space="preserve">The exhortation to remember occurs once more in </w:t>
      </w:r>
      <w:r w:rsidR="00B55B5F" w:rsidRPr="00352AAF">
        <w:rPr>
          <w:rStyle w:val="highlight"/>
          <w:sz w:val="24"/>
          <w:szCs w:val="24"/>
        </w:rPr>
        <w:t xml:space="preserve">Deuteronomy in </w:t>
      </w:r>
      <w:r w:rsidRPr="00352AAF">
        <w:rPr>
          <w:rStyle w:val="highlight"/>
          <w:sz w:val="24"/>
          <w:szCs w:val="24"/>
        </w:rPr>
        <w:t>a</w:t>
      </w:r>
      <w:r w:rsidR="001445EB" w:rsidRPr="00352AAF">
        <w:rPr>
          <w:rStyle w:val="highlight"/>
          <w:sz w:val="24"/>
          <w:szCs w:val="24"/>
        </w:rPr>
        <w:t xml:space="preserve"> quite different connection. Israel is</w:t>
      </w:r>
      <w:r w:rsidRPr="00352AAF">
        <w:rPr>
          <w:rStyle w:val="highlight"/>
          <w:sz w:val="24"/>
          <w:szCs w:val="24"/>
        </w:rPr>
        <w:t xml:space="preserve"> to remember</w:t>
      </w:r>
      <w:r w:rsidR="001445EB" w:rsidRPr="00352AAF">
        <w:rPr>
          <w:sz w:val="24"/>
          <w:szCs w:val="24"/>
        </w:rPr>
        <w:t xml:space="preserve"> </w:t>
      </w:r>
      <w:proofErr w:type="spellStart"/>
      <w:r w:rsidR="001445EB" w:rsidRPr="00352AAF">
        <w:rPr>
          <w:sz w:val="24"/>
          <w:szCs w:val="24"/>
        </w:rPr>
        <w:t>Amalek’s</w:t>
      </w:r>
      <w:proofErr w:type="spellEnd"/>
      <w:r w:rsidRPr="00352AAF">
        <w:rPr>
          <w:sz w:val="24"/>
          <w:szCs w:val="24"/>
        </w:rPr>
        <w:t xml:space="preserve"> attack</w:t>
      </w:r>
      <w:r w:rsidR="001445EB" w:rsidRPr="00352AAF">
        <w:rPr>
          <w:sz w:val="24"/>
          <w:szCs w:val="24"/>
        </w:rPr>
        <w:t>ing it on the way from Egypt when people</w:t>
      </w:r>
      <w:r w:rsidRPr="00352AAF">
        <w:rPr>
          <w:sz w:val="24"/>
          <w:szCs w:val="24"/>
        </w:rPr>
        <w:t xml:space="preserve"> were exhausted, </w:t>
      </w:r>
      <w:r w:rsidR="00AD4900" w:rsidRPr="00352AAF">
        <w:rPr>
          <w:sz w:val="24"/>
          <w:szCs w:val="24"/>
        </w:rPr>
        <w:t>its cutting down stragglers</w:t>
      </w:r>
      <w:r w:rsidRPr="00352AAF">
        <w:rPr>
          <w:sz w:val="24"/>
          <w:szCs w:val="24"/>
        </w:rPr>
        <w:t xml:space="preserve"> and thus showing no reverence for Go</w:t>
      </w:r>
      <w:r w:rsidR="00AD4900" w:rsidRPr="00352AAF">
        <w:rPr>
          <w:sz w:val="24"/>
          <w:szCs w:val="24"/>
        </w:rPr>
        <w:t>d. Israel</w:t>
      </w:r>
      <w:r w:rsidR="001445EB" w:rsidRPr="00352AAF">
        <w:rPr>
          <w:sz w:val="24"/>
          <w:szCs w:val="24"/>
        </w:rPr>
        <w:t xml:space="preserve"> is</w:t>
      </w:r>
      <w:r w:rsidR="00AD4900" w:rsidRPr="00352AAF">
        <w:rPr>
          <w:sz w:val="24"/>
          <w:szCs w:val="24"/>
        </w:rPr>
        <w:t xml:space="preserve"> to blot out </w:t>
      </w:r>
      <w:proofErr w:type="spellStart"/>
      <w:r w:rsidRPr="00352AAF">
        <w:rPr>
          <w:sz w:val="24"/>
          <w:szCs w:val="24"/>
        </w:rPr>
        <w:t>Amalek</w:t>
      </w:r>
      <w:r w:rsidR="00AD4900" w:rsidRPr="00352AAF">
        <w:rPr>
          <w:sz w:val="24"/>
          <w:szCs w:val="24"/>
        </w:rPr>
        <w:t>’s</w:t>
      </w:r>
      <w:proofErr w:type="spellEnd"/>
      <w:r w:rsidR="00AD4900" w:rsidRPr="00352AAF">
        <w:rPr>
          <w:sz w:val="24"/>
          <w:szCs w:val="24"/>
        </w:rPr>
        <w:t xml:space="preserve"> memory</w:t>
      </w:r>
      <w:r w:rsidRPr="00352AAF">
        <w:rPr>
          <w:sz w:val="24"/>
          <w:szCs w:val="24"/>
        </w:rPr>
        <w:t xml:space="preserve"> from under the heavens, and not to </w:t>
      </w:r>
      <w:r w:rsidRPr="00352AAF">
        <w:rPr>
          <w:rStyle w:val="highlight"/>
          <w:sz w:val="24"/>
          <w:szCs w:val="24"/>
        </w:rPr>
        <w:t>forget</w:t>
      </w:r>
      <w:r w:rsidRPr="00352AAF">
        <w:rPr>
          <w:sz w:val="24"/>
          <w:szCs w:val="24"/>
        </w:rPr>
        <w:t xml:space="preserve"> </w:t>
      </w:r>
      <w:r w:rsidR="001445EB" w:rsidRPr="00352AAF">
        <w:rPr>
          <w:sz w:val="24"/>
          <w:szCs w:val="24"/>
        </w:rPr>
        <w:t>to do so (Deut 25:17-19).</w:t>
      </w:r>
      <w:r w:rsidRPr="00352AAF">
        <w:rPr>
          <w:sz w:val="24"/>
          <w:szCs w:val="24"/>
        </w:rPr>
        <w:t xml:space="preserve"> Deuteronomy has </w:t>
      </w:r>
      <w:r w:rsidR="001445EB" w:rsidRPr="00352AAF">
        <w:rPr>
          <w:sz w:val="24"/>
          <w:szCs w:val="24"/>
        </w:rPr>
        <w:t>again developed the Exodus</w:t>
      </w:r>
      <w:r w:rsidRPr="00352AAF">
        <w:rPr>
          <w:sz w:val="24"/>
          <w:szCs w:val="24"/>
        </w:rPr>
        <w:t xml:space="preserve"> ve</w:t>
      </w:r>
      <w:r w:rsidR="001445EB" w:rsidRPr="00352AAF">
        <w:rPr>
          <w:sz w:val="24"/>
          <w:szCs w:val="24"/>
        </w:rPr>
        <w:t>rsion of the story</w:t>
      </w:r>
      <w:r w:rsidRPr="00352AAF">
        <w:rPr>
          <w:sz w:val="24"/>
          <w:szCs w:val="24"/>
        </w:rPr>
        <w:t xml:space="preserve">, </w:t>
      </w:r>
      <w:r w:rsidR="001445EB" w:rsidRPr="00352AAF">
        <w:rPr>
          <w:sz w:val="24"/>
          <w:szCs w:val="24"/>
        </w:rPr>
        <w:t xml:space="preserve">where </w:t>
      </w:r>
      <w:proofErr w:type="spellStart"/>
      <w:r w:rsidR="001445EB" w:rsidRPr="00352AAF">
        <w:rPr>
          <w:sz w:val="24"/>
          <w:szCs w:val="24"/>
        </w:rPr>
        <w:t>Amalek’s</w:t>
      </w:r>
      <w:proofErr w:type="spellEnd"/>
      <w:r w:rsidR="001445EB" w:rsidRPr="00352AAF">
        <w:rPr>
          <w:sz w:val="24"/>
          <w:szCs w:val="24"/>
        </w:rPr>
        <w:t xml:space="preserve"> attack is apparently</w:t>
      </w:r>
      <w:r w:rsidR="002D7884" w:rsidRPr="00352AAF">
        <w:rPr>
          <w:sz w:val="24"/>
          <w:szCs w:val="24"/>
        </w:rPr>
        <w:t xml:space="preserve"> unprovoked and Yahweh </w:t>
      </w:r>
      <w:r w:rsidRPr="00352AAF">
        <w:rPr>
          <w:sz w:val="24"/>
          <w:szCs w:val="24"/>
        </w:rPr>
        <w:t>commission</w:t>
      </w:r>
      <w:r w:rsidR="002D7884" w:rsidRPr="00352AAF">
        <w:rPr>
          <w:sz w:val="24"/>
          <w:szCs w:val="24"/>
        </w:rPr>
        <w:t>s</w:t>
      </w:r>
      <w:r w:rsidRPr="00352AAF">
        <w:rPr>
          <w:sz w:val="24"/>
          <w:szCs w:val="24"/>
        </w:rPr>
        <w:t xml:space="preserve"> the writing of a document to keep alive the memory of Yahweh’s oath to blot out </w:t>
      </w:r>
      <w:proofErr w:type="spellStart"/>
      <w:r w:rsidRPr="00352AAF">
        <w:rPr>
          <w:sz w:val="24"/>
          <w:szCs w:val="24"/>
        </w:rPr>
        <w:t>Amalek’s</w:t>
      </w:r>
      <w:proofErr w:type="spellEnd"/>
      <w:r w:rsidRPr="00352AAF">
        <w:rPr>
          <w:sz w:val="24"/>
          <w:szCs w:val="24"/>
        </w:rPr>
        <w:t xml:space="preserve"> memory. It is not </w:t>
      </w:r>
      <w:r w:rsidR="002D7884" w:rsidRPr="00352AAF">
        <w:rPr>
          <w:sz w:val="24"/>
          <w:szCs w:val="24"/>
        </w:rPr>
        <w:t xml:space="preserve">explicit </w:t>
      </w:r>
      <w:r w:rsidR="00AD4900" w:rsidRPr="00352AAF">
        <w:rPr>
          <w:sz w:val="24"/>
          <w:szCs w:val="24"/>
        </w:rPr>
        <w:t xml:space="preserve">there </w:t>
      </w:r>
      <w:r w:rsidR="002D7884" w:rsidRPr="00352AAF">
        <w:rPr>
          <w:sz w:val="24"/>
          <w:szCs w:val="24"/>
        </w:rPr>
        <w:t xml:space="preserve">that </w:t>
      </w:r>
      <w:r w:rsidR="002D7884" w:rsidRPr="00352AAF">
        <w:rPr>
          <w:i/>
          <w:sz w:val="24"/>
          <w:szCs w:val="24"/>
        </w:rPr>
        <w:t>Israel</w:t>
      </w:r>
      <w:r w:rsidR="002D7884" w:rsidRPr="00352AAF">
        <w:rPr>
          <w:sz w:val="24"/>
          <w:szCs w:val="24"/>
        </w:rPr>
        <w:t xml:space="preserve"> is to remember</w:t>
      </w:r>
      <w:r w:rsidR="00AD4900" w:rsidRPr="00352AAF">
        <w:rPr>
          <w:sz w:val="24"/>
          <w:szCs w:val="24"/>
        </w:rPr>
        <w:t xml:space="preserve">; Exodus is </w:t>
      </w:r>
      <w:r w:rsidRPr="00352AAF">
        <w:rPr>
          <w:sz w:val="24"/>
          <w:szCs w:val="24"/>
        </w:rPr>
        <w:t xml:space="preserve">reminding Israel of a promise concerning what Yahweh will do. </w:t>
      </w:r>
    </w:p>
    <w:p w:rsidR="00A46040" w:rsidRPr="00352AAF" w:rsidRDefault="00A46040" w:rsidP="00352AAF">
      <w:pPr>
        <w:spacing w:line="360" w:lineRule="auto"/>
        <w:rPr>
          <w:sz w:val="24"/>
          <w:szCs w:val="24"/>
        </w:rPr>
      </w:pPr>
    </w:p>
    <w:p w:rsidR="00A46040" w:rsidRPr="00352AAF" w:rsidRDefault="001445EB" w:rsidP="00352AAF">
      <w:pPr>
        <w:spacing w:line="360" w:lineRule="auto"/>
        <w:rPr>
          <w:sz w:val="24"/>
          <w:szCs w:val="24"/>
        </w:rPr>
      </w:pPr>
      <w:r w:rsidRPr="00352AAF">
        <w:rPr>
          <w:sz w:val="24"/>
          <w:szCs w:val="24"/>
        </w:rPr>
        <w:t>Deuteronomy’s</w:t>
      </w:r>
      <w:r w:rsidR="00A46040" w:rsidRPr="00352AAF">
        <w:rPr>
          <w:sz w:val="24"/>
          <w:szCs w:val="24"/>
        </w:rPr>
        <w:t xml:space="preserve"> exhortation contrasts with a conviction implied elsewhere </w:t>
      </w:r>
      <w:r w:rsidRPr="00352AAF">
        <w:rPr>
          <w:sz w:val="24"/>
          <w:szCs w:val="24"/>
        </w:rPr>
        <w:t xml:space="preserve">in the Old Testament </w:t>
      </w:r>
      <w:r w:rsidR="00A46040" w:rsidRPr="00352AAF">
        <w:rPr>
          <w:sz w:val="24"/>
          <w:szCs w:val="24"/>
        </w:rPr>
        <w:t>that one should be prepared to forgive and forget</w:t>
      </w:r>
      <w:r w:rsidRPr="00352AAF">
        <w:rPr>
          <w:sz w:val="24"/>
          <w:szCs w:val="24"/>
        </w:rPr>
        <w:t xml:space="preserve"> </w:t>
      </w:r>
      <w:r w:rsidR="00DF0CA0" w:rsidRPr="00352AAF">
        <w:rPr>
          <w:sz w:val="24"/>
          <w:szCs w:val="24"/>
        </w:rPr>
        <w:t>wron</w:t>
      </w:r>
      <w:r w:rsidRPr="00352AAF">
        <w:rPr>
          <w:sz w:val="24"/>
          <w:szCs w:val="24"/>
        </w:rPr>
        <w:t>gdoing</w:t>
      </w:r>
      <w:r w:rsidR="00A46040" w:rsidRPr="00352AAF">
        <w:rPr>
          <w:sz w:val="24"/>
          <w:szCs w:val="24"/>
        </w:rPr>
        <w:t xml:space="preserve">. </w:t>
      </w:r>
      <w:proofErr w:type="spellStart"/>
      <w:r w:rsidR="00A46040" w:rsidRPr="00352AAF">
        <w:rPr>
          <w:sz w:val="24"/>
          <w:szCs w:val="24"/>
        </w:rPr>
        <w:t>Shimei</w:t>
      </w:r>
      <w:proofErr w:type="spellEnd"/>
      <w:r w:rsidR="00A46040" w:rsidRPr="00352AAF">
        <w:rPr>
          <w:sz w:val="24"/>
          <w:szCs w:val="24"/>
        </w:rPr>
        <w:t xml:space="preserve"> urges David, "May my lord not count waywardness to me or </w:t>
      </w:r>
      <w:r w:rsidR="00A46040" w:rsidRPr="00352AAF">
        <w:rPr>
          <w:rStyle w:val="highlight"/>
          <w:sz w:val="24"/>
          <w:szCs w:val="24"/>
        </w:rPr>
        <w:t>remember</w:t>
      </w:r>
      <w:r w:rsidR="00A46040" w:rsidRPr="00352AAF">
        <w:rPr>
          <w:sz w:val="24"/>
          <w:szCs w:val="24"/>
        </w:rPr>
        <w:t xml:space="preserve"> how your servant went astray on the day my lord the king left Jerusalem,” and David agrees, though on his deathbed he points out to Solomon that his son is not bound by his father’s oath (2 Sam 19:19 [20]; 1 Kings 2:9). The Joseph story does not use the words </w:t>
      </w:r>
      <w:r w:rsidR="00A46040" w:rsidRPr="00352AAF">
        <w:rPr>
          <w:i/>
          <w:sz w:val="24"/>
          <w:szCs w:val="24"/>
        </w:rPr>
        <w:t>remember</w:t>
      </w:r>
      <w:r w:rsidR="00A46040" w:rsidRPr="00352AAF">
        <w:rPr>
          <w:sz w:val="24"/>
          <w:szCs w:val="24"/>
        </w:rPr>
        <w:t xml:space="preserve"> or </w:t>
      </w:r>
      <w:r w:rsidR="00A46040" w:rsidRPr="00352AAF">
        <w:rPr>
          <w:i/>
          <w:sz w:val="24"/>
          <w:szCs w:val="24"/>
        </w:rPr>
        <w:t>forget</w:t>
      </w:r>
      <w:r w:rsidR="00A46040" w:rsidRPr="00352AAF">
        <w:rPr>
          <w:sz w:val="24"/>
          <w:szCs w:val="24"/>
        </w:rPr>
        <w:t xml:space="preserve">, but Joseph shows himself willing not to remember his brothers’ wrongdoing. </w:t>
      </w:r>
    </w:p>
    <w:p w:rsidR="00A46040" w:rsidRPr="00352AAF" w:rsidRDefault="00A46040" w:rsidP="00352AAF">
      <w:pPr>
        <w:spacing w:line="360" w:lineRule="auto"/>
        <w:rPr>
          <w:sz w:val="24"/>
          <w:szCs w:val="24"/>
        </w:rPr>
      </w:pPr>
    </w:p>
    <w:p w:rsidR="00A46040" w:rsidRPr="00352AAF" w:rsidRDefault="00A46040" w:rsidP="00352AAF">
      <w:pPr>
        <w:spacing w:line="360" w:lineRule="auto"/>
        <w:rPr>
          <w:sz w:val="24"/>
          <w:szCs w:val="24"/>
        </w:rPr>
      </w:pPr>
      <w:r w:rsidRPr="00352AAF">
        <w:rPr>
          <w:sz w:val="24"/>
          <w:szCs w:val="24"/>
        </w:rPr>
        <w:t xml:space="preserve">The </w:t>
      </w:r>
      <w:proofErr w:type="spellStart"/>
      <w:r w:rsidRPr="00352AAF">
        <w:rPr>
          <w:sz w:val="24"/>
          <w:szCs w:val="24"/>
        </w:rPr>
        <w:t>Amalek</w:t>
      </w:r>
      <w:proofErr w:type="spellEnd"/>
      <w:r w:rsidRPr="00352AAF">
        <w:rPr>
          <w:sz w:val="24"/>
          <w:szCs w:val="24"/>
        </w:rPr>
        <w:t xml:space="preserve"> exhortation about memory has been an embarrassment to Jews and Christians for two thousand years.</w:t>
      </w:r>
      <w:r w:rsidRPr="00352AAF">
        <w:rPr>
          <w:rStyle w:val="FootnoteReference"/>
          <w:sz w:val="24"/>
          <w:szCs w:val="24"/>
        </w:rPr>
        <w:footnoteReference w:id="75"/>
      </w:r>
      <w:r w:rsidR="001445EB" w:rsidRPr="00352AAF">
        <w:rPr>
          <w:sz w:val="24"/>
          <w:szCs w:val="24"/>
        </w:rPr>
        <w:t xml:space="preserve"> Can it have</w:t>
      </w:r>
      <w:r w:rsidRPr="00352AAF">
        <w:rPr>
          <w:sz w:val="24"/>
          <w:szCs w:val="24"/>
        </w:rPr>
        <w:t xml:space="preserve"> any po</w:t>
      </w:r>
      <w:r w:rsidR="001445EB" w:rsidRPr="00352AAF">
        <w:rPr>
          <w:sz w:val="24"/>
          <w:szCs w:val="24"/>
        </w:rPr>
        <w:t xml:space="preserve">sitive significance </w:t>
      </w:r>
      <w:r w:rsidRPr="00352AAF">
        <w:rPr>
          <w:sz w:val="24"/>
          <w:szCs w:val="24"/>
        </w:rPr>
        <w:t>in connection with Old Testament theol</w:t>
      </w:r>
      <w:r w:rsidR="001445EB" w:rsidRPr="00352AAF">
        <w:rPr>
          <w:sz w:val="24"/>
          <w:szCs w:val="24"/>
        </w:rPr>
        <w:t>ogy and ethics? Can it</w:t>
      </w:r>
      <w:r w:rsidRPr="00352AAF">
        <w:rPr>
          <w:sz w:val="24"/>
          <w:szCs w:val="24"/>
        </w:rPr>
        <w:t xml:space="preserve"> make us think as well as provoke our indignation? </w:t>
      </w:r>
      <w:r w:rsidRPr="00352AAF">
        <w:rPr>
          <w:sz w:val="24"/>
          <w:szCs w:val="24"/>
        </w:rPr>
        <w:lastRenderedPageBreak/>
        <w:t>Christians have sometimes identified other Christian groups as new embod</w:t>
      </w:r>
      <w:r w:rsidR="001445EB" w:rsidRPr="00352AAF">
        <w:rPr>
          <w:sz w:val="24"/>
          <w:szCs w:val="24"/>
        </w:rPr>
        <w:t xml:space="preserve">iments of </w:t>
      </w:r>
      <w:proofErr w:type="spellStart"/>
      <w:r w:rsidR="001445EB" w:rsidRPr="00352AAF">
        <w:rPr>
          <w:sz w:val="24"/>
          <w:szCs w:val="24"/>
        </w:rPr>
        <w:t>Amalek</w:t>
      </w:r>
      <w:proofErr w:type="spellEnd"/>
      <w:r w:rsidR="001445EB" w:rsidRPr="00352AAF">
        <w:rPr>
          <w:sz w:val="24"/>
          <w:szCs w:val="24"/>
        </w:rPr>
        <w:t xml:space="preserve"> that</w:t>
      </w:r>
      <w:r w:rsidR="00DF0CA0" w:rsidRPr="00352AAF">
        <w:rPr>
          <w:sz w:val="24"/>
          <w:szCs w:val="24"/>
        </w:rPr>
        <w:t xml:space="preserve"> should therefore</w:t>
      </w:r>
      <w:r w:rsidRPr="00352AAF">
        <w:rPr>
          <w:sz w:val="24"/>
          <w:szCs w:val="24"/>
        </w:rPr>
        <w:t xml:space="preserve"> be annihilated, but the Old Testament does not suggest </w:t>
      </w:r>
      <w:r w:rsidR="00DF0CA0" w:rsidRPr="00352AAF">
        <w:rPr>
          <w:sz w:val="24"/>
          <w:szCs w:val="24"/>
        </w:rPr>
        <w:t xml:space="preserve">that Israel might </w:t>
      </w:r>
      <w:r w:rsidR="001445EB" w:rsidRPr="00352AAF">
        <w:rPr>
          <w:sz w:val="24"/>
          <w:szCs w:val="24"/>
        </w:rPr>
        <w:t xml:space="preserve">or did </w:t>
      </w:r>
      <w:r w:rsidR="00DF0CA0" w:rsidRPr="00352AAF">
        <w:rPr>
          <w:sz w:val="24"/>
          <w:szCs w:val="24"/>
        </w:rPr>
        <w:t xml:space="preserve">look at adversaries other than </w:t>
      </w:r>
      <w:proofErr w:type="spellStart"/>
      <w:r w:rsidR="00DF0CA0" w:rsidRPr="00352AAF">
        <w:rPr>
          <w:sz w:val="24"/>
          <w:szCs w:val="24"/>
        </w:rPr>
        <w:t>Amalek</w:t>
      </w:r>
      <w:proofErr w:type="spellEnd"/>
      <w:r w:rsidRPr="00352AAF">
        <w:rPr>
          <w:sz w:val="24"/>
          <w:szCs w:val="24"/>
        </w:rPr>
        <w:t xml:space="preserve"> in this way. The nearest is the identification of Haman in</w:t>
      </w:r>
      <w:r w:rsidR="001445EB" w:rsidRPr="00352AAF">
        <w:rPr>
          <w:sz w:val="24"/>
          <w:szCs w:val="24"/>
        </w:rPr>
        <w:t xml:space="preserve"> Esther as an </w:t>
      </w:r>
      <w:proofErr w:type="spellStart"/>
      <w:r w:rsidR="001445EB" w:rsidRPr="00352AAF">
        <w:rPr>
          <w:sz w:val="24"/>
          <w:szCs w:val="24"/>
        </w:rPr>
        <w:t>Agagite</w:t>
      </w:r>
      <w:proofErr w:type="spellEnd"/>
      <w:r w:rsidR="001445EB" w:rsidRPr="00352AAF">
        <w:rPr>
          <w:sz w:val="24"/>
          <w:szCs w:val="24"/>
        </w:rPr>
        <w:t>; there is then also the irony that</w:t>
      </w:r>
      <w:r w:rsidRPr="00352AAF">
        <w:rPr>
          <w:sz w:val="24"/>
          <w:szCs w:val="24"/>
        </w:rPr>
        <w:t xml:space="preserve"> the Jewish people end up behaving the same way as Haman in the story</w:t>
      </w:r>
      <w:r w:rsidR="001445EB" w:rsidRPr="00352AAF">
        <w:rPr>
          <w:sz w:val="24"/>
          <w:szCs w:val="24"/>
        </w:rPr>
        <w:t>.</w:t>
      </w:r>
      <w:r w:rsidR="00DF0CA0" w:rsidRPr="00352AAF">
        <w:rPr>
          <w:rStyle w:val="FootnoteReference"/>
          <w:sz w:val="24"/>
          <w:szCs w:val="24"/>
        </w:rPr>
        <w:footnoteReference w:id="76"/>
      </w:r>
      <w:r w:rsidRPr="00352AAF">
        <w:rPr>
          <w:sz w:val="24"/>
          <w:szCs w:val="24"/>
        </w:rPr>
        <w:t xml:space="preserve"> One should have some sympathy with Jewish identification of Nazi Germany as an embodiment of </w:t>
      </w:r>
      <w:proofErr w:type="spellStart"/>
      <w:r w:rsidRPr="00352AAF">
        <w:rPr>
          <w:sz w:val="24"/>
          <w:szCs w:val="24"/>
        </w:rPr>
        <w:t>Amalek</w:t>
      </w:r>
      <w:proofErr w:type="spellEnd"/>
      <w:r w:rsidRPr="00352AAF">
        <w:rPr>
          <w:sz w:val="24"/>
          <w:szCs w:val="24"/>
        </w:rPr>
        <w:t xml:space="preserve">, and the question of remembering and forgetting the Holocaust is a lively one. </w:t>
      </w:r>
      <w:proofErr w:type="spellStart"/>
      <w:r w:rsidRPr="00352AAF">
        <w:rPr>
          <w:sz w:val="24"/>
          <w:szCs w:val="24"/>
        </w:rPr>
        <w:t>Yerushalmi</w:t>
      </w:r>
      <w:proofErr w:type="spellEnd"/>
      <w:r w:rsidRPr="00352AAF">
        <w:rPr>
          <w:sz w:val="24"/>
          <w:szCs w:val="24"/>
        </w:rPr>
        <w:t xml:space="preserve"> comments that the problem about memory is how much to remember and how much to forget, and asks whether the antonym of forgetting is not remembering but justice</w:t>
      </w:r>
      <w:r w:rsidR="00DF0CA0" w:rsidRPr="00352AAF">
        <w:rPr>
          <w:sz w:val="24"/>
          <w:szCs w:val="24"/>
        </w:rPr>
        <w:t>.</w:t>
      </w:r>
      <w:r w:rsidRPr="00352AAF">
        <w:rPr>
          <w:rStyle w:val="FootnoteReference"/>
          <w:sz w:val="24"/>
          <w:szCs w:val="24"/>
        </w:rPr>
        <w:footnoteReference w:id="77"/>
      </w:r>
      <w:r w:rsidRPr="00352AAF">
        <w:rPr>
          <w:sz w:val="24"/>
          <w:szCs w:val="24"/>
        </w:rPr>
        <w:t xml:space="preserve"> </w:t>
      </w:r>
      <w:proofErr w:type="spellStart"/>
      <w:r w:rsidR="00B55B5F" w:rsidRPr="00352AAF">
        <w:rPr>
          <w:sz w:val="24"/>
          <w:szCs w:val="24"/>
        </w:rPr>
        <w:t>Ricoeur</w:t>
      </w:r>
      <w:proofErr w:type="spellEnd"/>
      <w:r w:rsidR="00B55B5F" w:rsidRPr="00352AAF">
        <w:rPr>
          <w:sz w:val="24"/>
          <w:szCs w:val="24"/>
        </w:rPr>
        <w:t xml:space="preserve"> notes that forgetting can be ideological, like the European memory of the mid-twentieth century, and that t</w:t>
      </w:r>
      <w:r w:rsidRPr="00352AAF">
        <w:rPr>
          <w:sz w:val="24"/>
          <w:szCs w:val="24"/>
        </w:rPr>
        <w:t>he ambiguity of forgetting extends to the question of the obligation to forgive and the relationship of forgetting and forgiving.</w:t>
      </w:r>
      <w:r w:rsidRPr="00352AAF">
        <w:rPr>
          <w:rStyle w:val="FootnoteReference"/>
          <w:sz w:val="24"/>
          <w:szCs w:val="24"/>
        </w:rPr>
        <w:footnoteReference w:id="78"/>
      </w:r>
      <w:r w:rsidRPr="00352AAF">
        <w:rPr>
          <w:sz w:val="24"/>
          <w:szCs w:val="24"/>
        </w:rPr>
        <w:t xml:space="preserve"> </w:t>
      </w:r>
    </w:p>
    <w:p w:rsidR="00A46040" w:rsidRPr="00352AAF" w:rsidRDefault="00A46040" w:rsidP="00352AAF">
      <w:pPr>
        <w:spacing w:line="360" w:lineRule="auto"/>
        <w:rPr>
          <w:sz w:val="24"/>
          <w:szCs w:val="24"/>
        </w:rPr>
      </w:pPr>
    </w:p>
    <w:p w:rsidR="00A46040" w:rsidRPr="00352AAF" w:rsidRDefault="00A46040" w:rsidP="00352AAF">
      <w:pPr>
        <w:spacing w:line="360" w:lineRule="auto"/>
        <w:rPr>
          <w:sz w:val="24"/>
          <w:szCs w:val="24"/>
        </w:rPr>
      </w:pPr>
      <w:r w:rsidRPr="00352AAF">
        <w:rPr>
          <w:sz w:val="24"/>
          <w:szCs w:val="24"/>
        </w:rPr>
        <w:t xml:space="preserve">That question makes one wonder whether the difference between the attitude of Joseph to his brothers and of Moses to </w:t>
      </w:r>
      <w:proofErr w:type="spellStart"/>
      <w:r w:rsidRPr="00352AAF">
        <w:rPr>
          <w:sz w:val="24"/>
          <w:szCs w:val="24"/>
        </w:rPr>
        <w:t>Amalek</w:t>
      </w:r>
      <w:proofErr w:type="spellEnd"/>
      <w:r w:rsidRPr="00352AAF">
        <w:rPr>
          <w:sz w:val="24"/>
          <w:szCs w:val="24"/>
        </w:rPr>
        <w:t xml:space="preserve">, and the difference between David’s attitude to </w:t>
      </w:r>
      <w:proofErr w:type="spellStart"/>
      <w:r w:rsidRPr="00352AAF">
        <w:rPr>
          <w:sz w:val="24"/>
          <w:szCs w:val="24"/>
        </w:rPr>
        <w:t>Shimei</w:t>
      </w:r>
      <w:proofErr w:type="spellEnd"/>
      <w:r w:rsidRPr="00352AAF">
        <w:rPr>
          <w:sz w:val="24"/>
          <w:szCs w:val="24"/>
        </w:rPr>
        <w:t xml:space="preserve"> when he is returning to Jerusalem and when he is on his deathbed</w:t>
      </w:r>
      <w:r w:rsidR="00DF0CA0" w:rsidRPr="00352AAF">
        <w:rPr>
          <w:sz w:val="24"/>
          <w:szCs w:val="24"/>
        </w:rPr>
        <w:t>,</w:t>
      </w:r>
      <w:r w:rsidRPr="00352AAF">
        <w:rPr>
          <w:sz w:val="24"/>
          <w:szCs w:val="24"/>
        </w:rPr>
        <w:t xml:space="preserve"> relates to the difference between the attitude we </w:t>
      </w:r>
      <w:r w:rsidR="00DF0CA0" w:rsidRPr="00352AAF">
        <w:rPr>
          <w:sz w:val="24"/>
          <w:szCs w:val="24"/>
        </w:rPr>
        <w:t xml:space="preserve">may properly </w:t>
      </w:r>
      <w:r w:rsidRPr="00352AAF">
        <w:rPr>
          <w:sz w:val="24"/>
          <w:szCs w:val="24"/>
        </w:rPr>
        <w:t xml:space="preserve">take individually to people who have wronged us and </w:t>
      </w:r>
      <w:r w:rsidR="00DF0CA0" w:rsidRPr="00352AAF">
        <w:rPr>
          <w:sz w:val="24"/>
          <w:szCs w:val="24"/>
        </w:rPr>
        <w:t xml:space="preserve">the attitude that a society may </w:t>
      </w:r>
      <w:r w:rsidRPr="00352AAF">
        <w:rPr>
          <w:sz w:val="24"/>
          <w:szCs w:val="24"/>
        </w:rPr>
        <w:t>properly take to wrongdoing. Individuals turn the other cheek; societies punish the striker. When wrong is done, it throws the world out of kilter, and action taken against wrong reaffirms what is right.</w:t>
      </w:r>
    </w:p>
    <w:p w:rsidR="00A46040" w:rsidRPr="00352AAF" w:rsidRDefault="00A46040" w:rsidP="00352AAF">
      <w:pPr>
        <w:spacing w:line="360" w:lineRule="auto"/>
        <w:rPr>
          <w:sz w:val="24"/>
          <w:szCs w:val="24"/>
        </w:rPr>
      </w:pPr>
    </w:p>
    <w:p w:rsidR="00A46040" w:rsidRPr="00352AAF" w:rsidRDefault="00A46040" w:rsidP="00352AAF">
      <w:pPr>
        <w:spacing w:line="360" w:lineRule="auto"/>
        <w:rPr>
          <w:sz w:val="24"/>
          <w:szCs w:val="24"/>
        </w:rPr>
      </w:pPr>
      <w:r w:rsidRPr="00352AAF">
        <w:rPr>
          <w:sz w:val="24"/>
          <w:szCs w:val="24"/>
        </w:rPr>
        <w:t>Deuteronomy bases its argumen</w:t>
      </w:r>
      <w:r w:rsidR="00AD4900" w:rsidRPr="00352AAF">
        <w:rPr>
          <w:sz w:val="24"/>
          <w:szCs w:val="24"/>
        </w:rPr>
        <w:t xml:space="preserve">t for remembering </w:t>
      </w:r>
      <w:proofErr w:type="spellStart"/>
      <w:r w:rsidR="00AD4900" w:rsidRPr="00352AAF">
        <w:rPr>
          <w:sz w:val="24"/>
          <w:szCs w:val="24"/>
        </w:rPr>
        <w:t>Amalek</w:t>
      </w:r>
      <w:proofErr w:type="spellEnd"/>
      <w:r w:rsidR="00AD4900" w:rsidRPr="00352AAF">
        <w:rPr>
          <w:sz w:val="24"/>
          <w:szCs w:val="24"/>
        </w:rPr>
        <w:t xml:space="preserve"> on its</w:t>
      </w:r>
      <w:r w:rsidR="001445EB" w:rsidRPr="00352AAF">
        <w:rPr>
          <w:sz w:val="24"/>
          <w:szCs w:val="24"/>
        </w:rPr>
        <w:t xml:space="preserve"> </w:t>
      </w:r>
      <w:r w:rsidR="00AD4900" w:rsidRPr="00352AAF">
        <w:rPr>
          <w:sz w:val="24"/>
          <w:szCs w:val="24"/>
        </w:rPr>
        <w:t>having been the strong attacking</w:t>
      </w:r>
      <w:r w:rsidRPr="00352AAF">
        <w:rPr>
          <w:sz w:val="24"/>
          <w:szCs w:val="24"/>
        </w:rPr>
        <w:t xml:space="preserve"> the weak. </w:t>
      </w:r>
      <w:r w:rsidR="00AD4900" w:rsidRPr="00352AAF">
        <w:rPr>
          <w:sz w:val="24"/>
          <w:szCs w:val="24"/>
        </w:rPr>
        <w:t>S</w:t>
      </w:r>
      <w:r w:rsidRPr="00352AAF">
        <w:rPr>
          <w:sz w:val="24"/>
          <w:szCs w:val="24"/>
        </w:rPr>
        <w:t xml:space="preserve">ocial memory </w:t>
      </w:r>
      <w:r w:rsidR="00AD4900" w:rsidRPr="00352AAF">
        <w:rPr>
          <w:sz w:val="24"/>
          <w:szCs w:val="24"/>
        </w:rPr>
        <w:t xml:space="preserve">can be presented </w:t>
      </w:r>
      <w:r w:rsidRPr="00352AAF">
        <w:rPr>
          <w:sz w:val="24"/>
          <w:szCs w:val="24"/>
        </w:rPr>
        <w:t>as a realm of resistance against the public, dominant vers</w:t>
      </w:r>
      <w:r w:rsidR="001445EB" w:rsidRPr="00352AAF">
        <w:rPr>
          <w:sz w:val="24"/>
          <w:szCs w:val="24"/>
        </w:rPr>
        <w:t>ion of memory that is known as “history</w:t>
      </w:r>
      <w:r w:rsidRPr="00352AAF">
        <w:rPr>
          <w:sz w:val="24"/>
          <w:szCs w:val="24"/>
        </w:rPr>
        <w:t>.</w:t>
      </w:r>
      <w:r w:rsidR="001445EB" w:rsidRPr="00352AAF">
        <w:rPr>
          <w:sz w:val="24"/>
          <w:szCs w:val="24"/>
        </w:rPr>
        <w:t>”</w:t>
      </w:r>
      <w:r w:rsidRPr="00352AAF">
        <w:rPr>
          <w:sz w:val="24"/>
          <w:szCs w:val="24"/>
        </w:rPr>
        <w:t xml:space="preserve"> If traditional history was a di</w:t>
      </w:r>
      <w:r w:rsidR="00AD4900" w:rsidRPr="00352AAF">
        <w:rPr>
          <w:sz w:val="24"/>
          <w:szCs w:val="24"/>
        </w:rPr>
        <w:t xml:space="preserve">scourse about the past </w:t>
      </w:r>
      <w:r w:rsidRPr="00352AAF">
        <w:rPr>
          <w:sz w:val="24"/>
          <w:szCs w:val="24"/>
        </w:rPr>
        <w:t>p</w:t>
      </w:r>
      <w:r w:rsidR="00AD4900" w:rsidRPr="00352AAF">
        <w:rPr>
          <w:sz w:val="24"/>
          <w:szCs w:val="24"/>
        </w:rPr>
        <w:t>roduced by the victors and privileging</w:t>
      </w:r>
      <w:r w:rsidRPr="00352AAF">
        <w:rPr>
          <w:sz w:val="24"/>
          <w:szCs w:val="24"/>
        </w:rPr>
        <w:t xml:space="preserve"> those who had generated writte</w:t>
      </w:r>
      <w:r w:rsidR="0039290D" w:rsidRPr="00352AAF">
        <w:rPr>
          <w:sz w:val="24"/>
          <w:szCs w:val="24"/>
        </w:rPr>
        <w:t>n evidence, memory</w:t>
      </w:r>
      <w:r w:rsidRPr="00352AAF">
        <w:rPr>
          <w:sz w:val="24"/>
          <w:szCs w:val="24"/>
        </w:rPr>
        <w:t xml:space="preserve"> might be seen as the repository of knowle</w:t>
      </w:r>
      <w:r w:rsidR="0039290D" w:rsidRPr="00352AAF">
        <w:rPr>
          <w:sz w:val="24"/>
          <w:szCs w:val="24"/>
        </w:rPr>
        <w:t xml:space="preserve">dge of “people without </w:t>
      </w:r>
      <w:r w:rsidR="0039290D" w:rsidRPr="00352AAF">
        <w:rPr>
          <w:sz w:val="24"/>
          <w:szCs w:val="24"/>
        </w:rPr>
        <w:lastRenderedPageBreak/>
        <w:t>history</w:t>
      </w:r>
      <w:r w:rsidRPr="00352AAF">
        <w:rPr>
          <w:sz w:val="24"/>
          <w:szCs w:val="24"/>
        </w:rPr>
        <w:t>,</w:t>
      </w:r>
      <w:r w:rsidR="0039290D" w:rsidRPr="00352AAF">
        <w:rPr>
          <w:sz w:val="24"/>
          <w:szCs w:val="24"/>
        </w:rPr>
        <w:t>”</w:t>
      </w:r>
      <w:r w:rsidRPr="00352AAF">
        <w:rPr>
          <w:sz w:val="24"/>
          <w:szCs w:val="24"/>
        </w:rPr>
        <w:t xml:space="preserve"> or tr</w:t>
      </w:r>
      <w:r w:rsidR="00DF0CA0" w:rsidRPr="00352AAF">
        <w:rPr>
          <w:sz w:val="24"/>
          <w:szCs w:val="24"/>
        </w:rPr>
        <w:t xml:space="preserve">aumatized communities for whom </w:t>
      </w:r>
      <w:r w:rsidRPr="00352AAF">
        <w:rPr>
          <w:sz w:val="24"/>
          <w:szCs w:val="24"/>
        </w:rPr>
        <w:t>remember</w:t>
      </w:r>
      <w:r w:rsidR="00DF0CA0" w:rsidRPr="00352AAF">
        <w:rPr>
          <w:sz w:val="24"/>
          <w:szCs w:val="24"/>
        </w:rPr>
        <w:t>ing i</w:t>
      </w:r>
      <w:r w:rsidR="0039290D" w:rsidRPr="00352AAF">
        <w:rPr>
          <w:sz w:val="24"/>
          <w:szCs w:val="24"/>
        </w:rPr>
        <w:t>s an “act of faith</w:t>
      </w:r>
      <w:r w:rsidRPr="00352AAF">
        <w:rPr>
          <w:sz w:val="24"/>
          <w:szCs w:val="24"/>
        </w:rPr>
        <w:t>.</w:t>
      </w:r>
      <w:r w:rsidR="0039290D" w:rsidRPr="00352AAF">
        <w:rPr>
          <w:sz w:val="24"/>
          <w:szCs w:val="24"/>
        </w:rPr>
        <w:t>”</w:t>
      </w:r>
      <w:r w:rsidRPr="00352AAF">
        <w:rPr>
          <w:rStyle w:val="FootnoteReference"/>
          <w:sz w:val="24"/>
          <w:szCs w:val="24"/>
        </w:rPr>
        <w:footnoteReference w:id="79"/>
      </w:r>
      <w:r w:rsidRPr="00352AAF">
        <w:rPr>
          <w:sz w:val="24"/>
          <w:szCs w:val="24"/>
        </w:rPr>
        <w:t xml:space="preserve"> One of our difficulties with the </w:t>
      </w:r>
      <w:proofErr w:type="spellStart"/>
      <w:r w:rsidRPr="00352AAF">
        <w:rPr>
          <w:sz w:val="24"/>
          <w:szCs w:val="24"/>
        </w:rPr>
        <w:t>Amalek</w:t>
      </w:r>
      <w:proofErr w:type="spellEnd"/>
      <w:r w:rsidRPr="00352AAF">
        <w:rPr>
          <w:sz w:val="24"/>
          <w:szCs w:val="24"/>
        </w:rPr>
        <w:t xml:space="preserve"> story as Western people is that we are </w:t>
      </w:r>
      <w:proofErr w:type="spellStart"/>
      <w:r w:rsidRPr="00352AAF">
        <w:rPr>
          <w:sz w:val="24"/>
          <w:szCs w:val="24"/>
        </w:rPr>
        <w:t>Amalek</w:t>
      </w:r>
      <w:proofErr w:type="spellEnd"/>
      <w:r w:rsidRPr="00352AAF">
        <w:rPr>
          <w:sz w:val="24"/>
          <w:szCs w:val="24"/>
        </w:rPr>
        <w:t xml:space="preserve">. It’s not in our interest for </w:t>
      </w:r>
      <w:proofErr w:type="spellStart"/>
      <w:r w:rsidRPr="00352AAF">
        <w:rPr>
          <w:sz w:val="24"/>
          <w:szCs w:val="24"/>
        </w:rPr>
        <w:t>Amalek</w:t>
      </w:r>
      <w:proofErr w:type="spellEnd"/>
      <w:r w:rsidRPr="00352AAF">
        <w:rPr>
          <w:sz w:val="24"/>
          <w:szCs w:val="24"/>
        </w:rPr>
        <w:t xml:space="preserve"> to be remembered in the way Deuteronomy encourages.</w:t>
      </w:r>
    </w:p>
    <w:p w:rsidR="001B6D87" w:rsidRPr="00352AAF" w:rsidRDefault="001B6D87" w:rsidP="00352AAF">
      <w:pPr>
        <w:spacing w:line="360" w:lineRule="auto"/>
        <w:rPr>
          <w:sz w:val="24"/>
          <w:szCs w:val="24"/>
        </w:rPr>
      </w:pPr>
    </w:p>
    <w:p w:rsidR="00A46040" w:rsidRPr="00352AAF" w:rsidRDefault="00A46040" w:rsidP="00352AAF">
      <w:pPr>
        <w:spacing w:line="360" w:lineRule="auto"/>
        <w:rPr>
          <w:sz w:val="24"/>
          <w:szCs w:val="24"/>
        </w:rPr>
      </w:pPr>
      <w:r w:rsidRPr="00352AAF">
        <w:rPr>
          <w:sz w:val="24"/>
          <w:szCs w:val="24"/>
        </w:rPr>
        <w:t>The trouble is that “collective memory is particularly susceptible to p</w:t>
      </w:r>
      <w:r w:rsidR="0039290D" w:rsidRPr="00352AAF">
        <w:rPr>
          <w:sz w:val="24"/>
          <w:szCs w:val="24"/>
        </w:rPr>
        <w:t>oliticized forms of remembering.” R</w:t>
      </w:r>
      <w:r w:rsidRPr="00352AAF">
        <w:rPr>
          <w:sz w:val="24"/>
          <w:szCs w:val="24"/>
        </w:rPr>
        <w:t>emembering the Battle of Kosovo in 1389 and the Battle of the Boyne 1690, as well as the fall of Masada and Auschwitz, has fueled conflicts.</w:t>
      </w:r>
      <w:r w:rsidRPr="00352AAF">
        <w:rPr>
          <w:rStyle w:val="FootnoteReference"/>
          <w:sz w:val="24"/>
          <w:szCs w:val="24"/>
        </w:rPr>
        <w:footnoteReference w:id="80"/>
      </w:r>
      <w:r w:rsidR="00DF0CA0" w:rsidRPr="00352AAF">
        <w:rPr>
          <w:sz w:val="24"/>
          <w:szCs w:val="24"/>
        </w:rPr>
        <w:t xml:space="preserve"> M</w:t>
      </w:r>
      <w:r w:rsidR="0039290D" w:rsidRPr="00352AAF">
        <w:rPr>
          <w:sz w:val="24"/>
          <w:szCs w:val="24"/>
        </w:rPr>
        <w:t xml:space="preserve">any </w:t>
      </w:r>
      <w:r w:rsidRPr="00352AAF">
        <w:rPr>
          <w:sz w:val="24"/>
          <w:szCs w:val="24"/>
        </w:rPr>
        <w:t xml:space="preserve">conflicts persist because we cannot forget the past. </w:t>
      </w:r>
      <w:r w:rsidR="0036635B" w:rsidRPr="00352AAF">
        <w:rPr>
          <w:sz w:val="24"/>
          <w:szCs w:val="24"/>
        </w:rPr>
        <w:t>Ernest Renan declared that “forgetting, I would even go so far as to say historical error, is a crucial factor in the creation of a nation.”</w:t>
      </w:r>
      <w:r w:rsidR="0036635B" w:rsidRPr="00352AAF">
        <w:rPr>
          <w:rStyle w:val="FootnoteReference"/>
          <w:sz w:val="24"/>
          <w:szCs w:val="24"/>
        </w:rPr>
        <w:footnoteReference w:id="81"/>
      </w:r>
      <w:r w:rsidR="0036635B" w:rsidRPr="00352AAF">
        <w:rPr>
          <w:sz w:val="24"/>
          <w:szCs w:val="24"/>
        </w:rPr>
        <w:t xml:space="preserve"> </w:t>
      </w:r>
      <w:r w:rsidRPr="00352AAF">
        <w:rPr>
          <w:sz w:val="24"/>
          <w:szCs w:val="24"/>
        </w:rPr>
        <w:t>Memory both stabilizes and destabilizes.</w:t>
      </w:r>
      <w:r w:rsidRPr="00352AAF">
        <w:rPr>
          <w:rStyle w:val="FootnoteReference"/>
          <w:sz w:val="24"/>
          <w:szCs w:val="24"/>
        </w:rPr>
        <w:footnoteReference w:id="82"/>
      </w:r>
      <w:r w:rsidRPr="00352AAF">
        <w:rPr>
          <w:sz w:val="24"/>
          <w:szCs w:val="24"/>
        </w:rPr>
        <w:t xml:space="preserve"> Nietzsche and Freud correlate memory with guilt and conscience.  It’s “the wound that does not cease to hurt.” </w:t>
      </w:r>
      <w:r w:rsidRPr="00352AAF">
        <w:rPr>
          <w:rStyle w:val="FootnoteReference"/>
          <w:sz w:val="24"/>
          <w:szCs w:val="24"/>
        </w:rPr>
        <w:footnoteReference w:id="83"/>
      </w:r>
      <w:r w:rsidR="00785C53" w:rsidRPr="00352AAF">
        <w:rPr>
          <w:sz w:val="24"/>
          <w:szCs w:val="24"/>
        </w:rPr>
        <w:t xml:space="preserve"> Ideally, </w:t>
      </w:r>
      <w:r w:rsidRPr="00352AAF">
        <w:rPr>
          <w:sz w:val="24"/>
          <w:szCs w:val="24"/>
        </w:rPr>
        <w:t xml:space="preserve">the responsibility to remember </w:t>
      </w:r>
      <w:r w:rsidR="00785C53" w:rsidRPr="00352AAF">
        <w:rPr>
          <w:sz w:val="24"/>
          <w:szCs w:val="24"/>
        </w:rPr>
        <w:t xml:space="preserve">lies upon third parties, to remember </w:t>
      </w:r>
      <w:r w:rsidRPr="00352AAF">
        <w:rPr>
          <w:sz w:val="24"/>
          <w:szCs w:val="24"/>
        </w:rPr>
        <w:t xml:space="preserve">on behalf of both the victims and the perpetrators, as it is their responsibility to pray the protest psalms on behalf of both victims and perpetrators.  In theory, at least, if the perpetrators and the third parties don’t forget, the victims can afford to do so and should do so, though they would be unwise to assume that this remembering will always persist, or </w:t>
      </w:r>
      <w:r w:rsidR="00C03E75" w:rsidRPr="00352AAF">
        <w:rPr>
          <w:sz w:val="24"/>
          <w:szCs w:val="24"/>
        </w:rPr>
        <w:t xml:space="preserve">will </w:t>
      </w:r>
      <w:r w:rsidRPr="00352AAF">
        <w:rPr>
          <w:sz w:val="24"/>
          <w:szCs w:val="24"/>
        </w:rPr>
        <w:t>persist as long as it needs to (which is perhaps forever</w:t>
      </w:r>
      <w:r w:rsidR="0039290D" w:rsidRPr="00352AAF">
        <w:rPr>
          <w:sz w:val="24"/>
          <w:szCs w:val="24"/>
        </w:rPr>
        <w:t>)</w:t>
      </w:r>
      <w:r w:rsidRPr="00352AAF">
        <w:rPr>
          <w:sz w:val="24"/>
          <w:szCs w:val="24"/>
        </w:rPr>
        <w:t xml:space="preserve"> to inhibit other perpetrators from repeating the same wrong. </w:t>
      </w:r>
    </w:p>
    <w:p w:rsidR="0039290D" w:rsidRPr="00352AAF" w:rsidRDefault="0039290D" w:rsidP="00352AAF">
      <w:pPr>
        <w:spacing w:line="360" w:lineRule="auto"/>
        <w:rPr>
          <w:sz w:val="24"/>
          <w:szCs w:val="24"/>
        </w:rPr>
      </w:pPr>
    </w:p>
    <w:p w:rsidR="00540254" w:rsidRPr="00352AAF" w:rsidRDefault="00540254" w:rsidP="00352AAF">
      <w:pPr>
        <w:spacing w:line="360" w:lineRule="auto"/>
        <w:rPr>
          <w:sz w:val="24"/>
          <w:szCs w:val="24"/>
        </w:rPr>
      </w:pPr>
      <w:r w:rsidRPr="00352AAF">
        <w:rPr>
          <w:sz w:val="24"/>
          <w:szCs w:val="24"/>
        </w:rPr>
        <w:t>***</w:t>
      </w:r>
    </w:p>
    <w:p w:rsidR="00540254" w:rsidRPr="00352AAF" w:rsidRDefault="00540254" w:rsidP="00352AAF">
      <w:pPr>
        <w:spacing w:line="360" w:lineRule="auto"/>
        <w:rPr>
          <w:sz w:val="24"/>
          <w:szCs w:val="24"/>
        </w:rPr>
      </w:pPr>
    </w:p>
    <w:p w:rsidR="00540254" w:rsidRPr="00352AAF" w:rsidRDefault="00540254" w:rsidP="00352AAF">
      <w:pPr>
        <w:spacing w:line="360" w:lineRule="auto"/>
        <w:rPr>
          <w:sz w:val="24"/>
          <w:szCs w:val="24"/>
        </w:rPr>
      </w:pPr>
      <w:r w:rsidRPr="00352AAF">
        <w:rPr>
          <w:sz w:val="24"/>
          <w:szCs w:val="24"/>
        </w:rPr>
        <w:t xml:space="preserve">By means of its festivals and other observances, but also by means of its scriptures, Israel, says </w:t>
      </w:r>
      <w:proofErr w:type="spellStart"/>
      <w:r w:rsidRPr="00352AAF">
        <w:rPr>
          <w:sz w:val="24"/>
          <w:szCs w:val="24"/>
        </w:rPr>
        <w:t>Assmann</w:t>
      </w:r>
      <w:proofErr w:type="spellEnd"/>
      <w:r w:rsidRPr="00352AAF">
        <w:rPr>
          <w:sz w:val="24"/>
          <w:szCs w:val="24"/>
        </w:rPr>
        <w:t xml:space="preserve">, “constructs itself as a community of learning and remembering.” </w:t>
      </w:r>
      <w:r w:rsidRPr="00352AAF">
        <w:rPr>
          <w:rStyle w:val="FootnoteReference"/>
          <w:sz w:val="24"/>
          <w:szCs w:val="24"/>
        </w:rPr>
        <w:footnoteReference w:id="84"/>
      </w:r>
      <w:r w:rsidRPr="00352AAF">
        <w:rPr>
          <w:sz w:val="24"/>
          <w:szCs w:val="24"/>
        </w:rPr>
        <w:t xml:space="preserve"> The Old Testament thus sees remembering and forgetting as deliberate purposeful acts. It perhaps does not imply that they are always deliberate, and I’m not sure whether it is so. I suspect that </w:t>
      </w:r>
      <w:r w:rsidRPr="00352AAF">
        <w:rPr>
          <w:sz w:val="24"/>
          <w:szCs w:val="24"/>
        </w:rPr>
        <w:lastRenderedPageBreak/>
        <w:t>some of my memories are random, but many are significant and in that sense deliberate. Perhaps some things that Israel remembers are random, but it certainly remembers things because they seem important and illuminating. They shape its faith, its hope, and its life—or at least, they are meant to do so.</w:t>
      </w:r>
    </w:p>
    <w:p w:rsidR="00540254" w:rsidRPr="00352AAF" w:rsidRDefault="00540254" w:rsidP="00352AAF">
      <w:pPr>
        <w:spacing w:line="360" w:lineRule="auto"/>
        <w:rPr>
          <w:sz w:val="24"/>
          <w:szCs w:val="24"/>
        </w:rPr>
      </w:pPr>
    </w:p>
    <w:p w:rsidR="0039290D" w:rsidRPr="00352AAF" w:rsidRDefault="0039290D" w:rsidP="00352AAF">
      <w:pPr>
        <w:spacing w:line="360" w:lineRule="auto"/>
        <w:rPr>
          <w:sz w:val="24"/>
          <w:szCs w:val="24"/>
        </w:rPr>
      </w:pPr>
    </w:p>
    <w:sectPr w:rsidR="0039290D" w:rsidRPr="00352AAF" w:rsidSect="00137EA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D8" w:rsidRDefault="002036D8" w:rsidP="00DD3E03">
      <w:r>
        <w:separator/>
      </w:r>
    </w:p>
  </w:endnote>
  <w:endnote w:type="continuationSeparator" w:id="0">
    <w:p w:rsidR="002036D8" w:rsidRDefault="002036D8" w:rsidP="00DD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eltenhamBT-Roman">
    <w:panose1 w:val="00000000000000000000"/>
    <w:charset w:val="00"/>
    <w:family w:val="roman"/>
    <w:notTrueType/>
    <w:pitch w:val="default"/>
    <w:sig w:usb0="00000003" w:usb1="00000000" w:usb2="00000000" w:usb3="00000000" w:csb0="00000001" w:csb1="00000000"/>
  </w:font>
  <w:font w:name="CheltenhamBT-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D8" w:rsidRDefault="002036D8" w:rsidP="00DD3E03">
      <w:r>
        <w:separator/>
      </w:r>
    </w:p>
  </w:footnote>
  <w:footnote w:type="continuationSeparator" w:id="0">
    <w:p w:rsidR="002036D8" w:rsidRDefault="002036D8" w:rsidP="00DD3E03">
      <w:r>
        <w:continuationSeparator/>
      </w:r>
    </w:p>
  </w:footnote>
  <w:footnote w:id="1">
    <w:p w:rsidR="004359AF" w:rsidRDefault="004359AF">
      <w:pPr>
        <w:pStyle w:val="FootnoteText"/>
      </w:pPr>
      <w:r>
        <w:rPr>
          <w:rStyle w:val="FootnoteReference"/>
        </w:rPr>
        <w:footnoteRef/>
      </w:r>
      <w:r>
        <w:t xml:space="preserve"> Indeed, </w:t>
      </w:r>
      <w:proofErr w:type="spellStart"/>
      <w:r>
        <w:t>Kerwin</w:t>
      </w:r>
      <w:proofErr w:type="spellEnd"/>
      <w:r>
        <w:t xml:space="preserve"> Lee Klein</w:t>
      </w:r>
      <w:r w:rsidRPr="0072046A">
        <w:t xml:space="preserve"> </w:t>
      </w:r>
      <w:r>
        <w:t>speaks of “the memory industry” (</w:t>
      </w:r>
      <w:r w:rsidRPr="0072046A">
        <w:t>“</w:t>
      </w:r>
      <w:r>
        <w:t>On</w:t>
      </w:r>
      <w:r w:rsidRPr="0072046A">
        <w:t xml:space="preserve"> the Emergence of </w:t>
      </w:r>
      <w:r>
        <w:rPr>
          <w:i/>
        </w:rPr>
        <w:t>Memory</w:t>
      </w:r>
      <w:r>
        <w:t xml:space="preserve"> in Historical Discourse,” </w:t>
      </w:r>
      <w:r>
        <w:rPr>
          <w:i/>
        </w:rPr>
        <w:t>Representations</w:t>
      </w:r>
      <w:r>
        <w:t xml:space="preserve"> 69 [2000], 127-50 [127]).</w:t>
      </w:r>
    </w:p>
  </w:footnote>
  <w:footnote w:id="2">
    <w:p w:rsidR="004359AF" w:rsidRDefault="004359AF">
      <w:pPr>
        <w:pStyle w:val="FootnoteText"/>
      </w:pPr>
      <w:r>
        <w:rPr>
          <w:rStyle w:val="FootnoteReference"/>
        </w:rPr>
        <w:footnoteRef/>
      </w:r>
      <w:r>
        <w:t xml:space="preserve"> See also (e.g.) Deut 8:11; also </w:t>
      </w:r>
      <w:proofErr w:type="spellStart"/>
      <w:r>
        <w:t>Exod</w:t>
      </w:r>
      <w:proofErr w:type="spellEnd"/>
      <w:r>
        <w:t xml:space="preserve"> 10:2; 13:3.</w:t>
      </w:r>
    </w:p>
  </w:footnote>
  <w:footnote w:id="3">
    <w:p w:rsidR="004359AF" w:rsidRDefault="004359AF">
      <w:pPr>
        <w:pStyle w:val="FootnoteText"/>
      </w:pPr>
      <w:r>
        <w:rPr>
          <w:rStyle w:val="FootnoteReference"/>
        </w:rPr>
        <w:footnoteRef/>
      </w:r>
      <w:r>
        <w:t xml:space="preserve"> Cf. Deut 8:19.</w:t>
      </w:r>
    </w:p>
  </w:footnote>
  <w:footnote w:id="4">
    <w:p w:rsidR="004359AF" w:rsidRDefault="004359AF">
      <w:pPr>
        <w:pStyle w:val="FootnoteText"/>
      </w:pPr>
      <w:r>
        <w:rPr>
          <w:rStyle w:val="FootnoteReference"/>
        </w:rPr>
        <w:footnoteRef/>
      </w:r>
      <w:r>
        <w:t xml:space="preserve"> Cf. Deut 4:23.</w:t>
      </w:r>
    </w:p>
  </w:footnote>
  <w:footnote w:id="5">
    <w:p w:rsidR="004359AF" w:rsidRDefault="004359AF">
      <w:pPr>
        <w:pStyle w:val="FootnoteText"/>
      </w:pPr>
      <w:r>
        <w:rPr>
          <w:rStyle w:val="FootnoteReference"/>
        </w:rPr>
        <w:footnoteRef/>
      </w:r>
      <w:r>
        <w:t xml:space="preserve"> Deut 8:2; 9:7.</w:t>
      </w:r>
    </w:p>
  </w:footnote>
  <w:footnote w:id="6">
    <w:p w:rsidR="004359AF" w:rsidRDefault="004359AF">
      <w:pPr>
        <w:pStyle w:val="FootnoteText"/>
      </w:pPr>
      <w:r>
        <w:rPr>
          <w:rStyle w:val="FootnoteReference"/>
        </w:rPr>
        <w:footnoteRef/>
      </w:r>
      <w:r>
        <w:t xml:space="preserve"> E.g., Ezek 16:63.</w:t>
      </w:r>
    </w:p>
  </w:footnote>
  <w:footnote w:id="7">
    <w:p w:rsidR="004359AF" w:rsidRDefault="004359AF">
      <w:pPr>
        <w:pStyle w:val="FootnoteText"/>
      </w:pPr>
      <w:r>
        <w:rPr>
          <w:rStyle w:val="FootnoteReference"/>
        </w:rPr>
        <w:footnoteRef/>
      </w:r>
      <w:r>
        <w:t xml:space="preserve"> Deut 8:11-20.</w:t>
      </w:r>
    </w:p>
  </w:footnote>
  <w:footnote w:id="8">
    <w:p w:rsidR="004359AF" w:rsidRDefault="004359AF" w:rsidP="000D6647">
      <w:pPr>
        <w:pStyle w:val="FootnoteText"/>
      </w:pPr>
      <w:r>
        <w:rPr>
          <w:rStyle w:val="FootnoteReference"/>
        </w:rPr>
        <w:footnoteRef/>
      </w:r>
      <w:r>
        <w:t xml:space="preserve"> </w:t>
      </w:r>
      <w:proofErr w:type="spellStart"/>
      <w:r>
        <w:t>Assmann</w:t>
      </w:r>
      <w:proofErr w:type="spellEnd"/>
      <w:r>
        <w:t xml:space="preserve">, </w:t>
      </w:r>
      <w:r>
        <w:rPr>
          <w:i/>
        </w:rPr>
        <w:t xml:space="preserve">Religion and Cultural Memory </w:t>
      </w:r>
      <w:r>
        <w:t>(Stanford: Stanford UP, 2006),</w:t>
      </w:r>
      <w:r w:rsidRPr="0053138B">
        <w:t xml:space="preserve"> </w:t>
      </w:r>
      <w:r>
        <w:t>53.</w:t>
      </w:r>
    </w:p>
  </w:footnote>
  <w:footnote w:id="9">
    <w:p w:rsidR="004359AF" w:rsidRDefault="004359AF" w:rsidP="005302D9">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rsidRPr="0053138B">
        <w:t xml:space="preserve"> </w:t>
      </w:r>
      <w:r>
        <w:t>52.</w:t>
      </w:r>
      <w:proofErr w:type="gramEnd"/>
    </w:p>
  </w:footnote>
  <w:footnote w:id="10">
    <w:p w:rsidR="004359AF" w:rsidRPr="00BA795E" w:rsidRDefault="004359AF" w:rsidP="00A171AF">
      <w:pPr>
        <w:pStyle w:val="FootnoteText"/>
      </w:pPr>
      <w:r>
        <w:rPr>
          <w:rStyle w:val="FootnoteReference"/>
        </w:rPr>
        <w:footnoteRef/>
      </w:r>
      <w:r>
        <w:t xml:space="preserve"> </w:t>
      </w:r>
      <w:proofErr w:type="spellStart"/>
      <w:r>
        <w:t>Ricoeur</w:t>
      </w:r>
      <w:proofErr w:type="spellEnd"/>
      <w:r>
        <w:t xml:space="preserve">, </w:t>
      </w:r>
      <w:r>
        <w:rPr>
          <w:i/>
        </w:rPr>
        <w:t xml:space="preserve">Memory, History, Forgetting </w:t>
      </w:r>
      <w:r>
        <w:t>(Chicago/London: University of Chicago, 2004), 413.</w:t>
      </w:r>
    </w:p>
  </w:footnote>
  <w:footnote w:id="11">
    <w:p w:rsidR="004359AF" w:rsidRPr="00462D72" w:rsidRDefault="004359AF" w:rsidP="00462D72">
      <w:pPr>
        <w:pStyle w:val="FootnoteText"/>
      </w:pPr>
      <w:r>
        <w:rPr>
          <w:rStyle w:val="FootnoteReference"/>
        </w:rPr>
        <w:footnoteRef/>
      </w:r>
      <w:r>
        <w:t xml:space="preserve"> </w:t>
      </w:r>
      <w:proofErr w:type="spellStart"/>
      <w:r>
        <w:t>Yosef</w:t>
      </w:r>
      <w:proofErr w:type="spellEnd"/>
      <w:r>
        <w:t xml:space="preserve"> </w:t>
      </w:r>
      <w:proofErr w:type="spellStart"/>
      <w:r>
        <w:t>Hayim</w:t>
      </w:r>
      <w:proofErr w:type="spellEnd"/>
      <w:r>
        <w:t xml:space="preserve"> </w:t>
      </w:r>
      <w:proofErr w:type="spellStart"/>
      <w:r>
        <w:t>Yerushalmi</w:t>
      </w:r>
      <w:proofErr w:type="spellEnd"/>
      <w:r>
        <w:t xml:space="preserve">, </w:t>
      </w:r>
      <w:proofErr w:type="spellStart"/>
      <w:r>
        <w:rPr>
          <w:i/>
        </w:rPr>
        <w:t>Zakhor</w:t>
      </w:r>
      <w:proofErr w:type="spellEnd"/>
      <w:r>
        <w:rPr>
          <w:i/>
        </w:rPr>
        <w:t xml:space="preserve">: Jewish History and Jewish Memory </w:t>
      </w:r>
      <w:r>
        <w:t xml:space="preserve">(reprinted New York: </w:t>
      </w:r>
      <w:proofErr w:type="spellStart"/>
      <w:r>
        <w:t>Schocken</w:t>
      </w:r>
      <w:proofErr w:type="spellEnd"/>
      <w:r>
        <w:t xml:space="preserve">, 1989), 108-9. Klein (loc cit.) traces the beginning of the “scholarly boom” in memory studies to the original publication of </w:t>
      </w:r>
      <w:proofErr w:type="spellStart"/>
      <w:r>
        <w:rPr>
          <w:i/>
        </w:rPr>
        <w:t>Zakhor</w:t>
      </w:r>
      <w:proofErr w:type="spellEnd"/>
      <w:r>
        <w:t xml:space="preserve"> in 1982</w:t>
      </w:r>
      <w:r>
        <w:rPr>
          <w:i/>
        </w:rPr>
        <w:t>.</w:t>
      </w:r>
    </w:p>
  </w:footnote>
  <w:footnote w:id="12">
    <w:p w:rsidR="004359AF" w:rsidRDefault="004359AF" w:rsidP="00A171AF">
      <w:pPr>
        <w:pStyle w:val="FootnoteText"/>
      </w:pPr>
      <w:r>
        <w:rPr>
          <w:rStyle w:val="FootnoteReference"/>
        </w:rPr>
        <w:footnoteRef/>
      </w:r>
      <w:r>
        <w:t xml:space="preserve"> </w:t>
      </w:r>
      <w:proofErr w:type="spellStart"/>
      <w:r>
        <w:rPr>
          <w:i/>
        </w:rPr>
        <w:t>Zakhor</w:t>
      </w:r>
      <w:proofErr w:type="spellEnd"/>
      <w:r>
        <w:t>,</w:t>
      </w:r>
      <w:r>
        <w:rPr>
          <w:i/>
        </w:rPr>
        <w:t xml:space="preserve"> </w:t>
      </w:r>
      <w:r>
        <w:t>10-11.</w:t>
      </w:r>
    </w:p>
  </w:footnote>
  <w:footnote w:id="13">
    <w:p w:rsidR="004359AF" w:rsidRPr="0068612D" w:rsidRDefault="004359AF" w:rsidP="00A171AF">
      <w:pPr>
        <w:pStyle w:val="FootnoteText"/>
      </w:pPr>
      <w:r>
        <w:rPr>
          <w:rStyle w:val="FootnoteReference"/>
        </w:rPr>
        <w:footnoteRef/>
      </w:r>
      <w:r>
        <w:t xml:space="preserve"> </w:t>
      </w:r>
      <w:proofErr w:type="gramStart"/>
      <w:r>
        <w:t xml:space="preserve">Jonathan Crewe, “Recalling </w:t>
      </w:r>
      <w:proofErr w:type="spellStart"/>
      <w:r>
        <w:t>Adamastor</w:t>
      </w:r>
      <w:proofErr w:type="spellEnd"/>
      <w:r>
        <w:t xml:space="preserve">,” summarizing Maurice </w:t>
      </w:r>
      <w:proofErr w:type="spellStart"/>
      <w:r>
        <w:t>Halbwachs</w:t>
      </w:r>
      <w:proofErr w:type="spellEnd"/>
      <w:r>
        <w:t xml:space="preserve"> (see his </w:t>
      </w:r>
      <w:r>
        <w:rPr>
          <w:i/>
        </w:rPr>
        <w:t>On Collective Memory</w:t>
      </w:r>
      <w:r>
        <w:t>.</w:t>
      </w:r>
      <w:proofErr w:type="gramEnd"/>
      <w:r>
        <w:t xml:space="preserve"> Chicago/London: University of Chicago, 1992), in </w:t>
      </w:r>
      <w:proofErr w:type="spellStart"/>
      <w:r>
        <w:t>Mieke</w:t>
      </w:r>
      <w:proofErr w:type="spellEnd"/>
      <w:r>
        <w:t xml:space="preserve"> </w:t>
      </w:r>
      <w:proofErr w:type="gramStart"/>
      <w:r>
        <w:t>Bal</w:t>
      </w:r>
      <w:proofErr w:type="gramEnd"/>
      <w:r>
        <w:t xml:space="preserve"> and others (eds.), </w:t>
      </w:r>
      <w:r>
        <w:rPr>
          <w:i/>
        </w:rPr>
        <w:t>Acts of Memory</w:t>
      </w:r>
      <w:r>
        <w:t xml:space="preserve"> (Hanover, NH: University Press of New England, 1999), 75-86 (75). </w:t>
      </w:r>
      <w:proofErr w:type="gramStart"/>
      <w:r>
        <w:t xml:space="preserve">Cf. James </w:t>
      </w:r>
      <w:r w:rsidRPr="003208E9">
        <w:rPr>
          <w:rFonts w:eastAsiaTheme="minorHAnsi" w:cs="CheltenhamBT-Roman"/>
          <w:szCs w:val="22"/>
        </w:rPr>
        <w:t xml:space="preserve">Fentress and </w:t>
      </w:r>
      <w:r>
        <w:rPr>
          <w:rFonts w:eastAsiaTheme="minorHAnsi" w:cs="CheltenhamBT-Roman"/>
          <w:szCs w:val="22"/>
        </w:rPr>
        <w:t xml:space="preserve">Chris </w:t>
      </w:r>
      <w:r w:rsidRPr="003208E9">
        <w:rPr>
          <w:rFonts w:eastAsiaTheme="minorHAnsi" w:cs="CheltenhamBT-Roman"/>
          <w:szCs w:val="22"/>
        </w:rPr>
        <w:t xml:space="preserve">Wickham, </w:t>
      </w:r>
      <w:r w:rsidRPr="003208E9">
        <w:rPr>
          <w:rFonts w:eastAsiaTheme="minorHAnsi" w:cs="CheltenhamBT-Roman"/>
          <w:i/>
          <w:szCs w:val="22"/>
        </w:rPr>
        <w:t>Social Memory</w:t>
      </w:r>
      <w:r>
        <w:rPr>
          <w:rFonts w:eastAsiaTheme="minorHAnsi" w:cs="CheltenhamBT-Roman"/>
          <w:szCs w:val="22"/>
        </w:rPr>
        <w:t xml:space="preserve"> (Oxford, UK/Cambridge, MA: Blackwell, 1992), 39, referring to Mary Warnock, </w:t>
      </w:r>
      <w:r>
        <w:rPr>
          <w:rFonts w:eastAsiaTheme="minorHAnsi" w:cs="CheltenhamBT-Roman"/>
          <w:i/>
          <w:szCs w:val="22"/>
        </w:rPr>
        <w:t>Memory</w:t>
      </w:r>
      <w:r>
        <w:rPr>
          <w:rFonts w:eastAsiaTheme="minorHAnsi" w:cs="CheltenhamBT-Roman"/>
          <w:szCs w:val="22"/>
        </w:rPr>
        <w:t xml:space="preserve"> (London: Faber, 1987).</w:t>
      </w:r>
      <w:proofErr w:type="gramEnd"/>
    </w:p>
  </w:footnote>
  <w:footnote w:id="14">
    <w:p w:rsidR="004359AF" w:rsidRPr="00BA795E" w:rsidRDefault="004359AF" w:rsidP="00A171AF">
      <w:pPr>
        <w:pStyle w:val="FootnoteText"/>
      </w:pPr>
      <w:r>
        <w:rPr>
          <w:rStyle w:val="FootnoteReference"/>
        </w:rPr>
        <w:footnoteRef/>
      </w:r>
      <w:r>
        <w:t xml:space="preserve"> </w:t>
      </w:r>
      <w:proofErr w:type="spellStart"/>
      <w:r>
        <w:t>Ricoeur</w:t>
      </w:r>
      <w:proofErr w:type="spellEnd"/>
      <w:r>
        <w:t xml:space="preserve">, </w:t>
      </w:r>
      <w:r>
        <w:rPr>
          <w:i/>
        </w:rPr>
        <w:t>Memory, History, Forgetting</w:t>
      </w:r>
      <w:r>
        <w:t>, 413.</w:t>
      </w:r>
    </w:p>
  </w:footnote>
  <w:footnote w:id="15">
    <w:p w:rsidR="004359AF" w:rsidRDefault="004359AF">
      <w:pPr>
        <w:pStyle w:val="FootnoteText"/>
      </w:pPr>
      <w:r>
        <w:rPr>
          <w:rStyle w:val="FootnoteReference"/>
        </w:rPr>
        <w:footnoteRef/>
      </w:r>
      <w:r>
        <w:t xml:space="preserve"> E.g., 1 Kings 4:3.</w:t>
      </w:r>
    </w:p>
  </w:footnote>
  <w:footnote w:id="16">
    <w:p w:rsidR="004359AF" w:rsidRDefault="004359AF" w:rsidP="00E05E35">
      <w:pPr>
        <w:pStyle w:val="FootnoteText"/>
      </w:pPr>
      <w:r>
        <w:rPr>
          <w:rStyle w:val="FootnoteReference"/>
        </w:rPr>
        <w:footnoteRef/>
      </w:r>
      <w:r>
        <w:t xml:space="preserve"> Cf. </w:t>
      </w:r>
      <w:proofErr w:type="spellStart"/>
      <w:r>
        <w:t>Eising</w:t>
      </w:r>
      <w:proofErr w:type="spellEnd"/>
      <w:r>
        <w:t xml:space="preserve">, </w:t>
      </w:r>
      <w:r>
        <w:rPr>
          <w:i/>
        </w:rPr>
        <w:t>TDOT</w:t>
      </w:r>
      <w:r>
        <w:t xml:space="preserve"> 4:75-76.</w:t>
      </w:r>
    </w:p>
  </w:footnote>
  <w:footnote w:id="17">
    <w:p w:rsidR="004359AF" w:rsidRDefault="004359AF">
      <w:pPr>
        <w:pStyle w:val="FootnoteText"/>
      </w:pPr>
      <w:r>
        <w:rPr>
          <w:rStyle w:val="FootnoteReference"/>
        </w:rPr>
        <w:footnoteRef/>
      </w:r>
      <w:r>
        <w:t xml:space="preserve"> E.g., 1 Kings 14:19, 29.</w:t>
      </w:r>
    </w:p>
  </w:footnote>
  <w:footnote w:id="18">
    <w:p w:rsidR="004359AF" w:rsidRDefault="004359AF" w:rsidP="00E05E35">
      <w:pPr>
        <w:pStyle w:val="FootnoteText"/>
      </w:pPr>
      <w:r>
        <w:rPr>
          <w:rStyle w:val="FootnoteReference"/>
        </w:rPr>
        <w:footnoteRef/>
      </w:r>
      <w:r>
        <w:t xml:space="preserve"> </w:t>
      </w:r>
      <w:proofErr w:type="spellStart"/>
      <w:r>
        <w:t>Yerushalmi</w:t>
      </w:r>
      <w:proofErr w:type="spellEnd"/>
      <w:r>
        <w:t xml:space="preserve">, </w:t>
      </w:r>
      <w:proofErr w:type="spellStart"/>
      <w:r>
        <w:rPr>
          <w:i/>
        </w:rPr>
        <w:t>Zakhor</w:t>
      </w:r>
      <w:proofErr w:type="spellEnd"/>
      <w:r>
        <w:t>,</w:t>
      </w:r>
      <w:r>
        <w:rPr>
          <w:i/>
        </w:rPr>
        <w:t xml:space="preserve"> </w:t>
      </w:r>
      <w:r>
        <w:t xml:space="preserve"> 15</w:t>
      </w:r>
    </w:p>
  </w:footnote>
  <w:footnote w:id="19">
    <w:p w:rsidR="004359AF" w:rsidRDefault="004359AF" w:rsidP="004143F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55.</w:t>
      </w:r>
      <w:proofErr w:type="gramEnd"/>
    </w:p>
  </w:footnote>
  <w:footnote w:id="20">
    <w:p w:rsidR="004359AF" w:rsidRDefault="004359AF" w:rsidP="004143F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57.</w:t>
      </w:r>
      <w:proofErr w:type="gramEnd"/>
    </w:p>
  </w:footnote>
  <w:footnote w:id="21">
    <w:p w:rsidR="004359AF" w:rsidRPr="00674735" w:rsidRDefault="004359AF" w:rsidP="004143F0">
      <w:pPr>
        <w:pStyle w:val="FootnoteText"/>
      </w:pPr>
      <w:r>
        <w:rPr>
          <w:rStyle w:val="FootnoteReference"/>
        </w:rPr>
        <w:footnoteRef/>
      </w:r>
      <w:r>
        <w:t xml:space="preserve"> </w:t>
      </w:r>
      <w:r w:rsidRPr="00674735">
        <w:t xml:space="preserve">Mark S. </w:t>
      </w:r>
      <w:r w:rsidRPr="00674735">
        <w:rPr>
          <w:rFonts w:eastAsiaTheme="minorHAnsi" w:cs="CheltenhamBT-Roman"/>
          <w:szCs w:val="22"/>
        </w:rPr>
        <w:t xml:space="preserve">Smith, </w:t>
      </w:r>
      <w:proofErr w:type="gramStart"/>
      <w:r w:rsidRPr="00674735">
        <w:rPr>
          <w:rFonts w:eastAsiaTheme="minorHAnsi" w:cs="CheltenhamBT-Italic"/>
          <w:i/>
          <w:iCs/>
          <w:szCs w:val="22"/>
        </w:rPr>
        <w:t>The</w:t>
      </w:r>
      <w:proofErr w:type="gramEnd"/>
      <w:r w:rsidRPr="00674735">
        <w:rPr>
          <w:rFonts w:eastAsiaTheme="minorHAnsi" w:cs="CheltenhamBT-Italic"/>
          <w:i/>
          <w:iCs/>
          <w:szCs w:val="22"/>
        </w:rPr>
        <w:t xml:space="preserve"> Memoirs of God: History, Memory and the Experience of the Divine in Ancient Israel</w:t>
      </w:r>
      <w:r w:rsidRPr="00674735">
        <w:rPr>
          <w:rFonts w:eastAsiaTheme="minorHAnsi" w:cs="CheltenhamBT-Roman"/>
          <w:szCs w:val="22"/>
        </w:rPr>
        <w:t xml:space="preserve"> (Minneapolis: Fortress, 2004), 5.</w:t>
      </w:r>
    </w:p>
  </w:footnote>
  <w:footnote w:id="22">
    <w:p w:rsidR="004359AF" w:rsidRDefault="004359AF" w:rsidP="004143F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rsidRPr="0053138B">
        <w:t xml:space="preserve"> </w:t>
      </w:r>
      <w:r>
        <w:t>51.</w:t>
      </w:r>
      <w:proofErr w:type="gramEnd"/>
    </w:p>
  </w:footnote>
  <w:footnote w:id="23">
    <w:p w:rsidR="004359AF" w:rsidRDefault="004359AF">
      <w:pPr>
        <w:pStyle w:val="FootnoteText"/>
      </w:pPr>
      <w:r>
        <w:rPr>
          <w:rStyle w:val="FootnoteReference"/>
        </w:rPr>
        <w:footnoteRef/>
      </w:r>
      <w:r>
        <w:t xml:space="preserve"> </w:t>
      </w:r>
      <w:r>
        <w:rPr>
          <w:rFonts w:eastAsiaTheme="minorHAnsi" w:cs="CheltenhamBT-Roman"/>
          <w:szCs w:val="22"/>
        </w:rPr>
        <w:t>Isa 43:26.</w:t>
      </w:r>
    </w:p>
  </w:footnote>
  <w:footnote w:id="24">
    <w:p w:rsidR="004359AF" w:rsidRDefault="004359AF">
      <w:pPr>
        <w:pStyle w:val="FootnoteText"/>
      </w:pPr>
      <w:r>
        <w:rPr>
          <w:rStyle w:val="FootnoteReference"/>
        </w:rPr>
        <w:footnoteRef/>
      </w:r>
      <w:r>
        <w:t xml:space="preserve"> </w:t>
      </w:r>
      <w:r>
        <w:rPr>
          <w:rFonts w:eastAsiaTheme="minorHAnsi" w:cs="CheltenhamBT-Roman"/>
          <w:szCs w:val="22"/>
        </w:rPr>
        <w:t>Isa 51:1-2.</w:t>
      </w:r>
    </w:p>
  </w:footnote>
  <w:footnote w:id="25">
    <w:p w:rsidR="004359AF" w:rsidRDefault="004359AF">
      <w:pPr>
        <w:pStyle w:val="FootnoteText"/>
      </w:pPr>
      <w:r>
        <w:rPr>
          <w:rStyle w:val="FootnoteReference"/>
        </w:rPr>
        <w:footnoteRef/>
      </w:r>
      <w:r>
        <w:t xml:space="preserve"> </w:t>
      </w:r>
      <w:r>
        <w:rPr>
          <w:rFonts w:eastAsiaTheme="minorHAnsi" w:cs="CheltenhamBT-Roman"/>
          <w:szCs w:val="22"/>
        </w:rPr>
        <w:t>Ezek 33:23-29.</w:t>
      </w:r>
    </w:p>
  </w:footnote>
  <w:footnote w:id="26">
    <w:p w:rsidR="004359AF" w:rsidRDefault="004359AF" w:rsidP="003F71A3">
      <w:pPr>
        <w:pStyle w:val="FootnoteText"/>
      </w:pPr>
      <w:r>
        <w:rPr>
          <w:rStyle w:val="FootnoteReference"/>
        </w:rPr>
        <w:footnoteRef/>
      </w:r>
      <w:r>
        <w:t xml:space="preserve"> Ronald </w:t>
      </w:r>
      <w:proofErr w:type="spellStart"/>
      <w:r>
        <w:t>Hendel</w:t>
      </w:r>
      <w:proofErr w:type="spellEnd"/>
      <w:r>
        <w:t>,</w:t>
      </w:r>
      <w:r w:rsidRPr="00B94617">
        <w:t xml:space="preserve"> </w:t>
      </w:r>
      <w:r w:rsidRPr="00B94617">
        <w:rPr>
          <w:i/>
        </w:rPr>
        <w:t xml:space="preserve">Remembering Abraham </w:t>
      </w:r>
      <w:r>
        <w:t>(Oxford/New York: OUP, 2005), 31.</w:t>
      </w:r>
    </w:p>
  </w:footnote>
  <w:footnote w:id="27">
    <w:p w:rsidR="004359AF" w:rsidRPr="00EB65EB" w:rsidRDefault="004359AF" w:rsidP="00A13930">
      <w:pPr>
        <w:widowControl/>
        <w:ind w:firstLine="0"/>
        <w:rPr>
          <w:sz w:val="20"/>
        </w:rPr>
      </w:pPr>
      <w:r>
        <w:rPr>
          <w:rStyle w:val="FootnoteReference"/>
        </w:rPr>
        <w:footnoteRef/>
      </w:r>
      <w:r>
        <w:t xml:space="preserve"> </w:t>
      </w:r>
      <w:r>
        <w:rPr>
          <w:sz w:val="20"/>
        </w:rPr>
        <w:t>O</w:t>
      </w:r>
      <w:r w:rsidRPr="003613C5">
        <w:rPr>
          <w:rFonts w:eastAsiaTheme="minorHAnsi"/>
          <w:bCs/>
          <w:sz w:val="20"/>
        </w:rPr>
        <w:t xml:space="preserve">ne can read the Pentateuch as the </w:t>
      </w:r>
      <w:r>
        <w:rPr>
          <w:rFonts w:eastAsiaTheme="minorHAnsi"/>
          <w:bCs/>
          <w:sz w:val="20"/>
        </w:rPr>
        <w:t xml:space="preserve">product of the selective </w:t>
      </w:r>
      <w:r w:rsidRPr="003613C5">
        <w:rPr>
          <w:rFonts w:eastAsiaTheme="minorHAnsi"/>
          <w:bCs/>
          <w:sz w:val="20"/>
        </w:rPr>
        <w:t xml:space="preserve">memory </w:t>
      </w:r>
      <w:r>
        <w:rPr>
          <w:rFonts w:eastAsiaTheme="minorHAnsi"/>
          <w:bCs/>
          <w:sz w:val="20"/>
        </w:rPr>
        <w:t>that formed the Second Temple community</w:t>
      </w:r>
      <w:r w:rsidRPr="003613C5">
        <w:rPr>
          <w:rFonts w:eastAsiaTheme="minorHAnsi"/>
          <w:bCs/>
          <w:sz w:val="20"/>
        </w:rPr>
        <w:t xml:space="preserve"> (</w:t>
      </w:r>
      <w:r>
        <w:rPr>
          <w:rFonts w:eastAsiaTheme="minorHAnsi"/>
          <w:bCs/>
          <w:sz w:val="20"/>
        </w:rPr>
        <w:t xml:space="preserve">cf. </w:t>
      </w:r>
      <w:r w:rsidRPr="003613C5">
        <w:rPr>
          <w:sz w:val="20"/>
        </w:rPr>
        <w:t xml:space="preserve">Joseph </w:t>
      </w:r>
      <w:r w:rsidRPr="003613C5">
        <w:rPr>
          <w:rFonts w:eastAsiaTheme="minorHAnsi" w:cs="CheltenhamBT-Roman"/>
          <w:sz w:val="20"/>
        </w:rPr>
        <w:t xml:space="preserve">Blenkinsopp, “Memory, Tradition and the Construction of the Past in Ancient Israel,” </w:t>
      </w:r>
      <w:r w:rsidRPr="003613C5">
        <w:rPr>
          <w:rFonts w:eastAsiaTheme="minorHAnsi" w:cs="CheltenhamBT-Italic"/>
          <w:i/>
          <w:iCs/>
          <w:sz w:val="20"/>
        </w:rPr>
        <w:t>Biblical Theology Bulletin</w:t>
      </w:r>
      <w:r w:rsidRPr="003613C5">
        <w:rPr>
          <w:rFonts w:eastAsiaTheme="minorHAnsi" w:cs="CheltenhamBT-Roman"/>
          <w:sz w:val="20"/>
        </w:rPr>
        <w:t xml:space="preserve"> 2</w:t>
      </w:r>
      <w:r>
        <w:rPr>
          <w:rFonts w:eastAsiaTheme="minorHAnsi" w:cs="CheltenhamBT-Roman"/>
          <w:sz w:val="20"/>
        </w:rPr>
        <w:t>7 [1997]: 76–82 [</w:t>
      </w:r>
      <w:r>
        <w:rPr>
          <w:rFonts w:eastAsiaTheme="minorHAnsi"/>
          <w:bCs/>
          <w:sz w:val="20"/>
        </w:rPr>
        <w:t xml:space="preserve">80]). </w:t>
      </w:r>
      <w:r w:rsidRPr="003613C5">
        <w:rPr>
          <w:rFonts w:eastAsiaTheme="minorHAnsi"/>
          <w:bCs/>
          <w:sz w:val="20"/>
        </w:rPr>
        <w:t xml:space="preserve">But </w:t>
      </w:r>
      <w:r>
        <w:rPr>
          <w:rFonts w:eastAsiaTheme="minorHAnsi"/>
          <w:bCs/>
          <w:sz w:val="20"/>
        </w:rPr>
        <w:t xml:space="preserve">this understanding explains only elements of the Pentateuch; and anyway, </w:t>
      </w:r>
      <w:r w:rsidRPr="003613C5">
        <w:rPr>
          <w:rFonts w:eastAsiaTheme="minorHAnsi"/>
          <w:bCs/>
          <w:sz w:val="20"/>
        </w:rPr>
        <w:t>Chr</w:t>
      </w:r>
      <w:r>
        <w:rPr>
          <w:rFonts w:eastAsiaTheme="minorHAnsi"/>
          <w:bCs/>
          <w:sz w:val="20"/>
        </w:rPr>
        <w:t>onicles</w:t>
      </w:r>
      <w:r w:rsidRPr="003613C5">
        <w:rPr>
          <w:rFonts w:eastAsiaTheme="minorHAnsi"/>
          <w:bCs/>
          <w:sz w:val="20"/>
        </w:rPr>
        <w:t xml:space="preserve"> and</w:t>
      </w:r>
      <w:r w:rsidRPr="00EB65EB">
        <w:rPr>
          <w:rFonts w:eastAsiaTheme="minorHAnsi"/>
          <w:bCs/>
          <w:sz w:val="20"/>
        </w:rPr>
        <w:t xml:space="preserve"> Ez</w:t>
      </w:r>
      <w:r>
        <w:rPr>
          <w:rFonts w:eastAsiaTheme="minorHAnsi"/>
          <w:bCs/>
          <w:sz w:val="20"/>
        </w:rPr>
        <w:t>ra</w:t>
      </w:r>
      <w:r w:rsidRPr="00EB65EB">
        <w:rPr>
          <w:rFonts w:eastAsiaTheme="minorHAnsi"/>
          <w:bCs/>
          <w:sz w:val="20"/>
        </w:rPr>
        <w:t>-Neh</w:t>
      </w:r>
      <w:r>
        <w:rPr>
          <w:rFonts w:eastAsiaTheme="minorHAnsi"/>
          <w:bCs/>
          <w:sz w:val="20"/>
        </w:rPr>
        <w:t>emiah are</w:t>
      </w:r>
      <w:r w:rsidRPr="00EB65EB">
        <w:rPr>
          <w:rFonts w:eastAsiaTheme="minorHAnsi"/>
          <w:bCs/>
          <w:sz w:val="20"/>
        </w:rPr>
        <w:t xml:space="preserve"> m</w:t>
      </w:r>
      <w:r>
        <w:rPr>
          <w:rFonts w:eastAsiaTheme="minorHAnsi"/>
          <w:bCs/>
          <w:sz w:val="20"/>
        </w:rPr>
        <w:t>ore certainly designed fulfill this function for the Second Temple community.</w:t>
      </w:r>
    </w:p>
  </w:footnote>
  <w:footnote w:id="28">
    <w:p w:rsidR="004359AF" w:rsidRPr="00B878F0" w:rsidRDefault="004359AF" w:rsidP="00A13930">
      <w:pPr>
        <w:pStyle w:val="FootnoteText"/>
      </w:pPr>
      <w:r>
        <w:rPr>
          <w:rStyle w:val="FootnoteReference"/>
        </w:rPr>
        <w:footnoteRef/>
      </w:r>
      <w:r>
        <w:t xml:space="preserve"> </w:t>
      </w:r>
      <w:r w:rsidRPr="003208E9">
        <w:rPr>
          <w:rFonts w:eastAsiaTheme="minorHAnsi" w:cs="CheltenhamBT-Roman"/>
          <w:szCs w:val="22"/>
        </w:rPr>
        <w:t xml:space="preserve">Fentress and Wickham, </w:t>
      </w:r>
      <w:r w:rsidRPr="003208E9">
        <w:rPr>
          <w:rFonts w:eastAsiaTheme="minorHAnsi" w:cs="CheltenhamBT-Roman"/>
          <w:i/>
          <w:szCs w:val="22"/>
        </w:rPr>
        <w:t>Social Memory</w:t>
      </w:r>
      <w:r>
        <w:rPr>
          <w:rFonts w:eastAsiaTheme="minorHAnsi" w:cs="CheltenhamBT-Roman"/>
          <w:szCs w:val="22"/>
        </w:rPr>
        <w:t>,</w:t>
      </w:r>
      <w:r w:rsidRPr="003208E9">
        <w:rPr>
          <w:rFonts w:eastAsiaTheme="minorHAnsi" w:cs="CheltenhamBT-Roman"/>
          <w:szCs w:val="22"/>
        </w:rPr>
        <w:t xml:space="preserve"> </w:t>
      </w:r>
      <w:r w:rsidRPr="00B878F0">
        <w:rPr>
          <w:rFonts w:eastAsiaTheme="minorHAnsi" w:cs="CheltenhamBT-Roman"/>
          <w:szCs w:val="22"/>
        </w:rPr>
        <w:t xml:space="preserve">88; cf. </w:t>
      </w:r>
      <w:proofErr w:type="spellStart"/>
      <w:r>
        <w:rPr>
          <w:rFonts w:eastAsiaTheme="minorHAnsi" w:cs="CheltenhamBT-Roman"/>
          <w:szCs w:val="22"/>
        </w:rPr>
        <w:t>Ritva</w:t>
      </w:r>
      <w:proofErr w:type="spellEnd"/>
      <w:r>
        <w:rPr>
          <w:rFonts w:eastAsiaTheme="minorHAnsi" w:cs="CheltenhamBT-Roman"/>
          <w:szCs w:val="22"/>
        </w:rPr>
        <w:t xml:space="preserve"> </w:t>
      </w:r>
      <w:r w:rsidRPr="00B878F0">
        <w:rPr>
          <w:rFonts w:eastAsiaTheme="minorHAnsi" w:cs="CheltenhamBT-Roman"/>
          <w:szCs w:val="22"/>
        </w:rPr>
        <w:t xml:space="preserve">Williams, </w:t>
      </w:r>
      <w:r w:rsidRPr="00B878F0">
        <w:rPr>
          <w:rFonts w:eastAsiaTheme="minorHAnsi"/>
        </w:rPr>
        <w:t xml:space="preserve">“Social Memory,” </w:t>
      </w:r>
      <w:r w:rsidRPr="00A246A3">
        <w:rPr>
          <w:rFonts w:eastAsiaTheme="minorHAnsi"/>
          <w:i/>
        </w:rPr>
        <w:t>Biblical</w:t>
      </w:r>
      <w:r w:rsidRPr="007962BD">
        <w:rPr>
          <w:rFonts w:eastAsiaTheme="minorHAnsi"/>
          <w:i/>
        </w:rPr>
        <w:t xml:space="preserve"> </w:t>
      </w:r>
      <w:r w:rsidRPr="007962BD">
        <w:rPr>
          <w:rFonts w:eastAsiaTheme="minorHAnsi"/>
          <w:i/>
          <w:iCs/>
        </w:rPr>
        <w:t xml:space="preserve">Theology Bulletin </w:t>
      </w:r>
      <w:r w:rsidRPr="007962BD">
        <w:rPr>
          <w:rFonts w:eastAsiaTheme="minorHAnsi"/>
          <w:iCs/>
        </w:rPr>
        <w:t>41</w:t>
      </w:r>
      <w:r w:rsidRPr="007962BD">
        <w:rPr>
          <w:rFonts w:eastAsiaTheme="minorHAnsi"/>
          <w:i/>
          <w:iCs/>
        </w:rPr>
        <w:t xml:space="preserve"> (</w:t>
      </w:r>
      <w:r w:rsidRPr="007962BD">
        <w:rPr>
          <w:rFonts w:eastAsiaTheme="minorHAnsi"/>
        </w:rPr>
        <w:t>2011)</w:t>
      </w:r>
      <w:r>
        <w:rPr>
          <w:rFonts w:eastAsiaTheme="minorHAnsi"/>
        </w:rPr>
        <w:t>,</w:t>
      </w:r>
      <w:r w:rsidRPr="007962BD">
        <w:rPr>
          <w:rFonts w:eastAsiaTheme="minorHAnsi"/>
        </w:rPr>
        <w:t xml:space="preserve"> 189-200</w:t>
      </w:r>
      <w:r>
        <w:rPr>
          <w:rFonts w:eastAsiaTheme="minorHAnsi"/>
        </w:rPr>
        <w:t xml:space="preserve"> (</w:t>
      </w:r>
      <w:r w:rsidRPr="00B878F0">
        <w:rPr>
          <w:rFonts w:eastAsiaTheme="minorHAnsi"/>
        </w:rPr>
        <w:t>192</w:t>
      </w:r>
      <w:r>
        <w:rPr>
          <w:rFonts w:eastAsiaTheme="minorHAnsi"/>
        </w:rPr>
        <w:t>)</w:t>
      </w:r>
      <w:r w:rsidRPr="00B878F0">
        <w:rPr>
          <w:rFonts w:eastAsiaTheme="minorHAnsi"/>
        </w:rPr>
        <w:t>.</w:t>
      </w:r>
    </w:p>
  </w:footnote>
  <w:footnote w:id="29">
    <w:p w:rsidR="004359AF" w:rsidRDefault="004359AF" w:rsidP="00A13930">
      <w:pPr>
        <w:pStyle w:val="FootnoteText"/>
      </w:pPr>
      <w:r>
        <w:rPr>
          <w:rStyle w:val="FootnoteReference"/>
        </w:rPr>
        <w:footnoteRef/>
      </w:r>
      <w:r>
        <w:t xml:space="preserve"> </w:t>
      </w:r>
      <w:proofErr w:type="gramStart"/>
      <w:r>
        <w:rPr>
          <w:rFonts w:eastAsiaTheme="minorHAnsi" w:cs="CheltenhamBT-Italic"/>
          <w:i/>
          <w:iCs/>
          <w:szCs w:val="22"/>
        </w:rPr>
        <w:t>The Memoirs of God</w:t>
      </w:r>
      <w:r w:rsidRPr="00EE5A85">
        <w:rPr>
          <w:rFonts w:eastAsiaTheme="minorHAnsi" w:cs="CheltenhamBT-Roman"/>
          <w:szCs w:val="22"/>
        </w:rPr>
        <w:t xml:space="preserve">, </w:t>
      </w:r>
      <w:r w:rsidRPr="00EE5A85">
        <w:t>158</w:t>
      </w:r>
      <w:r>
        <w:t>.</w:t>
      </w:r>
      <w:proofErr w:type="gramEnd"/>
    </w:p>
  </w:footnote>
  <w:footnote w:id="30">
    <w:p w:rsidR="004359AF" w:rsidRDefault="004359AF" w:rsidP="00B878F0">
      <w:pPr>
        <w:pStyle w:val="FootnoteText"/>
      </w:pPr>
      <w:r>
        <w:rPr>
          <w:rStyle w:val="FootnoteReference"/>
        </w:rPr>
        <w:footnoteRef/>
      </w:r>
      <w:r>
        <w:t xml:space="preserve"> “Exodus-Covenant,” in </w:t>
      </w:r>
      <w:r>
        <w:rPr>
          <w:i/>
        </w:rPr>
        <w:t>Performing Memory</w:t>
      </w:r>
      <w:r w:rsidRPr="00352524">
        <w:rPr>
          <w:i/>
        </w:rPr>
        <w:t xml:space="preserve"> </w:t>
      </w:r>
      <w:r>
        <w:rPr>
          <w:i/>
        </w:rPr>
        <w:t>in Biblical Narrative and Beyond</w:t>
      </w:r>
      <w:r>
        <w:t xml:space="preserve"> (eds. </w:t>
      </w:r>
      <w:proofErr w:type="spellStart"/>
      <w:r>
        <w:t>Athalya</w:t>
      </w:r>
      <w:proofErr w:type="spellEnd"/>
      <w:r>
        <w:t xml:space="preserve"> Brenner and Frank H. </w:t>
      </w:r>
      <w:proofErr w:type="spellStart"/>
      <w:r>
        <w:t>Polak</w:t>
      </w:r>
      <w:proofErr w:type="spellEnd"/>
      <w:r>
        <w:t>; Sheffield: Sheffield Phoenix, 2009), 106-25 (113, 106-7).</w:t>
      </w:r>
    </w:p>
  </w:footnote>
  <w:footnote w:id="31">
    <w:p w:rsidR="004359AF" w:rsidRDefault="004359AF" w:rsidP="00000D18">
      <w:pPr>
        <w:pStyle w:val="FootnoteText"/>
      </w:pPr>
      <w:r>
        <w:rPr>
          <w:rStyle w:val="FootnoteReference"/>
        </w:rPr>
        <w:footnoteRef/>
      </w:r>
      <w:r>
        <w:t xml:space="preserve"> Frank H. </w:t>
      </w:r>
      <w:proofErr w:type="spellStart"/>
      <w:r>
        <w:t>Polak</w:t>
      </w:r>
      <w:proofErr w:type="spellEnd"/>
      <w:r>
        <w:t xml:space="preserve">, “Negotiations, Social Drama and Voices of Memory in Some Samuel Tales,” </w:t>
      </w:r>
      <w:r w:rsidRPr="00DA215F">
        <w:t>in</w:t>
      </w:r>
      <w:r>
        <w:rPr>
          <w:i/>
        </w:rPr>
        <w:t xml:space="preserve"> Performing Memory</w:t>
      </w:r>
      <w:r>
        <w:t>, 46-71 (46)</w:t>
      </w:r>
      <w:proofErr w:type="gramStart"/>
      <w:r>
        <w:t>..</w:t>
      </w:r>
      <w:proofErr w:type="gramEnd"/>
    </w:p>
  </w:footnote>
  <w:footnote w:id="32">
    <w:p w:rsidR="004359AF" w:rsidRDefault="004359AF" w:rsidP="00000D18">
      <w:pPr>
        <w:pStyle w:val="FootnoteText"/>
      </w:pPr>
      <w:r>
        <w:rPr>
          <w:rStyle w:val="FootnoteReference"/>
        </w:rPr>
        <w:footnoteRef/>
      </w:r>
      <w:r>
        <w:t xml:space="preserve"> Philip R. Davies, “Story, Memory, Identity: Benjamin,” in </w:t>
      </w:r>
      <w:r>
        <w:rPr>
          <w:i/>
        </w:rPr>
        <w:t>Performing Memory</w:t>
      </w:r>
      <w:r>
        <w:t>, 35-45 (44).</w:t>
      </w:r>
    </w:p>
  </w:footnote>
  <w:footnote w:id="33">
    <w:p w:rsidR="004359AF" w:rsidRDefault="004359AF" w:rsidP="00000D18">
      <w:pPr>
        <w:pStyle w:val="FootnoteText"/>
      </w:pPr>
      <w:r>
        <w:rPr>
          <w:rStyle w:val="FootnoteReference"/>
        </w:rPr>
        <w:footnoteRef/>
      </w:r>
      <w:r>
        <w:t xml:space="preserve"> See Smith, </w:t>
      </w:r>
      <w:r w:rsidRPr="00674735">
        <w:rPr>
          <w:rFonts w:eastAsiaTheme="minorHAnsi" w:cs="CheltenhamBT-Italic"/>
          <w:i/>
          <w:iCs/>
          <w:szCs w:val="22"/>
        </w:rPr>
        <w:t>The Memoirs of God</w:t>
      </w:r>
      <w:r w:rsidRPr="00674735">
        <w:rPr>
          <w:rFonts w:eastAsiaTheme="minorHAnsi" w:cs="CheltenhamBT-Italic"/>
          <w:iCs/>
          <w:szCs w:val="22"/>
        </w:rPr>
        <w:t>,</w:t>
      </w:r>
      <w:r w:rsidRPr="00674735">
        <w:t xml:space="preserve"> 141</w:t>
      </w:r>
      <w:r>
        <w:t>-46.</w:t>
      </w:r>
    </w:p>
  </w:footnote>
  <w:footnote w:id="34">
    <w:p w:rsidR="004359AF" w:rsidRPr="00BE66CE" w:rsidRDefault="004359AF" w:rsidP="00000D18">
      <w:pPr>
        <w:pStyle w:val="FootnoteText"/>
      </w:pPr>
      <w:r>
        <w:rPr>
          <w:rStyle w:val="FootnoteReference"/>
        </w:rPr>
        <w:footnoteRef/>
      </w:r>
      <w:r>
        <w:t xml:space="preserve"> Cf. </w:t>
      </w:r>
      <w:r w:rsidRPr="00BE66CE">
        <w:t>Smith, “</w:t>
      </w:r>
      <w:r w:rsidRPr="00BE66CE">
        <w:rPr>
          <w:rFonts w:cs="CheltenhamBT-Roman"/>
        </w:rPr>
        <w:t xml:space="preserve">Remembering God,” </w:t>
      </w:r>
      <w:r w:rsidRPr="00BE66CE">
        <w:rPr>
          <w:rFonts w:cs="CheltenhamBT-Italic"/>
          <w:i/>
          <w:iCs/>
        </w:rPr>
        <w:t xml:space="preserve">Catholic Biblical Quarterly </w:t>
      </w:r>
      <w:r w:rsidRPr="00BE66CE">
        <w:rPr>
          <w:rFonts w:cs="CheltenhamBT-Roman"/>
        </w:rPr>
        <w:t>64 (2002): 631–51; Smith speaks of Israel’s “c</w:t>
      </w:r>
      <w:r w:rsidRPr="00BE66CE">
        <w:t>onceptual amnesia about divinity” (649).</w:t>
      </w:r>
    </w:p>
  </w:footnote>
  <w:footnote w:id="35">
    <w:p w:rsidR="004359AF" w:rsidRPr="006C5F73" w:rsidRDefault="004359AF" w:rsidP="00000D18">
      <w:pPr>
        <w:pStyle w:val="FootnoteText"/>
      </w:pPr>
      <w:r>
        <w:rPr>
          <w:rStyle w:val="FootnoteReference"/>
        </w:rPr>
        <w:footnoteRef/>
      </w:r>
      <w:r>
        <w:t xml:space="preserve"> Michel Foucault, “Film and Popular Memory,” in </w:t>
      </w:r>
      <w:r>
        <w:rPr>
          <w:i/>
        </w:rPr>
        <w:t xml:space="preserve">Foucault Live </w:t>
      </w:r>
      <w:r>
        <w:t xml:space="preserve">(New York: </w:t>
      </w:r>
      <w:proofErr w:type="spellStart"/>
      <w:proofErr w:type="gramStart"/>
      <w:r>
        <w:t>Semiotext</w:t>
      </w:r>
      <w:proofErr w:type="spellEnd"/>
      <w:r>
        <w:t>(</w:t>
      </w:r>
      <w:proofErr w:type="gramEnd"/>
      <w:r>
        <w:t>e), 1989), 89-106 (92).</w:t>
      </w:r>
    </w:p>
  </w:footnote>
  <w:footnote w:id="36">
    <w:p w:rsidR="004359AF" w:rsidRDefault="004359AF" w:rsidP="00000D18">
      <w:pPr>
        <w:pStyle w:val="FootnoteText"/>
      </w:pPr>
      <w:r>
        <w:rPr>
          <w:rStyle w:val="FootnoteReference"/>
        </w:rPr>
        <w:footnoteRef/>
      </w:r>
      <w:r>
        <w:t xml:space="preserve"> </w:t>
      </w:r>
      <w:proofErr w:type="gramStart"/>
      <w:r>
        <w:rPr>
          <w:i/>
        </w:rPr>
        <w:t>Present Past</w:t>
      </w:r>
      <w:r>
        <w:t xml:space="preserve"> (Ithaca/London: Cornell UP, 1993), 20.</w:t>
      </w:r>
      <w:proofErr w:type="gramEnd"/>
    </w:p>
  </w:footnote>
  <w:footnote w:id="37">
    <w:p w:rsidR="004359AF" w:rsidRDefault="004359AF" w:rsidP="00000D18">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71.</w:t>
      </w:r>
      <w:proofErr w:type="gramEnd"/>
    </w:p>
  </w:footnote>
  <w:footnote w:id="38">
    <w:p w:rsidR="004359AF" w:rsidRDefault="004359AF" w:rsidP="00000D18">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85.</w:t>
      </w:r>
      <w:proofErr w:type="gramEnd"/>
    </w:p>
  </w:footnote>
  <w:footnote w:id="39">
    <w:p w:rsidR="004359AF" w:rsidRDefault="004359AF" w:rsidP="001B6D87">
      <w:pPr>
        <w:pStyle w:val="FootnoteText"/>
      </w:pPr>
      <w:r>
        <w:rPr>
          <w:rStyle w:val="FootnoteReference"/>
        </w:rPr>
        <w:footnoteRef/>
      </w:r>
      <w:r>
        <w:t xml:space="preserve"> </w:t>
      </w:r>
      <w:proofErr w:type="gramStart"/>
      <w:r>
        <w:t xml:space="preserve">“Hope, Despair and Memory.” </w:t>
      </w:r>
      <w:r w:rsidRPr="003D5938">
        <w:t>http://www.nobelprize.org/nobel_prizes/peace/laureates/1986/wiesel-lecture.html</w:t>
      </w:r>
      <w:r>
        <w:t>.</w:t>
      </w:r>
      <w:proofErr w:type="gramEnd"/>
    </w:p>
  </w:footnote>
  <w:footnote w:id="40">
    <w:p w:rsidR="004359AF" w:rsidRDefault="004359AF">
      <w:pPr>
        <w:pStyle w:val="FootnoteText"/>
      </w:pPr>
      <w:r>
        <w:rPr>
          <w:rStyle w:val="FootnoteReference"/>
        </w:rPr>
        <w:footnoteRef/>
      </w:r>
      <w:r>
        <w:t xml:space="preserve"> Deut 7:18; cf. Josh 1:13.</w:t>
      </w:r>
    </w:p>
  </w:footnote>
  <w:footnote w:id="41">
    <w:p w:rsidR="004359AF" w:rsidRDefault="004359AF">
      <w:pPr>
        <w:pStyle w:val="FootnoteText"/>
      </w:pPr>
      <w:r>
        <w:rPr>
          <w:rStyle w:val="FootnoteReference"/>
        </w:rPr>
        <w:footnoteRef/>
      </w:r>
      <w:r>
        <w:t xml:space="preserve"> Isa 54:4.</w:t>
      </w:r>
    </w:p>
  </w:footnote>
  <w:footnote w:id="42">
    <w:p w:rsidR="004359AF" w:rsidRDefault="004359AF" w:rsidP="00FD19B3">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55, 10-11, 16.</w:t>
      </w:r>
      <w:proofErr w:type="gramEnd"/>
    </w:p>
  </w:footnote>
  <w:footnote w:id="43">
    <w:p w:rsidR="004359AF" w:rsidRDefault="004359AF">
      <w:pPr>
        <w:pStyle w:val="FootnoteText"/>
      </w:pPr>
      <w:r>
        <w:rPr>
          <w:rStyle w:val="FootnoteReference"/>
        </w:rPr>
        <w:footnoteRef/>
      </w:r>
      <w:r>
        <w:t xml:space="preserve"> Lam 1:7, 9; 3:19-20.</w:t>
      </w:r>
    </w:p>
  </w:footnote>
  <w:footnote w:id="44">
    <w:p w:rsidR="004359AF" w:rsidRDefault="004359AF" w:rsidP="001B6D87">
      <w:pPr>
        <w:pStyle w:val="FootnoteText"/>
      </w:pPr>
      <w:r>
        <w:rPr>
          <w:rStyle w:val="FootnoteReference"/>
        </w:rPr>
        <w:footnoteRef/>
      </w:r>
      <w:r>
        <w:t xml:space="preserve"> Ps 77:3, 6, 11 [4, 7, 12] (I follow the </w:t>
      </w:r>
      <w:proofErr w:type="spellStart"/>
      <w:r>
        <w:t>ketib’s</w:t>
      </w:r>
      <w:proofErr w:type="spellEnd"/>
      <w:r>
        <w:t xml:space="preserve"> </w:t>
      </w:r>
      <w:proofErr w:type="spellStart"/>
      <w:r>
        <w:t>hiphil</w:t>
      </w:r>
      <w:proofErr w:type="spellEnd"/>
      <w:r>
        <w:t xml:space="preserve"> in v. 11a [12a], assuming that the </w:t>
      </w:r>
      <w:proofErr w:type="spellStart"/>
      <w:r>
        <w:t>qere</w:t>
      </w:r>
      <w:proofErr w:type="spellEnd"/>
      <w:r>
        <w:t xml:space="preserve"> has assimilated to the recurrence of the </w:t>
      </w:r>
      <w:proofErr w:type="spellStart"/>
      <w:r>
        <w:t>qal</w:t>
      </w:r>
      <w:proofErr w:type="spellEnd"/>
      <w:r>
        <w:t xml:space="preserve"> in the psalm); cf. 42:4, if </w:t>
      </w:r>
      <w:proofErr w:type="gramStart"/>
      <w:r>
        <w:t>its</w:t>
      </w:r>
      <w:proofErr w:type="gramEnd"/>
      <w:r>
        <w:t xml:space="preserve"> “remembering” relates to the past rather than to the future.</w:t>
      </w:r>
    </w:p>
  </w:footnote>
  <w:footnote w:id="45">
    <w:p w:rsidR="004359AF" w:rsidRPr="00F64FA9" w:rsidRDefault="004359AF" w:rsidP="00DF7A8D">
      <w:pPr>
        <w:pStyle w:val="FootnoteText"/>
      </w:pPr>
      <w:r>
        <w:rPr>
          <w:rStyle w:val="FootnoteReference"/>
        </w:rPr>
        <w:footnoteRef/>
      </w:r>
      <w:r>
        <w:t xml:space="preserve"> E.g., Michel Foucault, </w:t>
      </w:r>
      <w:r>
        <w:rPr>
          <w:i/>
        </w:rPr>
        <w:t>Language, Counter-Memory, Practice</w:t>
      </w:r>
      <w:r>
        <w:t xml:space="preserve"> (Ithaca, NY: Cornell UP, 1977).</w:t>
      </w:r>
    </w:p>
  </w:footnote>
  <w:footnote w:id="46">
    <w:p w:rsidR="004359AF" w:rsidRDefault="004359AF" w:rsidP="00DF7A8D">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rsidRPr="0053138B">
        <w:t xml:space="preserve"> </w:t>
      </w:r>
      <w:r>
        <w:t>54.</w:t>
      </w:r>
      <w:proofErr w:type="gramEnd"/>
    </w:p>
  </w:footnote>
  <w:footnote w:id="47">
    <w:p w:rsidR="004359AF" w:rsidRDefault="004359AF">
      <w:pPr>
        <w:pStyle w:val="FootnoteText"/>
      </w:pPr>
      <w:r>
        <w:rPr>
          <w:rStyle w:val="FootnoteReference"/>
        </w:rPr>
        <w:footnoteRef/>
      </w:r>
      <w:r>
        <w:t xml:space="preserve"> </w:t>
      </w:r>
      <w:r w:rsidRPr="002A0654">
        <w:rPr>
          <w:rFonts w:eastAsiaTheme="minorHAnsi" w:cs="CheltenhamBT-Roman"/>
          <w:szCs w:val="22"/>
        </w:rPr>
        <w:t>Is</w:t>
      </w:r>
      <w:r>
        <w:rPr>
          <w:rFonts w:eastAsiaTheme="minorHAnsi" w:cs="CheltenhamBT-Roman"/>
          <w:szCs w:val="22"/>
        </w:rPr>
        <w:t>a</w:t>
      </w:r>
      <w:r w:rsidRPr="002A0654">
        <w:rPr>
          <w:rFonts w:eastAsiaTheme="minorHAnsi" w:cs="CheltenhamBT-Roman"/>
          <w:szCs w:val="22"/>
        </w:rPr>
        <w:t xml:space="preserve"> 51:2</w:t>
      </w:r>
      <w:r>
        <w:rPr>
          <w:rFonts w:eastAsiaTheme="minorHAnsi" w:cs="CheltenhamBT-Roman"/>
          <w:szCs w:val="22"/>
        </w:rPr>
        <w:t>.</w:t>
      </w:r>
    </w:p>
  </w:footnote>
  <w:footnote w:id="48">
    <w:p w:rsidR="004359AF" w:rsidRDefault="004359AF">
      <w:pPr>
        <w:pStyle w:val="FootnoteText"/>
      </w:pPr>
      <w:r>
        <w:rPr>
          <w:rStyle w:val="FootnoteReference"/>
        </w:rPr>
        <w:footnoteRef/>
      </w:r>
      <w:r>
        <w:t xml:space="preserve"> </w:t>
      </w:r>
      <w:proofErr w:type="spellStart"/>
      <w:r w:rsidRPr="002A0654">
        <w:rPr>
          <w:rFonts w:eastAsiaTheme="minorHAnsi" w:cs="CheltenhamBT-Roman"/>
          <w:szCs w:val="22"/>
        </w:rPr>
        <w:t>Ex</w:t>
      </w:r>
      <w:r>
        <w:rPr>
          <w:rFonts w:eastAsiaTheme="minorHAnsi" w:cs="CheltenhamBT-Roman"/>
          <w:szCs w:val="22"/>
        </w:rPr>
        <w:t>od</w:t>
      </w:r>
      <w:proofErr w:type="spellEnd"/>
      <w:r w:rsidRPr="002A0654">
        <w:rPr>
          <w:rFonts w:eastAsiaTheme="minorHAnsi" w:cs="CheltenhamBT-Roman"/>
          <w:szCs w:val="22"/>
        </w:rPr>
        <w:t xml:space="preserve"> </w:t>
      </w:r>
      <w:r>
        <w:rPr>
          <w:rFonts w:eastAsiaTheme="minorHAnsi" w:cs="CheltenhamBT-Roman"/>
          <w:szCs w:val="22"/>
        </w:rPr>
        <w:t>2:24; Lev 26:42.</w:t>
      </w:r>
    </w:p>
  </w:footnote>
  <w:footnote w:id="49">
    <w:p w:rsidR="004359AF" w:rsidRDefault="004359AF">
      <w:pPr>
        <w:pStyle w:val="FootnoteText"/>
      </w:pPr>
      <w:r>
        <w:rPr>
          <w:rStyle w:val="FootnoteReference"/>
        </w:rPr>
        <w:footnoteRef/>
      </w:r>
      <w:r>
        <w:t xml:space="preserve"> Deut 4:31.</w:t>
      </w:r>
    </w:p>
  </w:footnote>
  <w:footnote w:id="50">
    <w:p w:rsidR="004359AF" w:rsidRDefault="004359AF">
      <w:pPr>
        <w:pStyle w:val="FootnoteText"/>
      </w:pPr>
      <w:r>
        <w:rPr>
          <w:rStyle w:val="FootnoteReference"/>
        </w:rPr>
        <w:footnoteRef/>
      </w:r>
      <w:r>
        <w:t xml:space="preserve"> </w:t>
      </w:r>
      <w:proofErr w:type="spellStart"/>
      <w:r>
        <w:t>Exod</w:t>
      </w:r>
      <w:proofErr w:type="spellEnd"/>
      <w:r>
        <w:t xml:space="preserve"> 32:13; cf. Deut 9:27.</w:t>
      </w:r>
    </w:p>
  </w:footnote>
  <w:footnote w:id="51">
    <w:p w:rsidR="004359AF" w:rsidRDefault="004359AF">
      <w:pPr>
        <w:pStyle w:val="FootnoteText"/>
      </w:pPr>
      <w:r>
        <w:rPr>
          <w:rStyle w:val="FootnoteReference"/>
        </w:rPr>
        <w:footnoteRef/>
      </w:r>
      <w:r>
        <w:t xml:space="preserve"> Ps 79:8; cf. 25:7; Neh 1:8.</w:t>
      </w:r>
    </w:p>
  </w:footnote>
  <w:footnote w:id="52">
    <w:p w:rsidR="004359AF" w:rsidRDefault="004359AF">
      <w:pPr>
        <w:pStyle w:val="FootnoteText"/>
      </w:pPr>
      <w:r>
        <w:rPr>
          <w:rStyle w:val="FootnoteReference"/>
        </w:rPr>
        <w:footnoteRef/>
      </w:r>
      <w:r>
        <w:t xml:space="preserve"> </w:t>
      </w:r>
      <w:proofErr w:type="gramStart"/>
      <w:r>
        <w:t>Neh 5:19; 13:22.</w:t>
      </w:r>
      <w:proofErr w:type="gramEnd"/>
    </w:p>
  </w:footnote>
  <w:footnote w:id="53">
    <w:p w:rsidR="004359AF" w:rsidRPr="00254E1C" w:rsidRDefault="004359AF" w:rsidP="00DF7A8D">
      <w:pPr>
        <w:pStyle w:val="Footnote"/>
        <w:rPr>
          <w:rFonts w:eastAsiaTheme="minorHAnsi"/>
        </w:rPr>
      </w:pPr>
      <w:r>
        <w:rPr>
          <w:rStyle w:val="FootnoteReference"/>
        </w:rPr>
        <w:footnoteRef/>
      </w:r>
      <w:r>
        <w:t xml:space="preserve"> </w:t>
      </w:r>
      <w:proofErr w:type="gramStart"/>
      <w:r w:rsidRPr="00674735">
        <w:t xml:space="preserve">Brevard S. </w:t>
      </w:r>
      <w:r w:rsidRPr="00674735">
        <w:rPr>
          <w:rFonts w:eastAsiaTheme="minorHAnsi"/>
        </w:rPr>
        <w:t xml:space="preserve">Childs, </w:t>
      </w:r>
      <w:r w:rsidRPr="00674735">
        <w:rPr>
          <w:rFonts w:eastAsiaTheme="minorHAnsi"/>
          <w:i/>
        </w:rPr>
        <w:t xml:space="preserve">Memory and Tradition in Israel </w:t>
      </w:r>
      <w:r w:rsidRPr="00674735">
        <w:rPr>
          <w:rFonts w:eastAsiaTheme="minorHAnsi"/>
        </w:rPr>
        <w:t>(London: SCM, 1962), 41</w:t>
      </w:r>
      <w:r>
        <w:rPr>
          <w:rFonts w:eastAsiaTheme="minorHAnsi"/>
        </w:rPr>
        <w:t>, 35.</w:t>
      </w:r>
      <w:proofErr w:type="gramEnd"/>
    </w:p>
  </w:footnote>
  <w:footnote w:id="54">
    <w:p w:rsidR="004359AF" w:rsidRDefault="004359AF">
      <w:pPr>
        <w:pStyle w:val="FootnoteText"/>
      </w:pPr>
      <w:r>
        <w:rPr>
          <w:rStyle w:val="FootnoteReference"/>
        </w:rPr>
        <w:footnoteRef/>
      </w:r>
      <w:r>
        <w:t xml:space="preserve"> Lam 2:1.</w:t>
      </w:r>
    </w:p>
  </w:footnote>
  <w:footnote w:id="55">
    <w:p w:rsidR="004359AF" w:rsidRDefault="004359AF">
      <w:pPr>
        <w:pStyle w:val="FootnoteText"/>
      </w:pPr>
      <w:r>
        <w:rPr>
          <w:rStyle w:val="FootnoteReference"/>
        </w:rPr>
        <w:footnoteRef/>
      </w:r>
      <w:r>
        <w:t xml:space="preserve"> Lam 5:1, 20.</w:t>
      </w:r>
    </w:p>
  </w:footnote>
  <w:footnote w:id="56">
    <w:p w:rsidR="004359AF" w:rsidRDefault="004359AF" w:rsidP="00BE0B06">
      <w:pPr>
        <w:pStyle w:val="FootnoteText"/>
      </w:pPr>
      <w:r>
        <w:rPr>
          <w:rStyle w:val="FootnoteReference"/>
        </w:rPr>
        <w:footnoteRef/>
      </w:r>
      <w:r>
        <w:t xml:space="preserve"> T</w:t>
      </w:r>
      <w:r w:rsidRPr="00443261">
        <w:t xml:space="preserve">he motif goes back to the </w:t>
      </w:r>
      <w:proofErr w:type="spellStart"/>
      <w:r w:rsidRPr="00443261">
        <w:t>Mi</w:t>
      </w:r>
      <w:r>
        <w:t>shnah</w:t>
      </w:r>
      <w:proofErr w:type="spellEnd"/>
      <w:r>
        <w:t xml:space="preserve"> (</w:t>
      </w:r>
      <w:proofErr w:type="spellStart"/>
      <w:r>
        <w:t>Moed</w:t>
      </w:r>
      <w:proofErr w:type="spellEnd"/>
      <w:r>
        <w:t xml:space="preserve"> </w:t>
      </w:r>
      <w:proofErr w:type="spellStart"/>
      <w:r>
        <w:t>Taanit</w:t>
      </w:r>
      <w:proofErr w:type="spellEnd"/>
      <w:r>
        <w:t xml:space="preserve"> 2) but it can be</w:t>
      </w:r>
      <w:r w:rsidRPr="00443261">
        <w:t xml:space="preserve"> expand</w:t>
      </w:r>
      <w:r>
        <w:t>ed in different ways (cf.</w:t>
      </w:r>
      <w:r w:rsidRPr="00443261">
        <w:rPr>
          <w:rFonts w:eastAsiaTheme="minorHAnsi" w:cs="TimesNewRoman"/>
          <w:szCs w:val="22"/>
        </w:rPr>
        <w:t xml:space="preserve"> </w:t>
      </w:r>
      <w:proofErr w:type="spellStart"/>
      <w:r w:rsidRPr="00443261">
        <w:t>Yerushalmi</w:t>
      </w:r>
      <w:proofErr w:type="spellEnd"/>
      <w:r>
        <w:t>,</w:t>
      </w:r>
      <w:r w:rsidRPr="00443261">
        <w:t xml:space="preserve"> </w:t>
      </w:r>
      <w:proofErr w:type="spellStart"/>
      <w:r>
        <w:rPr>
          <w:i/>
        </w:rPr>
        <w:t>Zakhor</w:t>
      </w:r>
      <w:proofErr w:type="spellEnd"/>
      <w:r>
        <w:t>,</w:t>
      </w:r>
      <w:r w:rsidRPr="00443261">
        <w:t xml:space="preserve"> </w:t>
      </w:r>
      <w:r w:rsidRPr="00443261">
        <w:rPr>
          <w:rFonts w:eastAsiaTheme="minorHAnsi" w:cs="TimesNewRoman"/>
          <w:szCs w:val="22"/>
        </w:rPr>
        <w:t>29</w:t>
      </w:r>
      <w:r>
        <w:rPr>
          <w:rFonts w:eastAsiaTheme="minorHAnsi" w:cs="TimesNewRoman"/>
          <w:szCs w:val="22"/>
        </w:rPr>
        <w:t>)</w:t>
      </w:r>
      <w:r w:rsidRPr="00443261">
        <w:rPr>
          <w:rFonts w:eastAsiaTheme="minorHAnsi" w:cs="TimesNewRoman"/>
          <w:szCs w:val="22"/>
        </w:rPr>
        <w:t>.</w:t>
      </w:r>
    </w:p>
  </w:footnote>
  <w:footnote w:id="57">
    <w:p w:rsidR="004359AF" w:rsidRDefault="004359AF" w:rsidP="009D72BB">
      <w:pPr>
        <w:pStyle w:val="FootnoteText"/>
      </w:pPr>
      <w:r>
        <w:rPr>
          <w:rStyle w:val="FootnoteReference"/>
        </w:rPr>
        <w:footnoteRef/>
      </w:r>
      <w:r>
        <w:t xml:space="preserve"> </w:t>
      </w:r>
      <w:proofErr w:type="spellStart"/>
      <w:r w:rsidRPr="00443261">
        <w:t>Yerushalmi</w:t>
      </w:r>
      <w:proofErr w:type="spellEnd"/>
      <w:r>
        <w:t>,</w:t>
      </w:r>
      <w:r w:rsidRPr="00443261">
        <w:t xml:space="preserve"> </w:t>
      </w:r>
      <w:proofErr w:type="spellStart"/>
      <w:r>
        <w:rPr>
          <w:i/>
        </w:rPr>
        <w:t>Zakhor</w:t>
      </w:r>
      <w:proofErr w:type="spellEnd"/>
      <w:r>
        <w:t>,</w:t>
      </w:r>
      <w:r w:rsidRPr="00443261">
        <w:t xml:space="preserve"> </w:t>
      </w:r>
      <w:r>
        <w:rPr>
          <w:rFonts w:eastAsiaTheme="minorHAnsi" w:cs="TimesNewRoman"/>
          <w:szCs w:val="22"/>
        </w:rPr>
        <w:t>16, 22, 31, 34, 41-42, 43, 44-45.</w:t>
      </w:r>
    </w:p>
  </w:footnote>
  <w:footnote w:id="58">
    <w:p w:rsidR="004359AF" w:rsidRDefault="004359AF" w:rsidP="009D72BB">
      <w:pPr>
        <w:pStyle w:val="FootnoteText"/>
      </w:pPr>
      <w:r>
        <w:rPr>
          <w:rStyle w:val="FootnoteReference"/>
        </w:rPr>
        <w:footnoteRef/>
      </w:r>
      <w:r>
        <w:t xml:space="preserve"> </w:t>
      </w:r>
      <w:proofErr w:type="spellStart"/>
      <w:r w:rsidRPr="00443261">
        <w:t>Yerushalmi</w:t>
      </w:r>
      <w:proofErr w:type="spellEnd"/>
      <w:r>
        <w:t>,</w:t>
      </w:r>
      <w:r w:rsidRPr="00443261">
        <w:t xml:space="preserve"> </w:t>
      </w:r>
      <w:proofErr w:type="spellStart"/>
      <w:r>
        <w:rPr>
          <w:i/>
        </w:rPr>
        <w:t>Zakhor</w:t>
      </w:r>
      <w:proofErr w:type="spellEnd"/>
      <w:r>
        <w:t>,</w:t>
      </w:r>
      <w:r w:rsidRPr="00443261">
        <w:t xml:space="preserve"> </w:t>
      </w:r>
      <w:r>
        <w:rPr>
          <w:rFonts w:eastAsiaTheme="minorHAnsi" w:cs="TimesNewRoman"/>
          <w:szCs w:val="22"/>
        </w:rPr>
        <w:t>3</w:t>
      </w:r>
      <w:r w:rsidRPr="00443261">
        <w:rPr>
          <w:rFonts w:eastAsiaTheme="minorHAnsi" w:cs="TimesNewRoman"/>
          <w:szCs w:val="22"/>
        </w:rPr>
        <w:t>9.</w:t>
      </w:r>
    </w:p>
  </w:footnote>
  <w:footnote w:id="59">
    <w:p w:rsidR="004359AF" w:rsidRPr="00DD303F" w:rsidRDefault="004359AF" w:rsidP="008D1687">
      <w:pPr>
        <w:pStyle w:val="FootnoteText"/>
      </w:pPr>
      <w:r>
        <w:rPr>
          <w:rStyle w:val="FootnoteReference"/>
        </w:rPr>
        <w:footnoteRef/>
      </w:r>
      <w:r>
        <w:t xml:space="preserve"> </w:t>
      </w:r>
      <w:proofErr w:type="gramStart"/>
      <w:r>
        <w:rPr>
          <w:i/>
        </w:rPr>
        <w:t>Character and Ideology in the Book of Esther</w:t>
      </w:r>
      <w:r>
        <w:t xml:space="preserve"> (2</w:t>
      </w:r>
      <w:r w:rsidRPr="00DD303F">
        <w:rPr>
          <w:vertAlign w:val="superscript"/>
        </w:rPr>
        <w:t>nd</w:t>
      </w:r>
      <w:r>
        <w:t xml:space="preserve"> ed., Grand Rapids/Cambridge, UK, 2001), 11, 12.</w:t>
      </w:r>
      <w:proofErr w:type="gramEnd"/>
    </w:p>
  </w:footnote>
  <w:footnote w:id="60">
    <w:p w:rsidR="004359AF" w:rsidRDefault="004359AF">
      <w:pPr>
        <w:pStyle w:val="FootnoteText"/>
      </w:pPr>
      <w:r>
        <w:rPr>
          <w:rStyle w:val="FootnoteReference"/>
        </w:rPr>
        <w:footnoteRef/>
      </w:r>
      <w:r>
        <w:t xml:space="preserve"> Deut 5:2-5.</w:t>
      </w:r>
    </w:p>
  </w:footnote>
  <w:footnote w:id="61">
    <w:p w:rsidR="00C03E75" w:rsidRDefault="00C03E75" w:rsidP="00C03E75">
      <w:pPr>
        <w:pStyle w:val="FootnoteText"/>
        <w:rPr>
          <w:rFonts w:ascii="Calibri" w:eastAsia="Times New Roman" w:hAnsi="Calibri"/>
        </w:rPr>
      </w:pPr>
      <w:r>
        <w:rPr>
          <w:rStyle w:val="FootnoteReference"/>
          <w:rFonts w:ascii="Calibri" w:eastAsia="Times New Roman" w:hAnsi="Calibri"/>
        </w:rPr>
        <w:footnoteRef/>
      </w:r>
      <w:r>
        <w:rPr>
          <w:rFonts w:ascii="Calibri" w:eastAsia="Times New Roman" w:hAnsi="Calibri"/>
        </w:rPr>
        <w:t xml:space="preserve"> </w:t>
      </w:r>
      <w:r>
        <w:rPr>
          <w:rFonts w:ascii="Calibri" w:eastAsia="Times New Roman" w:hAnsi="Calibri"/>
          <w:i/>
          <w:iCs/>
        </w:rPr>
        <w:t xml:space="preserve">Old Testament Theology </w:t>
      </w:r>
      <w:r>
        <w:rPr>
          <w:rFonts w:ascii="Calibri" w:eastAsia="Times New Roman" w:hAnsi="Calibri"/>
        </w:rPr>
        <w:t xml:space="preserve">(Edinburgh: Oliver and Boyd/New York: Harper, 1965) 1:357-58; </w:t>
      </w:r>
      <w:r>
        <w:t>cf. “</w:t>
      </w:r>
      <w:proofErr w:type="spellStart"/>
      <w:r>
        <w:t>Gerichtsdoxologie</w:t>
      </w:r>
      <w:proofErr w:type="spellEnd"/>
      <w:r>
        <w:t xml:space="preserve">,” </w:t>
      </w:r>
      <w:proofErr w:type="spellStart"/>
      <w:r>
        <w:rPr>
          <w:i/>
          <w:iCs/>
        </w:rPr>
        <w:t>Gesammelte</w:t>
      </w:r>
      <w:proofErr w:type="spellEnd"/>
      <w:r>
        <w:rPr>
          <w:i/>
          <w:iCs/>
        </w:rPr>
        <w:t xml:space="preserve"> </w:t>
      </w:r>
      <w:proofErr w:type="spellStart"/>
      <w:r>
        <w:rPr>
          <w:i/>
          <w:iCs/>
        </w:rPr>
        <w:t>Studien</w:t>
      </w:r>
      <w:proofErr w:type="spellEnd"/>
      <w:r>
        <w:rPr>
          <w:i/>
          <w:iCs/>
        </w:rPr>
        <w:t xml:space="preserve"> </w:t>
      </w:r>
      <w:proofErr w:type="spellStart"/>
      <w:r>
        <w:rPr>
          <w:i/>
          <w:iCs/>
        </w:rPr>
        <w:t>zum</w:t>
      </w:r>
      <w:proofErr w:type="spellEnd"/>
      <w:r>
        <w:rPr>
          <w:i/>
          <w:iCs/>
        </w:rPr>
        <w:t xml:space="preserve"> </w:t>
      </w:r>
      <w:proofErr w:type="spellStart"/>
      <w:r>
        <w:rPr>
          <w:i/>
          <w:iCs/>
        </w:rPr>
        <w:t>Alten</w:t>
      </w:r>
      <w:proofErr w:type="spellEnd"/>
      <w:r>
        <w:rPr>
          <w:i/>
          <w:iCs/>
        </w:rPr>
        <w:t xml:space="preserve"> Testament</w:t>
      </w:r>
      <w:r>
        <w:t xml:space="preserve"> (Munich: Kaiser, 1973) 2:245-54.</w:t>
      </w:r>
    </w:p>
  </w:footnote>
  <w:footnote w:id="62">
    <w:p w:rsidR="004359AF" w:rsidRPr="00A246A3" w:rsidRDefault="004359AF" w:rsidP="008D1687">
      <w:pPr>
        <w:pStyle w:val="FootnoteText"/>
      </w:pPr>
      <w:r>
        <w:rPr>
          <w:rStyle w:val="FootnoteReference"/>
        </w:rPr>
        <w:footnoteRef/>
      </w:r>
      <w:r>
        <w:t xml:space="preserve"> </w:t>
      </w:r>
      <w:r w:rsidRPr="00A246A3">
        <w:rPr>
          <w:rFonts w:eastAsiaTheme="minorHAnsi"/>
        </w:rPr>
        <w:t>“</w:t>
      </w:r>
      <w:r>
        <w:rPr>
          <w:rFonts w:eastAsiaTheme="minorHAnsi"/>
        </w:rPr>
        <w:t>Social Memory,”</w:t>
      </w:r>
      <w:r w:rsidRPr="007962BD">
        <w:rPr>
          <w:rFonts w:eastAsiaTheme="minorHAnsi"/>
        </w:rPr>
        <w:t xml:space="preserve"> 189-200</w:t>
      </w:r>
      <w:r>
        <w:rPr>
          <w:rFonts w:eastAsiaTheme="minorHAnsi"/>
        </w:rPr>
        <w:t>.</w:t>
      </w:r>
    </w:p>
  </w:footnote>
  <w:footnote w:id="63">
    <w:p w:rsidR="004359AF" w:rsidRDefault="004359AF" w:rsidP="0049571A">
      <w:pPr>
        <w:pStyle w:val="FootnoteText"/>
      </w:pPr>
      <w:r>
        <w:rPr>
          <w:rStyle w:val="FootnoteReference"/>
        </w:rPr>
        <w:footnoteRef/>
      </w:r>
      <w:r>
        <w:t xml:space="preserve"> </w:t>
      </w:r>
      <w:r w:rsidRPr="00EA4A41">
        <w:t xml:space="preserve">Natalia </w:t>
      </w:r>
      <w:proofErr w:type="spellStart"/>
      <w:r w:rsidRPr="00EA4A41">
        <w:t>Bratova</w:t>
      </w:r>
      <w:proofErr w:type="spellEnd"/>
      <w:r>
        <w:t xml:space="preserve">, </w:t>
      </w:r>
      <w:r w:rsidRPr="00F15DF5">
        <w:t xml:space="preserve">“The Myth of St Petersburg in the Contemporary Russian Cinema. </w:t>
      </w:r>
      <w:proofErr w:type="spellStart"/>
      <w:r w:rsidRPr="00F15DF5">
        <w:t>Balabanov’s</w:t>
      </w:r>
      <w:proofErr w:type="spellEnd"/>
      <w:r w:rsidRPr="00F15DF5">
        <w:t xml:space="preserve"> </w:t>
      </w:r>
      <w:r>
        <w:rPr>
          <w:i/>
          <w:iCs/>
        </w:rPr>
        <w:t>Brother</w:t>
      </w:r>
      <w:r>
        <w:rPr>
          <w:iCs/>
        </w:rPr>
        <w:t>,” in</w:t>
      </w:r>
      <w:r>
        <w:rPr>
          <w:i/>
          <w:iCs/>
        </w:rPr>
        <w:t xml:space="preserve"> </w:t>
      </w:r>
      <w:r>
        <w:rPr>
          <w:iCs/>
        </w:rPr>
        <w:t xml:space="preserve">Johanna </w:t>
      </w:r>
      <w:proofErr w:type="spellStart"/>
      <w:r>
        <w:rPr>
          <w:iCs/>
        </w:rPr>
        <w:t>Lindbladh</w:t>
      </w:r>
      <w:proofErr w:type="spellEnd"/>
      <w:r>
        <w:rPr>
          <w:iCs/>
        </w:rPr>
        <w:t xml:space="preserve"> (ed.), </w:t>
      </w:r>
      <w:r w:rsidRPr="00726E40">
        <w:rPr>
          <w:i/>
        </w:rPr>
        <w:t>The Poetics of Memory in Post-Totalitarian Narration</w:t>
      </w:r>
      <w:r>
        <w:t xml:space="preserve"> (Lund: Lund University, 2008), </w:t>
      </w:r>
      <w:r w:rsidRPr="00EA4A41">
        <w:t>121-25</w:t>
      </w:r>
      <w:r>
        <w:t xml:space="preserve"> (25).</w:t>
      </w:r>
    </w:p>
  </w:footnote>
  <w:footnote w:id="64">
    <w:p w:rsidR="004359AF" w:rsidRPr="00237D0E" w:rsidRDefault="004359AF" w:rsidP="00A4513C">
      <w:pPr>
        <w:ind w:firstLine="0"/>
      </w:pPr>
      <w:r>
        <w:rPr>
          <w:rStyle w:val="FootnoteReference"/>
        </w:rPr>
        <w:footnoteRef/>
      </w:r>
      <w:r>
        <w:t xml:space="preserve"> </w:t>
      </w:r>
      <w:proofErr w:type="gramStart"/>
      <w:r w:rsidRPr="00054809">
        <w:rPr>
          <w:i/>
          <w:sz w:val="20"/>
        </w:rPr>
        <w:t>Perceptions of Jewish History</w:t>
      </w:r>
      <w:r w:rsidRPr="00054809">
        <w:rPr>
          <w:sz w:val="20"/>
        </w:rPr>
        <w:t xml:space="preserve"> (Berkeley</w:t>
      </w:r>
      <w:r>
        <w:rPr>
          <w:sz w:val="20"/>
        </w:rPr>
        <w:t>/Oxford</w:t>
      </w:r>
      <w:r w:rsidRPr="00054809">
        <w:rPr>
          <w:sz w:val="20"/>
        </w:rPr>
        <w:t>: University of California, 1993), 57.</w:t>
      </w:r>
      <w:proofErr w:type="gramEnd"/>
      <w:r>
        <w:rPr>
          <w:sz w:val="20"/>
        </w:rPr>
        <w:t xml:space="preserve"> Does he use </w:t>
      </w:r>
      <w:r>
        <w:rPr>
          <w:i/>
          <w:sz w:val="20"/>
        </w:rPr>
        <w:t>reflexive</w:t>
      </w:r>
      <w:r>
        <w:rPr>
          <w:sz w:val="20"/>
        </w:rPr>
        <w:t xml:space="preserve"> in the sense of </w:t>
      </w:r>
      <w:r>
        <w:rPr>
          <w:i/>
          <w:sz w:val="20"/>
        </w:rPr>
        <w:t>reflective</w:t>
      </w:r>
      <w:r>
        <w:rPr>
          <w:sz w:val="20"/>
        </w:rPr>
        <w:t>?</w:t>
      </w:r>
    </w:p>
  </w:footnote>
  <w:footnote w:id="65">
    <w:p w:rsidR="004359AF" w:rsidRPr="005F64D3" w:rsidRDefault="004359AF">
      <w:pPr>
        <w:pStyle w:val="FootnoteText"/>
      </w:pPr>
      <w:r>
        <w:rPr>
          <w:rStyle w:val="FootnoteReference"/>
        </w:rPr>
        <w:footnoteRef/>
      </w:r>
      <w:r>
        <w:t xml:space="preserve"> See </w:t>
      </w:r>
      <w:r>
        <w:rPr>
          <w:i/>
        </w:rPr>
        <w:t>The Anxiety of Influence</w:t>
      </w:r>
      <w:r>
        <w:t xml:space="preserve"> (Oxford/New York: OUP, 1973; 2</w:t>
      </w:r>
      <w:r w:rsidRPr="007E4BD4">
        <w:rPr>
          <w:vertAlign w:val="superscript"/>
        </w:rPr>
        <w:t>nd</w:t>
      </w:r>
      <w:r>
        <w:t xml:space="preserve"> ed., 1997).</w:t>
      </w:r>
    </w:p>
  </w:footnote>
  <w:footnote w:id="66">
    <w:p w:rsidR="004359AF" w:rsidRPr="00593131" w:rsidRDefault="004359AF" w:rsidP="00B55B5F">
      <w:pPr>
        <w:pStyle w:val="FootnoteText"/>
      </w:pPr>
      <w:r>
        <w:rPr>
          <w:rStyle w:val="FootnoteReference"/>
        </w:rPr>
        <w:footnoteRef/>
      </w:r>
      <w:r>
        <w:t xml:space="preserve"> Cf. Rafael Rodriguez, </w:t>
      </w:r>
      <w:r>
        <w:rPr>
          <w:i/>
        </w:rPr>
        <w:t>Structuring Early Christian Memory</w:t>
      </w:r>
      <w:r>
        <w:t xml:space="preserve"> (London/New York: Clark, 2010), 53-54.</w:t>
      </w:r>
    </w:p>
  </w:footnote>
  <w:footnote w:id="67">
    <w:p w:rsidR="004359AF" w:rsidRDefault="004359AF" w:rsidP="001B6D87">
      <w:pPr>
        <w:pStyle w:val="Footnote"/>
      </w:pPr>
      <w:r>
        <w:rPr>
          <w:rStyle w:val="FootnoteReference"/>
        </w:rPr>
        <w:footnoteRef/>
      </w:r>
      <w:r>
        <w:t xml:space="preserve"> Barry </w:t>
      </w:r>
      <w:r>
        <w:rPr>
          <w:rFonts w:eastAsiaTheme="minorHAnsi"/>
        </w:rPr>
        <w:t xml:space="preserve">Schwartz, </w:t>
      </w:r>
      <w:r w:rsidRPr="005115CE">
        <w:rPr>
          <w:rFonts w:eastAsiaTheme="minorHAnsi"/>
          <w:i/>
        </w:rPr>
        <w:t>Abraham Lincoln and the Forge of National Memory</w:t>
      </w:r>
      <w:r>
        <w:rPr>
          <w:rFonts w:eastAsiaTheme="minorHAnsi"/>
        </w:rPr>
        <w:t xml:space="preserve"> (Chicago/London: University of Chicago Press, 2000), 6.</w:t>
      </w:r>
    </w:p>
  </w:footnote>
  <w:footnote w:id="68">
    <w:p w:rsidR="004359AF" w:rsidRPr="00D43406" w:rsidRDefault="004359AF" w:rsidP="00965366">
      <w:pPr>
        <w:pStyle w:val="Footnote"/>
      </w:pPr>
      <w:r>
        <w:rPr>
          <w:rStyle w:val="FootnoteReference"/>
        </w:rPr>
        <w:footnoteRef/>
      </w:r>
      <w:r>
        <w:t xml:space="preserve"> </w:t>
      </w:r>
      <w:proofErr w:type="gramStart"/>
      <w:r w:rsidRPr="00130752">
        <w:t xml:space="preserve">Teresa </w:t>
      </w:r>
      <w:proofErr w:type="spellStart"/>
      <w:r w:rsidRPr="00130752">
        <w:t>Staneck</w:t>
      </w:r>
      <w:proofErr w:type="spellEnd"/>
      <w:r w:rsidRPr="00130752">
        <w:t xml:space="preserve">, “Exodus-Covenant,” </w:t>
      </w:r>
      <w:r w:rsidRPr="00130752">
        <w:rPr>
          <w:i/>
        </w:rPr>
        <w:t>Performing Memory</w:t>
      </w:r>
      <w:r w:rsidRPr="00130752">
        <w:t>, 106-25 (106-7).</w:t>
      </w:r>
      <w:proofErr w:type="gramEnd"/>
    </w:p>
  </w:footnote>
  <w:footnote w:id="69">
    <w:p w:rsidR="004359AF" w:rsidRDefault="004359AF" w:rsidP="002F092B">
      <w:pPr>
        <w:pStyle w:val="FootnoteText"/>
      </w:pPr>
      <w:r>
        <w:rPr>
          <w:rStyle w:val="FootnoteReference"/>
        </w:rPr>
        <w:footnoteRef/>
      </w:r>
      <w:r>
        <w:t xml:space="preserve"> </w:t>
      </w:r>
      <w:proofErr w:type="spellStart"/>
      <w:r>
        <w:t>Ricoeur</w:t>
      </w:r>
      <w:proofErr w:type="spellEnd"/>
      <w:r>
        <w:t xml:space="preserve">, </w:t>
      </w:r>
      <w:r>
        <w:rPr>
          <w:i/>
        </w:rPr>
        <w:t>Memory, History, Forgetting</w:t>
      </w:r>
      <w:r>
        <w:t>, 4.</w:t>
      </w:r>
    </w:p>
  </w:footnote>
  <w:footnote w:id="70">
    <w:p w:rsidR="004359AF" w:rsidRDefault="004359AF" w:rsidP="00A4604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rsidRPr="0053138B">
        <w:t xml:space="preserve"> </w:t>
      </w:r>
      <w:r>
        <w:t>38.</w:t>
      </w:r>
      <w:proofErr w:type="gramEnd"/>
    </w:p>
  </w:footnote>
  <w:footnote w:id="71">
    <w:p w:rsidR="004359AF" w:rsidRDefault="004359AF" w:rsidP="002D7884">
      <w:pPr>
        <w:pStyle w:val="FootnoteText"/>
      </w:pPr>
      <w:r>
        <w:rPr>
          <w:rStyle w:val="FootnoteReference"/>
        </w:rPr>
        <w:footnoteRef/>
      </w:r>
      <w:r>
        <w:t xml:space="preserve"> </w:t>
      </w:r>
      <w:proofErr w:type="spellStart"/>
      <w:r>
        <w:t>Assmann</w:t>
      </w:r>
      <w:proofErr w:type="spellEnd"/>
      <w:r>
        <w:t xml:space="preserve">, </w:t>
      </w:r>
      <w:r>
        <w:rPr>
          <w:i/>
        </w:rPr>
        <w:t>Religion and Cultural Memory,</w:t>
      </w:r>
      <w:r w:rsidRPr="0053138B">
        <w:t xml:space="preserve"> </w:t>
      </w:r>
      <w:r>
        <w:t xml:space="preserve">53, summarizing </w:t>
      </w:r>
      <w:r>
        <w:rPr>
          <w:rFonts w:eastAsiaTheme="minorHAnsi"/>
        </w:rPr>
        <w:t xml:space="preserve">Friedrich </w:t>
      </w:r>
      <w:r>
        <w:t>Nietzsche,</w:t>
      </w:r>
      <w:r>
        <w:rPr>
          <w:i/>
        </w:rPr>
        <w:t xml:space="preserve"> The Genealogy of Morals </w:t>
      </w:r>
      <w:r>
        <w:t>(New York: Modern Library, [no date] 40-47).</w:t>
      </w:r>
    </w:p>
  </w:footnote>
  <w:footnote w:id="72">
    <w:p w:rsidR="004359AF" w:rsidRDefault="004359AF" w:rsidP="00A46040">
      <w:pPr>
        <w:pStyle w:val="Footnote"/>
      </w:pPr>
      <w:r>
        <w:rPr>
          <w:rStyle w:val="FootnoteReference"/>
        </w:rPr>
        <w:footnoteRef/>
      </w:r>
      <w:r>
        <w:t xml:space="preserve"> </w:t>
      </w:r>
      <w:proofErr w:type="gramStart"/>
      <w:r>
        <w:rPr>
          <w:rFonts w:eastAsiaTheme="minorHAnsi"/>
        </w:rPr>
        <w:t xml:space="preserve">Schwartz, </w:t>
      </w:r>
      <w:r w:rsidRPr="005115CE">
        <w:rPr>
          <w:rFonts w:eastAsiaTheme="minorHAnsi"/>
          <w:i/>
        </w:rPr>
        <w:t>Abraham Lincoln and the Forge of National Memory</w:t>
      </w:r>
      <w:r>
        <w:rPr>
          <w:rFonts w:eastAsiaTheme="minorHAnsi"/>
        </w:rPr>
        <w:t>, 18.</w:t>
      </w:r>
      <w:proofErr w:type="gramEnd"/>
      <w:r>
        <w:rPr>
          <w:rFonts w:eastAsiaTheme="minorHAnsi"/>
        </w:rPr>
        <w:t xml:space="preserve"> Cf. Rodriguez, 54.</w:t>
      </w:r>
    </w:p>
  </w:footnote>
  <w:footnote w:id="73">
    <w:p w:rsidR="004359AF" w:rsidRDefault="004359AF">
      <w:pPr>
        <w:pStyle w:val="FootnoteText"/>
      </w:pPr>
      <w:r>
        <w:rPr>
          <w:rStyle w:val="FootnoteReference"/>
        </w:rPr>
        <w:footnoteRef/>
      </w:r>
      <w:r>
        <w:t xml:space="preserve"> Deut 5:15.</w:t>
      </w:r>
    </w:p>
  </w:footnote>
  <w:footnote w:id="74">
    <w:p w:rsidR="004359AF" w:rsidRDefault="004359AF">
      <w:pPr>
        <w:pStyle w:val="FootnoteText"/>
      </w:pPr>
      <w:r>
        <w:rPr>
          <w:rStyle w:val="FootnoteReference"/>
        </w:rPr>
        <w:footnoteRef/>
      </w:r>
      <w:r>
        <w:t xml:space="preserve"> Deut 15:12-15; 16:12; 24:17-22. </w:t>
      </w:r>
      <w:proofErr w:type="gramStart"/>
      <w:r>
        <w:t xml:space="preserve">The earlier exhortation to “remember the day of your departure from the country of Egypt” (16:3) by observing the flatbread festival does not incorporate reference to </w:t>
      </w:r>
      <w:r>
        <w:rPr>
          <w:i/>
        </w:rPr>
        <w:t>‘</w:t>
      </w:r>
      <w:proofErr w:type="spellStart"/>
      <w:r>
        <w:rPr>
          <w:i/>
        </w:rPr>
        <w:t>abadim</w:t>
      </w:r>
      <w:proofErr w:type="spellEnd"/>
      <w:r>
        <w:t xml:space="preserve"> or to the experience of being an </w:t>
      </w:r>
      <w:r>
        <w:rPr>
          <w:i/>
        </w:rPr>
        <w:t>‘</w:t>
      </w:r>
      <w:proofErr w:type="spellStart"/>
      <w:r>
        <w:rPr>
          <w:i/>
        </w:rPr>
        <w:t>ebed</w:t>
      </w:r>
      <w:proofErr w:type="spellEnd"/>
      <w:r>
        <w:t>.</w:t>
      </w:r>
      <w:proofErr w:type="gramEnd"/>
    </w:p>
  </w:footnote>
  <w:footnote w:id="75">
    <w:p w:rsidR="004359AF" w:rsidRPr="00FA68E4" w:rsidRDefault="004359AF" w:rsidP="00A46040">
      <w:pPr>
        <w:pStyle w:val="FootnoteText"/>
      </w:pPr>
      <w:r>
        <w:rPr>
          <w:rStyle w:val="FootnoteReference"/>
        </w:rPr>
        <w:footnoteRef/>
      </w:r>
      <w:r>
        <w:t xml:space="preserve"> On the history of Jewish interpretation, see </w:t>
      </w:r>
      <w:proofErr w:type="spellStart"/>
      <w:r>
        <w:t>Avi</w:t>
      </w:r>
      <w:proofErr w:type="spellEnd"/>
      <w:r>
        <w:t xml:space="preserve"> </w:t>
      </w:r>
      <w:proofErr w:type="spellStart"/>
      <w:r>
        <w:t>Sagi</w:t>
      </w:r>
      <w:proofErr w:type="spellEnd"/>
      <w:r>
        <w:t>, “</w:t>
      </w:r>
      <w:r w:rsidRPr="009D5919">
        <w:t>The Punishmen</w:t>
      </w:r>
      <w:r>
        <w:t xml:space="preserve">t of </w:t>
      </w:r>
      <w:proofErr w:type="spellStart"/>
      <w:r>
        <w:t>Amalek</w:t>
      </w:r>
      <w:proofErr w:type="spellEnd"/>
      <w:r>
        <w:t xml:space="preserve"> in Jewish Tradition,” </w:t>
      </w:r>
      <w:r>
        <w:rPr>
          <w:i/>
        </w:rPr>
        <w:t>HTR</w:t>
      </w:r>
      <w:r>
        <w:t xml:space="preserve"> 87 (1994), 323-46. For examples of Christian appropriation of the texts, see Philip Jenkins, </w:t>
      </w:r>
      <w:r>
        <w:rPr>
          <w:i/>
        </w:rPr>
        <w:t xml:space="preserve">Laying </w:t>
      </w:r>
      <w:proofErr w:type="gramStart"/>
      <w:r>
        <w:rPr>
          <w:i/>
        </w:rPr>
        <w:t>Down</w:t>
      </w:r>
      <w:proofErr w:type="gramEnd"/>
      <w:r>
        <w:rPr>
          <w:i/>
        </w:rPr>
        <w:t xml:space="preserve"> the Sword</w:t>
      </w:r>
      <w:r>
        <w:t xml:space="preserve"> (New York: </w:t>
      </w:r>
      <w:proofErr w:type="spellStart"/>
      <w:r>
        <w:t>HarperOne</w:t>
      </w:r>
      <w:proofErr w:type="spellEnd"/>
      <w:r>
        <w:t>, 2011).</w:t>
      </w:r>
    </w:p>
  </w:footnote>
  <w:footnote w:id="76">
    <w:p w:rsidR="004359AF" w:rsidRDefault="004359AF">
      <w:pPr>
        <w:pStyle w:val="FootnoteText"/>
      </w:pPr>
      <w:r>
        <w:rPr>
          <w:rStyle w:val="FootnoteReference"/>
        </w:rPr>
        <w:footnoteRef/>
      </w:r>
      <w:r>
        <w:t xml:space="preserve"> Cf. Stan Goldman, “Narrative and Ethical Ironies in Esther,” </w:t>
      </w:r>
      <w:r w:rsidRPr="00DF0CA0">
        <w:rPr>
          <w:i/>
        </w:rPr>
        <w:t>JSOT</w:t>
      </w:r>
      <w:r>
        <w:t xml:space="preserve"> 47 (1990), 15-31.</w:t>
      </w:r>
    </w:p>
  </w:footnote>
  <w:footnote w:id="77">
    <w:p w:rsidR="004359AF" w:rsidRPr="00C93802" w:rsidRDefault="004359AF" w:rsidP="00A46040">
      <w:pPr>
        <w:pStyle w:val="FootnoteText"/>
      </w:pPr>
      <w:r>
        <w:rPr>
          <w:rStyle w:val="FootnoteReference"/>
        </w:rPr>
        <w:footnoteRef/>
      </w:r>
      <w:r>
        <w:t xml:space="preserve"> </w:t>
      </w:r>
      <w:proofErr w:type="spellStart"/>
      <w:proofErr w:type="gramStart"/>
      <w:r>
        <w:rPr>
          <w:i/>
        </w:rPr>
        <w:t>Zakhor</w:t>
      </w:r>
      <w:proofErr w:type="spellEnd"/>
      <w:r>
        <w:t>, 114, 117.</w:t>
      </w:r>
      <w:proofErr w:type="gramEnd"/>
    </w:p>
  </w:footnote>
  <w:footnote w:id="78">
    <w:p w:rsidR="004359AF" w:rsidRDefault="004359AF" w:rsidP="00A46040">
      <w:pPr>
        <w:pStyle w:val="FootnoteText"/>
      </w:pPr>
      <w:r>
        <w:rPr>
          <w:rStyle w:val="FootnoteReference"/>
        </w:rPr>
        <w:footnoteRef/>
      </w:r>
      <w:r>
        <w:t xml:space="preserve"> </w:t>
      </w:r>
      <w:proofErr w:type="spellStart"/>
      <w:r>
        <w:t>Ricoeur</w:t>
      </w:r>
      <w:proofErr w:type="spellEnd"/>
      <w:r>
        <w:t xml:space="preserve"> </w:t>
      </w:r>
      <w:r>
        <w:rPr>
          <w:i/>
        </w:rPr>
        <w:t>Memory, History, Forgetting</w:t>
      </w:r>
      <w:r>
        <w:t>, 448, 412.</w:t>
      </w:r>
    </w:p>
  </w:footnote>
  <w:footnote w:id="79">
    <w:p w:rsidR="004359AF" w:rsidRDefault="004359AF" w:rsidP="00A46040">
      <w:pPr>
        <w:pStyle w:val="FootnoteText"/>
      </w:pPr>
      <w:r>
        <w:rPr>
          <w:rStyle w:val="FootnoteReference"/>
        </w:rPr>
        <w:footnoteRef/>
      </w:r>
      <w:r>
        <w:t xml:space="preserve"> </w:t>
      </w:r>
      <w:r w:rsidRPr="00FD4855">
        <w:t xml:space="preserve">[J. </w:t>
      </w:r>
      <w:proofErr w:type="spellStart"/>
      <w:r w:rsidRPr="00FD4855">
        <w:t>Pollman</w:t>
      </w:r>
      <w:proofErr w:type="spellEnd"/>
      <w:r w:rsidRPr="00FD4855">
        <w:t xml:space="preserve">?] </w:t>
      </w:r>
      <w:proofErr w:type="gramStart"/>
      <w:r w:rsidRPr="00FD4855">
        <w:t xml:space="preserve">“Memory: Concepts and Theory,” </w:t>
      </w:r>
      <w:hyperlink r:id="rId1" w:history="1">
        <w:r w:rsidRPr="00FD4855">
          <w:rPr>
            <w:rStyle w:val="Hyperlink"/>
          </w:rPr>
          <w:t>http://www.hum.leiden.edu/history/talesoftherevolt/approach/approach-1.html</w:t>
        </w:r>
      </w:hyperlink>
      <w:r>
        <w:t xml:space="preserve">, with references to scholars such as </w:t>
      </w:r>
      <w:proofErr w:type="spellStart"/>
      <w:r w:rsidRPr="00DB7C5C">
        <w:t>Yerushalmi</w:t>
      </w:r>
      <w:proofErr w:type="spellEnd"/>
      <w:r>
        <w:t>.</w:t>
      </w:r>
      <w:proofErr w:type="gramEnd"/>
    </w:p>
  </w:footnote>
  <w:footnote w:id="80">
    <w:p w:rsidR="004359AF" w:rsidRDefault="004359AF" w:rsidP="00A4604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7.</w:t>
      </w:r>
      <w:proofErr w:type="gramEnd"/>
    </w:p>
  </w:footnote>
  <w:footnote w:id="81">
    <w:p w:rsidR="004359AF" w:rsidRPr="008D356A" w:rsidRDefault="004359AF" w:rsidP="0036635B">
      <w:pPr>
        <w:pStyle w:val="Footnote"/>
      </w:pPr>
      <w:r>
        <w:rPr>
          <w:rStyle w:val="FootnoteReference"/>
        </w:rPr>
        <w:footnoteRef/>
      </w:r>
      <w:r>
        <w:t xml:space="preserve"> </w:t>
      </w:r>
      <w:r w:rsidRPr="004D3EB8">
        <w:t xml:space="preserve">“What Is a Nation?” </w:t>
      </w:r>
      <w:r w:rsidRPr="00265FF1">
        <w:t xml:space="preserve">in </w:t>
      </w:r>
      <w:proofErr w:type="spellStart"/>
      <w:r w:rsidRPr="00265FF1">
        <w:t>Homi</w:t>
      </w:r>
      <w:proofErr w:type="spellEnd"/>
      <w:r w:rsidRPr="00265FF1">
        <w:t xml:space="preserve"> K. </w:t>
      </w:r>
      <w:proofErr w:type="spellStart"/>
      <w:r w:rsidRPr="00265FF1">
        <w:t>Bhabha</w:t>
      </w:r>
      <w:proofErr w:type="spellEnd"/>
      <w:r w:rsidRPr="00265FF1">
        <w:t xml:space="preserve"> (ed.), </w:t>
      </w:r>
      <w:r w:rsidRPr="00265FF1">
        <w:rPr>
          <w:i/>
        </w:rPr>
        <w:t>Nation</w:t>
      </w:r>
      <w:r w:rsidRPr="004D3EB8">
        <w:rPr>
          <w:i/>
        </w:rPr>
        <w:t xml:space="preserve"> and Narration</w:t>
      </w:r>
      <w:r w:rsidRPr="004D3EB8">
        <w:t xml:space="preserve"> (London</w:t>
      </w:r>
      <w:r>
        <w:t>/New York</w:t>
      </w:r>
      <w:r w:rsidRPr="004D3EB8">
        <w:t xml:space="preserve">: </w:t>
      </w:r>
      <w:proofErr w:type="spellStart"/>
      <w:r w:rsidRPr="004D3EB8">
        <w:t>Routledge</w:t>
      </w:r>
      <w:proofErr w:type="spellEnd"/>
      <w:r w:rsidRPr="004D3EB8">
        <w:t xml:space="preserve">, 1990), </w:t>
      </w:r>
      <w:r>
        <w:t>8-22</w:t>
      </w:r>
      <w:r w:rsidRPr="004D3EB8">
        <w:t xml:space="preserve"> </w:t>
      </w:r>
      <w:r>
        <w:t>(</w:t>
      </w:r>
      <w:r w:rsidRPr="004D3EB8">
        <w:t>11</w:t>
      </w:r>
      <w:r>
        <w:t>); cf.</w:t>
      </w:r>
      <w:r w:rsidRPr="004D3EB8">
        <w:t xml:space="preserve"> Ronald</w:t>
      </w:r>
      <w:r w:rsidRPr="008D356A">
        <w:t xml:space="preserve"> </w:t>
      </w:r>
      <w:proofErr w:type="spellStart"/>
      <w:r w:rsidRPr="008D356A">
        <w:t>Hendel</w:t>
      </w:r>
      <w:proofErr w:type="spellEnd"/>
      <w:r w:rsidRPr="008D356A">
        <w:t xml:space="preserve">, </w:t>
      </w:r>
      <w:r w:rsidRPr="008D356A">
        <w:rPr>
          <w:i/>
        </w:rPr>
        <w:t xml:space="preserve">Remembering </w:t>
      </w:r>
      <w:proofErr w:type="gramStart"/>
      <w:r w:rsidRPr="008D356A">
        <w:rPr>
          <w:i/>
        </w:rPr>
        <w:t xml:space="preserve">Abraham </w:t>
      </w:r>
      <w:r w:rsidRPr="008D356A">
        <w:t xml:space="preserve"> (</w:t>
      </w:r>
      <w:proofErr w:type="gramEnd"/>
      <w:r w:rsidRPr="008D356A">
        <w:t>Oxford/New York: OUP, 2005)</w:t>
      </w:r>
      <w:r>
        <w:t>, x.</w:t>
      </w:r>
    </w:p>
  </w:footnote>
  <w:footnote w:id="82">
    <w:p w:rsidR="004359AF" w:rsidRPr="006B3F25" w:rsidRDefault="004359AF" w:rsidP="00A46040">
      <w:pPr>
        <w:pStyle w:val="FootnoteText"/>
      </w:pPr>
      <w:r>
        <w:rPr>
          <w:rStyle w:val="FootnoteReference"/>
        </w:rPr>
        <w:footnoteRef/>
      </w:r>
      <w:r>
        <w:t xml:space="preserve"> Cf. Richard </w:t>
      </w:r>
      <w:proofErr w:type="spellStart"/>
      <w:r>
        <w:t>Terdiman</w:t>
      </w:r>
      <w:proofErr w:type="spellEnd"/>
      <w:r>
        <w:t xml:space="preserve">, </w:t>
      </w:r>
      <w:r>
        <w:rPr>
          <w:i/>
        </w:rPr>
        <w:t>Present Past</w:t>
      </w:r>
      <w:r>
        <w:t xml:space="preserve"> (Ithaca/London: Cornell UP, 1993), </w:t>
      </w:r>
      <w:proofErr w:type="gramStart"/>
      <w:r>
        <w:t>vii</w:t>
      </w:r>
      <w:proofErr w:type="gramEnd"/>
      <w:r>
        <w:t>-viii.</w:t>
      </w:r>
    </w:p>
  </w:footnote>
  <w:footnote w:id="83">
    <w:p w:rsidR="004359AF" w:rsidRDefault="004359AF" w:rsidP="00A46040">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xml:space="preserve"> 96.</w:t>
      </w:r>
      <w:proofErr w:type="gramEnd"/>
    </w:p>
  </w:footnote>
  <w:footnote w:id="84">
    <w:p w:rsidR="004359AF" w:rsidRDefault="004359AF" w:rsidP="00540254">
      <w:pPr>
        <w:pStyle w:val="FootnoteText"/>
      </w:pPr>
      <w:r>
        <w:rPr>
          <w:rStyle w:val="FootnoteReference"/>
        </w:rPr>
        <w:footnoteRef/>
      </w:r>
      <w:r>
        <w:t xml:space="preserve"> </w:t>
      </w:r>
      <w:proofErr w:type="spellStart"/>
      <w:proofErr w:type="gramStart"/>
      <w:r>
        <w:t>Assmann</w:t>
      </w:r>
      <w:proofErr w:type="spellEnd"/>
      <w:r>
        <w:t xml:space="preserve">, </w:t>
      </w:r>
      <w:r>
        <w:rPr>
          <w:i/>
        </w:rPr>
        <w:t>Religion and Cultural Memory</w:t>
      </w:r>
      <w:r>
        <w:t>, 19.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6455"/>
      <w:docPartObj>
        <w:docPartGallery w:val="Page Numbers (Top of Page)"/>
        <w:docPartUnique/>
      </w:docPartObj>
    </w:sdtPr>
    <w:sdtContent>
      <w:p w:rsidR="004359AF" w:rsidRDefault="00603C66">
        <w:pPr>
          <w:pStyle w:val="Header"/>
          <w:jc w:val="right"/>
        </w:pPr>
        <w:fldSimple w:instr=" PAGE   \* MERGEFORMAT ">
          <w:r w:rsidR="00352AAF">
            <w:rPr>
              <w:noProof/>
            </w:rPr>
            <w:t>21</w:t>
          </w:r>
        </w:fldSimple>
      </w:p>
    </w:sdtContent>
  </w:sdt>
  <w:p w:rsidR="004359AF" w:rsidRDefault="00435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B29A8"/>
    <w:multiLevelType w:val="hybridMultilevel"/>
    <w:tmpl w:val="C758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proofState w:spelling="clean" w:grammar="clean"/>
  <w:defaultTabStop w:val="720"/>
  <w:characterSpacingControl w:val="doNotCompress"/>
  <w:footnotePr>
    <w:footnote w:id="-1"/>
    <w:footnote w:id="0"/>
  </w:footnotePr>
  <w:endnotePr>
    <w:endnote w:id="-1"/>
    <w:endnote w:id="0"/>
  </w:endnotePr>
  <w:compat/>
  <w:rsids>
    <w:rsidRoot w:val="004200BE"/>
    <w:rsid w:val="00000AEC"/>
    <w:rsid w:val="00000D18"/>
    <w:rsid w:val="000020BC"/>
    <w:rsid w:val="00002194"/>
    <w:rsid w:val="00003825"/>
    <w:rsid w:val="00004C7B"/>
    <w:rsid w:val="00006248"/>
    <w:rsid w:val="0000626E"/>
    <w:rsid w:val="00006E05"/>
    <w:rsid w:val="000076FB"/>
    <w:rsid w:val="00010C92"/>
    <w:rsid w:val="00011928"/>
    <w:rsid w:val="00012AF7"/>
    <w:rsid w:val="00013B5B"/>
    <w:rsid w:val="00014436"/>
    <w:rsid w:val="00017FD8"/>
    <w:rsid w:val="00026E42"/>
    <w:rsid w:val="00027773"/>
    <w:rsid w:val="00030C69"/>
    <w:rsid w:val="0004056A"/>
    <w:rsid w:val="00042CAA"/>
    <w:rsid w:val="00043D6C"/>
    <w:rsid w:val="00045513"/>
    <w:rsid w:val="0004632B"/>
    <w:rsid w:val="00054809"/>
    <w:rsid w:val="00054875"/>
    <w:rsid w:val="00054A9D"/>
    <w:rsid w:val="00057FC8"/>
    <w:rsid w:val="00071463"/>
    <w:rsid w:val="0007185E"/>
    <w:rsid w:val="000728DA"/>
    <w:rsid w:val="0008015B"/>
    <w:rsid w:val="0008300C"/>
    <w:rsid w:val="0008334F"/>
    <w:rsid w:val="000835CE"/>
    <w:rsid w:val="0008596D"/>
    <w:rsid w:val="00085B28"/>
    <w:rsid w:val="00086FAF"/>
    <w:rsid w:val="00087E49"/>
    <w:rsid w:val="00090FEA"/>
    <w:rsid w:val="00093860"/>
    <w:rsid w:val="00094CA3"/>
    <w:rsid w:val="000979BD"/>
    <w:rsid w:val="000A1D17"/>
    <w:rsid w:val="000A79C4"/>
    <w:rsid w:val="000B12D1"/>
    <w:rsid w:val="000B2603"/>
    <w:rsid w:val="000B3BE0"/>
    <w:rsid w:val="000B6CE3"/>
    <w:rsid w:val="000C00AA"/>
    <w:rsid w:val="000C00D8"/>
    <w:rsid w:val="000C095B"/>
    <w:rsid w:val="000C5EB6"/>
    <w:rsid w:val="000C6668"/>
    <w:rsid w:val="000D106C"/>
    <w:rsid w:val="000D2CCD"/>
    <w:rsid w:val="000D47C0"/>
    <w:rsid w:val="000D6368"/>
    <w:rsid w:val="000D63E0"/>
    <w:rsid w:val="000D6647"/>
    <w:rsid w:val="000E2F4C"/>
    <w:rsid w:val="000E6D8C"/>
    <w:rsid w:val="000F1317"/>
    <w:rsid w:val="000F4CEA"/>
    <w:rsid w:val="000F7848"/>
    <w:rsid w:val="00106AA8"/>
    <w:rsid w:val="001129F0"/>
    <w:rsid w:val="00112E40"/>
    <w:rsid w:val="00112F07"/>
    <w:rsid w:val="00115B1B"/>
    <w:rsid w:val="00117160"/>
    <w:rsid w:val="00120DFF"/>
    <w:rsid w:val="0012452C"/>
    <w:rsid w:val="00125DD1"/>
    <w:rsid w:val="00130752"/>
    <w:rsid w:val="00137EA9"/>
    <w:rsid w:val="00137F15"/>
    <w:rsid w:val="001432A7"/>
    <w:rsid w:val="001445EB"/>
    <w:rsid w:val="001470B6"/>
    <w:rsid w:val="0015108D"/>
    <w:rsid w:val="00151E2B"/>
    <w:rsid w:val="001521D3"/>
    <w:rsid w:val="00152D31"/>
    <w:rsid w:val="00153E7A"/>
    <w:rsid w:val="00154DED"/>
    <w:rsid w:val="001561C9"/>
    <w:rsid w:val="001577B8"/>
    <w:rsid w:val="0016270B"/>
    <w:rsid w:val="0016379F"/>
    <w:rsid w:val="001640E3"/>
    <w:rsid w:val="00164BFE"/>
    <w:rsid w:val="0016532D"/>
    <w:rsid w:val="00167B4F"/>
    <w:rsid w:val="00167CD5"/>
    <w:rsid w:val="00170DA1"/>
    <w:rsid w:val="00170E53"/>
    <w:rsid w:val="00170ECB"/>
    <w:rsid w:val="00171242"/>
    <w:rsid w:val="0017332B"/>
    <w:rsid w:val="00174BE4"/>
    <w:rsid w:val="00175078"/>
    <w:rsid w:val="001758BE"/>
    <w:rsid w:val="001811E8"/>
    <w:rsid w:val="00181B49"/>
    <w:rsid w:val="00182AB7"/>
    <w:rsid w:val="00183D3F"/>
    <w:rsid w:val="00186EB7"/>
    <w:rsid w:val="00187E39"/>
    <w:rsid w:val="00191D58"/>
    <w:rsid w:val="0019231A"/>
    <w:rsid w:val="00193836"/>
    <w:rsid w:val="00194647"/>
    <w:rsid w:val="001A1FB9"/>
    <w:rsid w:val="001A4029"/>
    <w:rsid w:val="001A5506"/>
    <w:rsid w:val="001B45B9"/>
    <w:rsid w:val="001B5D46"/>
    <w:rsid w:val="001B615B"/>
    <w:rsid w:val="001B6D87"/>
    <w:rsid w:val="001C0E1E"/>
    <w:rsid w:val="001C67F5"/>
    <w:rsid w:val="001D73EC"/>
    <w:rsid w:val="001E0A12"/>
    <w:rsid w:val="001E2167"/>
    <w:rsid w:val="001E3A29"/>
    <w:rsid w:val="001E5682"/>
    <w:rsid w:val="001E71E4"/>
    <w:rsid w:val="001E7E5B"/>
    <w:rsid w:val="001F021E"/>
    <w:rsid w:val="001F13B9"/>
    <w:rsid w:val="001F785D"/>
    <w:rsid w:val="00201E0A"/>
    <w:rsid w:val="002024B3"/>
    <w:rsid w:val="002036D8"/>
    <w:rsid w:val="002062E4"/>
    <w:rsid w:val="00206D66"/>
    <w:rsid w:val="002102CA"/>
    <w:rsid w:val="00210747"/>
    <w:rsid w:val="002113D9"/>
    <w:rsid w:val="00214EBF"/>
    <w:rsid w:val="0021649A"/>
    <w:rsid w:val="002216ED"/>
    <w:rsid w:val="002231BE"/>
    <w:rsid w:val="002321EE"/>
    <w:rsid w:val="00237D0E"/>
    <w:rsid w:val="0024202F"/>
    <w:rsid w:val="00242E9A"/>
    <w:rsid w:val="00243E88"/>
    <w:rsid w:val="00244D6D"/>
    <w:rsid w:val="00245554"/>
    <w:rsid w:val="00245A00"/>
    <w:rsid w:val="002511D4"/>
    <w:rsid w:val="00252105"/>
    <w:rsid w:val="00252307"/>
    <w:rsid w:val="00253182"/>
    <w:rsid w:val="00253E7D"/>
    <w:rsid w:val="00254E1C"/>
    <w:rsid w:val="0025566E"/>
    <w:rsid w:val="0025674B"/>
    <w:rsid w:val="002622BC"/>
    <w:rsid w:val="002625C0"/>
    <w:rsid w:val="002630A9"/>
    <w:rsid w:val="00265F60"/>
    <w:rsid w:val="00265FF1"/>
    <w:rsid w:val="00272C5A"/>
    <w:rsid w:val="00275446"/>
    <w:rsid w:val="00275A88"/>
    <w:rsid w:val="002811FE"/>
    <w:rsid w:val="0028507A"/>
    <w:rsid w:val="00287120"/>
    <w:rsid w:val="002905D4"/>
    <w:rsid w:val="00291495"/>
    <w:rsid w:val="00292B86"/>
    <w:rsid w:val="002950A4"/>
    <w:rsid w:val="002961C0"/>
    <w:rsid w:val="0029692F"/>
    <w:rsid w:val="00296A4A"/>
    <w:rsid w:val="002A0654"/>
    <w:rsid w:val="002A0CBC"/>
    <w:rsid w:val="002A207A"/>
    <w:rsid w:val="002A3FEA"/>
    <w:rsid w:val="002A7027"/>
    <w:rsid w:val="002B20B0"/>
    <w:rsid w:val="002B5280"/>
    <w:rsid w:val="002B5360"/>
    <w:rsid w:val="002B721B"/>
    <w:rsid w:val="002C244D"/>
    <w:rsid w:val="002C3747"/>
    <w:rsid w:val="002C4E80"/>
    <w:rsid w:val="002C6C62"/>
    <w:rsid w:val="002D091E"/>
    <w:rsid w:val="002D122A"/>
    <w:rsid w:val="002D5F35"/>
    <w:rsid w:val="002D7884"/>
    <w:rsid w:val="002D7CCF"/>
    <w:rsid w:val="002E02EE"/>
    <w:rsid w:val="002E2698"/>
    <w:rsid w:val="002E3925"/>
    <w:rsid w:val="002E5AA7"/>
    <w:rsid w:val="002E60AE"/>
    <w:rsid w:val="002E7A0F"/>
    <w:rsid w:val="002F092B"/>
    <w:rsid w:val="002F0DC1"/>
    <w:rsid w:val="002F1933"/>
    <w:rsid w:val="002F6318"/>
    <w:rsid w:val="002F6607"/>
    <w:rsid w:val="002F7A73"/>
    <w:rsid w:val="00303885"/>
    <w:rsid w:val="003041C2"/>
    <w:rsid w:val="0030447F"/>
    <w:rsid w:val="00305710"/>
    <w:rsid w:val="00305B98"/>
    <w:rsid w:val="00306D60"/>
    <w:rsid w:val="00306ED9"/>
    <w:rsid w:val="00307FF9"/>
    <w:rsid w:val="00311B33"/>
    <w:rsid w:val="00312275"/>
    <w:rsid w:val="003123EA"/>
    <w:rsid w:val="003129F6"/>
    <w:rsid w:val="00313D7E"/>
    <w:rsid w:val="003208E9"/>
    <w:rsid w:val="003227AD"/>
    <w:rsid w:val="0032379F"/>
    <w:rsid w:val="00323CD8"/>
    <w:rsid w:val="00324B7F"/>
    <w:rsid w:val="00326F6B"/>
    <w:rsid w:val="00330A8D"/>
    <w:rsid w:val="00330F6E"/>
    <w:rsid w:val="003321E6"/>
    <w:rsid w:val="00333C7B"/>
    <w:rsid w:val="00337438"/>
    <w:rsid w:val="003404DF"/>
    <w:rsid w:val="00341281"/>
    <w:rsid w:val="00343D2A"/>
    <w:rsid w:val="00344CE2"/>
    <w:rsid w:val="00347716"/>
    <w:rsid w:val="003514D3"/>
    <w:rsid w:val="003524F2"/>
    <w:rsid w:val="00352524"/>
    <w:rsid w:val="00352AAF"/>
    <w:rsid w:val="00352C9F"/>
    <w:rsid w:val="00353DBA"/>
    <w:rsid w:val="00355B04"/>
    <w:rsid w:val="00360DAA"/>
    <w:rsid w:val="003613C5"/>
    <w:rsid w:val="00364BC0"/>
    <w:rsid w:val="003654BA"/>
    <w:rsid w:val="0036635B"/>
    <w:rsid w:val="00366F1B"/>
    <w:rsid w:val="00370CF7"/>
    <w:rsid w:val="00371986"/>
    <w:rsid w:val="00371B31"/>
    <w:rsid w:val="00373FCF"/>
    <w:rsid w:val="003742FF"/>
    <w:rsid w:val="0037789A"/>
    <w:rsid w:val="00380018"/>
    <w:rsid w:val="003811EE"/>
    <w:rsid w:val="00381B85"/>
    <w:rsid w:val="00384494"/>
    <w:rsid w:val="0038583B"/>
    <w:rsid w:val="0039196A"/>
    <w:rsid w:val="00391A1B"/>
    <w:rsid w:val="003924FB"/>
    <w:rsid w:val="0039290D"/>
    <w:rsid w:val="00394585"/>
    <w:rsid w:val="00396120"/>
    <w:rsid w:val="003972CB"/>
    <w:rsid w:val="003A21F9"/>
    <w:rsid w:val="003A33BD"/>
    <w:rsid w:val="003A4E88"/>
    <w:rsid w:val="003A5701"/>
    <w:rsid w:val="003B13C2"/>
    <w:rsid w:val="003B4D08"/>
    <w:rsid w:val="003B56EB"/>
    <w:rsid w:val="003B5741"/>
    <w:rsid w:val="003B6DB7"/>
    <w:rsid w:val="003C1790"/>
    <w:rsid w:val="003C35C9"/>
    <w:rsid w:val="003C49B8"/>
    <w:rsid w:val="003C5C50"/>
    <w:rsid w:val="003C6755"/>
    <w:rsid w:val="003C707B"/>
    <w:rsid w:val="003D004F"/>
    <w:rsid w:val="003D27BC"/>
    <w:rsid w:val="003D4F35"/>
    <w:rsid w:val="003D531A"/>
    <w:rsid w:val="003E6ED3"/>
    <w:rsid w:val="003F03A2"/>
    <w:rsid w:val="003F4851"/>
    <w:rsid w:val="003F6BCB"/>
    <w:rsid w:val="003F71A3"/>
    <w:rsid w:val="0040215B"/>
    <w:rsid w:val="0040453C"/>
    <w:rsid w:val="004062F6"/>
    <w:rsid w:val="004110C6"/>
    <w:rsid w:val="00412E2B"/>
    <w:rsid w:val="004143F0"/>
    <w:rsid w:val="00415188"/>
    <w:rsid w:val="004200BE"/>
    <w:rsid w:val="0042614E"/>
    <w:rsid w:val="00427E7D"/>
    <w:rsid w:val="0043073F"/>
    <w:rsid w:val="00430CDC"/>
    <w:rsid w:val="004359AF"/>
    <w:rsid w:val="004361EB"/>
    <w:rsid w:val="004369A3"/>
    <w:rsid w:val="00440D2D"/>
    <w:rsid w:val="00443261"/>
    <w:rsid w:val="00443365"/>
    <w:rsid w:val="00447195"/>
    <w:rsid w:val="00447A36"/>
    <w:rsid w:val="00450C4C"/>
    <w:rsid w:val="00460910"/>
    <w:rsid w:val="004621A5"/>
    <w:rsid w:val="00462D72"/>
    <w:rsid w:val="00462E11"/>
    <w:rsid w:val="00463F5A"/>
    <w:rsid w:val="0046421F"/>
    <w:rsid w:val="00466D2C"/>
    <w:rsid w:val="00467406"/>
    <w:rsid w:val="00467E9B"/>
    <w:rsid w:val="004709F1"/>
    <w:rsid w:val="00472C32"/>
    <w:rsid w:val="0047420A"/>
    <w:rsid w:val="004746A8"/>
    <w:rsid w:val="00474D10"/>
    <w:rsid w:val="004751BA"/>
    <w:rsid w:val="00475DD9"/>
    <w:rsid w:val="004768E4"/>
    <w:rsid w:val="00482FFC"/>
    <w:rsid w:val="004904A9"/>
    <w:rsid w:val="00494BE9"/>
    <w:rsid w:val="0049571A"/>
    <w:rsid w:val="004977A7"/>
    <w:rsid w:val="004A0908"/>
    <w:rsid w:val="004A0AC4"/>
    <w:rsid w:val="004A1F74"/>
    <w:rsid w:val="004A4B69"/>
    <w:rsid w:val="004A547A"/>
    <w:rsid w:val="004A69F0"/>
    <w:rsid w:val="004B045B"/>
    <w:rsid w:val="004B4A81"/>
    <w:rsid w:val="004B4E38"/>
    <w:rsid w:val="004B60EB"/>
    <w:rsid w:val="004C20EC"/>
    <w:rsid w:val="004C5F3D"/>
    <w:rsid w:val="004D0A8E"/>
    <w:rsid w:val="004D3EB8"/>
    <w:rsid w:val="004D4D1E"/>
    <w:rsid w:val="004D6367"/>
    <w:rsid w:val="004D673D"/>
    <w:rsid w:val="004E0718"/>
    <w:rsid w:val="004E39AC"/>
    <w:rsid w:val="004E59F8"/>
    <w:rsid w:val="004F4F0E"/>
    <w:rsid w:val="005054D4"/>
    <w:rsid w:val="00506C91"/>
    <w:rsid w:val="00507B70"/>
    <w:rsid w:val="005115C1"/>
    <w:rsid w:val="005115CE"/>
    <w:rsid w:val="005124D2"/>
    <w:rsid w:val="00512C3B"/>
    <w:rsid w:val="005131FB"/>
    <w:rsid w:val="00524701"/>
    <w:rsid w:val="00526301"/>
    <w:rsid w:val="00526BFA"/>
    <w:rsid w:val="00526CF1"/>
    <w:rsid w:val="005302D9"/>
    <w:rsid w:val="005354F3"/>
    <w:rsid w:val="00535E6B"/>
    <w:rsid w:val="00536AF5"/>
    <w:rsid w:val="005377EA"/>
    <w:rsid w:val="00540254"/>
    <w:rsid w:val="00542E0B"/>
    <w:rsid w:val="00543013"/>
    <w:rsid w:val="005431B5"/>
    <w:rsid w:val="00543BF7"/>
    <w:rsid w:val="00545551"/>
    <w:rsid w:val="00551372"/>
    <w:rsid w:val="005528E8"/>
    <w:rsid w:val="00552B94"/>
    <w:rsid w:val="00556CAF"/>
    <w:rsid w:val="00557E63"/>
    <w:rsid w:val="00561DBE"/>
    <w:rsid w:val="00563B86"/>
    <w:rsid w:val="00564831"/>
    <w:rsid w:val="00565332"/>
    <w:rsid w:val="00570450"/>
    <w:rsid w:val="00571E83"/>
    <w:rsid w:val="0057457F"/>
    <w:rsid w:val="00575FB6"/>
    <w:rsid w:val="005775C1"/>
    <w:rsid w:val="00577E2A"/>
    <w:rsid w:val="00581075"/>
    <w:rsid w:val="00581BD0"/>
    <w:rsid w:val="00593131"/>
    <w:rsid w:val="00593299"/>
    <w:rsid w:val="005A1057"/>
    <w:rsid w:val="005A3000"/>
    <w:rsid w:val="005A5785"/>
    <w:rsid w:val="005A7DE6"/>
    <w:rsid w:val="005B02D8"/>
    <w:rsid w:val="005B06A2"/>
    <w:rsid w:val="005B2CFC"/>
    <w:rsid w:val="005B3621"/>
    <w:rsid w:val="005C0104"/>
    <w:rsid w:val="005C0FFF"/>
    <w:rsid w:val="005C1953"/>
    <w:rsid w:val="005C6EC1"/>
    <w:rsid w:val="005C70A8"/>
    <w:rsid w:val="005D055B"/>
    <w:rsid w:val="005D0F75"/>
    <w:rsid w:val="005D215A"/>
    <w:rsid w:val="005D629B"/>
    <w:rsid w:val="005D734A"/>
    <w:rsid w:val="005E03A9"/>
    <w:rsid w:val="005E385F"/>
    <w:rsid w:val="005E53EC"/>
    <w:rsid w:val="005F2445"/>
    <w:rsid w:val="005F4E52"/>
    <w:rsid w:val="005F64D3"/>
    <w:rsid w:val="00601E17"/>
    <w:rsid w:val="00603C66"/>
    <w:rsid w:val="00606627"/>
    <w:rsid w:val="0061123A"/>
    <w:rsid w:val="00613706"/>
    <w:rsid w:val="006142B3"/>
    <w:rsid w:val="00617373"/>
    <w:rsid w:val="006222A8"/>
    <w:rsid w:val="006263FD"/>
    <w:rsid w:val="00626C26"/>
    <w:rsid w:val="00627A96"/>
    <w:rsid w:val="00627F66"/>
    <w:rsid w:val="00631972"/>
    <w:rsid w:val="00634332"/>
    <w:rsid w:val="006354CB"/>
    <w:rsid w:val="00637CF1"/>
    <w:rsid w:val="006451F6"/>
    <w:rsid w:val="006556E1"/>
    <w:rsid w:val="006565E0"/>
    <w:rsid w:val="00660770"/>
    <w:rsid w:val="006646B8"/>
    <w:rsid w:val="006656A6"/>
    <w:rsid w:val="00666627"/>
    <w:rsid w:val="00667C63"/>
    <w:rsid w:val="00670B58"/>
    <w:rsid w:val="00670FF9"/>
    <w:rsid w:val="006737AC"/>
    <w:rsid w:val="00673C89"/>
    <w:rsid w:val="00674735"/>
    <w:rsid w:val="00674F85"/>
    <w:rsid w:val="00680492"/>
    <w:rsid w:val="006822F1"/>
    <w:rsid w:val="00684470"/>
    <w:rsid w:val="0068478F"/>
    <w:rsid w:val="0068612D"/>
    <w:rsid w:val="00686339"/>
    <w:rsid w:val="00686DCE"/>
    <w:rsid w:val="00687D02"/>
    <w:rsid w:val="00697BDF"/>
    <w:rsid w:val="006A20BD"/>
    <w:rsid w:val="006A3F83"/>
    <w:rsid w:val="006A429B"/>
    <w:rsid w:val="006A469C"/>
    <w:rsid w:val="006A62DC"/>
    <w:rsid w:val="006A7F2A"/>
    <w:rsid w:val="006B2730"/>
    <w:rsid w:val="006B2FED"/>
    <w:rsid w:val="006B3F25"/>
    <w:rsid w:val="006B5310"/>
    <w:rsid w:val="006B661D"/>
    <w:rsid w:val="006B7907"/>
    <w:rsid w:val="006C1F73"/>
    <w:rsid w:val="006C473B"/>
    <w:rsid w:val="006C5412"/>
    <w:rsid w:val="006C5975"/>
    <w:rsid w:val="006C5E67"/>
    <w:rsid w:val="006C5F73"/>
    <w:rsid w:val="006D589F"/>
    <w:rsid w:val="006D611A"/>
    <w:rsid w:val="006D622D"/>
    <w:rsid w:val="006D6F15"/>
    <w:rsid w:val="006D7DDD"/>
    <w:rsid w:val="006E3C65"/>
    <w:rsid w:val="006E4410"/>
    <w:rsid w:val="006E4D06"/>
    <w:rsid w:val="006F0A3D"/>
    <w:rsid w:val="006F1865"/>
    <w:rsid w:val="006F1CAA"/>
    <w:rsid w:val="006F2BC3"/>
    <w:rsid w:val="006F77A4"/>
    <w:rsid w:val="00702953"/>
    <w:rsid w:val="007043DE"/>
    <w:rsid w:val="007110B3"/>
    <w:rsid w:val="00716B97"/>
    <w:rsid w:val="00717316"/>
    <w:rsid w:val="007176B5"/>
    <w:rsid w:val="00720161"/>
    <w:rsid w:val="00724A77"/>
    <w:rsid w:val="00726E40"/>
    <w:rsid w:val="00727432"/>
    <w:rsid w:val="007303F0"/>
    <w:rsid w:val="0073194B"/>
    <w:rsid w:val="00732DE6"/>
    <w:rsid w:val="00736853"/>
    <w:rsid w:val="00740137"/>
    <w:rsid w:val="007416B6"/>
    <w:rsid w:val="00741C60"/>
    <w:rsid w:val="00745B68"/>
    <w:rsid w:val="007464B5"/>
    <w:rsid w:val="00746E20"/>
    <w:rsid w:val="00747E9E"/>
    <w:rsid w:val="00750F72"/>
    <w:rsid w:val="00750F9C"/>
    <w:rsid w:val="00751E2C"/>
    <w:rsid w:val="0075296B"/>
    <w:rsid w:val="00754439"/>
    <w:rsid w:val="007548A9"/>
    <w:rsid w:val="00755AE5"/>
    <w:rsid w:val="00755EFD"/>
    <w:rsid w:val="00764461"/>
    <w:rsid w:val="00773EF8"/>
    <w:rsid w:val="00774E53"/>
    <w:rsid w:val="007778CB"/>
    <w:rsid w:val="00780164"/>
    <w:rsid w:val="00780DFB"/>
    <w:rsid w:val="00782E1A"/>
    <w:rsid w:val="0078438B"/>
    <w:rsid w:val="00785C53"/>
    <w:rsid w:val="00785F4B"/>
    <w:rsid w:val="0078762C"/>
    <w:rsid w:val="00793421"/>
    <w:rsid w:val="00793CEC"/>
    <w:rsid w:val="007943F7"/>
    <w:rsid w:val="00795EF6"/>
    <w:rsid w:val="00797652"/>
    <w:rsid w:val="007A0633"/>
    <w:rsid w:val="007A1823"/>
    <w:rsid w:val="007A1F6B"/>
    <w:rsid w:val="007A59DB"/>
    <w:rsid w:val="007A5E28"/>
    <w:rsid w:val="007A66A7"/>
    <w:rsid w:val="007B0509"/>
    <w:rsid w:val="007B30F0"/>
    <w:rsid w:val="007B4B71"/>
    <w:rsid w:val="007B74CF"/>
    <w:rsid w:val="007B7619"/>
    <w:rsid w:val="007C0DD7"/>
    <w:rsid w:val="007C27B4"/>
    <w:rsid w:val="007D0359"/>
    <w:rsid w:val="007D2A28"/>
    <w:rsid w:val="007D3FDC"/>
    <w:rsid w:val="007D7691"/>
    <w:rsid w:val="007E0338"/>
    <w:rsid w:val="007E2A21"/>
    <w:rsid w:val="007E450F"/>
    <w:rsid w:val="007E4BD4"/>
    <w:rsid w:val="007F215F"/>
    <w:rsid w:val="007F4177"/>
    <w:rsid w:val="007F53E8"/>
    <w:rsid w:val="008008CF"/>
    <w:rsid w:val="00803F01"/>
    <w:rsid w:val="00805A76"/>
    <w:rsid w:val="008149DF"/>
    <w:rsid w:val="00814B18"/>
    <w:rsid w:val="00821680"/>
    <w:rsid w:val="008225B0"/>
    <w:rsid w:val="00826EFE"/>
    <w:rsid w:val="00827DEF"/>
    <w:rsid w:val="00840CB1"/>
    <w:rsid w:val="00840E4C"/>
    <w:rsid w:val="00844D30"/>
    <w:rsid w:val="0084532D"/>
    <w:rsid w:val="008476E9"/>
    <w:rsid w:val="00851B5E"/>
    <w:rsid w:val="00853BB8"/>
    <w:rsid w:val="00855602"/>
    <w:rsid w:val="00856132"/>
    <w:rsid w:val="00856A9C"/>
    <w:rsid w:val="00857402"/>
    <w:rsid w:val="00861BB5"/>
    <w:rsid w:val="0086371F"/>
    <w:rsid w:val="0087166F"/>
    <w:rsid w:val="00871F96"/>
    <w:rsid w:val="00874918"/>
    <w:rsid w:val="008776B5"/>
    <w:rsid w:val="00877D54"/>
    <w:rsid w:val="00877ECB"/>
    <w:rsid w:val="008807F9"/>
    <w:rsid w:val="00882870"/>
    <w:rsid w:val="00884126"/>
    <w:rsid w:val="00884438"/>
    <w:rsid w:val="00890FA1"/>
    <w:rsid w:val="00893253"/>
    <w:rsid w:val="0089483C"/>
    <w:rsid w:val="00894C16"/>
    <w:rsid w:val="00895B95"/>
    <w:rsid w:val="008A08AB"/>
    <w:rsid w:val="008A1C05"/>
    <w:rsid w:val="008A3623"/>
    <w:rsid w:val="008A4559"/>
    <w:rsid w:val="008B1195"/>
    <w:rsid w:val="008B1ED6"/>
    <w:rsid w:val="008B222D"/>
    <w:rsid w:val="008B22F2"/>
    <w:rsid w:val="008B33AF"/>
    <w:rsid w:val="008B4468"/>
    <w:rsid w:val="008B741A"/>
    <w:rsid w:val="008C0B23"/>
    <w:rsid w:val="008C4557"/>
    <w:rsid w:val="008C5030"/>
    <w:rsid w:val="008C5D12"/>
    <w:rsid w:val="008C6A86"/>
    <w:rsid w:val="008D02DF"/>
    <w:rsid w:val="008D02E7"/>
    <w:rsid w:val="008D1687"/>
    <w:rsid w:val="008D356A"/>
    <w:rsid w:val="008D7CBE"/>
    <w:rsid w:val="008D7DAD"/>
    <w:rsid w:val="008E1961"/>
    <w:rsid w:val="008E2D46"/>
    <w:rsid w:val="008E37BD"/>
    <w:rsid w:val="008E6606"/>
    <w:rsid w:val="008F0251"/>
    <w:rsid w:val="008F042F"/>
    <w:rsid w:val="008F3AF1"/>
    <w:rsid w:val="008F44FA"/>
    <w:rsid w:val="008F592A"/>
    <w:rsid w:val="00905926"/>
    <w:rsid w:val="00906202"/>
    <w:rsid w:val="009132BD"/>
    <w:rsid w:val="00913FA7"/>
    <w:rsid w:val="00916A57"/>
    <w:rsid w:val="00922AEC"/>
    <w:rsid w:val="00924702"/>
    <w:rsid w:val="00925707"/>
    <w:rsid w:val="00931603"/>
    <w:rsid w:val="00934000"/>
    <w:rsid w:val="00941140"/>
    <w:rsid w:val="00941F2E"/>
    <w:rsid w:val="00941F3A"/>
    <w:rsid w:val="00945C5F"/>
    <w:rsid w:val="00945D58"/>
    <w:rsid w:val="00947886"/>
    <w:rsid w:val="00956808"/>
    <w:rsid w:val="00957957"/>
    <w:rsid w:val="0096259D"/>
    <w:rsid w:val="00963230"/>
    <w:rsid w:val="0096527B"/>
    <w:rsid w:val="00965366"/>
    <w:rsid w:val="009655A2"/>
    <w:rsid w:val="00966696"/>
    <w:rsid w:val="00966AD6"/>
    <w:rsid w:val="00967BB8"/>
    <w:rsid w:val="009744B1"/>
    <w:rsid w:val="009752EE"/>
    <w:rsid w:val="0098108B"/>
    <w:rsid w:val="009810B5"/>
    <w:rsid w:val="00981385"/>
    <w:rsid w:val="009822C7"/>
    <w:rsid w:val="00982646"/>
    <w:rsid w:val="00982950"/>
    <w:rsid w:val="00984F2C"/>
    <w:rsid w:val="0098704D"/>
    <w:rsid w:val="00991397"/>
    <w:rsid w:val="00995666"/>
    <w:rsid w:val="00995780"/>
    <w:rsid w:val="0099703C"/>
    <w:rsid w:val="009A0281"/>
    <w:rsid w:val="009A7135"/>
    <w:rsid w:val="009A7604"/>
    <w:rsid w:val="009B215F"/>
    <w:rsid w:val="009B4BCA"/>
    <w:rsid w:val="009B7C3A"/>
    <w:rsid w:val="009C059B"/>
    <w:rsid w:val="009C5A57"/>
    <w:rsid w:val="009C5AEB"/>
    <w:rsid w:val="009C67ED"/>
    <w:rsid w:val="009D0075"/>
    <w:rsid w:val="009D1062"/>
    <w:rsid w:val="009D14F1"/>
    <w:rsid w:val="009D3A65"/>
    <w:rsid w:val="009D3DB7"/>
    <w:rsid w:val="009D5919"/>
    <w:rsid w:val="009D6169"/>
    <w:rsid w:val="009D72BB"/>
    <w:rsid w:val="009E0526"/>
    <w:rsid w:val="009E124E"/>
    <w:rsid w:val="009E4CBF"/>
    <w:rsid w:val="009E790F"/>
    <w:rsid w:val="009F4374"/>
    <w:rsid w:val="009F5073"/>
    <w:rsid w:val="009F6583"/>
    <w:rsid w:val="009F7087"/>
    <w:rsid w:val="009F74F5"/>
    <w:rsid w:val="00A00BBA"/>
    <w:rsid w:val="00A011D5"/>
    <w:rsid w:val="00A0340F"/>
    <w:rsid w:val="00A04B66"/>
    <w:rsid w:val="00A052E8"/>
    <w:rsid w:val="00A05916"/>
    <w:rsid w:val="00A06701"/>
    <w:rsid w:val="00A07EF7"/>
    <w:rsid w:val="00A10023"/>
    <w:rsid w:val="00A11C1A"/>
    <w:rsid w:val="00A11DB4"/>
    <w:rsid w:val="00A13745"/>
    <w:rsid w:val="00A13930"/>
    <w:rsid w:val="00A1486F"/>
    <w:rsid w:val="00A171AF"/>
    <w:rsid w:val="00A24223"/>
    <w:rsid w:val="00A246A3"/>
    <w:rsid w:val="00A26837"/>
    <w:rsid w:val="00A27879"/>
    <w:rsid w:val="00A31A0D"/>
    <w:rsid w:val="00A35188"/>
    <w:rsid w:val="00A3631D"/>
    <w:rsid w:val="00A3729C"/>
    <w:rsid w:val="00A41ADD"/>
    <w:rsid w:val="00A431E4"/>
    <w:rsid w:val="00A4513C"/>
    <w:rsid w:val="00A45DB8"/>
    <w:rsid w:val="00A46040"/>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7224A"/>
    <w:rsid w:val="00A74C4E"/>
    <w:rsid w:val="00A808FE"/>
    <w:rsid w:val="00A843E5"/>
    <w:rsid w:val="00A84F04"/>
    <w:rsid w:val="00A84FA9"/>
    <w:rsid w:val="00A8592A"/>
    <w:rsid w:val="00A85B7C"/>
    <w:rsid w:val="00A868FB"/>
    <w:rsid w:val="00A870A9"/>
    <w:rsid w:val="00A9154B"/>
    <w:rsid w:val="00A94CD9"/>
    <w:rsid w:val="00A952D5"/>
    <w:rsid w:val="00A968A1"/>
    <w:rsid w:val="00A97E33"/>
    <w:rsid w:val="00AA11DB"/>
    <w:rsid w:val="00AA14EA"/>
    <w:rsid w:val="00AA75CB"/>
    <w:rsid w:val="00AB0DDA"/>
    <w:rsid w:val="00AB2532"/>
    <w:rsid w:val="00AB2D7C"/>
    <w:rsid w:val="00AB571B"/>
    <w:rsid w:val="00AB746D"/>
    <w:rsid w:val="00AD135D"/>
    <w:rsid w:val="00AD4900"/>
    <w:rsid w:val="00AD54C2"/>
    <w:rsid w:val="00AE121B"/>
    <w:rsid w:val="00AE1CDC"/>
    <w:rsid w:val="00AE5254"/>
    <w:rsid w:val="00B03985"/>
    <w:rsid w:val="00B03D17"/>
    <w:rsid w:val="00B04291"/>
    <w:rsid w:val="00B06626"/>
    <w:rsid w:val="00B10992"/>
    <w:rsid w:val="00B155D0"/>
    <w:rsid w:val="00B20299"/>
    <w:rsid w:val="00B222EC"/>
    <w:rsid w:val="00B2417F"/>
    <w:rsid w:val="00B25742"/>
    <w:rsid w:val="00B267C7"/>
    <w:rsid w:val="00B27A55"/>
    <w:rsid w:val="00B27D96"/>
    <w:rsid w:val="00B3193E"/>
    <w:rsid w:val="00B31EA2"/>
    <w:rsid w:val="00B31EEB"/>
    <w:rsid w:val="00B3205C"/>
    <w:rsid w:val="00B327F2"/>
    <w:rsid w:val="00B33799"/>
    <w:rsid w:val="00B35109"/>
    <w:rsid w:val="00B35503"/>
    <w:rsid w:val="00B35EAF"/>
    <w:rsid w:val="00B40AB5"/>
    <w:rsid w:val="00B412E0"/>
    <w:rsid w:val="00B463CB"/>
    <w:rsid w:val="00B5310E"/>
    <w:rsid w:val="00B5353F"/>
    <w:rsid w:val="00B53CB9"/>
    <w:rsid w:val="00B554A9"/>
    <w:rsid w:val="00B55B5F"/>
    <w:rsid w:val="00B56A5F"/>
    <w:rsid w:val="00B575B7"/>
    <w:rsid w:val="00B60D10"/>
    <w:rsid w:val="00B628C1"/>
    <w:rsid w:val="00B63B64"/>
    <w:rsid w:val="00B63EDF"/>
    <w:rsid w:val="00B66190"/>
    <w:rsid w:val="00B67EAC"/>
    <w:rsid w:val="00B73C6D"/>
    <w:rsid w:val="00B75585"/>
    <w:rsid w:val="00B8193C"/>
    <w:rsid w:val="00B846B5"/>
    <w:rsid w:val="00B878F0"/>
    <w:rsid w:val="00B91DF8"/>
    <w:rsid w:val="00B92805"/>
    <w:rsid w:val="00B9611F"/>
    <w:rsid w:val="00B968E7"/>
    <w:rsid w:val="00BA255D"/>
    <w:rsid w:val="00BA37E1"/>
    <w:rsid w:val="00BA4487"/>
    <w:rsid w:val="00BA795E"/>
    <w:rsid w:val="00BA7D95"/>
    <w:rsid w:val="00BB1F4C"/>
    <w:rsid w:val="00BB3B22"/>
    <w:rsid w:val="00BB67F2"/>
    <w:rsid w:val="00BB6A55"/>
    <w:rsid w:val="00BC1751"/>
    <w:rsid w:val="00BC2005"/>
    <w:rsid w:val="00BC2CB4"/>
    <w:rsid w:val="00BC4838"/>
    <w:rsid w:val="00BC642F"/>
    <w:rsid w:val="00BD070A"/>
    <w:rsid w:val="00BD2FA2"/>
    <w:rsid w:val="00BD3D9F"/>
    <w:rsid w:val="00BD4C21"/>
    <w:rsid w:val="00BD59C2"/>
    <w:rsid w:val="00BD692F"/>
    <w:rsid w:val="00BD6F71"/>
    <w:rsid w:val="00BE0B06"/>
    <w:rsid w:val="00BE1C29"/>
    <w:rsid w:val="00BE1FFA"/>
    <w:rsid w:val="00BE2096"/>
    <w:rsid w:val="00BE22D6"/>
    <w:rsid w:val="00BE2635"/>
    <w:rsid w:val="00BE350F"/>
    <w:rsid w:val="00BE36E3"/>
    <w:rsid w:val="00BE5CAE"/>
    <w:rsid w:val="00BE669A"/>
    <w:rsid w:val="00BE66CE"/>
    <w:rsid w:val="00BF12D9"/>
    <w:rsid w:val="00BF1991"/>
    <w:rsid w:val="00BF1E32"/>
    <w:rsid w:val="00BF4BC6"/>
    <w:rsid w:val="00BF6216"/>
    <w:rsid w:val="00BF74E8"/>
    <w:rsid w:val="00C002A0"/>
    <w:rsid w:val="00C027F6"/>
    <w:rsid w:val="00C0329A"/>
    <w:rsid w:val="00C03DE4"/>
    <w:rsid w:val="00C03E75"/>
    <w:rsid w:val="00C070F4"/>
    <w:rsid w:val="00C07699"/>
    <w:rsid w:val="00C12D0E"/>
    <w:rsid w:val="00C15C0F"/>
    <w:rsid w:val="00C16959"/>
    <w:rsid w:val="00C21B6D"/>
    <w:rsid w:val="00C2282C"/>
    <w:rsid w:val="00C22A11"/>
    <w:rsid w:val="00C25724"/>
    <w:rsid w:val="00C32314"/>
    <w:rsid w:val="00C32708"/>
    <w:rsid w:val="00C333BF"/>
    <w:rsid w:val="00C35F7D"/>
    <w:rsid w:val="00C36782"/>
    <w:rsid w:val="00C44E96"/>
    <w:rsid w:val="00C5264A"/>
    <w:rsid w:val="00C52A09"/>
    <w:rsid w:val="00C562BE"/>
    <w:rsid w:val="00C56DD2"/>
    <w:rsid w:val="00C617C3"/>
    <w:rsid w:val="00C619CE"/>
    <w:rsid w:val="00C62230"/>
    <w:rsid w:val="00C641E5"/>
    <w:rsid w:val="00C65542"/>
    <w:rsid w:val="00C67583"/>
    <w:rsid w:val="00C71454"/>
    <w:rsid w:val="00C721FA"/>
    <w:rsid w:val="00C74AD3"/>
    <w:rsid w:val="00C7552D"/>
    <w:rsid w:val="00C7661D"/>
    <w:rsid w:val="00C76E6F"/>
    <w:rsid w:val="00C770F8"/>
    <w:rsid w:val="00C80707"/>
    <w:rsid w:val="00C85373"/>
    <w:rsid w:val="00C87E36"/>
    <w:rsid w:val="00C91228"/>
    <w:rsid w:val="00C92968"/>
    <w:rsid w:val="00C93802"/>
    <w:rsid w:val="00CA2A86"/>
    <w:rsid w:val="00CA4856"/>
    <w:rsid w:val="00CB32CC"/>
    <w:rsid w:val="00CB6961"/>
    <w:rsid w:val="00CC158A"/>
    <w:rsid w:val="00CC3E39"/>
    <w:rsid w:val="00CC449C"/>
    <w:rsid w:val="00CC692A"/>
    <w:rsid w:val="00CD10BB"/>
    <w:rsid w:val="00CD1335"/>
    <w:rsid w:val="00CD1FCD"/>
    <w:rsid w:val="00CD7D7B"/>
    <w:rsid w:val="00CE1562"/>
    <w:rsid w:val="00CE4343"/>
    <w:rsid w:val="00CE63AC"/>
    <w:rsid w:val="00CF0902"/>
    <w:rsid w:val="00CF2D3C"/>
    <w:rsid w:val="00CF302D"/>
    <w:rsid w:val="00CF3A63"/>
    <w:rsid w:val="00CF452B"/>
    <w:rsid w:val="00CF4914"/>
    <w:rsid w:val="00CF50B0"/>
    <w:rsid w:val="00CF51D9"/>
    <w:rsid w:val="00CF6776"/>
    <w:rsid w:val="00D006E2"/>
    <w:rsid w:val="00D03CF6"/>
    <w:rsid w:val="00D11AAF"/>
    <w:rsid w:val="00D163BF"/>
    <w:rsid w:val="00D17C38"/>
    <w:rsid w:val="00D17F67"/>
    <w:rsid w:val="00D224D7"/>
    <w:rsid w:val="00D26920"/>
    <w:rsid w:val="00D26BB7"/>
    <w:rsid w:val="00D30CD9"/>
    <w:rsid w:val="00D3178D"/>
    <w:rsid w:val="00D31B00"/>
    <w:rsid w:val="00D325F9"/>
    <w:rsid w:val="00D34466"/>
    <w:rsid w:val="00D34490"/>
    <w:rsid w:val="00D35DF4"/>
    <w:rsid w:val="00D37B13"/>
    <w:rsid w:val="00D42A9A"/>
    <w:rsid w:val="00D43406"/>
    <w:rsid w:val="00D46AA3"/>
    <w:rsid w:val="00D5059E"/>
    <w:rsid w:val="00D50625"/>
    <w:rsid w:val="00D51A98"/>
    <w:rsid w:val="00D520B7"/>
    <w:rsid w:val="00D5279C"/>
    <w:rsid w:val="00D52BC1"/>
    <w:rsid w:val="00D539BF"/>
    <w:rsid w:val="00D54973"/>
    <w:rsid w:val="00D57D85"/>
    <w:rsid w:val="00D60B43"/>
    <w:rsid w:val="00D61255"/>
    <w:rsid w:val="00D6293A"/>
    <w:rsid w:val="00D65DCD"/>
    <w:rsid w:val="00D7264B"/>
    <w:rsid w:val="00D7403C"/>
    <w:rsid w:val="00D74466"/>
    <w:rsid w:val="00D80177"/>
    <w:rsid w:val="00D816DF"/>
    <w:rsid w:val="00D82785"/>
    <w:rsid w:val="00D842E1"/>
    <w:rsid w:val="00D8433D"/>
    <w:rsid w:val="00D84B45"/>
    <w:rsid w:val="00D8566B"/>
    <w:rsid w:val="00D87FF1"/>
    <w:rsid w:val="00D92460"/>
    <w:rsid w:val="00D92B8B"/>
    <w:rsid w:val="00D95C30"/>
    <w:rsid w:val="00D96264"/>
    <w:rsid w:val="00D96429"/>
    <w:rsid w:val="00DA12E8"/>
    <w:rsid w:val="00DA215F"/>
    <w:rsid w:val="00DA6BF0"/>
    <w:rsid w:val="00DA7308"/>
    <w:rsid w:val="00DA769E"/>
    <w:rsid w:val="00DB08E9"/>
    <w:rsid w:val="00DB0B97"/>
    <w:rsid w:val="00DB22A3"/>
    <w:rsid w:val="00DB29A1"/>
    <w:rsid w:val="00DB4064"/>
    <w:rsid w:val="00DC0D86"/>
    <w:rsid w:val="00DC1A35"/>
    <w:rsid w:val="00DC298B"/>
    <w:rsid w:val="00DC2BC0"/>
    <w:rsid w:val="00DC4C08"/>
    <w:rsid w:val="00DC4C30"/>
    <w:rsid w:val="00DC6645"/>
    <w:rsid w:val="00DD0247"/>
    <w:rsid w:val="00DD222B"/>
    <w:rsid w:val="00DD303F"/>
    <w:rsid w:val="00DD38DD"/>
    <w:rsid w:val="00DD3E03"/>
    <w:rsid w:val="00DE1A08"/>
    <w:rsid w:val="00DE46D8"/>
    <w:rsid w:val="00DE589E"/>
    <w:rsid w:val="00DE74C6"/>
    <w:rsid w:val="00DF0CA0"/>
    <w:rsid w:val="00DF2727"/>
    <w:rsid w:val="00DF3722"/>
    <w:rsid w:val="00DF5C5B"/>
    <w:rsid w:val="00DF66FE"/>
    <w:rsid w:val="00DF7A8D"/>
    <w:rsid w:val="00E01702"/>
    <w:rsid w:val="00E05649"/>
    <w:rsid w:val="00E05E35"/>
    <w:rsid w:val="00E07E2D"/>
    <w:rsid w:val="00E13350"/>
    <w:rsid w:val="00E14521"/>
    <w:rsid w:val="00E146E4"/>
    <w:rsid w:val="00E17444"/>
    <w:rsid w:val="00E17F40"/>
    <w:rsid w:val="00E22573"/>
    <w:rsid w:val="00E23027"/>
    <w:rsid w:val="00E31BB8"/>
    <w:rsid w:val="00E325C5"/>
    <w:rsid w:val="00E36188"/>
    <w:rsid w:val="00E37EA8"/>
    <w:rsid w:val="00E40E2D"/>
    <w:rsid w:val="00E413E8"/>
    <w:rsid w:val="00E41B73"/>
    <w:rsid w:val="00E475FE"/>
    <w:rsid w:val="00E5007E"/>
    <w:rsid w:val="00E50470"/>
    <w:rsid w:val="00E5196C"/>
    <w:rsid w:val="00E5624F"/>
    <w:rsid w:val="00E56609"/>
    <w:rsid w:val="00E56A50"/>
    <w:rsid w:val="00E632BC"/>
    <w:rsid w:val="00E642DD"/>
    <w:rsid w:val="00E65810"/>
    <w:rsid w:val="00E65C08"/>
    <w:rsid w:val="00E6702A"/>
    <w:rsid w:val="00E71E1E"/>
    <w:rsid w:val="00E77811"/>
    <w:rsid w:val="00E77BD2"/>
    <w:rsid w:val="00E81135"/>
    <w:rsid w:val="00E83EEB"/>
    <w:rsid w:val="00E84530"/>
    <w:rsid w:val="00E8527F"/>
    <w:rsid w:val="00E86AC9"/>
    <w:rsid w:val="00E87BCB"/>
    <w:rsid w:val="00E87EA0"/>
    <w:rsid w:val="00E90ABB"/>
    <w:rsid w:val="00E91F35"/>
    <w:rsid w:val="00E922B5"/>
    <w:rsid w:val="00E95570"/>
    <w:rsid w:val="00E96B65"/>
    <w:rsid w:val="00EA0953"/>
    <w:rsid w:val="00EA3B7F"/>
    <w:rsid w:val="00EA3EB5"/>
    <w:rsid w:val="00EA46A8"/>
    <w:rsid w:val="00EA4A41"/>
    <w:rsid w:val="00EA4EE0"/>
    <w:rsid w:val="00EA56D7"/>
    <w:rsid w:val="00EA5E70"/>
    <w:rsid w:val="00EA6915"/>
    <w:rsid w:val="00EB024C"/>
    <w:rsid w:val="00EB3801"/>
    <w:rsid w:val="00EB4356"/>
    <w:rsid w:val="00EB65EB"/>
    <w:rsid w:val="00EC3067"/>
    <w:rsid w:val="00EC314D"/>
    <w:rsid w:val="00EC4514"/>
    <w:rsid w:val="00EC4ED0"/>
    <w:rsid w:val="00EC6E8F"/>
    <w:rsid w:val="00ED2B0D"/>
    <w:rsid w:val="00ED350D"/>
    <w:rsid w:val="00ED43EB"/>
    <w:rsid w:val="00ED4DC7"/>
    <w:rsid w:val="00ED4EAE"/>
    <w:rsid w:val="00ED7282"/>
    <w:rsid w:val="00EE011D"/>
    <w:rsid w:val="00EE039F"/>
    <w:rsid w:val="00EE41A8"/>
    <w:rsid w:val="00EE5A85"/>
    <w:rsid w:val="00EE69D3"/>
    <w:rsid w:val="00EF1E0A"/>
    <w:rsid w:val="00EF57F4"/>
    <w:rsid w:val="00EF6888"/>
    <w:rsid w:val="00F0117E"/>
    <w:rsid w:val="00F01DE6"/>
    <w:rsid w:val="00F02470"/>
    <w:rsid w:val="00F03A46"/>
    <w:rsid w:val="00F13B3D"/>
    <w:rsid w:val="00F205B7"/>
    <w:rsid w:val="00F21841"/>
    <w:rsid w:val="00F22B9B"/>
    <w:rsid w:val="00F238BE"/>
    <w:rsid w:val="00F26AB7"/>
    <w:rsid w:val="00F30D74"/>
    <w:rsid w:val="00F321F8"/>
    <w:rsid w:val="00F337E6"/>
    <w:rsid w:val="00F34E16"/>
    <w:rsid w:val="00F35C94"/>
    <w:rsid w:val="00F36A73"/>
    <w:rsid w:val="00F36C14"/>
    <w:rsid w:val="00F419E3"/>
    <w:rsid w:val="00F42DAF"/>
    <w:rsid w:val="00F510AE"/>
    <w:rsid w:val="00F51A50"/>
    <w:rsid w:val="00F522B6"/>
    <w:rsid w:val="00F53825"/>
    <w:rsid w:val="00F53912"/>
    <w:rsid w:val="00F53A2A"/>
    <w:rsid w:val="00F60B74"/>
    <w:rsid w:val="00F622DE"/>
    <w:rsid w:val="00F64FA9"/>
    <w:rsid w:val="00F669FE"/>
    <w:rsid w:val="00F67173"/>
    <w:rsid w:val="00F72263"/>
    <w:rsid w:val="00F7612F"/>
    <w:rsid w:val="00F812BE"/>
    <w:rsid w:val="00F81786"/>
    <w:rsid w:val="00F8379B"/>
    <w:rsid w:val="00F85083"/>
    <w:rsid w:val="00F906DA"/>
    <w:rsid w:val="00F9078B"/>
    <w:rsid w:val="00FA41B9"/>
    <w:rsid w:val="00FA68E4"/>
    <w:rsid w:val="00FB1127"/>
    <w:rsid w:val="00FB2338"/>
    <w:rsid w:val="00FB4B83"/>
    <w:rsid w:val="00FB4DB1"/>
    <w:rsid w:val="00FB5971"/>
    <w:rsid w:val="00FC0CE0"/>
    <w:rsid w:val="00FC0F02"/>
    <w:rsid w:val="00FC0FD9"/>
    <w:rsid w:val="00FC201C"/>
    <w:rsid w:val="00FC3D8B"/>
    <w:rsid w:val="00FC5045"/>
    <w:rsid w:val="00FC59D2"/>
    <w:rsid w:val="00FC6274"/>
    <w:rsid w:val="00FC62E0"/>
    <w:rsid w:val="00FC73D5"/>
    <w:rsid w:val="00FD06F2"/>
    <w:rsid w:val="00FD19B3"/>
    <w:rsid w:val="00FD38A2"/>
    <w:rsid w:val="00FD4DF3"/>
    <w:rsid w:val="00FD6493"/>
    <w:rsid w:val="00FD69BC"/>
    <w:rsid w:val="00FD74F1"/>
    <w:rsid w:val="00FD7C52"/>
    <w:rsid w:val="00FE09F1"/>
    <w:rsid w:val="00FE17B9"/>
    <w:rsid w:val="00FE7537"/>
    <w:rsid w:val="00FF0413"/>
    <w:rsid w:val="00FF4965"/>
    <w:rsid w:val="00FF5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0B"/>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8E1961"/>
    <w:pPr>
      <w:ind w:left="720" w:firstLine="0"/>
    </w:pPr>
    <w:rPr>
      <w:rFonts w:eastAsia="Times New Roman"/>
      <w:szCs w:val="22"/>
      <w:lang w:bidi="he-IL"/>
    </w:rPr>
  </w:style>
  <w:style w:type="character" w:customStyle="1" w:styleId="PlainTextChar">
    <w:name w:val="Plain Text Char"/>
    <w:basedOn w:val="DefaultParagraphFont"/>
    <w:link w:val="PlainText"/>
    <w:rsid w:val="008E1961"/>
    <w:rPr>
      <w:rFonts w:eastAsia="Times New Roman" w:cs="Times New Roman"/>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autoRedefine/>
    <w:qFormat/>
    <w:rsid w:val="00906202"/>
    <w:pPr>
      <w:shd w:val="clear" w:color="auto" w:fill="FFFFFF"/>
      <w:spacing w:line="200" w:lineRule="exact"/>
      <w:ind w:firstLine="0"/>
    </w:pPr>
    <w:rPr>
      <w:iCs/>
      <w:spacing w:val="-5"/>
      <w:sz w:val="20"/>
      <w:szCs w:val="22"/>
    </w:rPr>
  </w:style>
  <w:style w:type="paragraph" w:styleId="Quote">
    <w:name w:val="Quote"/>
    <w:basedOn w:val="Normal"/>
    <w:next w:val="Normal"/>
    <w:link w:val="QuoteChar"/>
    <w:autoRedefine/>
    <w:uiPriority w:val="29"/>
    <w:qFormat/>
    <w:rsid w:val="00BE0B06"/>
    <w:pPr>
      <w:ind w:left="720" w:firstLine="0"/>
    </w:pPr>
    <w:rPr>
      <w:iCs/>
      <w:color w:val="000000" w:themeColor="text1"/>
    </w:rPr>
  </w:style>
  <w:style w:type="character" w:customStyle="1" w:styleId="QuoteChar">
    <w:name w:val="Quote Char"/>
    <w:basedOn w:val="DefaultParagraphFont"/>
    <w:link w:val="Quote"/>
    <w:uiPriority w:val="29"/>
    <w:rsid w:val="00BE0B06"/>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945D58"/>
    <w:rPr>
      <w:rFonts w:ascii="Tahoma" w:hAnsi="Tahoma" w:cs="Tahoma"/>
      <w:sz w:val="16"/>
      <w:szCs w:val="16"/>
    </w:rPr>
  </w:style>
  <w:style w:type="character" w:customStyle="1" w:styleId="DocumentMapChar">
    <w:name w:val="Document Map Char"/>
    <w:basedOn w:val="DefaultParagraphFont"/>
    <w:link w:val="DocumentMap"/>
    <w:uiPriority w:val="99"/>
    <w:semiHidden/>
    <w:rsid w:val="00945D58"/>
    <w:rPr>
      <w:rFonts w:ascii="Tahoma" w:eastAsiaTheme="minorEastAsia" w:hAnsi="Tahoma" w:cs="Tahoma"/>
      <w:sz w:val="16"/>
      <w:szCs w:val="16"/>
    </w:rPr>
  </w:style>
  <w:style w:type="character" w:customStyle="1" w:styleId="st">
    <w:name w:val="st"/>
    <w:basedOn w:val="DefaultParagraphFont"/>
    <w:rsid w:val="00E5624F"/>
  </w:style>
  <w:style w:type="paragraph" w:styleId="FootnoteText">
    <w:name w:val="footnote text"/>
    <w:basedOn w:val="Normal"/>
    <w:link w:val="FootnoteTextChar"/>
    <w:autoRedefine/>
    <w:unhideWhenUsed/>
    <w:qFormat/>
    <w:rsid w:val="0047420A"/>
    <w:pPr>
      <w:ind w:firstLine="0"/>
    </w:pPr>
    <w:rPr>
      <w:sz w:val="20"/>
    </w:rPr>
  </w:style>
  <w:style w:type="character" w:customStyle="1" w:styleId="FootnoteTextChar">
    <w:name w:val="Footnote Text Char"/>
    <w:basedOn w:val="DefaultParagraphFont"/>
    <w:link w:val="FootnoteText"/>
    <w:rsid w:val="0047420A"/>
    <w:rPr>
      <w:rFonts w:eastAsiaTheme="minorEastAsia" w:cs="Times New Roman"/>
      <w:sz w:val="20"/>
      <w:szCs w:val="20"/>
    </w:rPr>
  </w:style>
  <w:style w:type="character" w:styleId="FootnoteReference">
    <w:name w:val="footnote reference"/>
    <w:basedOn w:val="DefaultParagraphFont"/>
    <w:unhideWhenUsed/>
    <w:rsid w:val="00DD3E03"/>
    <w:rPr>
      <w:vertAlign w:val="superscript"/>
    </w:rPr>
  </w:style>
  <w:style w:type="paragraph" w:styleId="List">
    <w:name w:val="List"/>
    <w:basedOn w:val="Normal"/>
    <w:link w:val="ListChar"/>
    <w:rsid w:val="00EC3067"/>
    <w:pPr>
      <w:widowControl/>
      <w:autoSpaceDE/>
      <w:autoSpaceDN/>
      <w:adjustRightInd/>
      <w:ind w:left="360" w:hanging="360"/>
    </w:pPr>
    <w:rPr>
      <w:rFonts w:ascii="Times New Roman" w:eastAsia="Times New Roman" w:hAnsi="Times New Roman"/>
    </w:rPr>
  </w:style>
  <w:style w:type="character" w:styleId="Hyperlink">
    <w:name w:val="Hyperlink"/>
    <w:basedOn w:val="DefaultParagraphFont"/>
    <w:uiPriority w:val="99"/>
    <w:unhideWhenUsed/>
    <w:rsid w:val="00384494"/>
    <w:rPr>
      <w:color w:val="0000FF" w:themeColor="hyperlink"/>
      <w:u w:val="single"/>
    </w:rPr>
  </w:style>
  <w:style w:type="character" w:styleId="FollowedHyperlink">
    <w:name w:val="FollowedHyperlink"/>
    <w:basedOn w:val="DefaultParagraphFont"/>
    <w:uiPriority w:val="99"/>
    <w:semiHidden/>
    <w:unhideWhenUsed/>
    <w:rsid w:val="00384494"/>
    <w:rPr>
      <w:color w:val="800080" w:themeColor="followedHyperlink"/>
      <w:u w:val="single"/>
    </w:rPr>
  </w:style>
  <w:style w:type="paragraph" w:styleId="BalloonText">
    <w:name w:val="Balloon Text"/>
    <w:basedOn w:val="Normal"/>
    <w:link w:val="BalloonTextChar"/>
    <w:uiPriority w:val="99"/>
    <w:semiHidden/>
    <w:unhideWhenUsed/>
    <w:rsid w:val="00EA4A41"/>
    <w:rPr>
      <w:rFonts w:ascii="Tahoma" w:hAnsi="Tahoma" w:cs="Tahoma"/>
      <w:sz w:val="16"/>
      <w:szCs w:val="16"/>
    </w:rPr>
  </w:style>
  <w:style w:type="character" w:customStyle="1" w:styleId="BalloonTextChar">
    <w:name w:val="Balloon Text Char"/>
    <w:basedOn w:val="DefaultParagraphFont"/>
    <w:link w:val="BalloonText"/>
    <w:uiPriority w:val="99"/>
    <w:semiHidden/>
    <w:rsid w:val="00EA4A41"/>
    <w:rPr>
      <w:rFonts w:ascii="Tahoma" w:eastAsiaTheme="minorEastAsia" w:hAnsi="Tahoma" w:cs="Tahoma"/>
      <w:sz w:val="16"/>
      <w:szCs w:val="16"/>
    </w:rPr>
  </w:style>
  <w:style w:type="paragraph" w:customStyle="1" w:styleId="Default">
    <w:name w:val="Default"/>
    <w:rsid w:val="001C0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724A77"/>
  </w:style>
  <w:style w:type="character" w:styleId="Emphasis">
    <w:name w:val="Emphasis"/>
    <w:basedOn w:val="DefaultParagraphFont"/>
    <w:uiPriority w:val="20"/>
    <w:qFormat/>
    <w:rsid w:val="00793421"/>
    <w:rPr>
      <w:i/>
      <w:iCs/>
    </w:rPr>
  </w:style>
  <w:style w:type="paragraph" w:styleId="Title">
    <w:name w:val="Title"/>
    <w:basedOn w:val="Normal"/>
    <w:next w:val="Normal"/>
    <w:link w:val="TitleChar"/>
    <w:uiPriority w:val="10"/>
    <w:qFormat/>
    <w:rsid w:val="009810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08B"/>
    <w:rPr>
      <w:rFonts w:asciiTheme="majorHAnsi" w:eastAsiaTheme="majorEastAsia" w:hAnsiTheme="majorHAnsi" w:cstheme="majorBidi"/>
      <w:color w:val="17365D" w:themeColor="text2" w:themeShade="BF"/>
      <w:spacing w:val="5"/>
      <w:kern w:val="28"/>
      <w:sz w:val="52"/>
      <w:szCs w:val="52"/>
    </w:rPr>
  </w:style>
  <w:style w:type="character" w:customStyle="1" w:styleId="ListChar">
    <w:name w:val="List Char"/>
    <w:basedOn w:val="DefaultParagraphFont"/>
    <w:link w:val="List"/>
    <w:rsid w:val="00DF0CA0"/>
    <w:rPr>
      <w:rFonts w:ascii="Times New Roman" w:eastAsia="Times New Roman" w:hAnsi="Times New Roman" w:cs="Times New Roman"/>
      <w:szCs w:val="20"/>
    </w:rPr>
  </w:style>
  <w:style w:type="paragraph" w:styleId="Header">
    <w:name w:val="header"/>
    <w:basedOn w:val="Normal"/>
    <w:link w:val="HeaderChar"/>
    <w:uiPriority w:val="99"/>
    <w:unhideWhenUsed/>
    <w:rsid w:val="004A0AC4"/>
    <w:pPr>
      <w:tabs>
        <w:tab w:val="center" w:pos="4680"/>
        <w:tab w:val="right" w:pos="9360"/>
      </w:tabs>
    </w:pPr>
  </w:style>
  <w:style w:type="character" w:customStyle="1" w:styleId="HeaderChar">
    <w:name w:val="Header Char"/>
    <w:basedOn w:val="DefaultParagraphFont"/>
    <w:link w:val="Header"/>
    <w:uiPriority w:val="99"/>
    <w:rsid w:val="004A0AC4"/>
    <w:rPr>
      <w:rFonts w:eastAsiaTheme="minorEastAsia" w:cs="Times New Roman"/>
      <w:szCs w:val="20"/>
    </w:rPr>
  </w:style>
  <w:style w:type="paragraph" w:styleId="Footer">
    <w:name w:val="footer"/>
    <w:basedOn w:val="Normal"/>
    <w:link w:val="FooterChar"/>
    <w:uiPriority w:val="99"/>
    <w:semiHidden/>
    <w:unhideWhenUsed/>
    <w:rsid w:val="004A0AC4"/>
    <w:pPr>
      <w:tabs>
        <w:tab w:val="center" w:pos="4680"/>
        <w:tab w:val="right" w:pos="9360"/>
      </w:tabs>
    </w:pPr>
  </w:style>
  <w:style w:type="character" w:customStyle="1" w:styleId="FooterChar">
    <w:name w:val="Footer Char"/>
    <w:basedOn w:val="DefaultParagraphFont"/>
    <w:link w:val="Footer"/>
    <w:uiPriority w:val="99"/>
    <w:semiHidden/>
    <w:rsid w:val="004A0AC4"/>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divs>
    <w:div w:id="774399397">
      <w:bodyDiv w:val="1"/>
      <w:marLeft w:val="0"/>
      <w:marRight w:val="0"/>
      <w:marTop w:val="0"/>
      <w:marBottom w:val="0"/>
      <w:divBdr>
        <w:top w:val="none" w:sz="0" w:space="0" w:color="auto"/>
        <w:left w:val="none" w:sz="0" w:space="0" w:color="auto"/>
        <w:bottom w:val="none" w:sz="0" w:space="0" w:color="auto"/>
        <w:right w:val="none" w:sz="0" w:space="0" w:color="auto"/>
      </w:divBdr>
      <w:divsChild>
        <w:div w:id="1508247570">
          <w:marLeft w:val="0"/>
          <w:marRight w:val="0"/>
          <w:marTop w:val="0"/>
          <w:marBottom w:val="0"/>
          <w:divBdr>
            <w:top w:val="none" w:sz="0" w:space="0" w:color="auto"/>
            <w:left w:val="none" w:sz="0" w:space="0" w:color="auto"/>
            <w:bottom w:val="none" w:sz="0" w:space="0" w:color="auto"/>
            <w:right w:val="none" w:sz="0" w:space="0" w:color="auto"/>
          </w:divBdr>
        </w:div>
      </w:divsChild>
    </w:div>
    <w:div w:id="17858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m.leiden.edu/history/talesoftherevolt/approach/approa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708A0-7F87-434F-8B7E-0584188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cp:lastPrinted>2013-06-19T18:19:00Z</cp:lastPrinted>
  <dcterms:created xsi:type="dcterms:W3CDTF">2013-06-19T18:17:00Z</dcterms:created>
  <dcterms:modified xsi:type="dcterms:W3CDTF">2013-06-19T18:23:00Z</dcterms:modified>
</cp:coreProperties>
</file>