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2849E5" w:rsidP="002945EE">
      <w:pPr>
        <w:pStyle w:val="Heading1"/>
      </w:pPr>
      <w:r>
        <w:t>Scripture</w:t>
      </w:r>
    </w:p>
    <w:p w:rsidR="002849E5" w:rsidRDefault="00AB1494" w:rsidP="002849E5">
      <w:r>
        <w:t>I</w:t>
      </w:r>
      <w:r w:rsidR="007F6781">
        <w:t>n the Bible</w:t>
      </w:r>
      <w:r w:rsidR="00805920">
        <w:t xml:space="preserve"> itself</w:t>
      </w:r>
      <w:r w:rsidR="002849E5">
        <w:t xml:space="preserve">, the word </w:t>
      </w:r>
      <w:r w:rsidR="002849E5">
        <w:rPr>
          <w:i/>
        </w:rPr>
        <w:t>scripture</w:t>
      </w:r>
      <w:r w:rsidR="002849E5">
        <w:t xml:space="preserve"> in the singular usually refers to </w:t>
      </w:r>
      <w:r w:rsidR="008D5323">
        <w:t>a particular passage</w:t>
      </w:r>
      <w:r w:rsidR="00DC7A49">
        <w:t xml:space="preserve"> from</w:t>
      </w:r>
      <w:r w:rsidR="000A57CB">
        <w:t xml:space="preserve"> the Old Testament</w:t>
      </w:r>
      <w:r w:rsidR="002849E5">
        <w:t xml:space="preserve"> (e.g., Mk 12:10; 15:28)</w:t>
      </w:r>
      <w:r w:rsidR="008D5323">
        <w:t>, but the church cam</w:t>
      </w:r>
      <w:r>
        <w:t>e</w:t>
      </w:r>
      <w:r w:rsidR="008D5323">
        <w:t xml:space="preserve"> to use the word to refer to the Old</w:t>
      </w:r>
      <w:r>
        <w:t xml:space="preserve"> and New Testament</w:t>
      </w:r>
      <w:r w:rsidR="00637083">
        <w:t>s</w:t>
      </w:r>
      <w:r>
        <w:t xml:space="preserve"> as a whole. T</w:t>
      </w:r>
      <w:r w:rsidR="008D5323">
        <w:t>he New Testa</w:t>
      </w:r>
      <w:r w:rsidR="00637083">
        <w:t>ment uses the plural</w:t>
      </w:r>
      <w:r w:rsidR="008D5323">
        <w:rPr>
          <w:i/>
        </w:rPr>
        <w:t xml:space="preserve"> scriptures </w:t>
      </w:r>
      <w:r>
        <w:t>to refer to Juda</w:t>
      </w:r>
      <w:r w:rsidR="00805920">
        <w:t>ism’s sacred writings</w:t>
      </w:r>
      <w:r w:rsidR="001F7636">
        <w:t xml:space="preserve"> (e.g., Mk 12:24; 14:49)</w:t>
      </w:r>
      <w:r>
        <w:t xml:space="preserve">, </w:t>
      </w:r>
      <w:r w:rsidR="00DC7A49">
        <w:t xml:space="preserve">which correspond </w:t>
      </w:r>
      <w:r>
        <w:t xml:space="preserve">approximately </w:t>
      </w:r>
      <w:r w:rsidR="00DC7A49">
        <w:t xml:space="preserve">to </w:t>
      </w:r>
      <w:r>
        <w:t xml:space="preserve">what Christians call the Old Testament </w:t>
      </w:r>
      <w:r w:rsidR="00060D82">
        <w:t>(</w:t>
      </w:r>
      <w:r w:rsidR="001F7636">
        <w:t xml:space="preserve">I include the word </w:t>
      </w:r>
      <w:r w:rsidR="007F6781">
        <w:t>“approximately</w:t>
      </w:r>
      <w:r w:rsidR="00060D82">
        <w:t>,</w:t>
      </w:r>
      <w:r w:rsidR="007F6781">
        <w:t>” because w</w:t>
      </w:r>
      <w:r w:rsidR="00060D82">
        <w:t>e do not know whether the extent</w:t>
      </w:r>
      <w:r w:rsidR="00637083">
        <w:t xml:space="preserve"> of these </w:t>
      </w:r>
      <w:r w:rsidR="007F6781">
        <w:t>writings in New Testament times exactly correspond</w:t>
      </w:r>
      <w:r w:rsidR="00DC7A49">
        <w:t>ed</w:t>
      </w:r>
      <w:r w:rsidR="007F6781">
        <w:t xml:space="preserve"> to the bounds of the Torah, the Prophets, and the Writings </w:t>
      </w:r>
      <w:r w:rsidR="00060D82">
        <w:t>as</w:t>
      </w:r>
      <w:r w:rsidR="00637083">
        <w:t xml:space="preserve"> these are accepted in Judaism and are </w:t>
      </w:r>
      <w:r w:rsidR="00060D82">
        <w:t>the collection</w:t>
      </w:r>
      <w:r w:rsidR="007F6781">
        <w:t xml:space="preserve"> termed in Christian parlance “the Old Testament”</w:t>
      </w:r>
      <w:r w:rsidR="002849E5">
        <w:t xml:space="preserve">). </w:t>
      </w:r>
    </w:p>
    <w:p w:rsidR="00322950" w:rsidRPr="00DC7A49" w:rsidRDefault="00A902BD" w:rsidP="00DC7A49">
      <w:pPr>
        <w:rPr>
          <w:b/>
        </w:rPr>
      </w:pPr>
      <w:proofErr w:type="gramStart"/>
      <w:r w:rsidRPr="00DC7A49">
        <w:rPr>
          <w:b/>
        </w:rPr>
        <w:t>Memory</w:t>
      </w:r>
      <w:r w:rsidR="000E3D50" w:rsidRPr="00DC7A49">
        <w:rPr>
          <w:b/>
        </w:rPr>
        <w:t>,</w:t>
      </w:r>
      <w:r w:rsidR="00BD6F2C" w:rsidRPr="00DC7A49">
        <w:rPr>
          <w:b/>
        </w:rPr>
        <w:t xml:space="preserve"> </w:t>
      </w:r>
      <w:r w:rsidRPr="00DC7A49">
        <w:rPr>
          <w:b/>
        </w:rPr>
        <w:t xml:space="preserve">History, </w:t>
      </w:r>
      <w:r w:rsidR="000E3D50" w:rsidRPr="00DC7A49">
        <w:rPr>
          <w:b/>
        </w:rPr>
        <w:t>Witness,</w:t>
      </w:r>
      <w:r w:rsidR="00BD6F2C" w:rsidRPr="00DC7A49">
        <w:rPr>
          <w:b/>
        </w:rPr>
        <w:t xml:space="preserve"> </w:t>
      </w:r>
      <w:r w:rsidRPr="00DC7A49">
        <w:rPr>
          <w:b/>
        </w:rPr>
        <w:t>Tradition</w:t>
      </w:r>
      <w:r w:rsidR="00DC7A49">
        <w:rPr>
          <w:b/>
        </w:rPr>
        <w:t>.</w:t>
      </w:r>
      <w:proofErr w:type="gramEnd"/>
      <w:r w:rsidR="00DC7A49">
        <w:rPr>
          <w:b/>
        </w:rPr>
        <w:t xml:space="preserve"> </w:t>
      </w:r>
      <w:r w:rsidR="00DC7A49">
        <w:t>Theology has traditionally used</w:t>
      </w:r>
      <w:r w:rsidR="00D330DF">
        <w:t xml:space="preserve"> </w:t>
      </w:r>
      <w:r w:rsidR="00DC7A49">
        <w:t xml:space="preserve">categories </w:t>
      </w:r>
      <w:r w:rsidR="00D330DF">
        <w:t xml:space="preserve">such as authority, inspiration, and revelation in order to </w:t>
      </w:r>
      <w:r w:rsidR="00DC7A49">
        <w:t>un</w:t>
      </w:r>
      <w:r w:rsidR="00D330DF">
        <w:t>derstand</w:t>
      </w:r>
      <w:r w:rsidR="00DC7A49">
        <w:t xml:space="preserve"> the </w:t>
      </w:r>
      <w:r w:rsidR="00D330DF">
        <w:t xml:space="preserve">theological status of the </w:t>
      </w:r>
      <w:r w:rsidR="00DC7A49">
        <w:t>scriptures</w:t>
      </w:r>
      <w:r w:rsidR="00805920">
        <w:t>, but these</w:t>
      </w:r>
      <w:r w:rsidR="00DC7A49">
        <w:t xml:space="preserve"> need supplementing</w:t>
      </w:r>
      <w:r w:rsidR="00805920">
        <w:t xml:space="preserve"> with other categories in order</w:t>
      </w:r>
      <w:r w:rsidR="00DC7A49">
        <w:t xml:space="preserve"> to do justice to the scriptures’ own nature. In particular, these categories do not very satisfactorily illumine the narrative works that occupy the first half of each Testament. </w:t>
      </w:r>
    </w:p>
    <w:p w:rsidR="008D5323" w:rsidRDefault="00DC7A49" w:rsidP="005410CB">
      <w:proofErr w:type="gramStart"/>
      <w:r>
        <w:rPr>
          <w:b/>
          <w:i/>
        </w:rPr>
        <w:t>M</w:t>
      </w:r>
      <w:r w:rsidR="00441ADD" w:rsidRPr="00DC7A49">
        <w:rPr>
          <w:b/>
          <w:i/>
        </w:rPr>
        <w:t>emory</w:t>
      </w:r>
      <w:r w:rsidR="005410CB" w:rsidRPr="005410CB">
        <w:rPr>
          <w:b/>
        </w:rPr>
        <w:t>.</w:t>
      </w:r>
      <w:proofErr w:type="gramEnd"/>
      <w:r w:rsidR="005410CB">
        <w:t xml:space="preserve"> </w:t>
      </w:r>
      <w:r w:rsidR="00805920">
        <w:t xml:space="preserve">Those </w:t>
      </w:r>
      <w:r w:rsidR="00322950">
        <w:t>narrative wo</w:t>
      </w:r>
      <w:r w:rsidR="00D330DF">
        <w:t xml:space="preserve">rks </w:t>
      </w:r>
      <w:r w:rsidR="003175A3">
        <w:t xml:space="preserve">embody the </w:t>
      </w:r>
      <w:r w:rsidR="003175A3" w:rsidRPr="00637083">
        <w:t>memory</w:t>
      </w:r>
      <w:r w:rsidR="00E70354">
        <w:t xml:space="preserve"> of </w:t>
      </w:r>
      <w:r w:rsidR="003175A3">
        <w:t>Israel and of the early Christian church concerning key e</w:t>
      </w:r>
      <w:r w:rsidR="008D5323">
        <w:t>vents of</w:t>
      </w:r>
      <w:r w:rsidR="00320120">
        <w:t xml:space="preserve"> their story</w:t>
      </w:r>
      <w:r w:rsidR="00805920">
        <w:t xml:space="preserve"> as the community corporately </w:t>
      </w:r>
      <w:r w:rsidR="00AB1494">
        <w:t>wished it to be remembered</w:t>
      </w:r>
      <w:r w:rsidR="00637083">
        <w:t xml:space="preserve">. </w:t>
      </w:r>
      <w:r w:rsidR="00805920">
        <w:t>The</w:t>
      </w:r>
      <w:r w:rsidR="00D330DF">
        <w:t xml:space="preserve"> works suggest that Jewish and Christian faith </w:t>
      </w:r>
      <w:r w:rsidR="00637083">
        <w:t>focuses</w:t>
      </w:r>
      <w:r w:rsidR="00AB1494">
        <w:t xml:space="preserve"> on certain</w:t>
      </w:r>
      <w:r w:rsidR="003175A3">
        <w:t xml:space="preserve"> sequences of past events</w:t>
      </w:r>
      <w:r w:rsidR="00D330DF">
        <w:t xml:space="preserve"> that the narratives relate</w:t>
      </w:r>
      <w:r w:rsidR="003175A3">
        <w:t xml:space="preserve">. </w:t>
      </w:r>
      <w:r w:rsidR="00637083">
        <w:t>T</w:t>
      </w:r>
      <w:r w:rsidR="00AB1494">
        <w:t xml:space="preserve">he </w:t>
      </w:r>
      <w:r w:rsidR="00320120">
        <w:t xml:space="preserve">faith </w:t>
      </w:r>
      <w:r w:rsidR="00637083">
        <w:t>emerging</w:t>
      </w:r>
      <w:r w:rsidR="00D330DF">
        <w:t xml:space="preserve"> from them</w:t>
      </w:r>
      <w:r w:rsidR="00AB1494">
        <w:t xml:space="preserve"> </w:t>
      </w:r>
      <w:r w:rsidR="00320120">
        <w:t>does</w:t>
      </w:r>
      <w:r w:rsidR="00805920">
        <w:t xml:space="preserve"> not center on </w:t>
      </w:r>
      <w:r w:rsidR="008D5323">
        <w:t>ti</w:t>
      </w:r>
      <w:r w:rsidR="00320120">
        <w:t xml:space="preserve">meless statements about God or </w:t>
      </w:r>
      <w:r w:rsidR="00805920">
        <w:t xml:space="preserve">on </w:t>
      </w:r>
      <w:r w:rsidR="00320120">
        <w:t>obeying</w:t>
      </w:r>
      <w:r w:rsidR="008D5323">
        <w:t xml:space="preserve"> </w:t>
      </w:r>
      <w:r w:rsidR="00637083">
        <w:t>certain</w:t>
      </w:r>
      <w:r w:rsidR="008D5323">
        <w:t xml:space="preserve"> behavioral impera</w:t>
      </w:r>
      <w:r w:rsidR="00637083">
        <w:t xml:space="preserve">tives. It involves seeing </w:t>
      </w:r>
      <w:r w:rsidR="00805920">
        <w:t>particular</w:t>
      </w:r>
      <w:r w:rsidR="00320120">
        <w:t xml:space="preserve"> </w:t>
      </w:r>
      <w:r w:rsidR="00805920">
        <w:t>events and</w:t>
      </w:r>
      <w:r w:rsidR="00320120">
        <w:t xml:space="preserve"> </w:t>
      </w:r>
      <w:r w:rsidR="008D5323">
        <w:t>interac</w:t>
      </w:r>
      <w:r w:rsidR="00320120">
        <w:t>tions between God and people</w:t>
      </w:r>
      <w:r w:rsidR="00BF4A96">
        <w:t xml:space="preserve"> as foundationally important</w:t>
      </w:r>
      <w:r w:rsidR="00320120">
        <w:t xml:space="preserve"> for living by</w:t>
      </w:r>
      <w:r w:rsidR="00AB1494">
        <w:t xml:space="preserve"> and </w:t>
      </w:r>
      <w:r w:rsidR="00805920">
        <w:t xml:space="preserve">living </w:t>
      </w:r>
      <w:r w:rsidR="00AB1494">
        <w:t>in light of</w:t>
      </w:r>
      <w:r w:rsidR="00320120">
        <w:t>.</w:t>
      </w:r>
    </w:p>
    <w:p w:rsidR="00322950" w:rsidRDefault="00320120" w:rsidP="00322950">
      <w:r>
        <w:t>The Old Testament narrative</w:t>
      </w:r>
      <w:r w:rsidR="003175A3">
        <w:t xml:space="preserve">s comprise two </w:t>
      </w:r>
      <w:r>
        <w:t>multi-part work</w:t>
      </w:r>
      <w:r w:rsidR="003175A3">
        <w:t xml:space="preserve">s, the books from Genesis to Kings and </w:t>
      </w:r>
      <w:r w:rsidR="00BF4A96">
        <w:t xml:space="preserve">the books of Chronicles, Ezra, and </w:t>
      </w:r>
      <w:r w:rsidR="003175A3">
        <w:t xml:space="preserve">Nehemiah. Both begin from creation </w:t>
      </w:r>
      <w:r w:rsidR="00FC3FC5">
        <w:t xml:space="preserve">but </w:t>
      </w:r>
      <w:r w:rsidR="003175A3">
        <w:t xml:space="preserve">focus on the story of Israel down to the time of the author and readers. </w:t>
      </w:r>
      <w:r w:rsidR="00FC3FC5">
        <w:t xml:space="preserve">The first </w:t>
      </w:r>
      <w:r w:rsidR="00637083">
        <w:t>highlights</w:t>
      </w:r>
      <w:r w:rsidR="00FC3FC5">
        <w:t xml:space="preserve"> the time of Abraham and Jacob, Moses, Joshua, and David;</w:t>
      </w:r>
      <w:r w:rsidR="00F51285">
        <w:t xml:space="preserve"> the second highlights</w:t>
      </w:r>
      <w:r w:rsidR="00FC3FC5">
        <w:t xml:space="preserve"> the time of </w:t>
      </w:r>
      <w:r w:rsidR="00F51285">
        <w:t>David, Ezra, and Nehemia</w:t>
      </w:r>
      <w:r w:rsidR="00D330DF">
        <w:t>h. Both works</w:t>
      </w:r>
      <w:r w:rsidR="00F51285">
        <w:t xml:space="preserve"> attach importance </w:t>
      </w:r>
      <w:r w:rsidR="00FC3FC5">
        <w:t xml:space="preserve">to the events that are remembered and </w:t>
      </w:r>
      <w:r w:rsidR="00D330DF">
        <w:t xml:space="preserve">also </w:t>
      </w:r>
      <w:r w:rsidR="00FC3FC5">
        <w:t>to</w:t>
      </w:r>
      <w:r w:rsidR="00BF4A96">
        <w:t xml:space="preserve"> the significance of </w:t>
      </w:r>
      <w:r w:rsidR="00AB1494">
        <w:t>the</w:t>
      </w:r>
      <w:r w:rsidR="00F51285">
        <w:t xml:space="preserve">ir memory </w:t>
      </w:r>
      <w:r w:rsidR="00BF4A96">
        <w:t>for succeeding centuries –</w:t>
      </w:r>
      <w:r w:rsidR="00AB1494">
        <w:t xml:space="preserve"> </w:t>
      </w:r>
      <w:r w:rsidR="00BF4A96">
        <w:t>i</w:t>
      </w:r>
      <w:r w:rsidR="00AB1494">
        <w:t xml:space="preserve">n particular </w:t>
      </w:r>
      <w:r w:rsidR="00FC3FC5">
        <w:t xml:space="preserve">for the time </w:t>
      </w:r>
      <w:r w:rsidR="00F51285">
        <w:t xml:space="preserve">of author and readers. Both also </w:t>
      </w:r>
      <w:r w:rsidR="00FC3FC5">
        <w:t xml:space="preserve">reflect the interaction between </w:t>
      </w:r>
      <w:r>
        <w:t xml:space="preserve">the </w:t>
      </w:r>
      <w:r w:rsidR="00FC3FC5">
        <w:t xml:space="preserve">events </w:t>
      </w:r>
      <w:r w:rsidR="00F51285">
        <w:t>and the community’s life</w:t>
      </w:r>
      <w:r w:rsidR="00805920">
        <w:t xml:space="preserve"> over the</w:t>
      </w:r>
      <w:r>
        <w:t xml:space="preserve"> </w:t>
      </w:r>
      <w:r w:rsidR="00805920">
        <w:t xml:space="preserve">intervening </w:t>
      </w:r>
      <w:r>
        <w:t>centu</w:t>
      </w:r>
      <w:r w:rsidR="00F51285">
        <w:t>ries. Scholarly study has</w:t>
      </w:r>
      <w:r w:rsidR="00FC3FC5">
        <w:t xml:space="preserve"> attempted to trace that interaction by dating the sources that lie </w:t>
      </w:r>
      <w:r w:rsidR="00F51285">
        <w:t>behind the works</w:t>
      </w:r>
      <w:r w:rsidR="00FC3FC5">
        <w:t>, but changing views on the nature of that process suggest that we ar</w:t>
      </w:r>
      <w:r w:rsidR="00D330DF">
        <w:t>e not in a position to uncover</w:t>
      </w:r>
      <w:r w:rsidR="00F51285">
        <w:t xml:space="preserve"> this</w:t>
      </w:r>
      <w:r w:rsidR="00FC3FC5">
        <w:t xml:space="preserve"> history</w:t>
      </w:r>
      <w:r>
        <w:t>; the only certainty is the narrative</w:t>
      </w:r>
      <w:r w:rsidR="00F51285">
        <w:t xml:space="preserve"> </w:t>
      </w:r>
      <w:r w:rsidR="00D23D3F">
        <w:t>we have.</w:t>
      </w:r>
    </w:p>
    <w:p w:rsidR="00D23D3F" w:rsidRDefault="00F51285" w:rsidP="00322950">
      <w:r>
        <w:t xml:space="preserve">The </w:t>
      </w:r>
      <w:r w:rsidR="00D330DF">
        <w:t xml:space="preserve">two </w:t>
      </w:r>
      <w:r>
        <w:t>works assert</w:t>
      </w:r>
      <w:r w:rsidR="00D23D3F">
        <w:t xml:space="preserve"> the </w:t>
      </w:r>
      <w:r>
        <w:t>imp</w:t>
      </w:r>
      <w:r w:rsidR="00D330DF">
        <w:t xml:space="preserve">ortance of the fact that God </w:t>
      </w:r>
      <w:r w:rsidR="00D23D3F">
        <w:t>made a commitment to Israel’s ancestors in order to pursue a purpose for the who</w:t>
      </w:r>
      <w:r>
        <w:t xml:space="preserve">le world that he had created, </w:t>
      </w:r>
      <w:r w:rsidR="00D23D3F">
        <w:t>then delivered Israel’s an</w:t>
      </w:r>
      <w:r>
        <w:t xml:space="preserve">cestors from serfdom, instructed them </w:t>
      </w:r>
      <w:r w:rsidR="00D23D3F">
        <w:t xml:space="preserve">about their </w:t>
      </w:r>
      <w:r>
        <w:t xml:space="preserve">community life, </w:t>
      </w:r>
      <w:r w:rsidR="00D23D3F">
        <w:t>settle</w:t>
      </w:r>
      <w:r>
        <w:t>d them</w:t>
      </w:r>
      <w:r w:rsidR="00D23D3F">
        <w:t xml:space="preserve"> in their own land, set </w:t>
      </w:r>
      <w:r>
        <w:t>up a stable government and instructed them about</w:t>
      </w:r>
      <w:r w:rsidR="00B671A2">
        <w:t xml:space="preserve"> building </w:t>
      </w:r>
      <w:r w:rsidR="00D23D3F">
        <w:t>a sanctuary, let their life unravel so t</w:t>
      </w:r>
      <w:r w:rsidR="00B671A2">
        <w:t>hat they lost their land, then partial reestablished them</w:t>
      </w:r>
      <w:r w:rsidR="00D23D3F">
        <w:t xml:space="preserve">. Such a summary combines the stories told by </w:t>
      </w:r>
      <w:r w:rsidR="00BF4A96">
        <w:t xml:space="preserve">the two works. The </w:t>
      </w:r>
      <w:r w:rsidR="00D330DF">
        <w:t xml:space="preserve">first </w:t>
      </w:r>
      <w:r w:rsidR="00BF4A96">
        <w:t>story</w:t>
      </w:r>
      <w:r w:rsidR="00D23D3F">
        <w:t xml:space="preserve"> </w:t>
      </w:r>
      <w:r w:rsidR="00320120">
        <w:t xml:space="preserve">extends from creation </w:t>
      </w:r>
      <w:r w:rsidR="00B671A2">
        <w:t>to the fall of Jerusalem in 587 B.</w:t>
      </w:r>
      <w:r w:rsidR="00320120">
        <w:t>C</w:t>
      </w:r>
      <w:r w:rsidR="00B671A2">
        <w:t>.</w:t>
      </w:r>
      <w:r w:rsidR="00320120">
        <w:t>E</w:t>
      </w:r>
      <w:r w:rsidR="00B671A2">
        <w:t>.</w:t>
      </w:r>
      <w:r w:rsidR="00D56061">
        <w:t xml:space="preserve"> and thus tells of the failure of God’s plan to fulfill his purpose for the world (Rudolf </w:t>
      </w:r>
      <w:proofErr w:type="spellStart"/>
      <w:r w:rsidR="00D56061">
        <w:t>Bultmann</w:t>
      </w:r>
      <w:proofErr w:type="spellEnd"/>
      <w:r w:rsidR="00D56061">
        <w:t xml:space="preserve"> </w:t>
      </w:r>
      <w:r w:rsidR="00320120">
        <w:t>spoke of the Old Testament story as a whole as the failure of God’s plan</w:t>
      </w:r>
      <w:r w:rsidR="00064274">
        <w:t xml:space="preserve">, but </w:t>
      </w:r>
      <w:r w:rsidR="00AB1494">
        <w:t xml:space="preserve">strictly </w:t>
      </w:r>
      <w:r w:rsidR="00064274">
        <w:t>the description</w:t>
      </w:r>
      <w:r w:rsidR="00AB1494">
        <w:t xml:space="preserve"> applies more </w:t>
      </w:r>
      <w:r w:rsidR="00D56061">
        <w:t>to the first of the</w:t>
      </w:r>
      <w:r w:rsidR="00320120">
        <w:t>se</w:t>
      </w:r>
      <w:r w:rsidR="00D56061">
        <w:t xml:space="preserve"> </w:t>
      </w:r>
      <w:r w:rsidR="00A902BD">
        <w:t xml:space="preserve">two </w:t>
      </w:r>
      <w:r w:rsidR="00D56061">
        <w:t>great narrative</w:t>
      </w:r>
      <w:r w:rsidR="00320120">
        <w:t xml:space="preserve"> work</w:t>
      </w:r>
      <w:r w:rsidR="00026AE5">
        <w:t>s). I</w:t>
      </w:r>
      <w:r w:rsidR="00AB1494">
        <w:t>t is a formulation of the way the narrative’</w:t>
      </w:r>
      <w:r w:rsidR="00D56061">
        <w:t xml:space="preserve">s authors </w:t>
      </w:r>
      <w:r w:rsidR="00805920">
        <w:t xml:space="preserve">in the exile </w:t>
      </w:r>
      <w:r w:rsidR="00D56061">
        <w:t>w</w:t>
      </w:r>
      <w:r w:rsidR="00026AE5">
        <w:t>ished the story to be understood</w:t>
      </w:r>
      <w:r w:rsidR="00D56061">
        <w:t xml:space="preserve"> by their generation, who needed to own their responsibility for its shape</w:t>
      </w:r>
      <w:r w:rsidR="00685159">
        <w:t>, to reaffirm their trust in the divine promises it nevertheless incorporates, and to make a new commitment to God</w:t>
      </w:r>
      <w:r w:rsidR="00D56061">
        <w:t xml:space="preserve">. The second </w:t>
      </w:r>
      <w:r w:rsidR="00026AE5">
        <w:t xml:space="preserve">of the two works </w:t>
      </w:r>
      <w:r w:rsidR="00D56061">
        <w:t>focuses on the period f</w:t>
      </w:r>
      <w:r w:rsidR="00026AE5">
        <w:t xml:space="preserve">rom David onwards and </w:t>
      </w:r>
      <w:r w:rsidR="00685159">
        <w:t xml:space="preserve">takes the story </w:t>
      </w:r>
      <w:r w:rsidR="00026AE5">
        <w:t xml:space="preserve">beyond the fall of Jerusalem </w:t>
      </w:r>
      <w:r w:rsidR="00D56061">
        <w:t xml:space="preserve">into the time when the community has been restored, in order to suggest a different way of remembering the story for a generation that needed </w:t>
      </w:r>
      <w:r w:rsidR="000E4458">
        <w:t xml:space="preserve">both </w:t>
      </w:r>
      <w:r w:rsidR="00D56061">
        <w:t>encouragement a</w:t>
      </w:r>
      <w:r w:rsidR="000E4458">
        <w:t>nd</w:t>
      </w:r>
      <w:r w:rsidR="00D56061">
        <w:t xml:space="preserve"> direction.</w:t>
      </w:r>
    </w:p>
    <w:p w:rsidR="000E4458" w:rsidRDefault="000E4458" w:rsidP="00322950">
      <w:r>
        <w:lastRenderedPageBreak/>
        <w:t xml:space="preserve">The earliest known designation for the first of these narratives treats it as a two-part work, “The Torah” </w:t>
      </w:r>
      <w:r w:rsidR="00064274">
        <w:t>(Genesis to Deuteronomy) and “The Former Prophets</w:t>
      </w:r>
      <w:r>
        <w:t>”</w:t>
      </w:r>
      <w:r w:rsidR="00064274">
        <w:t xml:space="preserve"> (Joshua, Judges, Samuel, Kings).</w:t>
      </w:r>
      <w:r>
        <w:t xml:space="preserve"> The Hebrew word </w:t>
      </w:r>
      <w:r>
        <w:rPr>
          <w:i/>
        </w:rPr>
        <w:t>torah</w:t>
      </w:r>
      <w:r>
        <w:t xml:space="preserve"> was rendered into Greek and other languages by words meaning “</w:t>
      </w:r>
      <w:r w:rsidR="008F27BA">
        <w:t>law</w:t>
      </w:r>
      <w:r w:rsidR="00064274">
        <w:t>,</w:t>
      </w:r>
      <w:r w:rsidR="008F27BA">
        <w:t>”</w:t>
      </w:r>
      <w:r w:rsidR="00A902BD">
        <w:t xml:space="preserve"> which give</w:t>
      </w:r>
      <w:r w:rsidR="00064274">
        <w:t xml:space="preserve"> a false impression of its nature.</w:t>
      </w:r>
      <w:r w:rsidR="008F27BA">
        <w:t xml:space="preserve"> As a title f</w:t>
      </w:r>
      <w:r w:rsidR="00D330DF">
        <w:t>or Genesis-Deuteronomy as a whole, Torah</w:t>
      </w:r>
      <w:r w:rsidR="008F27BA">
        <w:t xml:space="preserve"> suggest</w:t>
      </w:r>
      <w:r w:rsidR="00B5412A">
        <w:t>s</w:t>
      </w:r>
      <w:r w:rsidR="008F27BA">
        <w:t xml:space="preserve"> “teaching”</w:t>
      </w:r>
      <w:r w:rsidR="00DB7BA5">
        <w:t xml:space="preserve"> </w:t>
      </w:r>
      <w:r w:rsidR="00D330DF">
        <w:t>that puts</w:t>
      </w:r>
      <w:r w:rsidR="008F27BA">
        <w:t xml:space="preserve"> a framework of narrative around large tracts </w:t>
      </w:r>
      <w:r w:rsidR="00A902BD">
        <w:t>of instruction</w:t>
      </w:r>
      <w:r w:rsidR="00685159">
        <w:t xml:space="preserve"> regarding the </w:t>
      </w:r>
      <w:r w:rsidR="00064274">
        <w:t>life</w:t>
      </w:r>
      <w:r w:rsidR="00685159">
        <w:t xml:space="preserve"> of the community and of individuals</w:t>
      </w:r>
      <w:r w:rsidR="00064274">
        <w:t>. As a title for Joshua</w:t>
      </w:r>
      <w:r w:rsidR="00B5412A">
        <w:t xml:space="preserve">-Kings, “Former Prophets” perhaps </w:t>
      </w:r>
      <w:r w:rsidR="008F27BA">
        <w:t>suggest</w:t>
      </w:r>
      <w:r w:rsidR="00B5412A">
        <w:t>s</w:t>
      </w:r>
      <w:r w:rsidR="00DB7BA5">
        <w:t xml:space="preserve"> a prophetic </w:t>
      </w:r>
      <w:r w:rsidR="00064274">
        <w:t>perspective on Israel’s story. C</w:t>
      </w:r>
      <w:r w:rsidR="00DB7BA5">
        <w:t xml:space="preserve">hronicles-Ezra-Nehemiah is </w:t>
      </w:r>
      <w:r w:rsidR="00685159">
        <w:t xml:space="preserve">then </w:t>
      </w:r>
      <w:r w:rsidR="00DB7BA5">
        <w:t xml:space="preserve">part of “The Writings,” the miscellany of scrolls that closes the Torah, the Prophets, and the Writings. </w:t>
      </w:r>
    </w:p>
    <w:p w:rsidR="00BD6F2C" w:rsidRPr="005410CB" w:rsidRDefault="00DC7A49" w:rsidP="005410CB">
      <w:pPr>
        <w:rPr>
          <w:b/>
        </w:rPr>
      </w:pPr>
      <w:proofErr w:type="gramStart"/>
      <w:r>
        <w:rPr>
          <w:b/>
          <w:i/>
        </w:rPr>
        <w:t>H</w:t>
      </w:r>
      <w:r w:rsidR="00441ADD" w:rsidRPr="00DC7A49">
        <w:rPr>
          <w:b/>
          <w:i/>
        </w:rPr>
        <w:t>istory</w:t>
      </w:r>
      <w:r w:rsidR="009C0510">
        <w:rPr>
          <w:b/>
          <w:i/>
        </w:rPr>
        <w:t>, witness, tradition</w:t>
      </w:r>
      <w:r w:rsidR="005410CB">
        <w:rPr>
          <w:b/>
        </w:rPr>
        <w:t>.</w:t>
      </w:r>
      <w:proofErr w:type="gramEnd"/>
      <w:r w:rsidR="005410CB">
        <w:rPr>
          <w:b/>
        </w:rPr>
        <w:t xml:space="preserve"> </w:t>
      </w:r>
      <w:r w:rsidR="00064274">
        <w:t xml:space="preserve">In the context of modern study these </w:t>
      </w:r>
      <w:r w:rsidR="00A902BD">
        <w:t xml:space="preserve">two </w:t>
      </w:r>
      <w:r w:rsidR="00064274">
        <w:t xml:space="preserve">works came </w:t>
      </w:r>
      <w:r w:rsidR="009C0510">
        <w:t xml:space="preserve">to be viewed as </w:t>
      </w:r>
      <w:r w:rsidR="009C0510" w:rsidRPr="0023526B">
        <w:rPr>
          <w:i/>
        </w:rPr>
        <w:t>h</w:t>
      </w:r>
      <w:r w:rsidR="00DB7BA5" w:rsidRPr="0023526B">
        <w:rPr>
          <w:i/>
        </w:rPr>
        <w:t>istories</w:t>
      </w:r>
      <w:r w:rsidR="00064274">
        <w:t>,</w:t>
      </w:r>
      <w:r w:rsidR="00DB7BA5">
        <w:t xml:space="preserve"> </w:t>
      </w:r>
      <w:r w:rsidR="00A902BD">
        <w:t>a term that recognizes</w:t>
      </w:r>
      <w:r w:rsidR="00DB7BA5">
        <w:t xml:space="preserve"> one aspect </w:t>
      </w:r>
      <w:r w:rsidR="00BC4B99">
        <w:t>of their significance but obscure</w:t>
      </w:r>
      <w:r w:rsidR="00A902BD">
        <w:t>s</w:t>
      </w:r>
      <w:r w:rsidR="00DB7BA5">
        <w:t xml:space="preserve"> another aspect. Seein</w:t>
      </w:r>
      <w:r w:rsidR="00685159">
        <w:t>g them as history recognized the</w:t>
      </w:r>
      <w:r w:rsidR="00DB7BA5">
        <w:t xml:space="preserve"> import</w:t>
      </w:r>
      <w:r w:rsidR="009C0510">
        <w:t xml:space="preserve">ance of historical events to Israel’s faith </w:t>
      </w:r>
      <w:r w:rsidR="00DB7BA5">
        <w:t>and to</w:t>
      </w:r>
      <w:r w:rsidR="00A902BD">
        <w:t xml:space="preserve"> the story these scriptures tell</w:t>
      </w:r>
      <w:r w:rsidR="0023526B">
        <w:t>. T</w:t>
      </w:r>
      <w:r w:rsidR="00DB7BA5">
        <w:t xml:space="preserve">imeless theological </w:t>
      </w:r>
      <w:r w:rsidR="00A902BD">
        <w:t>statements an</w:t>
      </w:r>
      <w:r w:rsidR="00685159">
        <w:t xml:space="preserve">d behavioral expectations </w:t>
      </w:r>
      <w:r w:rsidR="00DB7BA5">
        <w:t>such as “Yahweh our God Yahweh one</w:t>
      </w:r>
      <w:r w:rsidR="00685159">
        <w:t>” (Deut 6:4</w:t>
      </w:r>
      <w:r w:rsidR="005410CB">
        <w:t>; all translations are the author’s</w:t>
      </w:r>
      <w:r w:rsidR="00685159">
        <w:t xml:space="preserve">), </w:t>
      </w:r>
      <w:r w:rsidR="00DB7BA5">
        <w:t>“You shall love Yahweh your God”</w:t>
      </w:r>
      <w:r w:rsidR="00685159">
        <w:t xml:space="preserve"> (Deut 6:5),</w:t>
      </w:r>
      <w:r w:rsidR="00A902BD">
        <w:t xml:space="preserve"> and “L</w:t>
      </w:r>
      <w:r w:rsidR="00DB7BA5">
        <w:t>ove your ne</w:t>
      </w:r>
      <w:r w:rsidR="00685159">
        <w:t>ighbor as someone like yourself</w:t>
      </w:r>
      <w:r w:rsidR="00DB7BA5">
        <w:t>”</w:t>
      </w:r>
      <w:r w:rsidR="0023526B">
        <w:t xml:space="preserve"> (Lev 19:18)</w:t>
      </w:r>
      <w:r w:rsidR="00685159">
        <w:t xml:space="preserve"> </w:t>
      </w:r>
      <w:r w:rsidR="007A7F47">
        <w:t>are gi</w:t>
      </w:r>
      <w:r w:rsidR="009C0510">
        <w:t>ven their content and grounds by means of</w:t>
      </w:r>
      <w:r w:rsidR="007A7F47">
        <w:t xml:space="preserve"> historical statements about the way Yahweh acted in creating the world an</w:t>
      </w:r>
      <w:r w:rsidR="00064274">
        <w:t>d taking Israel out</w:t>
      </w:r>
      <w:r w:rsidR="00BD6F2C">
        <w:t xml:space="preserve"> </w:t>
      </w:r>
      <w:r w:rsidR="00064274">
        <w:t xml:space="preserve">of serfdom. The archetypal illustration </w:t>
      </w:r>
      <w:r w:rsidR="00BD6F2C">
        <w:t xml:space="preserve">is the declaration that opens the Decalogue, “I am Yahweh your God who brought you out of the country of Egypt” </w:t>
      </w:r>
      <w:r w:rsidR="00685159">
        <w:t>(</w:t>
      </w:r>
      <w:proofErr w:type="spellStart"/>
      <w:r w:rsidR="00685159">
        <w:t>Exod</w:t>
      </w:r>
      <w:proofErr w:type="spellEnd"/>
      <w:r w:rsidR="00685159">
        <w:t xml:space="preserve"> 20:2), </w:t>
      </w:r>
      <w:r w:rsidR="00BD6F2C">
        <w:t xml:space="preserve">which is the basis for the expectations that follow. </w:t>
      </w:r>
    </w:p>
    <w:p w:rsidR="00AC3EF1" w:rsidRDefault="00064274" w:rsidP="00322950">
      <w:r>
        <w:t xml:space="preserve">The description of the narratives as </w:t>
      </w:r>
      <w:r w:rsidR="00BD6F2C" w:rsidRPr="0023526B">
        <w:rPr>
          <w:i/>
        </w:rPr>
        <w:t>witness</w:t>
      </w:r>
      <w:r>
        <w:t xml:space="preserve"> </w:t>
      </w:r>
      <w:r w:rsidR="0023526B">
        <w:t>links with that significance</w:t>
      </w:r>
      <w:r w:rsidR="00BD6F2C">
        <w:t xml:space="preserve"> of them. The</w:t>
      </w:r>
      <w:r w:rsidR="0023526B">
        <w:t xml:space="preserve">re </w:t>
      </w:r>
      <w:proofErr w:type="gramStart"/>
      <w:r w:rsidR="0023526B">
        <w:t>are</w:t>
      </w:r>
      <w:proofErr w:type="gramEnd"/>
      <w:r w:rsidR="0023526B">
        <w:t xml:space="preserve"> several sense in which the</w:t>
      </w:r>
      <w:r w:rsidR="00BD6F2C">
        <w:t xml:space="preserve">ology can speak of the witness of the scriptures or </w:t>
      </w:r>
      <w:r w:rsidR="0023526B">
        <w:t xml:space="preserve">the witness </w:t>
      </w:r>
      <w:r w:rsidR="00BD6F2C">
        <w:t>of a particular b</w:t>
      </w:r>
      <w:r w:rsidR="0023526B">
        <w:t>ook</w:t>
      </w:r>
      <w:r w:rsidR="009C0510">
        <w:t>. The word</w:t>
      </w:r>
      <w:r w:rsidR="00BD6F2C">
        <w:t xml:space="preserve"> can imply that the scriptures are only a witness, not the reality; it can </w:t>
      </w:r>
      <w:r w:rsidR="00685159">
        <w:t xml:space="preserve">also </w:t>
      </w:r>
      <w:r w:rsidR="00BD6F2C">
        <w:t>imply that a particular book gives one partial witness, while another gives a different p</w:t>
      </w:r>
      <w:r>
        <w:t xml:space="preserve">artial witness. When the scriptures </w:t>
      </w:r>
      <w:r w:rsidR="00BF1AC2">
        <w:t>themselves use the term “witness</w:t>
      </w:r>
      <w:r>
        <w:t xml:space="preserve">,” they do so in another connection. </w:t>
      </w:r>
      <w:r w:rsidR="00AC3EF1">
        <w:t xml:space="preserve">Israel is Yahweh’s witnesses to the fact that Yahweh has spoken and then delivered (e.g., Isa 43:10-12); the Twelve are witnesses to Jesus’ resurrection (e.g., Acts 1:8, 22; 2:32). They are able to give testimony to things they have seen. </w:t>
      </w:r>
      <w:r w:rsidR="00BF1AC2">
        <w:t xml:space="preserve">In </w:t>
      </w:r>
      <w:r w:rsidR="00685159">
        <w:t>life</w:t>
      </w:r>
      <w:r w:rsidR="00BF1AC2">
        <w:t xml:space="preserve"> in general</w:t>
      </w:r>
      <w:r w:rsidR="00685159">
        <w:t>, the testimony of</w:t>
      </w:r>
      <w:r>
        <w:t xml:space="preserve"> other people is indispensible</w:t>
      </w:r>
      <w:r w:rsidR="00A14835">
        <w:t xml:space="preserve"> to </w:t>
      </w:r>
      <w:r>
        <w:t xml:space="preserve">most of our knowledge of </w:t>
      </w:r>
      <w:r w:rsidR="00A14835">
        <w:t xml:space="preserve">events </w:t>
      </w:r>
      <w:r>
        <w:t>in the world. T</w:t>
      </w:r>
      <w:r w:rsidR="00A14835">
        <w:t>he scriptures’ witness to Yahweh’s acts in Israel and in the New Testament events</w:t>
      </w:r>
      <w:r w:rsidR="009C0510">
        <w:t xml:space="preserve"> is </w:t>
      </w:r>
      <w:r w:rsidR="00AC3EF1">
        <w:t>one key instance of the indispensible nature of witness</w:t>
      </w:r>
      <w:r w:rsidR="00A14835">
        <w:t xml:space="preserve">. </w:t>
      </w:r>
    </w:p>
    <w:p w:rsidR="00AC3EF1" w:rsidRDefault="00AC3EF1" w:rsidP="00AC3EF1">
      <w:r>
        <w:t xml:space="preserve">It is </w:t>
      </w:r>
      <w:r w:rsidR="00D908C5">
        <w:t xml:space="preserve">the task of witnesses to “pass on” what they have seen; witness becomes </w:t>
      </w:r>
      <w:r w:rsidR="00D908C5" w:rsidRPr="00BF1AC2">
        <w:rPr>
          <w:i/>
        </w:rPr>
        <w:t>tradition</w:t>
      </w:r>
      <w:r w:rsidR="00D908C5">
        <w:t>.</w:t>
      </w:r>
      <w:r>
        <w:t xml:space="preserve"> Most Israelites did not experience the exodus; the people who did experience it passed on an account to their children, and they to their children, and so on. Most believers in Jesus did not meet him; the people who did meet him passed on </w:t>
      </w:r>
      <w:r w:rsidR="00BF1AC2">
        <w:t>an account to others</w:t>
      </w:r>
      <w:r w:rsidR="009C0510">
        <w:t xml:space="preserve">, and they passed it on to </w:t>
      </w:r>
      <w:r w:rsidR="00BF1AC2">
        <w:t xml:space="preserve">yet </w:t>
      </w:r>
      <w:r w:rsidR="009C0510">
        <w:t xml:space="preserve">other people, and so on. In each case they did </w:t>
      </w:r>
      <w:r w:rsidR="00A902BD">
        <w:t>so in a w</w:t>
      </w:r>
      <w:r w:rsidR="009C0510">
        <w:t>ay that suggested</w:t>
      </w:r>
      <w:r w:rsidR="00A902BD">
        <w:t xml:space="preserve"> the significance of the events to the ongoing needs of the community. In due course the</w:t>
      </w:r>
      <w:r w:rsidR="00E15724">
        <w:t xml:space="preserve"> testimony came to be written down, possibly in part to ensure</w:t>
      </w:r>
      <w:r>
        <w:t xml:space="preserve"> that </w:t>
      </w:r>
      <w:r w:rsidR="009C0510">
        <w:t>the</w:t>
      </w:r>
      <w:r w:rsidR="00A902BD">
        <w:t xml:space="preserve"> </w:t>
      </w:r>
      <w:r w:rsidR="009C0510">
        <w:t xml:space="preserve">tradition did not get lost in a time of crisis, in part to ensure that the </w:t>
      </w:r>
      <w:r w:rsidR="00A902BD">
        <w:t xml:space="preserve">process of updating </w:t>
      </w:r>
      <w:r>
        <w:t>did not fatally compromis</w:t>
      </w:r>
      <w:r w:rsidR="009C0510">
        <w:t xml:space="preserve">e </w:t>
      </w:r>
      <w:r w:rsidR="00E15724">
        <w:t>the tradition</w:t>
      </w:r>
      <w:r w:rsidR="009C0510">
        <w:t>’s reliability</w:t>
      </w:r>
      <w:r w:rsidR="00E15724">
        <w:t xml:space="preserve"> as testimony</w:t>
      </w:r>
      <w:r w:rsidR="00685159">
        <w:t xml:space="preserve">. </w:t>
      </w:r>
    </w:p>
    <w:p w:rsidR="00E15724" w:rsidRDefault="009C0510" w:rsidP="00AC3EF1">
      <w:r>
        <w:t>While t</w:t>
      </w:r>
      <w:r w:rsidR="003807E8">
        <w:t xml:space="preserve">here is </w:t>
      </w:r>
      <w:r w:rsidR="00E15724">
        <w:t xml:space="preserve">thus </w:t>
      </w:r>
      <w:r w:rsidR="003807E8">
        <w:t>a close relationship betw</w:t>
      </w:r>
      <w:r>
        <w:t>een scripture and tradition,</w:t>
      </w:r>
      <w:r w:rsidR="003807E8">
        <w:t xml:space="preserve"> the scriptures also use the term “tradition” is a negative way. The New</w:t>
      </w:r>
      <w:r w:rsidR="006B3528">
        <w:t xml:space="preserve"> Testament warns readers</w:t>
      </w:r>
      <w:r w:rsidR="003807E8">
        <w:t xml:space="preserve"> about Jewish and Christian traditions that are alien to the scriptures. In the history of theology, tradition has also been distinguished from scripture as a supplementary source of truth—for instance, </w:t>
      </w:r>
      <w:r w:rsidR="001F69C9">
        <w:t xml:space="preserve">in </w:t>
      </w:r>
      <w:r w:rsidR="00BF1AC2">
        <w:t>its affirming that</w:t>
      </w:r>
      <w:r w:rsidR="006B3528">
        <w:t xml:space="preserve"> </w:t>
      </w:r>
      <w:r w:rsidR="003807E8">
        <w:t xml:space="preserve">the primacy of the Pope or the bodily assumption of Mary are traditions </w:t>
      </w:r>
      <w:r w:rsidR="001F69C9">
        <w:t xml:space="preserve">that can and must be accepted </w:t>
      </w:r>
      <w:r w:rsidR="003807E8">
        <w:t xml:space="preserve">or </w:t>
      </w:r>
      <w:r w:rsidR="001F69C9">
        <w:t xml:space="preserve">are </w:t>
      </w:r>
      <w:r w:rsidR="003807E8">
        <w:t xml:space="preserve">interpretations of </w:t>
      </w:r>
      <w:r w:rsidR="00060D82">
        <w:t xml:space="preserve">the </w:t>
      </w:r>
      <w:r w:rsidR="003807E8">
        <w:t>scripture</w:t>
      </w:r>
      <w:r w:rsidR="00060D82">
        <w:t>s</w:t>
      </w:r>
      <w:r w:rsidR="003807E8">
        <w:t xml:space="preserve"> that are hallowed by tradition. </w:t>
      </w:r>
    </w:p>
    <w:p w:rsidR="003807E8" w:rsidRDefault="003807E8" w:rsidP="00AC3EF1">
      <w:r>
        <w:t xml:space="preserve">There is </w:t>
      </w:r>
      <w:r w:rsidR="001F69C9">
        <w:t xml:space="preserve">yet </w:t>
      </w:r>
      <w:r>
        <w:t xml:space="preserve">another sense in which tradition, like witness, is </w:t>
      </w:r>
      <w:r w:rsidR="001F69C9">
        <w:t>a</w:t>
      </w:r>
      <w:r w:rsidR="00E15724">
        <w:t xml:space="preserve"> term that can be used to avoid giving the scriptures </w:t>
      </w:r>
      <w:r w:rsidR="001F69C9">
        <w:t>too absolute a</w:t>
      </w:r>
      <w:r>
        <w:t xml:space="preserve"> position. There are various traditions of faith in the world, </w:t>
      </w:r>
      <w:r w:rsidR="006B3528">
        <w:t xml:space="preserve">such as </w:t>
      </w:r>
      <w:r w:rsidR="003A6FED">
        <w:t>Buddhist</w:t>
      </w:r>
      <w:r>
        <w:t xml:space="preserve"> tradition</w:t>
      </w:r>
      <w:r w:rsidR="006B3528">
        <w:t xml:space="preserve">s and </w:t>
      </w:r>
      <w:r w:rsidR="003A6FED">
        <w:t>Native American traditions</w:t>
      </w:r>
      <w:r w:rsidR="00BF1AC2">
        <w:t>. T</w:t>
      </w:r>
      <w:r>
        <w:t xml:space="preserve">he biblical tradition is one of </w:t>
      </w:r>
      <w:r w:rsidR="00E15724">
        <w:t xml:space="preserve">these </w:t>
      </w:r>
      <w:r w:rsidR="006B3528">
        <w:t xml:space="preserve">faith traditions </w:t>
      </w:r>
      <w:r w:rsidR="00E15724">
        <w:t>alongside others</w:t>
      </w:r>
      <w:r>
        <w:t>. This way of u</w:t>
      </w:r>
      <w:r w:rsidR="006B3528">
        <w:t xml:space="preserve">sing the idea of tradition </w:t>
      </w:r>
      <w:r>
        <w:t xml:space="preserve">contrasts with the </w:t>
      </w:r>
      <w:r w:rsidR="00BF1AC2">
        <w:t>use of the</w:t>
      </w:r>
      <w:r w:rsidR="003A6FED">
        <w:t xml:space="preserve"> idea to safeguard</w:t>
      </w:r>
      <w:r>
        <w:t xml:space="preserve"> the </w:t>
      </w:r>
      <w:r w:rsidR="006B3528">
        <w:t>scriptures’ authenticity</w:t>
      </w:r>
      <w:r>
        <w:t xml:space="preserve">. </w:t>
      </w:r>
      <w:r w:rsidR="003A6FED">
        <w:t>It presupposes that many or all traditi</w:t>
      </w:r>
      <w:r w:rsidR="006B3528">
        <w:t>ons have some value and</w:t>
      </w:r>
      <w:r w:rsidR="003A6FED">
        <w:t xml:space="preserve"> </w:t>
      </w:r>
      <w:r w:rsidR="001F69C9">
        <w:t xml:space="preserve">that </w:t>
      </w:r>
      <w:r w:rsidR="003A6FED">
        <w:t xml:space="preserve">no </w:t>
      </w:r>
      <w:r w:rsidR="001F69C9">
        <w:t xml:space="preserve">single </w:t>
      </w:r>
      <w:r w:rsidR="003A6FED">
        <w:t xml:space="preserve">one should be </w:t>
      </w:r>
      <w:proofErr w:type="spellStart"/>
      <w:r w:rsidR="003A6FED">
        <w:t>absolutized</w:t>
      </w:r>
      <w:proofErr w:type="spellEnd"/>
      <w:r w:rsidR="003A6FED">
        <w:t>.</w:t>
      </w:r>
    </w:p>
    <w:p w:rsidR="00AC3EF1" w:rsidRPr="005410CB" w:rsidRDefault="00441ADD" w:rsidP="005410CB">
      <w:pPr>
        <w:rPr>
          <w:b/>
        </w:rPr>
      </w:pPr>
      <w:proofErr w:type="gramStart"/>
      <w:r w:rsidRPr="00DC7A49">
        <w:rPr>
          <w:b/>
          <w:i/>
        </w:rPr>
        <w:lastRenderedPageBreak/>
        <w:t>The history in the scriptures and our history</w:t>
      </w:r>
      <w:r w:rsidR="005410CB" w:rsidRPr="00DC7A49">
        <w:rPr>
          <w:b/>
          <w:i/>
        </w:rPr>
        <w:t>.</w:t>
      </w:r>
      <w:proofErr w:type="gramEnd"/>
      <w:r w:rsidR="005410CB">
        <w:rPr>
          <w:b/>
        </w:rPr>
        <w:t xml:space="preserve"> </w:t>
      </w:r>
      <w:r w:rsidR="007A7F47">
        <w:t>We cannot verify</w:t>
      </w:r>
      <w:r w:rsidR="00DA0AFC">
        <w:t xml:space="preserve"> most of </w:t>
      </w:r>
      <w:r w:rsidR="00E15724">
        <w:t>the</w:t>
      </w:r>
      <w:r w:rsidR="00A14835">
        <w:t xml:space="preserve"> testimony </w:t>
      </w:r>
      <w:r w:rsidR="00E15724">
        <w:t>that</w:t>
      </w:r>
      <w:r w:rsidR="00D908C5">
        <w:t xml:space="preserve"> has been passe</w:t>
      </w:r>
      <w:r w:rsidR="00A71515">
        <w:t xml:space="preserve">d on in the </w:t>
      </w:r>
      <w:r w:rsidR="00E15724">
        <w:t>biblical tradition. Indeed, t</w:t>
      </w:r>
      <w:r w:rsidR="007A7F47">
        <w:t>he scholarl</w:t>
      </w:r>
      <w:r w:rsidR="00A14835">
        <w:t>y community regards much of it</w:t>
      </w:r>
      <w:r w:rsidR="007A7F47">
        <w:t xml:space="preserve"> as falsified</w:t>
      </w:r>
      <w:r w:rsidR="00DA0AFC">
        <w:t>, while</w:t>
      </w:r>
      <w:r w:rsidR="007A7F47">
        <w:t xml:space="preserve"> many ordinary readers instinctively doubt </w:t>
      </w:r>
      <w:r w:rsidR="00A71515">
        <w:t>element</w:t>
      </w:r>
      <w:r w:rsidR="006B3528">
        <w:t>s</w:t>
      </w:r>
      <w:r w:rsidR="00A71515">
        <w:t xml:space="preserve"> in the narrative such as the account of God creating</w:t>
      </w:r>
      <w:r w:rsidR="007A7F47">
        <w:t xml:space="preserve"> the world over a six-day period a few thousand y</w:t>
      </w:r>
      <w:r w:rsidR="00DA0AFC">
        <w:t xml:space="preserve">ears ago. </w:t>
      </w:r>
      <w:r w:rsidR="00E15724">
        <w:t>In light of such scholarly work and such hu</w:t>
      </w:r>
      <w:r w:rsidR="006B3528">
        <w:t>man instincts, one might</w:t>
      </w:r>
      <w:r w:rsidR="00E15724">
        <w:t xml:space="preserve"> see t</w:t>
      </w:r>
      <w:r w:rsidR="00DA0AFC">
        <w:t>he narratives</w:t>
      </w:r>
      <w:r w:rsidR="00E15724">
        <w:t xml:space="preserve"> as</w:t>
      </w:r>
      <w:r w:rsidR="007A7F47">
        <w:t xml:space="preserve"> more like movies </w:t>
      </w:r>
      <w:r w:rsidR="00BF1AC2">
        <w:t xml:space="preserve">that are </w:t>
      </w:r>
      <w:r w:rsidR="007A7F47">
        <w:t>“based on fact</w:t>
      </w:r>
      <w:r w:rsidR="00A71515">
        <w:t>”</w:t>
      </w:r>
      <w:r w:rsidR="00E15724">
        <w:t xml:space="preserve"> than documentaries. In such works </w:t>
      </w:r>
      <w:r w:rsidR="00DA0AFC">
        <w:t>the basic historical reference of the story is vital</w:t>
      </w:r>
      <w:r w:rsidR="00E15724">
        <w:t>, but so is the way the story</w:t>
      </w:r>
      <w:r w:rsidR="00DA0AFC">
        <w:t xml:space="preserve"> has been retold so as to have an impact on the audience.</w:t>
      </w:r>
      <w:r w:rsidR="00AC3EF1">
        <w:t xml:space="preserve"> </w:t>
      </w:r>
      <w:r w:rsidR="00A71515">
        <w:t>E</w:t>
      </w:r>
      <w:r w:rsidR="006B3528">
        <w:t>ven the account of creation</w:t>
      </w:r>
      <w:r w:rsidR="00A71515">
        <w:t xml:space="preserve"> express</w:t>
      </w:r>
      <w:r w:rsidR="006B3528">
        <w:t>es</w:t>
      </w:r>
      <w:r w:rsidR="00A71515">
        <w:t xml:space="preserve"> facts, such the fact that God created the world, acted in a purposeful way, brought into being something that was “goo</w:t>
      </w:r>
      <w:r w:rsidR="00E15724">
        <w:t xml:space="preserve">d,” made men and women </w:t>
      </w:r>
      <w:r w:rsidR="00A71515">
        <w:t xml:space="preserve">in the image of God, and so on. With regard to subsequent parts of the narrative that are nearer to being historical in a modern sense, their being “based on fact” without being thoroughly factual does </w:t>
      </w:r>
      <w:r w:rsidR="00AC3EF1">
        <w:t xml:space="preserve">not compromise the indispensability of the witness or </w:t>
      </w:r>
      <w:r w:rsidR="00A71515">
        <w:t xml:space="preserve">the </w:t>
      </w:r>
      <w:r w:rsidR="00BF1AC2">
        <w:t>memory that they pass</w:t>
      </w:r>
      <w:r w:rsidR="00AC3EF1">
        <w:t xml:space="preserve"> down</w:t>
      </w:r>
      <w:r w:rsidR="00A71515">
        <w:t xml:space="preserve">. It </w:t>
      </w:r>
      <w:r w:rsidR="006B3528">
        <w:t xml:space="preserve">is important that it does not </w:t>
      </w:r>
      <w:r w:rsidR="00A71515">
        <w:t>do so, because of that characteristic of</w:t>
      </w:r>
      <w:r w:rsidR="00AC3EF1">
        <w:t xml:space="preserve"> Christian f</w:t>
      </w:r>
      <w:r w:rsidR="00A71515">
        <w:t>aith that we have noted, that Christian faith</w:t>
      </w:r>
      <w:r w:rsidR="00AC3EF1">
        <w:t xml:space="preserve"> is centrally a gospel,</w:t>
      </w:r>
      <w:r w:rsidR="006B3528">
        <w:t xml:space="preserve"> the report of a piece of news, of things that happened.</w:t>
      </w:r>
    </w:p>
    <w:p w:rsidR="00066D35" w:rsidRDefault="00C63AF3" w:rsidP="00322950">
      <w:r>
        <w:t xml:space="preserve">In his book </w:t>
      </w:r>
      <w:r>
        <w:rPr>
          <w:i/>
        </w:rPr>
        <w:t>The Eclipse of Biblical Narrative</w:t>
      </w:r>
      <w:r>
        <w:t>,</w:t>
      </w:r>
      <w:r>
        <w:rPr>
          <w:i/>
        </w:rPr>
        <w:t xml:space="preserve"> </w:t>
      </w:r>
      <w:r w:rsidR="00433440">
        <w:t xml:space="preserve">Hans </w:t>
      </w:r>
      <w:proofErr w:type="spellStart"/>
      <w:r w:rsidR="00433440">
        <w:t>Frei</w:t>
      </w:r>
      <w:proofErr w:type="spellEnd"/>
      <w:r w:rsidR="00433440">
        <w:t xml:space="preserve"> identified a fundamental change that came</w:t>
      </w:r>
      <w:r>
        <w:t xml:space="preserve"> about in Christian thinking about scriptural narrative in the eighteenth century. Until that tim</w:t>
      </w:r>
      <w:r w:rsidR="000A3829">
        <w:t xml:space="preserve">e, Christian </w:t>
      </w:r>
      <w:r w:rsidR="00BF1AC2">
        <w:t xml:space="preserve">belief </w:t>
      </w:r>
      <w:r>
        <w:t>took for gr</w:t>
      </w:r>
      <w:r w:rsidR="006B3528">
        <w:t>anted that the narrative</w:t>
      </w:r>
      <w:r>
        <w:t xml:space="preserve"> corresponded to what actually happened, and </w:t>
      </w:r>
      <w:r w:rsidR="00433440">
        <w:t xml:space="preserve">took for granted </w:t>
      </w:r>
      <w:r>
        <w:t xml:space="preserve">that our story needs to be seen in the context of that story. In the eighteenth century both unities came apart. </w:t>
      </w:r>
    </w:p>
    <w:p w:rsidR="00C63AF3" w:rsidRDefault="00C63AF3" w:rsidP="00322950">
      <w:r>
        <w:t xml:space="preserve">Henceforth scholarship distinguished between the story and the history that lay somewhere behind it, and </w:t>
      </w:r>
      <w:r w:rsidR="00066D35">
        <w:t>had to decide which mat</w:t>
      </w:r>
      <w:r w:rsidR="001067DA">
        <w:t>tered more. T</w:t>
      </w:r>
      <w:r w:rsidR="00066D35">
        <w:t>he importance of history to modern thinking made it inevitable that scholarship focused on discovering the actual history rather than th</w:t>
      </w:r>
      <w:r w:rsidR="006B3528">
        <w:t>e not-wholly-historical story. We have noted that</w:t>
      </w:r>
      <w:r w:rsidR="00066D35">
        <w:t xml:space="preserve"> two centuries of intensive study have </w:t>
      </w:r>
      <w:r w:rsidR="006B3528">
        <w:t xml:space="preserve">unfortunately </w:t>
      </w:r>
      <w:r w:rsidR="00066D35">
        <w:t>proved only that the attempt to trace the actual history of Israel or the ac</w:t>
      </w:r>
      <w:r w:rsidR="006B3528">
        <w:t>tual</w:t>
      </w:r>
      <w:r w:rsidR="00BF1AC2">
        <w:t xml:space="preserve"> history of Jesus cannot reach definitive results</w:t>
      </w:r>
      <w:r w:rsidR="00066D35">
        <w:t>. There has been no progress in</w:t>
      </w:r>
      <w:r w:rsidR="006B3528">
        <w:t xml:space="preserve"> the investigation, and we have</w:t>
      </w:r>
      <w:r w:rsidR="00066D35">
        <w:t xml:space="preserve"> no basis for thinking that there will ever be progress. The material frustrates the quest. It was in part for this reason that the late twentieth century saw a turn back to an interest in the narrative that tells the story rather than the events that might</w:t>
      </w:r>
      <w:r w:rsidR="000A3829">
        <w:t xml:space="preserve"> lie behind the narrative. The</w:t>
      </w:r>
      <w:r w:rsidR="00066D35">
        <w:t xml:space="preserve"> disillusion </w:t>
      </w:r>
      <w:r w:rsidR="00BF1AC2">
        <w:t>also coheres with the quest’s not</w:t>
      </w:r>
      <w:r w:rsidR="00066D35">
        <w:t xml:space="preserve"> yield</w:t>
      </w:r>
      <w:r w:rsidR="00BF1AC2">
        <w:t>ing</w:t>
      </w:r>
      <w:r w:rsidR="00066D35">
        <w:t xml:space="preserve"> results that made it possible to use the scriptures in theology, spiritual formation, or preaching.</w:t>
      </w:r>
    </w:p>
    <w:p w:rsidR="00066D35" w:rsidRDefault="00066D35" w:rsidP="00322950">
      <w:r>
        <w:t>This fact in turn links with the other unity that came apart. From the eighteen</w:t>
      </w:r>
      <w:r w:rsidR="000B245B">
        <w:t>th</w:t>
      </w:r>
      <w:r>
        <w:t xml:space="preserve"> century onwards, Christian instinct was to interpret the scriptural story in light of our story rather than the other way around. </w:t>
      </w:r>
      <w:r w:rsidR="000B245B">
        <w:t>In other words, we assume that our understanding of our story is true and we evaluate the truth of the scriptural story in light of that understanding.</w:t>
      </w:r>
      <w:r w:rsidR="006B3528">
        <w:t xml:space="preserve"> This takes us into a consideration of traditional ways of thinking about the status of the scriptures.</w:t>
      </w:r>
    </w:p>
    <w:p w:rsidR="00D908C5" w:rsidRPr="00DC7A49" w:rsidRDefault="000C16B3" w:rsidP="00DC7A49">
      <w:pPr>
        <w:rPr>
          <w:b/>
        </w:rPr>
      </w:pPr>
      <w:proofErr w:type="gramStart"/>
      <w:r w:rsidRPr="00DC7A49">
        <w:rPr>
          <w:b/>
        </w:rPr>
        <w:t>Authority</w:t>
      </w:r>
      <w:r w:rsidR="00DC7A49">
        <w:rPr>
          <w:b/>
        </w:rPr>
        <w:t>.</w:t>
      </w:r>
      <w:proofErr w:type="gramEnd"/>
      <w:r w:rsidR="00DC7A49">
        <w:rPr>
          <w:b/>
        </w:rPr>
        <w:t xml:space="preserve"> </w:t>
      </w:r>
      <w:r w:rsidR="00D74632">
        <w:t xml:space="preserve">In </w:t>
      </w:r>
      <w:r w:rsidR="006B3528">
        <w:t xml:space="preserve">recent centuries in </w:t>
      </w:r>
      <w:r w:rsidR="00BF1AC2">
        <w:t xml:space="preserve">Christian thinking </w:t>
      </w:r>
      <w:r w:rsidR="00D74632">
        <w:t>t</w:t>
      </w:r>
      <w:r w:rsidR="00D908C5">
        <w:t>he notion of authority has been</w:t>
      </w:r>
      <w:r w:rsidR="00AE7808">
        <w:t xml:space="preserve"> of paramount importa</w:t>
      </w:r>
      <w:r w:rsidR="00E70354">
        <w:t xml:space="preserve">nce in connection with </w:t>
      </w:r>
      <w:r w:rsidR="00C337A3">
        <w:t xml:space="preserve">the </w:t>
      </w:r>
      <w:r>
        <w:t>scripture</w:t>
      </w:r>
      <w:r w:rsidR="00C337A3">
        <w:t>s</w:t>
      </w:r>
      <w:r w:rsidR="006B3528">
        <w:t>. The idea</w:t>
      </w:r>
      <w:r w:rsidR="00AE7808">
        <w:t xml:space="preserve"> of authority suggests that </w:t>
      </w:r>
      <w:r w:rsidR="00C337A3">
        <w:t xml:space="preserve">the </w:t>
      </w:r>
      <w:r w:rsidR="00AE7808">
        <w:t>scripture</w:t>
      </w:r>
      <w:r w:rsidR="00C337A3">
        <w:t>s have</w:t>
      </w:r>
      <w:r w:rsidR="00AE7808">
        <w:t xml:space="preserve"> the right to determine what people believe </w:t>
      </w:r>
      <w:r w:rsidR="006B3528">
        <w:t>and</w:t>
      </w:r>
      <w:r w:rsidR="000F0456">
        <w:t xml:space="preserve"> wha</w:t>
      </w:r>
      <w:r w:rsidR="00B35BF1">
        <w:t>t they do. H</w:t>
      </w:r>
      <w:r w:rsidR="000F0456">
        <w:t>ow i</w:t>
      </w:r>
      <w:r w:rsidR="006B3528">
        <w:t xml:space="preserve">s it </w:t>
      </w:r>
      <w:r w:rsidR="000F0456">
        <w:t xml:space="preserve">possible to tell </w:t>
      </w:r>
      <w:r w:rsidR="001067DA">
        <w:t>people what they must believe?</w:t>
      </w:r>
      <w:r w:rsidR="000F0456">
        <w:t xml:space="preserve"> </w:t>
      </w:r>
      <w:r w:rsidR="00B35BF1">
        <w:t xml:space="preserve">Perhaps only </w:t>
      </w:r>
      <w:r w:rsidR="000F0456">
        <w:t xml:space="preserve">God might be able to do so, and belief in the </w:t>
      </w:r>
      <w:r w:rsidR="006B3528">
        <w:t>scriptures’ authority implies</w:t>
      </w:r>
      <w:r w:rsidR="000F0456">
        <w:t xml:space="preserve"> that it is God’s authority that</w:t>
      </w:r>
      <w:r w:rsidR="00C337A3">
        <w:t xml:space="preserve"> they mediate</w:t>
      </w:r>
      <w:r w:rsidR="006B3528">
        <w:t>. O</w:t>
      </w:r>
      <w:r w:rsidR="000F0456">
        <w:t xml:space="preserve">n what basis can one say that God’s authority lies behind </w:t>
      </w:r>
      <w:r w:rsidR="00C337A3">
        <w:t xml:space="preserve">the </w:t>
      </w:r>
      <w:r w:rsidR="000F0456">
        <w:t>scripture</w:t>
      </w:r>
      <w:r w:rsidR="00C337A3">
        <w:t>s</w:t>
      </w:r>
      <w:r w:rsidR="000F0456">
        <w:t>?</w:t>
      </w:r>
    </w:p>
    <w:p w:rsidR="000F0456" w:rsidRDefault="00441ADD" w:rsidP="00D908C5">
      <w:proofErr w:type="gramStart"/>
      <w:r w:rsidRPr="00DC7A49">
        <w:rPr>
          <w:b/>
          <w:i/>
        </w:rPr>
        <w:t>Authority to shape belief</w:t>
      </w:r>
      <w:r w:rsidR="005410CB">
        <w:rPr>
          <w:b/>
        </w:rPr>
        <w:t>.</w:t>
      </w:r>
      <w:proofErr w:type="gramEnd"/>
      <w:r w:rsidR="005410CB">
        <w:rPr>
          <w:b/>
        </w:rPr>
        <w:t xml:space="preserve"> </w:t>
      </w:r>
      <w:r w:rsidR="00C337A3">
        <w:t>The scripture</w:t>
      </w:r>
      <w:r w:rsidR="001251DF">
        <w:t>s</w:t>
      </w:r>
      <w:r w:rsidR="00C337A3">
        <w:t xml:space="preserve"> themselves are</w:t>
      </w:r>
      <w:r w:rsidR="000F0456">
        <w:t xml:space="preserve"> familiar enough with the notion of authority (e.g., Matt 8:9; 21:23), and </w:t>
      </w:r>
      <w:r w:rsidR="001251DF">
        <w:t>it is therefore striking that they do</w:t>
      </w:r>
      <w:r w:rsidR="000F0456">
        <w:t xml:space="preserve"> not </w:t>
      </w:r>
      <w:r w:rsidR="000C16B3">
        <w:t xml:space="preserve">speak of the authority of </w:t>
      </w:r>
      <w:r w:rsidR="000F0456">
        <w:t>the scriptures—for instance, when the New Testament refers to the Torah, the Prophets, and the Writi</w:t>
      </w:r>
      <w:r w:rsidR="001251DF">
        <w:t xml:space="preserve">ngs. On the other hand, the New Testament </w:t>
      </w:r>
      <w:r w:rsidR="005D4B73">
        <w:t xml:space="preserve">does use the expression “It is written” in referring </w:t>
      </w:r>
      <w:r w:rsidR="000C16B3">
        <w:t>t</w:t>
      </w:r>
      <w:r w:rsidR="001251DF">
        <w:t>o them (e.g., Matt 4:1-11), which</w:t>
      </w:r>
      <w:r w:rsidR="00E70354">
        <w:t xml:space="preserve"> </w:t>
      </w:r>
      <w:r w:rsidR="000C16B3">
        <w:t>convey</w:t>
      </w:r>
      <w:r w:rsidR="00E70354">
        <w:t>s</w:t>
      </w:r>
      <w:r w:rsidR="000C16B3">
        <w:t xml:space="preserve"> the implicat</w:t>
      </w:r>
      <w:r w:rsidR="005D4B73">
        <w:t xml:space="preserve">ion, “so that settles it.” Elsewhere </w:t>
      </w:r>
      <w:r w:rsidR="00E70354">
        <w:t xml:space="preserve">the phrase </w:t>
      </w:r>
      <w:r w:rsidR="001251DF">
        <w:t xml:space="preserve">“it is written” </w:t>
      </w:r>
      <w:r w:rsidR="000C16B3">
        <w:t>occurs in connection with</w:t>
      </w:r>
      <w:r w:rsidR="005D4B73">
        <w:t xml:space="preserve"> declarations about the fu</w:t>
      </w:r>
      <w:r w:rsidR="001251DF">
        <w:t>ture;</w:t>
      </w:r>
      <w:r w:rsidR="005D4B73">
        <w:t xml:space="preserve"> events take place “as it is written” (Luke 18:31). Sometimes it does refer to theological statements (e.g., Rom 1:17).</w:t>
      </w:r>
    </w:p>
    <w:p w:rsidR="000C16B3" w:rsidRDefault="005D4B73" w:rsidP="00477D17">
      <w:r>
        <w:t xml:space="preserve">We can say, then, that </w:t>
      </w:r>
      <w:r w:rsidR="00B35BF1">
        <w:t xml:space="preserve">Jesus and </w:t>
      </w:r>
      <w:r>
        <w:t xml:space="preserve">the New Testament </w:t>
      </w:r>
      <w:r w:rsidR="00B35BF1">
        <w:t>writers do</w:t>
      </w:r>
      <w:r>
        <w:t xml:space="preserve"> assume that the Torah, the </w:t>
      </w:r>
      <w:r>
        <w:lastRenderedPageBreak/>
        <w:t xml:space="preserve">Prophets, and the Writings have the authority to determine what people should believe </w:t>
      </w:r>
      <w:r w:rsidR="00BD350C">
        <w:t xml:space="preserve">and do. It is logically impossible for there to be an equivalent statement </w:t>
      </w:r>
      <w:r w:rsidR="000C16B3">
        <w:t xml:space="preserve">within </w:t>
      </w:r>
      <w:r w:rsidR="00C337A3">
        <w:t xml:space="preserve">the </w:t>
      </w:r>
      <w:r w:rsidR="000C16B3">
        <w:t>scripture</w:t>
      </w:r>
      <w:r w:rsidR="00C337A3">
        <w:t>s</w:t>
      </w:r>
      <w:r w:rsidR="000C16B3">
        <w:t xml:space="preserve"> </w:t>
      </w:r>
      <w:r w:rsidR="00BD350C">
        <w:t xml:space="preserve">about the New Testament </w:t>
      </w:r>
      <w:r w:rsidR="000C16B3">
        <w:t>having this authority. It is the post-New Tes</w:t>
      </w:r>
      <w:r w:rsidR="001251DF">
        <w:t>tament church that attributes such authority to</w:t>
      </w:r>
      <w:r w:rsidR="000C16B3">
        <w:t xml:space="preserve"> the writings that make up the N</w:t>
      </w:r>
      <w:r w:rsidR="001251DF">
        <w:t>ew Testament. Does authority therefore lie</w:t>
      </w:r>
      <w:r w:rsidR="00BD350C">
        <w:t xml:space="preserve"> in the church that attributes the authority</w:t>
      </w:r>
      <w:r w:rsidR="001251DF">
        <w:t>? But</w:t>
      </w:r>
      <w:r w:rsidR="000C16B3">
        <w:t xml:space="preserve"> the church has usually taken the view that the authority lies inherent </w:t>
      </w:r>
      <w:r w:rsidR="001251DF">
        <w:t>in the scriptures themselves;</w:t>
      </w:r>
      <w:r w:rsidR="00BD350C">
        <w:t xml:space="preserve"> the church is simply rubber-s</w:t>
      </w:r>
      <w:r w:rsidR="000C16B3">
        <w:t>tamping it</w:t>
      </w:r>
      <w:r w:rsidR="00BD350C">
        <w:t xml:space="preserve">. </w:t>
      </w:r>
    </w:p>
    <w:p w:rsidR="00B25876" w:rsidRDefault="000C16B3" w:rsidP="00E70354">
      <w:r>
        <w:t>That understanding points to</w:t>
      </w:r>
      <w:r w:rsidR="00BD350C">
        <w:t xml:space="preserve"> an alternative way of construing the</w:t>
      </w:r>
      <w:r>
        <w:t xml:space="preserve"> notion of</w:t>
      </w:r>
      <w:r w:rsidR="001251DF">
        <w:t xml:space="preserve"> authority. When </w:t>
      </w:r>
      <w:r w:rsidR="00646157">
        <w:t>peopl</w:t>
      </w:r>
      <w:r w:rsidR="001251DF">
        <w:t xml:space="preserve">e describe Jesus as </w:t>
      </w:r>
      <w:r w:rsidR="00646157">
        <w:t>spe</w:t>
      </w:r>
      <w:r w:rsidR="001251DF">
        <w:t>aking</w:t>
      </w:r>
      <w:r w:rsidR="00A43F2F">
        <w:t xml:space="preserve"> with authority</w:t>
      </w:r>
      <w:r w:rsidR="00B25876">
        <w:t xml:space="preserve"> (Matt 7:29)</w:t>
      </w:r>
      <w:r w:rsidR="001251DF">
        <w:t xml:space="preserve">, they do not mean </w:t>
      </w:r>
      <w:r>
        <w:t>he is a</w:t>
      </w:r>
      <w:r w:rsidR="00646157">
        <w:t>n accredited expert like a scribe</w:t>
      </w:r>
      <w:r>
        <w:t>. They yield to his teaching</w:t>
      </w:r>
      <w:r w:rsidR="001251DF">
        <w:t xml:space="preserve"> because it has</w:t>
      </w:r>
      <w:r w:rsidR="00646157">
        <w:t xml:space="preserve"> a </w:t>
      </w:r>
      <w:r w:rsidR="001251DF">
        <w:t xml:space="preserve">compelling </w:t>
      </w:r>
      <w:r w:rsidR="00646157">
        <w:t xml:space="preserve">profundity and </w:t>
      </w:r>
      <w:r w:rsidR="001251DF">
        <w:t>wisdom</w:t>
      </w:r>
      <w:r w:rsidR="00646157">
        <w:t xml:space="preserve">. </w:t>
      </w:r>
      <w:r w:rsidR="001251DF">
        <w:t>M</w:t>
      </w:r>
      <w:r>
        <w:t>any or most or all</w:t>
      </w:r>
      <w:r w:rsidR="00A43F2F">
        <w:t xml:space="preserve"> of the biblical documents </w:t>
      </w:r>
      <w:r w:rsidR="001251DF">
        <w:t xml:space="preserve">seem likely to have </w:t>
      </w:r>
      <w:r w:rsidR="00A43F2F">
        <w:t xml:space="preserve">gained </w:t>
      </w:r>
      <w:r w:rsidR="001251DF">
        <w:t xml:space="preserve">their </w:t>
      </w:r>
      <w:r w:rsidR="00A43F2F">
        <w:t>authority am</w:t>
      </w:r>
      <w:r w:rsidR="001251DF">
        <w:t xml:space="preserve">ong Israelites </w:t>
      </w:r>
      <w:r w:rsidR="00477D17">
        <w:t xml:space="preserve">by a parallel dynamic. </w:t>
      </w:r>
      <w:r w:rsidR="00E70354">
        <w:t xml:space="preserve">At some points </w:t>
      </w:r>
      <w:r w:rsidR="00AA72EB">
        <w:t xml:space="preserve">an official body such as the Persian authorities </w:t>
      </w:r>
      <w:r w:rsidR="00E70354">
        <w:t>may have decre</w:t>
      </w:r>
      <w:r w:rsidR="001251DF">
        <w:t xml:space="preserve">ed that </w:t>
      </w:r>
      <w:r w:rsidR="00AA72EB">
        <w:t>the Tor</w:t>
      </w:r>
      <w:r w:rsidR="00E70354">
        <w:t>ah had authority in Jerusalem; l</w:t>
      </w:r>
      <w:r w:rsidR="00AA72EB">
        <w:t>ikewise the churches eventually</w:t>
      </w:r>
      <w:r w:rsidR="00A43F2F">
        <w:t xml:space="preserve"> became involved in discussing whether different Christian writings </w:t>
      </w:r>
      <w:r>
        <w:t>should have</w:t>
      </w:r>
      <w:r w:rsidR="00477D17">
        <w:t xml:space="preserve"> an official positi</w:t>
      </w:r>
      <w:r w:rsidR="001251DF">
        <w:t xml:space="preserve">on in their scriptures. The process whereby </w:t>
      </w:r>
      <w:r w:rsidR="00477D17">
        <w:t>scriptures became authoritative thu</w:t>
      </w:r>
      <w:r w:rsidR="001251DF">
        <w:t>s involved two stages. Individual writings found informal appreciation; later,</w:t>
      </w:r>
      <w:r>
        <w:t xml:space="preserve"> </w:t>
      </w:r>
      <w:r w:rsidR="001251DF">
        <w:t>a collection received</w:t>
      </w:r>
      <w:r w:rsidR="00477D17">
        <w:t xml:space="preserve"> formal recognition. </w:t>
      </w:r>
      <w:r w:rsidR="00DC4C3A">
        <w:t xml:space="preserve">Reference to the canon of scripture implies reference to this second stage. </w:t>
      </w:r>
      <w:r w:rsidR="00477D17">
        <w:t xml:space="preserve">Possibly </w:t>
      </w:r>
      <w:r w:rsidR="001251DF">
        <w:t xml:space="preserve">the Jewish community went through </w:t>
      </w:r>
      <w:r w:rsidR="00477D17">
        <w:t xml:space="preserve">a </w:t>
      </w:r>
      <w:r w:rsidR="001251DF">
        <w:t>similar two-stage process</w:t>
      </w:r>
      <w:r w:rsidR="00DC4C3A">
        <w:t>, but we do not have records</w:t>
      </w:r>
      <w:r w:rsidR="00477D17">
        <w:t xml:space="preserve"> of discussions </w:t>
      </w:r>
      <w:r w:rsidR="00DC4C3A">
        <w:t>parallel to the ones that happened</w:t>
      </w:r>
      <w:r w:rsidR="00477D17">
        <w:t xml:space="preserve"> in </w:t>
      </w:r>
      <w:r w:rsidR="00DC4C3A">
        <w:t xml:space="preserve">the </w:t>
      </w:r>
      <w:r w:rsidR="00477D17">
        <w:t>churches.</w:t>
      </w:r>
      <w:r w:rsidR="00E70354">
        <w:tab/>
      </w:r>
    </w:p>
    <w:p w:rsidR="00FC4924" w:rsidRDefault="00E70354" w:rsidP="00AA72EB">
      <w:r>
        <w:t>Theologically, there is a</w:t>
      </w:r>
      <w:r w:rsidR="00B25876">
        <w:t xml:space="preserve"> further basis for applying the notion of authority to the scriptures. </w:t>
      </w:r>
      <w:r w:rsidR="00DC4C3A">
        <w:t>Their status in Christian faith and theology issues from the nature of Christian faith</w:t>
      </w:r>
      <w:r w:rsidR="00FC4924">
        <w:t xml:space="preserve"> as a gospel, a message that hinges and focuses on things that happened in a particular past. </w:t>
      </w:r>
      <w:r w:rsidR="00DC4C3A">
        <w:t>The writings of other religious groups can be true and edify</w:t>
      </w:r>
      <w:r w:rsidR="00FC4924">
        <w:t>ing, but they cannot tell us this</w:t>
      </w:r>
      <w:r w:rsidR="00DC4C3A">
        <w:t xml:space="preserve"> gospel. </w:t>
      </w:r>
      <w:r w:rsidR="00B25876">
        <w:t xml:space="preserve">James Barr has </w:t>
      </w:r>
      <w:r w:rsidR="00FC4924">
        <w:t xml:space="preserve">further </w:t>
      </w:r>
      <w:r w:rsidR="00B25876">
        <w:t xml:space="preserve">commented that what counts as Christian faith </w:t>
      </w:r>
      <w:r w:rsidR="003B1FF6">
        <w:t>is not whatever the church today may think but what the first Christians articulated in light of their proximity to Jesus’ own time and to his acts</w:t>
      </w:r>
      <w:r w:rsidR="00B35BF1">
        <w:t xml:space="preserve"> and their involvement in the beginnings of the church</w:t>
      </w:r>
      <w:r w:rsidR="003B1FF6">
        <w:t xml:space="preserve">. Christian faith is a historical faith in the sense that it focuses on who Jesus was, what he </w:t>
      </w:r>
      <w:r w:rsidR="00DC4C3A">
        <w:t xml:space="preserve">said, what happened to him, </w:t>
      </w:r>
      <w:r w:rsidR="003B1FF6">
        <w:t>what he achieved</w:t>
      </w:r>
      <w:r w:rsidR="00DC4C3A">
        <w:t>, and how his significance was articulated in the context of these events</w:t>
      </w:r>
      <w:r w:rsidR="003B1FF6">
        <w:t>. The a</w:t>
      </w:r>
      <w:r w:rsidR="00AA72EB">
        <w:t xml:space="preserve">uthority of the scriptures </w:t>
      </w:r>
      <w:r w:rsidR="003B1FF6">
        <w:t xml:space="preserve">lies in </w:t>
      </w:r>
      <w:r w:rsidR="00B35BF1">
        <w:t>their being able to</w:t>
      </w:r>
      <w:r w:rsidR="004C7A55">
        <w:t xml:space="preserve"> tell us </w:t>
      </w:r>
      <w:r w:rsidR="00DC4C3A">
        <w:t>what the first generations of Christians articulated, as</w:t>
      </w:r>
      <w:r w:rsidR="004C7A55">
        <w:t xml:space="preserve"> writings from a thousand </w:t>
      </w:r>
      <w:r w:rsidR="00DC4C3A">
        <w:t xml:space="preserve">or two thousand </w:t>
      </w:r>
      <w:r w:rsidR="004C7A55">
        <w:t>ye</w:t>
      </w:r>
      <w:r w:rsidR="00DC4C3A">
        <w:t xml:space="preserve">ars </w:t>
      </w:r>
      <w:r w:rsidR="004C7A55">
        <w:t xml:space="preserve">later cannot. </w:t>
      </w:r>
      <w:r w:rsidR="00DC4C3A">
        <w:t>It is not an argument for the authority of the particular writings in the New Testament (e.g., as opposed to other Gospels) but an argument for the authority of a collection of documents of this kind as opposed to later Christian writings</w:t>
      </w:r>
      <w:r w:rsidR="00FC4924">
        <w:t xml:space="preserve"> or non-Christian writings</w:t>
      </w:r>
      <w:r w:rsidR="00DC4C3A">
        <w:t xml:space="preserve">. </w:t>
      </w:r>
    </w:p>
    <w:p w:rsidR="00AA72EB" w:rsidRDefault="004C7A55" w:rsidP="00AA72EB">
      <w:r>
        <w:t>Th</w:t>
      </w:r>
      <w:r w:rsidR="00FC4924">
        <w:t>is principle does not imply the scriptures</w:t>
      </w:r>
      <w:r>
        <w:t xml:space="preserve"> must be </w:t>
      </w:r>
      <w:r w:rsidR="00AA72EB">
        <w:t xml:space="preserve">the </w:t>
      </w:r>
      <w:r>
        <w:t>w</w:t>
      </w:r>
      <w:r w:rsidR="00AA72EB">
        <w:t xml:space="preserve">ritings that come from </w:t>
      </w:r>
      <w:r>
        <w:t>close</w:t>
      </w:r>
      <w:r w:rsidR="00AA72EB">
        <w:t>st</w:t>
      </w:r>
      <w:r>
        <w:t xml:space="preserve"> to the events. It </w:t>
      </w:r>
      <w:r w:rsidR="00DC4C3A">
        <w:t>can take</w:t>
      </w:r>
      <w:r>
        <w:t xml:space="preserve"> time for the significance of events to emerge. The</w:t>
      </w:r>
      <w:r w:rsidR="008A6B15">
        <w:t xml:space="preserve"> authority of the</w:t>
      </w:r>
      <w:r w:rsidR="00707A75">
        <w:t xml:space="preserve"> Torah, the Prophets, and the Writings</w:t>
      </w:r>
      <w:r w:rsidR="00DC4C3A">
        <w:t xml:space="preserve"> </w:t>
      </w:r>
      <w:r w:rsidR="008A6B15">
        <w:t>li</w:t>
      </w:r>
      <w:r w:rsidR="00707A75">
        <w:t>es in their</w:t>
      </w:r>
      <w:r w:rsidR="008A6B15">
        <w:t xml:space="preserve"> significance for an understanding of Yahweh’s dealing with Israel through its history from its beginnings to the Greek period</w:t>
      </w:r>
      <w:r w:rsidR="00707A75">
        <w:t xml:space="preserve">, even though the books themselves mostly come from long after </w:t>
      </w:r>
      <w:r w:rsidR="00DC4C3A">
        <w:t xml:space="preserve">many of </w:t>
      </w:r>
      <w:r w:rsidR="00707A75">
        <w:t>the events to which they refer</w:t>
      </w:r>
      <w:r w:rsidR="008A6B15">
        <w:t xml:space="preserve">.  </w:t>
      </w:r>
      <w:r w:rsidR="00FC4924">
        <w:t>The authority of the New Testament lies in their capacity to testify to Christian beginnings.</w:t>
      </w:r>
    </w:p>
    <w:p w:rsidR="003B1FF6" w:rsidRPr="005410CB" w:rsidRDefault="00441ADD" w:rsidP="005410CB">
      <w:pPr>
        <w:rPr>
          <w:b/>
        </w:rPr>
      </w:pPr>
      <w:proofErr w:type="gramStart"/>
      <w:r w:rsidRPr="00DC7A49">
        <w:rPr>
          <w:b/>
          <w:i/>
        </w:rPr>
        <w:t>Authority to shape behavior</w:t>
      </w:r>
      <w:r w:rsidR="005410CB">
        <w:rPr>
          <w:b/>
        </w:rPr>
        <w:t>.</w:t>
      </w:r>
      <w:proofErr w:type="gramEnd"/>
      <w:r w:rsidR="005410CB">
        <w:rPr>
          <w:b/>
        </w:rPr>
        <w:t xml:space="preserve"> </w:t>
      </w:r>
      <w:r w:rsidR="008A6B15">
        <w:t>Jewish thinking in terms of t</w:t>
      </w:r>
      <w:r w:rsidR="00AA72EB">
        <w:t xml:space="preserve">he authority of the Torah </w:t>
      </w:r>
      <w:r w:rsidR="008A6B15">
        <w:t>move</w:t>
      </w:r>
      <w:r w:rsidR="00AA72EB">
        <w:t>s</w:t>
      </w:r>
      <w:r w:rsidR="008A6B15">
        <w:t xml:space="preserve"> in a different direction. </w:t>
      </w:r>
      <w:r w:rsidR="003B1FF6">
        <w:t>The first occurrences of the phrase “it is written” in the New Testament draw our attention to the fact that in everyday speech “authority” connotes the right to tell people what th</w:t>
      </w:r>
      <w:r w:rsidR="00C3011F">
        <w:t>ey should do. While the Torah does have</w:t>
      </w:r>
      <w:r w:rsidR="003B1FF6">
        <w:t xml:space="preserve"> th</w:t>
      </w:r>
      <w:r w:rsidR="00C3011F">
        <w:t xml:space="preserve">e framework of a narrative, </w:t>
      </w:r>
      <w:r w:rsidR="003B1FF6">
        <w:t>it is dominated by vast tracts of instruction material</w:t>
      </w:r>
      <w:r w:rsidR="00707A75">
        <w:t>. And whil</w:t>
      </w:r>
      <w:r w:rsidR="00C3011F">
        <w:t>e</w:t>
      </w:r>
      <w:r w:rsidR="00AA72EB">
        <w:t xml:space="preserve"> </w:t>
      </w:r>
      <w:r w:rsidR="003B1FF6">
        <w:t xml:space="preserve">“law” is </w:t>
      </w:r>
      <w:r w:rsidR="00AA72EB">
        <w:t>a misleading umbrella term for the Torah, even for its</w:t>
      </w:r>
      <w:r w:rsidR="003B1FF6">
        <w:t xml:space="preserve"> instruction material with its exhortations a</w:t>
      </w:r>
      <w:r w:rsidR="00707A75">
        <w:t>nd rules for life,</w:t>
      </w:r>
      <w:r w:rsidR="000C16B3">
        <w:t xml:space="preserve"> it is not </w:t>
      </w:r>
      <w:r w:rsidR="003B1FF6">
        <w:t>unreasonable to chara</w:t>
      </w:r>
      <w:r w:rsidR="00C3011F">
        <w:t xml:space="preserve">cterize the Torah as designed to give direction </w:t>
      </w:r>
      <w:r w:rsidR="003B1FF6">
        <w:t>for the life of the people of God.</w:t>
      </w:r>
      <w:r w:rsidR="00192A40">
        <w:t xml:space="preserve"> </w:t>
      </w:r>
      <w:r w:rsidR="00C337A3">
        <w:t>The s</w:t>
      </w:r>
      <w:r w:rsidR="00192A40">
        <w:t>cripture</w:t>
      </w:r>
      <w:r w:rsidR="00C337A3">
        <w:t>s</w:t>
      </w:r>
      <w:r w:rsidR="00C3011F">
        <w:t xml:space="preserve"> lay down the</w:t>
      </w:r>
      <w:r w:rsidR="00192A40">
        <w:t xml:space="preserve"> </w:t>
      </w:r>
      <w:r w:rsidR="00C3011F">
        <w:t>stances</w:t>
      </w:r>
      <w:r w:rsidR="00192A40">
        <w:t xml:space="preserve"> people should take to God and to one another.</w:t>
      </w:r>
    </w:p>
    <w:p w:rsidR="00192A40" w:rsidRDefault="00C3011F" w:rsidP="003B1FF6">
      <w:r>
        <w:t xml:space="preserve">Sometimes they </w:t>
      </w:r>
      <w:r w:rsidR="00192A40">
        <w:t>do so w</w:t>
      </w:r>
      <w:r w:rsidR="00B35BF1">
        <w:t>ithout giving reasons. The Torah</w:t>
      </w:r>
      <w:r>
        <w:t xml:space="preserve"> three times tell</w:t>
      </w:r>
      <w:r w:rsidR="00B35BF1">
        <w:t>s</w:t>
      </w:r>
      <w:r w:rsidR="00192A40">
        <w:t xml:space="preserve"> Israelites not to cook a baby goat in its mother’s milk, without saying why</w:t>
      </w:r>
      <w:r w:rsidR="00AA72EB">
        <w:t xml:space="preserve"> (</w:t>
      </w:r>
      <w:proofErr w:type="spellStart"/>
      <w:r w:rsidR="00AA72EB">
        <w:t>Exod</w:t>
      </w:r>
      <w:proofErr w:type="spellEnd"/>
      <w:r w:rsidR="00AA72EB">
        <w:t xml:space="preserve"> 23:19; 34:26; Deut 14:21)</w:t>
      </w:r>
      <w:r w:rsidR="00192A40">
        <w:t>. Paul says that women should remain silent in the churches</w:t>
      </w:r>
      <w:r w:rsidR="00F014CB">
        <w:t xml:space="preserve"> (1 Cor 14:34)</w:t>
      </w:r>
      <w:r w:rsidR="00192A40">
        <w:t>. In both cases, we can only guess at the reasons for the command</w:t>
      </w:r>
      <w:r>
        <w:t>s</w:t>
      </w:r>
      <w:r w:rsidR="00192A40">
        <w:t>. The Torah says that people should love their neighbors</w:t>
      </w:r>
      <w:r w:rsidR="00707A75">
        <w:t>,</w:t>
      </w:r>
      <w:r w:rsidR="00192A40">
        <w:t xml:space="preserve"> and the New </w:t>
      </w:r>
      <w:r w:rsidR="00192A40">
        <w:lastRenderedPageBreak/>
        <w:t>Testament agrees</w:t>
      </w:r>
      <w:r w:rsidR="003671A8">
        <w:t xml:space="preserve">, </w:t>
      </w:r>
      <w:r w:rsidR="00707A75">
        <w:t xml:space="preserve">but </w:t>
      </w:r>
      <w:r w:rsidR="00B35BF1">
        <w:t>again does not give reasons</w:t>
      </w:r>
      <w:r w:rsidR="00F014CB">
        <w:t xml:space="preserve"> (Lev 19:18; Mark 12:31)</w:t>
      </w:r>
      <w:r w:rsidR="003671A8">
        <w:t xml:space="preserve">. Both </w:t>
      </w:r>
      <w:r w:rsidR="00707A75">
        <w:t xml:space="preserve">the Torah </w:t>
      </w:r>
      <w:r w:rsidR="003671A8">
        <w:t xml:space="preserve">and </w:t>
      </w:r>
      <w:r w:rsidR="00707A75">
        <w:t>the New Testament</w:t>
      </w:r>
      <w:r w:rsidR="00B35BF1">
        <w:t xml:space="preserve"> assume that this expectation about loving one’s neighbor</w:t>
      </w:r>
      <w:r w:rsidR="00F014CB">
        <w:t xml:space="preserve"> is self-evident and </w:t>
      </w:r>
      <w:r w:rsidR="003671A8">
        <w:t>need</w:t>
      </w:r>
      <w:r w:rsidR="00F014CB">
        <w:t>s no</w:t>
      </w:r>
      <w:r w:rsidR="003671A8">
        <w:t xml:space="preserve"> explaining. Perhaps they make the same assumption about </w:t>
      </w:r>
      <w:r w:rsidR="00F014CB">
        <w:t xml:space="preserve">those other </w:t>
      </w:r>
      <w:r w:rsidR="003671A8">
        <w:t>commands whose rationale is not obvious to readers in an urbanized Western context.</w:t>
      </w:r>
    </w:p>
    <w:p w:rsidR="003671A8" w:rsidRDefault="00C337A3" w:rsidP="003B1FF6">
      <w:r>
        <w:t>Sometimes the s</w:t>
      </w:r>
      <w:r w:rsidR="003671A8">
        <w:t>cripture</w:t>
      </w:r>
      <w:r>
        <w:t>s</w:t>
      </w:r>
      <w:r w:rsidR="003671A8">
        <w:t xml:space="preserve"> </w:t>
      </w:r>
      <w:r>
        <w:t>do</w:t>
      </w:r>
      <w:r w:rsidR="00707A75">
        <w:t xml:space="preserve"> give</w:t>
      </w:r>
      <w:r w:rsidR="00C3011F">
        <w:t xml:space="preserve"> reasons when they lay</w:t>
      </w:r>
      <w:r w:rsidR="003671A8">
        <w:t xml:space="preserve"> the law down. It is because the Israelites </w:t>
      </w:r>
      <w:r w:rsidR="00C3011F">
        <w:t xml:space="preserve">were serfs in Egypt and </w:t>
      </w:r>
      <w:r w:rsidR="003671A8">
        <w:t>their God got them out of that serfdom that they should care for their own bondservants and for other needy people; it is because Jesus loved the disciples that they should love one</w:t>
      </w:r>
      <w:r w:rsidR="00C3011F">
        <w:t xml:space="preserve"> another. T</w:t>
      </w:r>
      <w:r w:rsidR="00707A75">
        <w:t>he scriptures</w:t>
      </w:r>
      <w:r w:rsidR="003671A8">
        <w:t xml:space="preserve"> </w:t>
      </w:r>
      <w:r w:rsidR="00C3011F">
        <w:t xml:space="preserve">likely </w:t>
      </w:r>
      <w:r w:rsidR="003671A8">
        <w:t xml:space="preserve">take these </w:t>
      </w:r>
      <w:r w:rsidR="00C3011F">
        <w:t xml:space="preserve">commands </w:t>
      </w:r>
      <w:r w:rsidR="003671A8">
        <w:t>also to be obvio</w:t>
      </w:r>
      <w:r w:rsidR="00C3011F">
        <w:t>us expectations of humanity. T</w:t>
      </w:r>
      <w:r w:rsidR="003671A8">
        <w:t xml:space="preserve">hey are not distinctive of </w:t>
      </w:r>
      <w:r w:rsidR="00707A75">
        <w:t>the scriptures. What the scriptures</w:t>
      </w:r>
      <w:r w:rsidR="003A6FED">
        <w:t xml:space="preserve"> do is provide extr</w:t>
      </w:r>
      <w:r w:rsidR="00C3011F">
        <w:t>a arguments for fulfilling such</w:t>
      </w:r>
      <w:r w:rsidR="003A6FED">
        <w:t xml:space="preserve"> expectations.</w:t>
      </w:r>
    </w:p>
    <w:p w:rsidR="00580AF7" w:rsidRDefault="00B35BF1" w:rsidP="003A6FED">
      <w:r>
        <w:t xml:space="preserve">There are </w:t>
      </w:r>
      <w:r w:rsidR="003A6FED">
        <w:t xml:space="preserve">scriptural commands or </w:t>
      </w:r>
      <w:proofErr w:type="gramStart"/>
      <w:r w:rsidR="003A6FED">
        <w:t>beliefs that readers may find unc</w:t>
      </w:r>
      <w:r w:rsidR="00C3011F">
        <w:t>ongenial</w:t>
      </w:r>
      <w:r>
        <w:t>, which</w:t>
      </w:r>
      <w:r w:rsidR="00C3011F">
        <w:t xml:space="preserve"> leads</w:t>
      </w:r>
      <w:proofErr w:type="gramEnd"/>
      <w:r w:rsidR="00C3011F">
        <w:t xml:space="preserve"> into consideration</w:t>
      </w:r>
      <w:r w:rsidR="003A6FED">
        <w:t xml:space="preserve"> of the relationship between scriptural authority and other authorities. The question of au</w:t>
      </w:r>
      <w:r w:rsidR="00707A75">
        <w:t>thority came into prominence</w:t>
      </w:r>
      <w:r w:rsidR="003A6FED">
        <w:t xml:space="preserve"> in theology </w:t>
      </w:r>
      <w:r w:rsidR="00707A75">
        <w:t xml:space="preserve">in the West </w:t>
      </w:r>
      <w:r w:rsidR="003A6FED">
        <w:t xml:space="preserve">at the time of the protestant reformation, </w:t>
      </w:r>
      <w:r w:rsidR="00C3011F">
        <w:t xml:space="preserve">which raised </w:t>
      </w:r>
      <w:r w:rsidR="003A6FED">
        <w:t>question</w:t>
      </w:r>
      <w:r w:rsidR="00C3011F">
        <w:t>s</w:t>
      </w:r>
      <w:r w:rsidR="003A6FED">
        <w:t xml:space="preserve"> concerning the authority of </w:t>
      </w:r>
      <w:r w:rsidR="00C337A3">
        <w:t xml:space="preserve">the </w:t>
      </w:r>
      <w:r w:rsidR="003A6FED">
        <w:t>scripture</w:t>
      </w:r>
      <w:r w:rsidR="00C337A3">
        <w:t>s</w:t>
      </w:r>
      <w:r w:rsidR="005F0EA7">
        <w:t xml:space="preserve"> and the authority of the church or of the</w:t>
      </w:r>
      <w:r w:rsidR="00707A75">
        <w:t xml:space="preserve"> Pope or of church tradition</w:t>
      </w:r>
      <w:r w:rsidR="003A6FED">
        <w:t>. As the Enlightenment developed, Richard Hooker expressed the question in terms of the relationship of scripture, tradition, and reason. The Wesleyan Quadrilateral speaks in terms of the relationships between s</w:t>
      </w:r>
      <w:r w:rsidR="00C613DB">
        <w:t xml:space="preserve">cripture, tradition, reason, </w:t>
      </w:r>
      <w:r w:rsidR="003A6FED">
        <w:t xml:space="preserve">and </w:t>
      </w:r>
      <w:r w:rsidR="00C613DB">
        <w:t>exper</w:t>
      </w:r>
      <w:r w:rsidR="003A6FED">
        <w:t xml:space="preserve">ience. </w:t>
      </w:r>
    </w:p>
    <w:p w:rsidR="00F014CB" w:rsidRDefault="008A2851" w:rsidP="003A6FED">
      <w:r>
        <w:t>T</w:t>
      </w:r>
      <w:r w:rsidR="00F014CB">
        <w:t>hese two or th</w:t>
      </w:r>
      <w:r>
        <w:t>ree or four loci of authority are not</w:t>
      </w:r>
      <w:r w:rsidR="00F014CB">
        <w:t xml:space="preserve"> si</w:t>
      </w:r>
      <w:r w:rsidR="00707A75">
        <w:t xml:space="preserve">mply alternatives. </w:t>
      </w:r>
      <w:r w:rsidR="00F014CB">
        <w:t xml:space="preserve">Christian thinking and behavior is </w:t>
      </w:r>
      <w:r w:rsidR="00707A75">
        <w:t xml:space="preserve">properly </w:t>
      </w:r>
      <w:r w:rsidR="00F014CB">
        <w:t>subject to all the</w:t>
      </w:r>
      <w:r w:rsidR="00707A75">
        <w:t>se influences;</w:t>
      </w:r>
      <w:r w:rsidR="00F014CB">
        <w:t xml:space="preserve"> </w:t>
      </w:r>
      <w:r w:rsidR="00C337A3">
        <w:t xml:space="preserve">the practice of the </w:t>
      </w:r>
      <w:r w:rsidR="00F014CB">
        <w:t>scripture</w:t>
      </w:r>
      <w:r w:rsidR="00C337A3">
        <w:t>s themselves justifies</w:t>
      </w:r>
      <w:r>
        <w:t xml:space="preserve"> that fact. One</w:t>
      </w:r>
      <w:r w:rsidR="00F014CB">
        <w:t xml:space="preserve"> way to think of their interrelationship is to ask about the dynamic balance between them. Which source has decis</w:t>
      </w:r>
      <w:r w:rsidR="00B35BF1">
        <w:t>ive influence on</w:t>
      </w:r>
      <w:r w:rsidR="00F014CB">
        <w:t xml:space="preserve"> thinking and behavior at crucial p</w:t>
      </w:r>
      <w:r w:rsidR="00707A75">
        <w:t xml:space="preserve">oints? Another </w:t>
      </w:r>
      <w:r w:rsidR="00F014CB">
        <w:t>way is suggested by the word canon. In origin it is the Greek word for a ruler. To describe script</w:t>
      </w:r>
      <w:r w:rsidR="00E959B8">
        <w:t>ure as canon is to give it a de</w:t>
      </w:r>
      <w:r w:rsidR="00F014CB">
        <w:t>ci</w:t>
      </w:r>
      <w:r w:rsidR="00E959B8">
        <w:t>si</w:t>
      </w:r>
      <w:r w:rsidR="00F014CB">
        <w:t xml:space="preserve">ve role </w:t>
      </w:r>
      <w:r w:rsidR="00707A75">
        <w:t>in another sense: w</w:t>
      </w:r>
      <w:r w:rsidR="00E959B8">
        <w:t>here there is a clash between scripture, tradition, reason, and experience, scripture has the last word.</w:t>
      </w:r>
    </w:p>
    <w:p w:rsidR="00C613DB" w:rsidRDefault="00580AF7" w:rsidP="003A6FED">
      <w:r>
        <w:t>In the twenty-first century in the West, it is clearer that the formulations of tradition, reason, and exper</w:t>
      </w:r>
      <w:r w:rsidR="00707A75">
        <w:t xml:space="preserve">ience are all </w:t>
      </w:r>
      <w:r>
        <w:t>s</w:t>
      </w:r>
      <w:r w:rsidR="008A2851">
        <w:t>haped by the culture in which people</w:t>
      </w:r>
      <w:r>
        <w:t xml:space="preserve"> live,</w:t>
      </w:r>
      <w:r w:rsidR="00707A75">
        <w:t xml:space="preserve"> like the scriptures themselves,</w:t>
      </w:r>
      <w:r>
        <w:t xml:space="preserve"> so that</w:t>
      </w:r>
      <w:r w:rsidR="00707A75">
        <w:t xml:space="preserve"> the question might </w:t>
      </w:r>
      <w:r>
        <w:t xml:space="preserve">be put more simply in terms of the relationship of </w:t>
      </w:r>
      <w:r w:rsidR="00C337A3">
        <w:t xml:space="preserve">the </w:t>
      </w:r>
      <w:r>
        <w:t>scripture</w:t>
      </w:r>
      <w:r w:rsidR="00C337A3">
        <w:t>s</w:t>
      </w:r>
      <w:r>
        <w:t xml:space="preserve"> </w:t>
      </w:r>
      <w:r w:rsidR="00C337A3">
        <w:t>in their</w:t>
      </w:r>
      <w:r w:rsidR="00707A75">
        <w:t xml:space="preserve"> culture </w:t>
      </w:r>
      <w:r>
        <w:t xml:space="preserve">and </w:t>
      </w:r>
      <w:r w:rsidR="00ED0E5B">
        <w:t xml:space="preserve">us in our </w:t>
      </w:r>
      <w:r w:rsidR="008A2851">
        <w:t>culture. At one level, this relationship then</w:t>
      </w:r>
      <w:r>
        <w:t xml:space="preserve"> </w:t>
      </w:r>
      <w:r w:rsidR="008A2851">
        <w:t xml:space="preserve">compares with </w:t>
      </w:r>
      <w:r>
        <w:t xml:space="preserve">the relationship between </w:t>
      </w:r>
      <w:r w:rsidR="00C337A3">
        <w:t xml:space="preserve">the </w:t>
      </w:r>
      <w:r>
        <w:t>scripture</w:t>
      </w:r>
      <w:r w:rsidR="00C337A3">
        <w:t>s</w:t>
      </w:r>
      <w:r>
        <w:t xml:space="preserve"> </w:t>
      </w:r>
      <w:r w:rsidR="008A2851">
        <w:t>and movements such as feminism</w:t>
      </w:r>
      <w:r>
        <w:t xml:space="preserve"> and post-colonialism. At another level, it concerns the relationship between </w:t>
      </w:r>
      <w:r w:rsidR="00C337A3">
        <w:t xml:space="preserve">the </w:t>
      </w:r>
      <w:r>
        <w:t>scripture</w:t>
      </w:r>
      <w:r w:rsidR="00C337A3">
        <w:t>s</w:t>
      </w:r>
      <w:r>
        <w:t xml:space="preserve"> and </w:t>
      </w:r>
      <w:r w:rsidR="008A2851">
        <w:t xml:space="preserve">Western </w:t>
      </w:r>
      <w:r>
        <w:t xml:space="preserve">assumptions such as the importance </w:t>
      </w:r>
      <w:r w:rsidR="008A2851">
        <w:t xml:space="preserve">of </w:t>
      </w:r>
      <w:r>
        <w:t xml:space="preserve">the individual, of human choice, of the </w:t>
      </w:r>
      <w:r w:rsidR="002175EA">
        <w:t xml:space="preserve">possibility of progress towards peace and justice, and of the rejection of violence. There are overlaps between </w:t>
      </w:r>
      <w:r w:rsidR="00C337A3">
        <w:t xml:space="preserve">the </w:t>
      </w:r>
      <w:r w:rsidR="002175EA">
        <w:t>scripture</w:t>
      </w:r>
      <w:r w:rsidR="00C337A3">
        <w:t>s</w:t>
      </w:r>
      <w:r w:rsidR="002175EA">
        <w:t xml:space="preserve"> and these movements and assumptions, but </w:t>
      </w:r>
      <w:r w:rsidR="008A2851">
        <w:t xml:space="preserve">there are </w:t>
      </w:r>
      <w:r w:rsidR="002175EA">
        <w:t xml:space="preserve">also ways in which </w:t>
      </w:r>
      <w:r w:rsidR="00C337A3">
        <w:t xml:space="preserve">the </w:t>
      </w:r>
      <w:r w:rsidR="002175EA">
        <w:t>scripture</w:t>
      </w:r>
      <w:r w:rsidR="00C337A3">
        <w:t>s imply</w:t>
      </w:r>
      <w:r w:rsidR="008A2851">
        <w:t xml:space="preserve"> a need to qualify their assertions</w:t>
      </w:r>
      <w:r w:rsidR="002175EA">
        <w:t xml:space="preserve">, or </w:t>
      </w:r>
      <w:r w:rsidR="00ED0E5B">
        <w:t xml:space="preserve">in which </w:t>
      </w:r>
      <w:r w:rsidR="00075B65">
        <w:t xml:space="preserve">the movements </w:t>
      </w:r>
      <w:r w:rsidR="002175EA">
        <w:t xml:space="preserve">imply a need to qualify </w:t>
      </w:r>
      <w:r w:rsidR="00C337A3">
        <w:t>the scripture</w:t>
      </w:r>
      <w:r w:rsidR="002175EA">
        <w:t>s</w:t>
      </w:r>
      <w:r w:rsidR="00C337A3">
        <w:t>’</w:t>
      </w:r>
      <w:r w:rsidR="002175EA">
        <w:t xml:space="preserve"> authority.  Twenty-first century theology thus has to decide between giving final authority to ways of thinking that emerge from our culture or </w:t>
      </w:r>
      <w:r w:rsidR="008A2851">
        <w:t xml:space="preserve">to </w:t>
      </w:r>
      <w:r w:rsidR="002175EA">
        <w:t xml:space="preserve">ways of thinking that emerge from </w:t>
      </w:r>
      <w:r w:rsidR="00C337A3">
        <w:t xml:space="preserve">the </w:t>
      </w:r>
      <w:r w:rsidR="002175EA">
        <w:t>scripture</w:t>
      </w:r>
      <w:r w:rsidR="00C337A3">
        <w:t>s</w:t>
      </w:r>
      <w:r w:rsidR="002175EA">
        <w:t>.</w:t>
      </w:r>
      <w:r w:rsidR="00F014CB">
        <w:t xml:space="preserve"> More realistically, it lives in an ongoing dialogue over such questions.</w:t>
      </w:r>
    </w:p>
    <w:p w:rsidR="00DC7A49" w:rsidRDefault="00C63AF3" w:rsidP="00DC7A49">
      <w:r>
        <w:t xml:space="preserve">Yet another </w:t>
      </w:r>
      <w:r w:rsidR="00ED0E5B">
        <w:t xml:space="preserve">related </w:t>
      </w:r>
      <w:r>
        <w:t>insight that emerges from twenty-first century Western awareness is that authority is</w:t>
      </w:r>
      <w:r w:rsidR="00ED0E5B">
        <w:t xml:space="preserve"> no</w:t>
      </w:r>
      <w:r>
        <w:t xml:space="preserve">t a very useful category for thinking about theology. </w:t>
      </w:r>
      <w:proofErr w:type="gramStart"/>
      <w:r>
        <w:t>The idea that something or someone can tell you</w:t>
      </w:r>
      <w:r w:rsidR="00ED0E5B">
        <w:t xml:space="preserve"> what to think </w:t>
      </w:r>
      <w:r w:rsidR="008A2851">
        <w:t>now seems odd</w:t>
      </w:r>
      <w:r w:rsidR="00075B65">
        <w:t xml:space="preserve">, and is hardly </w:t>
      </w:r>
      <w:proofErr w:type="spellStart"/>
      <w:r w:rsidR="00075B65">
        <w:t>requiredby</w:t>
      </w:r>
      <w:proofErr w:type="spellEnd"/>
      <w:r>
        <w:t xml:space="preserve"> the scriptures themselves.</w:t>
      </w:r>
      <w:proofErr w:type="gramEnd"/>
      <w:r>
        <w:t xml:space="preserve"> </w:t>
      </w:r>
    </w:p>
    <w:p w:rsidR="002175EA" w:rsidRPr="00DC7A49" w:rsidRDefault="00E959B8" w:rsidP="00DC7A49">
      <w:pPr>
        <w:rPr>
          <w:b/>
        </w:rPr>
      </w:pPr>
      <w:proofErr w:type="gramStart"/>
      <w:r w:rsidRPr="00DC7A49">
        <w:rPr>
          <w:b/>
        </w:rPr>
        <w:t>In</w:t>
      </w:r>
      <w:r w:rsidR="00DC7A49">
        <w:rPr>
          <w:b/>
        </w:rPr>
        <w:t>spiration.</w:t>
      </w:r>
      <w:proofErr w:type="gramEnd"/>
      <w:r w:rsidR="00DC7A49">
        <w:rPr>
          <w:b/>
        </w:rPr>
        <w:t xml:space="preserve"> </w:t>
      </w:r>
      <w:r w:rsidR="008B7940">
        <w:t xml:space="preserve">The explicit scriptural background to the idea of the inspiration of </w:t>
      </w:r>
      <w:r w:rsidR="00C337A3">
        <w:t xml:space="preserve">the </w:t>
      </w:r>
      <w:r w:rsidR="008B7940">
        <w:t>scripture</w:t>
      </w:r>
      <w:r w:rsidR="00C337A3">
        <w:t>s</w:t>
      </w:r>
      <w:r w:rsidR="008B7940">
        <w:t xml:space="preserve"> comes in</w:t>
      </w:r>
      <w:r w:rsidR="008F34A8">
        <w:t xml:space="preserve"> the description of every </w:t>
      </w:r>
      <w:r w:rsidR="005C6C6E">
        <w:t xml:space="preserve">(Old Testament) </w:t>
      </w:r>
      <w:r w:rsidR="008F34A8">
        <w:t xml:space="preserve">scripture as </w:t>
      </w:r>
      <w:proofErr w:type="spellStart"/>
      <w:r w:rsidR="008F34A8">
        <w:rPr>
          <w:i/>
        </w:rPr>
        <w:t>theopneustos</w:t>
      </w:r>
      <w:proofErr w:type="spellEnd"/>
      <w:r>
        <w:t>,</w:t>
      </w:r>
      <w:r w:rsidR="00075B65">
        <w:t xml:space="preserve"> in 2 Timothy 3:16,</w:t>
      </w:r>
      <w:r w:rsidR="008F34A8">
        <w:t xml:space="preserve"> the first know</w:t>
      </w:r>
      <w:r w:rsidR="00075B65">
        <w:t>n occurrence of this word It</w:t>
      </w:r>
      <w:r w:rsidR="008F34A8">
        <w:t xml:space="preserve"> is usua</w:t>
      </w:r>
      <w:r w:rsidR="008B7940">
        <w:t>lly taken to mean “God-bre</w:t>
      </w:r>
      <w:r w:rsidR="00075B65">
        <w:t>athed,</w:t>
      </w:r>
      <w:r>
        <w:t xml:space="preserve">” </w:t>
      </w:r>
      <w:r w:rsidR="00075B65">
        <w:t>b</w:t>
      </w:r>
      <w:r w:rsidR="005C6C6E">
        <w:t xml:space="preserve">ut 2 Peter </w:t>
      </w:r>
      <w:r w:rsidR="00AC5D16">
        <w:t xml:space="preserve">1:21 </w:t>
      </w:r>
      <w:r w:rsidR="005C6C6E">
        <w:t>speaks of the scriptur</w:t>
      </w:r>
      <w:r w:rsidR="00AC5D16">
        <w:t>al prophets being “moved</w:t>
      </w:r>
      <w:r w:rsidR="005C6C6E">
        <w:t xml:space="preserve"> by the Ho</w:t>
      </w:r>
      <w:r w:rsidR="00AC5D16">
        <w:t>ly Spirit</w:t>
      </w:r>
      <w:r w:rsidR="005C6C6E">
        <w:t>”</w:t>
      </w:r>
      <w:r w:rsidR="00AC5D16">
        <w:t xml:space="preserve"> (the verb </w:t>
      </w:r>
      <w:r>
        <w:t xml:space="preserve">in this passage </w:t>
      </w:r>
      <w:r w:rsidR="00AC5D16">
        <w:t>might be more forcibly translated “carried”),</w:t>
      </w:r>
      <w:r w:rsidR="005C6C6E">
        <w:t xml:space="preserve"> and </w:t>
      </w:r>
      <w:proofErr w:type="spellStart"/>
      <w:r w:rsidR="005C6C6E">
        <w:rPr>
          <w:i/>
        </w:rPr>
        <w:t>theopneustos</w:t>
      </w:r>
      <w:proofErr w:type="spellEnd"/>
      <w:r w:rsidR="005C6C6E">
        <w:t xml:space="preserve"> may similarly suggest “blown over by God.” Th</w:t>
      </w:r>
      <w:r w:rsidR="008A2851">
        <w:t xml:space="preserve">is understanding would fit </w:t>
      </w:r>
      <w:r w:rsidR="005C6C6E">
        <w:t xml:space="preserve">references in the Prophets themselves. On the more usual </w:t>
      </w:r>
      <w:r w:rsidR="008A2851">
        <w:t>understanding, the idea is that the words in</w:t>
      </w:r>
      <w:r w:rsidR="005C6C6E">
        <w:t xml:space="preserve"> </w:t>
      </w:r>
      <w:r w:rsidR="00C337A3">
        <w:t xml:space="preserve">the </w:t>
      </w:r>
      <w:r w:rsidR="005C6C6E">
        <w:t>scripture</w:t>
      </w:r>
      <w:r w:rsidR="00C337A3">
        <w:t>s</w:t>
      </w:r>
      <w:r w:rsidR="005C6C6E">
        <w:t xml:space="preserve"> were breathed out by </w:t>
      </w:r>
      <w:r w:rsidR="00075B65">
        <w:t>God</w:t>
      </w:r>
      <w:r w:rsidR="000C06E4">
        <w:t xml:space="preserve">. </w:t>
      </w:r>
    </w:p>
    <w:p w:rsidR="008F34A8" w:rsidRDefault="00441ADD" w:rsidP="008F34A8">
      <w:r w:rsidRPr="00DC7A49">
        <w:rPr>
          <w:b/>
          <w:i/>
        </w:rPr>
        <w:t>How inspiration may work</w:t>
      </w:r>
      <w:r w:rsidR="008A2851">
        <w:t xml:space="preserve">. The prophets </w:t>
      </w:r>
      <w:r w:rsidR="000C06E4">
        <w:t>have at l</w:t>
      </w:r>
      <w:r w:rsidR="00E959B8">
        <w:t>east three ways of describ</w:t>
      </w:r>
      <w:r w:rsidR="00716243">
        <w:t>ing the origin of their words</w:t>
      </w:r>
      <w:r w:rsidR="000C06E4">
        <w:t>. Sometimes they say “Yahweh has said this…,” speaking like a king’s messenger.</w:t>
      </w:r>
      <w:r w:rsidR="00075B65">
        <w:t xml:space="preserve"> Now a</w:t>
      </w:r>
      <w:r w:rsidR="00716243">
        <w:t xml:space="preserve"> king </w:t>
      </w:r>
      <w:r w:rsidR="00716243">
        <w:lastRenderedPageBreak/>
        <w:t>need</w:t>
      </w:r>
      <w:r w:rsidR="002175EA">
        <w:t xml:space="preserve"> not </w:t>
      </w:r>
      <w:r w:rsidR="00E959B8">
        <w:t>dictat</w:t>
      </w:r>
      <w:r w:rsidR="00716243">
        <w:t>e the words of his message, but rather provide</w:t>
      </w:r>
      <w:r w:rsidR="00E959B8">
        <w:t xml:space="preserve"> the </w:t>
      </w:r>
      <w:r w:rsidR="00075B65">
        <w:t>gist of it</w:t>
      </w:r>
      <w:r w:rsidR="002175EA">
        <w:t xml:space="preserve">; the messenger formulates the words. That fact does not compromise the </w:t>
      </w:r>
      <w:r w:rsidR="00716243">
        <w:t>message’s authenticity</w:t>
      </w:r>
      <w:r w:rsidR="002175EA">
        <w:t>; the messenger</w:t>
      </w:r>
      <w:r w:rsidR="00716243">
        <w:t>’s words</w:t>
      </w:r>
      <w:r w:rsidR="002175EA">
        <w:t xml:space="preserve"> count as the king’s words and have the force of </w:t>
      </w:r>
      <w:r w:rsidR="00E959B8">
        <w:t>the king’s words. S</w:t>
      </w:r>
      <w:r w:rsidR="00075B65">
        <w:t>econd, s</w:t>
      </w:r>
      <w:r w:rsidR="00E959B8">
        <w:t>ometimes the scripture</w:t>
      </w:r>
      <w:r w:rsidR="00075B65">
        <w:t>s refer to</w:t>
      </w:r>
      <w:r w:rsidR="00E959B8">
        <w:t xml:space="preserve"> God s</w:t>
      </w:r>
      <w:r w:rsidR="00ED0E5B">
        <w:t xml:space="preserve">peaking “by means of” a prophet, </w:t>
      </w:r>
      <w:r w:rsidR="00E959B8">
        <w:t>more literally</w:t>
      </w:r>
      <w:r w:rsidR="00ED0E5B">
        <w:t>, “by the hand of” the prophet (e.g., Haggai 1:1), or “by the mouth of” someone (e.g.</w:t>
      </w:r>
      <w:r w:rsidR="00716243">
        <w:t xml:space="preserve"> Acts 1:16). Here God is </w:t>
      </w:r>
      <w:r w:rsidR="00ED0E5B">
        <w:t>using the person as an instrum</w:t>
      </w:r>
      <w:r w:rsidR="00716243">
        <w:t>ent, like a ventriloquist. T</w:t>
      </w:r>
      <w:r w:rsidR="00ED0E5B">
        <w:t>he prophet does not formulate the words but simply opens the mouth, and out the words come.</w:t>
      </w:r>
      <w:r w:rsidR="00075B65">
        <w:t xml:space="preserve"> Third, s</w:t>
      </w:r>
      <w:r w:rsidR="00E959B8">
        <w:t xml:space="preserve">ometimes </w:t>
      </w:r>
      <w:r w:rsidR="00716243">
        <w:t xml:space="preserve">prophets </w:t>
      </w:r>
      <w:r w:rsidR="002175EA">
        <w:t xml:space="preserve">speak words that they </w:t>
      </w:r>
      <w:r w:rsidR="00075B65">
        <w:t xml:space="preserve">themselves </w:t>
      </w:r>
      <w:r w:rsidR="00716243">
        <w:t xml:space="preserve">simply </w:t>
      </w:r>
      <w:r w:rsidR="002175EA">
        <w:t>devise.</w:t>
      </w:r>
      <w:r w:rsidR="00ED0E5B">
        <w:t xml:space="preserve"> Whereas in other contexts they speak of what Yahweh is saying, here they speak as their own “I.” The book of Jeremiah provides examples as it records prayers and reflections of Jeremiah. When the idea of inspiration is extended to other forms of writing that appear in </w:t>
      </w:r>
      <w:r w:rsidR="00C337A3">
        <w:t xml:space="preserve">the </w:t>
      </w:r>
      <w:r w:rsidR="00ED0E5B">
        <w:t>scripture</w:t>
      </w:r>
      <w:r w:rsidR="00C337A3">
        <w:t>s</w:t>
      </w:r>
      <w:r w:rsidR="00ED0E5B">
        <w:t xml:space="preserve"> such as narratives, acts of praise, and letters, then this last </w:t>
      </w:r>
      <w:r w:rsidR="00DD1895">
        <w:t>form of inspiration is the one that applies.</w:t>
      </w:r>
      <w:r w:rsidR="00075B65">
        <w:t xml:space="preserve"> The speaker or writer takes the initiative, but God works through the person.</w:t>
      </w:r>
    </w:p>
    <w:p w:rsidR="005C6C6E" w:rsidRDefault="005C6C6E" w:rsidP="008F34A8">
      <w:r>
        <w:t>Following on the development of biblical criticism in the nineteenth century, theologians such as B. B. Warfield inferred from “</w:t>
      </w:r>
      <w:r w:rsidR="000C06E4">
        <w:t>God-</w:t>
      </w:r>
      <w:r>
        <w:t>breathed”</w:t>
      </w:r>
      <w:r w:rsidR="000C06E4">
        <w:t xml:space="preserve"> </w:t>
      </w:r>
      <w:r w:rsidR="000E3D50">
        <w:t>that the scri</w:t>
      </w:r>
      <w:r w:rsidR="00E257E8">
        <w:t>ptures must be infallible</w:t>
      </w:r>
      <w:r w:rsidR="000E3D50">
        <w:t xml:space="preserve"> (the word </w:t>
      </w:r>
      <w:r w:rsidR="00E257E8">
        <w:t xml:space="preserve">“inerrant” </w:t>
      </w:r>
      <w:r w:rsidR="000E3D50">
        <w:t>has come into more recent usage</w:t>
      </w:r>
      <w:r w:rsidR="00E257E8">
        <w:t xml:space="preserve"> in this connection</w:t>
      </w:r>
      <w:r w:rsidR="000E3D50">
        <w:t>). This inference seems unjustified. On one hand, the scriptures speak of Yahweh arousing Sennacherib to do his work</w:t>
      </w:r>
      <w:r w:rsidR="00DD1895">
        <w:t>,</w:t>
      </w:r>
      <w:r w:rsidR="000E3D50">
        <w:t xml:space="preserve"> and see Nebuchadnezzar as Yahweh’s serv</w:t>
      </w:r>
      <w:r w:rsidR="00E257E8">
        <w:t>ant, without implying a validation of</w:t>
      </w:r>
      <w:r w:rsidR="000E3D50">
        <w:t xml:space="preserve"> all that these conquerors do</w:t>
      </w:r>
      <w:r w:rsidR="00075B65">
        <w:t>,</w:t>
      </w:r>
      <w:r w:rsidR="000E3D50">
        <w:t xml:space="preserve"> or </w:t>
      </w:r>
      <w:r w:rsidR="00E257E8">
        <w:t>of the way they do it. Indeed, the prophets critique the</w:t>
      </w:r>
      <w:r w:rsidR="000E3D50">
        <w:t xml:space="preserve"> acts</w:t>
      </w:r>
      <w:r w:rsidR="00E257E8">
        <w:t xml:space="preserve"> in question</w:t>
      </w:r>
      <w:r w:rsidR="00C337A3">
        <w:t>. The s</w:t>
      </w:r>
      <w:r w:rsidR="000E3D50">
        <w:t>cripture</w:t>
      </w:r>
      <w:r w:rsidR="00C337A3">
        <w:t>s</w:t>
      </w:r>
      <w:r w:rsidR="000E3D50">
        <w:t xml:space="preserve"> could be God-breathed yet </w:t>
      </w:r>
      <w:r w:rsidR="00E257E8">
        <w:t xml:space="preserve">be </w:t>
      </w:r>
      <w:r w:rsidR="00C337A3">
        <w:t>compromised by the fact that they more literally emerge</w:t>
      </w:r>
      <w:r w:rsidR="000E3D50">
        <w:t xml:space="preserve"> from human mouths. </w:t>
      </w:r>
      <w:r w:rsidR="00716243">
        <w:t xml:space="preserve">It need not be so; perhaps the words are exactly what God wants said and the narratives are infallible or inerrant. </w:t>
      </w:r>
      <w:proofErr w:type="gramStart"/>
      <w:r w:rsidR="00716243">
        <w:t>But describing them as inspired does not in itself carry this implication.</w:t>
      </w:r>
      <w:proofErr w:type="gramEnd"/>
      <w:r w:rsidR="00716243">
        <w:t xml:space="preserve"> </w:t>
      </w:r>
    </w:p>
    <w:p w:rsidR="000E3D50" w:rsidRPr="005410CB" w:rsidRDefault="00441ADD" w:rsidP="005410CB">
      <w:pPr>
        <w:rPr>
          <w:b/>
        </w:rPr>
      </w:pPr>
      <w:proofErr w:type="gramStart"/>
      <w:r w:rsidRPr="00DC7A49">
        <w:rPr>
          <w:b/>
          <w:i/>
        </w:rPr>
        <w:t>Powerful words</w:t>
      </w:r>
      <w:r w:rsidR="005410CB">
        <w:rPr>
          <w:b/>
        </w:rPr>
        <w:t>.</w:t>
      </w:r>
      <w:proofErr w:type="gramEnd"/>
      <w:r w:rsidR="005410CB">
        <w:rPr>
          <w:b/>
        </w:rPr>
        <w:t xml:space="preserve"> </w:t>
      </w:r>
      <w:r w:rsidR="00716243">
        <w:t>T</w:t>
      </w:r>
      <w:r w:rsidR="008B4F90">
        <w:t xml:space="preserve">he context of </w:t>
      </w:r>
      <w:r w:rsidR="000E3D50">
        <w:t xml:space="preserve">2 Timothy 3:16 </w:t>
      </w:r>
      <w:proofErr w:type="gramStart"/>
      <w:r w:rsidR="000E3D50">
        <w:t>suggests</w:t>
      </w:r>
      <w:proofErr w:type="gramEnd"/>
      <w:r w:rsidR="000E3D50">
        <w:t xml:space="preserve"> </w:t>
      </w:r>
      <w:r w:rsidR="00C337A3">
        <w:t>th</w:t>
      </w:r>
      <w:r w:rsidR="00716243">
        <w:t>at the point about declaring</w:t>
      </w:r>
      <w:r w:rsidR="00C337A3">
        <w:t xml:space="preserve"> s</w:t>
      </w:r>
      <w:r w:rsidR="000E3D50">
        <w:t>cripture</w:t>
      </w:r>
      <w:r w:rsidR="00C337A3">
        <w:t>s</w:t>
      </w:r>
      <w:r w:rsidR="000E3D50">
        <w:t xml:space="preserve"> to be </w:t>
      </w:r>
      <w:proofErr w:type="spellStart"/>
      <w:r w:rsidR="000E3D50">
        <w:rPr>
          <w:i/>
        </w:rPr>
        <w:t>theopneustos</w:t>
      </w:r>
      <w:proofErr w:type="spellEnd"/>
      <w:r w:rsidR="008B4F90">
        <w:t xml:space="preserve"> lies else</w:t>
      </w:r>
      <w:r w:rsidR="00DD1895">
        <w:t xml:space="preserve">where. The </w:t>
      </w:r>
      <w:r w:rsidR="00716243">
        <w:t xml:space="preserve">scriptures’ inspiration </w:t>
      </w:r>
      <w:r w:rsidR="000A0FA5">
        <w:t>explains the counter-intuitive claim that these “sacred wri</w:t>
      </w:r>
      <w:r w:rsidR="00075B65">
        <w:t>tings” are able to convey</w:t>
      </w:r>
      <w:r w:rsidR="000A0FA5">
        <w:t xml:space="preserve"> a wisdom that leads to salvation “in</w:t>
      </w:r>
      <w:r w:rsidR="00716243">
        <w:t xml:space="preserve"> Christ Jesus”—who was not </w:t>
      </w:r>
      <w:r w:rsidR="000A0FA5">
        <w:t xml:space="preserve">born when they were written—and </w:t>
      </w:r>
      <w:r w:rsidR="008A051A">
        <w:t xml:space="preserve">it </w:t>
      </w:r>
      <w:r w:rsidR="000A0FA5">
        <w:t xml:space="preserve">undergirds the subsequent declaration that they are </w:t>
      </w:r>
      <w:r w:rsidR="008A051A">
        <w:t xml:space="preserve">therefore </w:t>
      </w:r>
      <w:r w:rsidR="000A0FA5">
        <w:t>“useful for teaching, rebuking, correcting, and training in right living</w:t>
      </w:r>
      <w:r w:rsidR="008A051A">
        <w:t>” for believers in Jesus. The involvement of God’s Spirit accounts for the</w:t>
      </w:r>
      <w:r w:rsidR="00716243">
        <w:t xml:space="preserve">se scriptures’ </w:t>
      </w:r>
      <w:r w:rsidR="008A051A">
        <w:t>capacity to be significant far beyond their original context</w:t>
      </w:r>
      <w:r w:rsidR="00716243">
        <w:t xml:space="preserve"> and audience. The point is </w:t>
      </w:r>
      <w:r w:rsidR="008A051A">
        <w:t xml:space="preserve">made elsewhere </w:t>
      </w:r>
      <w:r w:rsidR="00FD7A94">
        <w:t xml:space="preserve">by </w:t>
      </w:r>
      <w:r w:rsidR="008A051A">
        <w:t>speaking more directly of the involvement of God’s S</w:t>
      </w:r>
      <w:r w:rsidR="00C337A3">
        <w:t>pirit in the generating of the s</w:t>
      </w:r>
      <w:r w:rsidR="008A051A">
        <w:t xml:space="preserve">criptures. </w:t>
      </w:r>
      <w:r w:rsidR="00716243">
        <w:t>I</w:t>
      </w:r>
      <w:r w:rsidR="00E257E8">
        <w:t>t</w:t>
      </w:r>
      <w:r w:rsidR="00FD7A94">
        <w:t xml:space="preserve"> was “by the Holy Spirit” that God spoke in Psalm </w:t>
      </w:r>
      <w:r w:rsidR="00E257E8">
        <w:t>2</w:t>
      </w:r>
      <w:r w:rsidR="00716243">
        <w:t>, which</w:t>
      </w:r>
      <w:r w:rsidR="00E257E8">
        <w:t xml:space="preserve"> explains the extraordinary fact that it describes the activity of people persecuting believers in Jesus</w:t>
      </w:r>
      <w:r w:rsidR="00FD7A94">
        <w:t xml:space="preserve"> (Acts 4:25-26; cf. 28:25; </w:t>
      </w:r>
      <w:r w:rsidR="008B7940">
        <w:t xml:space="preserve">Mark 12:36; </w:t>
      </w:r>
      <w:r w:rsidR="00FD7A94">
        <w:t>Heb 3:7; 9:8).</w:t>
      </w:r>
    </w:p>
    <w:p w:rsidR="008B7940" w:rsidRDefault="00DF0188" w:rsidP="005224D1">
      <w:r>
        <w:t>S</w:t>
      </w:r>
      <w:r w:rsidR="005224D1">
        <w:t>omething that “Yahweh has said</w:t>
      </w:r>
      <w:r>
        <w:t xml:space="preserve">” </w:t>
      </w:r>
      <w:r w:rsidR="005224D1">
        <w:t xml:space="preserve">can </w:t>
      </w:r>
      <w:r>
        <w:t xml:space="preserve">naturally </w:t>
      </w:r>
      <w:r w:rsidR="005224D1">
        <w:t>be described as</w:t>
      </w:r>
      <w:r w:rsidR="00716243">
        <w:t xml:space="preserve"> “Yahweh’s</w:t>
      </w:r>
      <w:r w:rsidR="008B7940">
        <w:t xml:space="preserve"> word”</w:t>
      </w:r>
      <w:r w:rsidR="00D44774">
        <w:t xml:space="preserve"> (e.g., 1 Kings 18:1; Isa 1:10)</w:t>
      </w:r>
      <w:r w:rsidR="00716243">
        <w:t xml:space="preserve"> or occasionally “God’s word</w:t>
      </w:r>
      <w:r w:rsidR="008B7940">
        <w:t>” (e.g., 1 Sam 9:27; 1 Kings 12:22</w:t>
      </w:r>
      <w:r>
        <w:t>). In the New Testament “God’s word”</w:t>
      </w:r>
      <w:r w:rsidR="00D2074D">
        <w:t xml:space="preserve"> </w:t>
      </w:r>
      <w:r w:rsidR="00D44774">
        <w:t>can refer</w:t>
      </w:r>
      <w:r w:rsidR="00D2074D">
        <w:t xml:space="preserve"> to a particular scripture </w:t>
      </w:r>
      <w:r w:rsidR="00D44774">
        <w:t>(</w:t>
      </w:r>
      <w:r w:rsidR="00D2074D">
        <w:t>Mark 7:13</w:t>
      </w:r>
      <w:r w:rsidR="00D44774">
        <w:t>; John 10:35)</w:t>
      </w:r>
      <w:r w:rsidR="00716243">
        <w:t>,</w:t>
      </w:r>
      <w:r w:rsidR="00D44774">
        <w:t xml:space="preserve"> but it more characteristically denotes the message about Jesu</w:t>
      </w:r>
      <w:r w:rsidR="00716243">
        <w:t>s (e.g., Acts 4:31; 6:2). T</w:t>
      </w:r>
      <w:r w:rsidR="00D44774">
        <w:t>he convention of describing t</w:t>
      </w:r>
      <w:r w:rsidR="00716243">
        <w:t>he scriptures as a whole as “God’s Word</w:t>
      </w:r>
      <w:r w:rsidR="00D44774">
        <w:t xml:space="preserve">” does not correspond to </w:t>
      </w:r>
      <w:r w:rsidR="00C337A3">
        <w:t>the scripture</w:t>
      </w:r>
      <w:r w:rsidR="00D44774">
        <w:t>s</w:t>
      </w:r>
      <w:r w:rsidR="00C337A3">
        <w:t>’</w:t>
      </w:r>
      <w:r w:rsidR="00D44774">
        <w:t xml:space="preserve"> own usage, t</w:t>
      </w:r>
      <w:r>
        <w:t>hough the description of them as</w:t>
      </w:r>
      <w:r w:rsidR="00716243">
        <w:t xml:space="preserve"> “God’s words</w:t>
      </w:r>
      <w:r w:rsidR="00D44774">
        <w:t xml:space="preserve">” would be </w:t>
      </w:r>
      <w:r w:rsidR="005B6F5E">
        <w:t>an unexceptionable extension of the scriptural usage.</w:t>
      </w:r>
    </w:p>
    <w:p w:rsidR="00DC7A49" w:rsidRDefault="00716243" w:rsidP="00DC7A49">
      <w:r>
        <w:t>W</w:t>
      </w:r>
      <w:r w:rsidR="005B6F5E">
        <w:t>hat is the point about referring to a message as “the word of God</w:t>
      </w:r>
      <w:r w:rsidR="00E257E8">
        <w:t>” or “the word of Yahweh”?</w:t>
      </w:r>
      <w:r w:rsidR="00FD34D0">
        <w:t xml:space="preserve"> </w:t>
      </w:r>
      <w:r w:rsidR="005B6F5E">
        <w:t xml:space="preserve">One </w:t>
      </w:r>
      <w:r w:rsidR="00FD34D0">
        <w:t xml:space="preserve">answer </w:t>
      </w:r>
      <w:r w:rsidR="005B6F5E">
        <w:t>is that a message from God characteristically declares or impli</w:t>
      </w:r>
      <w:r w:rsidR="005224D1">
        <w:t>es a divine intention—either a</w:t>
      </w:r>
      <w:r w:rsidR="005B6F5E">
        <w:t xml:space="preserve"> promise or </w:t>
      </w:r>
      <w:r w:rsidR="005224D1">
        <w:t xml:space="preserve">a warning. </w:t>
      </w:r>
      <w:proofErr w:type="spellStart"/>
      <w:r w:rsidR="005224D1">
        <w:t>I</w:t>
      </w:r>
      <w:r w:rsidR="005B6F5E">
        <w:t>ts</w:t>
      </w:r>
      <w:proofErr w:type="spellEnd"/>
      <w:r w:rsidR="005B6F5E">
        <w:t xml:space="preserve"> being God’s message draws the listeners’ attention to the fact that the word will find f</w:t>
      </w:r>
      <w:r w:rsidR="00FD34D0">
        <w:t xml:space="preserve">ulfillment, because God does </w:t>
      </w:r>
      <w:r w:rsidR="005B6F5E">
        <w:t>as he say</w:t>
      </w:r>
      <w:r w:rsidR="00FD34D0">
        <w:t xml:space="preserve">s. The other answer is that </w:t>
      </w:r>
      <w:r w:rsidR="005B6F5E">
        <w:t xml:space="preserve">listeners </w:t>
      </w:r>
      <w:r w:rsidR="00FD34D0">
        <w:t>are therefore advised to take the message</w:t>
      </w:r>
      <w:r w:rsidR="005B6F5E">
        <w:t xml:space="preserve"> seriously and give it the appropriate response of trust and </w:t>
      </w:r>
      <w:proofErr w:type="gramStart"/>
      <w:r w:rsidR="005B6F5E">
        <w:t>expectation,</w:t>
      </w:r>
      <w:proofErr w:type="gramEnd"/>
      <w:r w:rsidR="005B6F5E">
        <w:t xml:space="preserve"> or </w:t>
      </w:r>
      <w:r w:rsidR="00FD34D0">
        <w:t xml:space="preserve">of </w:t>
      </w:r>
      <w:r w:rsidR="005B6F5E">
        <w:t>repentance and turning to the right way.</w:t>
      </w:r>
    </w:p>
    <w:p w:rsidR="005B6F5E" w:rsidRDefault="005B6F5E" w:rsidP="00DC7A49">
      <w:proofErr w:type="gramStart"/>
      <w:r w:rsidRPr="00DC7A49">
        <w:rPr>
          <w:b/>
        </w:rPr>
        <w:t>Revelation</w:t>
      </w:r>
      <w:r w:rsidR="00DC7A49">
        <w:t>.</w:t>
      </w:r>
      <w:proofErr w:type="gramEnd"/>
      <w:r w:rsidR="00DC7A49">
        <w:t xml:space="preserve"> </w:t>
      </w:r>
      <w:r w:rsidR="00060D82">
        <w:t>As is the case with</w:t>
      </w:r>
      <w:r>
        <w:t xml:space="preserve"> authority and inspiration, the idea of revelation </w:t>
      </w:r>
      <w:r w:rsidR="00DF0188">
        <w:t xml:space="preserve">does </w:t>
      </w:r>
      <w:r>
        <w:t>ap</w:t>
      </w:r>
      <w:r w:rsidR="00DF0188">
        <w:t>pear</w:t>
      </w:r>
      <w:r w:rsidR="007C5B89">
        <w:t xml:space="preserve"> within </w:t>
      </w:r>
      <w:r w:rsidR="00C337A3">
        <w:t xml:space="preserve">the </w:t>
      </w:r>
      <w:r w:rsidR="007C5B89">
        <w:t>scripture</w:t>
      </w:r>
      <w:r w:rsidR="00C337A3">
        <w:t>s</w:t>
      </w:r>
      <w:r w:rsidR="005224D1">
        <w:t>,</w:t>
      </w:r>
      <w:r w:rsidR="00DF0188">
        <w:t xml:space="preserve"> but</w:t>
      </w:r>
      <w:r w:rsidR="005224D1">
        <w:t xml:space="preserve"> </w:t>
      </w:r>
      <w:r w:rsidR="007C5B89">
        <w:t xml:space="preserve">in more concrete </w:t>
      </w:r>
      <w:r w:rsidR="00060D82">
        <w:t xml:space="preserve">and narrower </w:t>
      </w:r>
      <w:r>
        <w:t>co</w:t>
      </w:r>
      <w:r w:rsidR="00341625">
        <w:t>nnection</w:t>
      </w:r>
      <w:r w:rsidR="007C5B89">
        <w:t>s</w:t>
      </w:r>
      <w:r w:rsidR="00341625">
        <w:t xml:space="preserve"> from the one that has </w:t>
      </w:r>
      <w:r w:rsidR="007C5B89">
        <w:t xml:space="preserve">classically obtained in discussion of </w:t>
      </w:r>
      <w:r w:rsidR="00C337A3">
        <w:t xml:space="preserve">the </w:t>
      </w:r>
      <w:r w:rsidR="007C5B89">
        <w:t>scripture</w:t>
      </w:r>
      <w:r w:rsidR="00060D82">
        <w:t>s</w:t>
      </w:r>
      <w:r w:rsidR="00C337A3">
        <w:t>’</w:t>
      </w:r>
      <w:r w:rsidR="00060D82">
        <w:t xml:space="preserve"> theological nature</w:t>
      </w:r>
      <w:r w:rsidR="00341625">
        <w:t xml:space="preserve">. </w:t>
      </w:r>
      <w:r w:rsidR="007F6781">
        <w:t xml:space="preserve">In the </w:t>
      </w:r>
      <w:r w:rsidR="00060D82">
        <w:t xml:space="preserve">Christian thinking of the </w:t>
      </w:r>
      <w:r w:rsidR="007F6781">
        <w:t xml:space="preserve">medieval period, revelation was commonly set alongside reason; these were two complementary sources of truth. Modernity was more inclined to set revelation and reason over against one another; the </w:t>
      </w:r>
      <w:r w:rsidR="007F6781">
        <w:lastRenderedPageBreak/>
        <w:t xml:space="preserve">relationship became more fraught.  </w:t>
      </w:r>
    </w:p>
    <w:p w:rsidR="007A769D" w:rsidRDefault="00C337A3" w:rsidP="005B6F5E">
      <w:r>
        <w:t>The s</w:t>
      </w:r>
      <w:r w:rsidR="00E257E8">
        <w:t>cripture</w:t>
      </w:r>
      <w:r>
        <w:t>s</w:t>
      </w:r>
      <w:r w:rsidR="00E257E8">
        <w:t xml:space="preserve"> sometimes </w:t>
      </w:r>
      <w:r w:rsidR="007C5B89">
        <w:t>sp</w:t>
      </w:r>
      <w:r>
        <w:t>eak</w:t>
      </w:r>
      <w:r w:rsidR="007C5B89">
        <w:t xml:space="preserve"> of God revealing himself in the sense of</w:t>
      </w:r>
      <w:r w:rsidR="005224D1">
        <w:t xml:space="preserve"> personally appearing to a person</w:t>
      </w:r>
      <w:r w:rsidR="007C5B89">
        <w:t xml:space="preserve"> (e.g., Gen 35:7) but </w:t>
      </w:r>
      <w:r w:rsidR="00DF0188">
        <w:t xml:space="preserve">they </w:t>
      </w:r>
      <w:r w:rsidR="00FD34D0">
        <w:t>more often speak</w:t>
      </w:r>
      <w:r w:rsidR="007C5B89">
        <w:t xml:space="preserve"> of God revealing something in words spoken into someone’s ear (e.g., 1 Sam 9:15).</w:t>
      </w:r>
      <w:r w:rsidR="00EE4A39">
        <w:t xml:space="preserve"> </w:t>
      </w:r>
      <w:r w:rsidR="00341625">
        <w:t xml:space="preserve">Twentieth-century theology </w:t>
      </w:r>
      <w:r w:rsidR="00EE4A39">
        <w:t xml:space="preserve">further </w:t>
      </w:r>
      <w:r w:rsidR="00341625">
        <w:t>debated the question whether revelation lay i</w:t>
      </w:r>
      <w:r>
        <w:t>n God’s words as preserved in the sc</w:t>
      </w:r>
      <w:r w:rsidR="00341625">
        <w:t>ripture</w:t>
      </w:r>
      <w:r>
        <w:t>s</w:t>
      </w:r>
      <w:r w:rsidR="00341625">
        <w:t xml:space="preserve"> o</w:t>
      </w:r>
      <w:r>
        <w:t>r in</w:t>
      </w:r>
      <w:r w:rsidR="00DF0188">
        <w:t xml:space="preserve"> God’s acts as reported in them</w:t>
      </w:r>
      <w:r w:rsidR="007A769D">
        <w:t xml:space="preserve">. </w:t>
      </w:r>
      <w:r w:rsidR="00EE4A39">
        <w:t xml:space="preserve">Within </w:t>
      </w:r>
      <w:r>
        <w:t xml:space="preserve">the </w:t>
      </w:r>
      <w:r w:rsidR="00EE4A39">
        <w:t>s</w:t>
      </w:r>
      <w:r>
        <w:t>cripture</w:t>
      </w:r>
      <w:r w:rsidR="005224D1">
        <w:t>s</w:t>
      </w:r>
      <w:r>
        <w:t xml:space="preserve"> themselves</w:t>
      </w:r>
      <w:r w:rsidR="005224D1">
        <w:t xml:space="preserve">, </w:t>
      </w:r>
      <w:r w:rsidR="00EE4A39">
        <w:t>both</w:t>
      </w:r>
      <w:r w:rsidR="005224D1">
        <w:t xml:space="preserve"> are involved, and </w:t>
      </w:r>
      <w:r w:rsidR="007A769D">
        <w:t>each is dependent on the other. When God reveals something</w:t>
      </w:r>
      <w:r w:rsidR="005224D1">
        <w:t>, the revelation</w:t>
      </w:r>
      <w:r w:rsidR="007A769D">
        <w:t xml:space="preserve"> </w:t>
      </w:r>
      <w:r w:rsidR="00587B9C">
        <w:t>common</w:t>
      </w:r>
      <w:r w:rsidR="00812215">
        <w:t xml:space="preserve">ly concerns </w:t>
      </w:r>
      <w:r w:rsidR="009E4016">
        <w:t>something God intends to do (e.g., Isa 22:14).</w:t>
      </w:r>
      <w:r w:rsidR="005224D1">
        <w:t xml:space="preserve"> T</w:t>
      </w:r>
      <w:r w:rsidR="00587B9C">
        <w:t xml:space="preserve">he event </w:t>
      </w:r>
      <w:r w:rsidR="00DF0188">
        <w:t xml:space="preserve">then </w:t>
      </w:r>
      <w:r w:rsidR="00587B9C">
        <w:t>provides evidence</w:t>
      </w:r>
      <w:r w:rsidR="005224D1">
        <w:t xml:space="preserve"> that the revelation was real. Conversely, w</w:t>
      </w:r>
      <w:r w:rsidR="00587B9C">
        <w:t>hen God acts, this act is characteristically preceded by a revelation concerning the event</w:t>
      </w:r>
      <w:r w:rsidR="00DF0188">
        <w:t>,</w:t>
      </w:r>
      <w:r w:rsidR="00587B9C">
        <w:t xml:space="preserve"> and </w:t>
      </w:r>
      <w:r w:rsidR="00DF0188">
        <w:t xml:space="preserve">it is </w:t>
      </w:r>
      <w:r w:rsidR="00587B9C">
        <w:t>commo</w:t>
      </w:r>
      <w:r w:rsidR="005224D1">
        <w:t>nly followed by a comment on the event’s significance. This sequence</w:t>
      </w:r>
      <w:r w:rsidR="00587B9C">
        <w:t xml:space="preserve"> reflects the fact that</w:t>
      </w:r>
      <w:r w:rsidR="00FD34D0">
        <w:t xml:space="preserve"> the event would not in itself reveal</w:t>
      </w:r>
      <w:r w:rsidR="00587B9C">
        <w:t xml:space="preserve"> anything unless it was accompanied by some words. There is thus a </w:t>
      </w:r>
      <w:r w:rsidR="00EE4A39">
        <w:t xml:space="preserve">close relationship between </w:t>
      </w:r>
      <w:r w:rsidR="00587B9C">
        <w:t>talk in terms of revelation and the Prophets’ more characteristic talk in terms of “Yahweh’s word.”</w:t>
      </w:r>
    </w:p>
    <w:p w:rsidR="00341625" w:rsidRDefault="00587B9C" w:rsidP="005B6F5E">
      <w:r>
        <w:t xml:space="preserve">The noun “revelation” is used in a similar way </w:t>
      </w:r>
      <w:r w:rsidR="00DF0188">
        <w:t xml:space="preserve">to refer to coming events </w:t>
      </w:r>
      <w:r>
        <w:t xml:space="preserve">in the introduction to the book known as Revelation, “the revelation of Jesus Christ which God gave </w:t>
      </w:r>
      <w:r w:rsidR="00FD34D0">
        <w:t xml:space="preserve">him to show </w:t>
      </w:r>
      <w:r w:rsidR="00AC5D16">
        <w:t>his servants what must s</w:t>
      </w:r>
      <w:r w:rsidR="00DF0188">
        <w:t>oon take place” (Rev 1:1). But th</w:t>
      </w:r>
      <w:r w:rsidR="00AC5D16">
        <w:t xml:space="preserve">e book </w:t>
      </w:r>
      <w:r w:rsidR="00DF0188">
        <w:t xml:space="preserve">also </w:t>
      </w:r>
      <w:r w:rsidR="00AC5D16">
        <w:t>“reveal</w:t>
      </w:r>
      <w:r w:rsidR="00DF0188">
        <w:t>s</w:t>
      </w:r>
      <w:r w:rsidR="00AC5D16">
        <w:t>” much more t</w:t>
      </w:r>
      <w:r w:rsidR="005224D1">
        <w:t>han events to come</w:t>
      </w:r>
      <w:r w:rsidR="00DF0188">
        <w:t xml:space="preserve"> in the future</w:t>
      </w:r>
      <w:r w:rsidR="00AC5D16">
        <w:t xml:space="preserve">. In rabbinic thinking, “revelation” applied to “things above and below, things in front and behind”—that is, both heaven and hell, and both the past (especially creation) and the future (especially the </w:t>
      </w:r>
      <w:r w:rsidR="00FD34D0">
        <w:t>End). In other words, it covers</w:t>
      </w:r>
      <w:r w:rsidR="00AC5D16">
        <w:t xml:space="preserve"> anything that human beings could not know by using their human insight.</w:t>
      </w:r>
      <w:r w:rsidR="00720B11">
        <w:t xml:space="preserve"> </w:t>
      </w:r>
    </w:p>
    <w:p w:rsidR="00AC5D16" w:rsidRDefault="00AC5D16" w:rsidP="005B6F5E">
      <w:r>
        <w:t>Once more, then, the use of the</w:t>
      </w:r>
      <w:r w:rsidR="00C337A3">
        <w:t xml:space="preserve"> term “revelation” to refer to the s</w:t>
      </w:r>
      <w:r>
        <w:t>cripture</w:t>
      </w:r>
      <w:r w:rsidR="00C337A3">
        <w:t>s</w:t>
      </w:r>
      <w:r>
        <w:t xml:space="preserve"> </w:t>
      </w:r>
      <w:r w:rsidR="00FD34D0">
        <w:t xml:space="preserve">as a whole </w:t>
      </w:r>
      <w:r>
        <w:t>does no</w:t>
      </w:r>
      <w:r w:rsidR="00C337A3">
        <w:t>t l</w:t>
      </w:r>
      <w:r w:rsidR="00FD34D0">
        <w:t>ink very well with their</w:t>
      </w:r>
      <w:r>
        <w:t xml:space="preserve"> own use of the </w:t>
      </w:r>
      <w:r w:rsidR="00FD34D0">
        <w:t xml:space="preserve">word, partly because </w:t>
      </w:r>
      <w:r>
        <w:t>the word</w:t>
      </w:r>
      <w:r w:rsidR="00FD34D0">
        <w:t>’s use</w:t>
      </w:r>
      <w:r>
        <w:t xml:space="preserve"> in theology reflects issues in later contexts.</w:t>
      </w:r>
      <w:r w:rsidR="00720B11">
        <w:t xml:space="preserve"> But</w:t>
      </w:r>
      <w:r w:rsidR="00FD34D0">
        <w:t xml:space="preserve"> the idea of revelation is </w:t>
      </w:r>
      <w:r w:rsidR="00720B11">
        <w:t xml:space="preserve">useful for conveying the sense that one discovers from </w:t>
      </w:r>
      <w:r w:rsidR="00C337A3">
        <w:t xml:space="preserve">the </w:t>
      </w:r>
      <w:r w:rsidR="00720B11">
        <w:t>scripture</w:t>
      </w:r>
      <w:r w:rsidR="00C337A3">
        <w:t>s</w:t>
      </w:r>
      <w:r w:rsidR="00720B11">
        <w:t xml:space="preserve"> things that one would not have guessed or worked out.</w:t>
      </w:r>
    </w:p>
    <w:p w:rsidR="00DC7A49" w:rsidRDefault="00DF0188" w:rsidP="00DC7A49">
      <w:r>
        <w:t>Theological study has commonly mad</w:t>
      </w:r>
      <w:r w:rsidR="0098739D">
        <w:t>e a distinction between general revelation an</w:t>
      </w:r>
      <w:r w:rsidR="00C337A3">
        <w:t>d special revelation. Although the s</w:t>
      </w:r>
      <w:r w:rsidR="0098739D">
        <w:t>cripture</w:t>
      </w:r>
      <w:r w:rsidR="00C337A3">
        <w:t>s do</w:t>
      </w:r>
      <w:r w:rsidR="0098739D">
        <w:t xml:space="preserve"> not use the wo</w:t>
      </w:r>
      <w:r w:rsidR="00720B11">
        <w:t>rds in this way, the categorization fits some assumptions</w:t>
      </w:r>
      <w:r>
        <w:t xml:space="preserve"> that appear there</w:t>
      </w:r>
      <w:r w:rsidR="0098739D">
        <w:t xml:space="preserve">. </w:t>
      </w:r>
      <w:r w:rsidR="00720B11">
        <w:t>A prophet such as Amos and a writer such as Paul assume that the world in general is aware of the basic truths about God and about human obligation. People do not need a special revelation in order to know th</w:t>
      </w:r>
      <w:r w:rsidR="00FD34D0">
        <w:t>at God is real and is</w:t>
      </w:r>
      <w:r w:rsidR="00720B11">
        <w:t xml:space="preserve"> powerful, moral, and compassionate, or to know that adultery, false witn</w:t>
      </w:r>
      <w:r>
        <w:t>ess, and torture are wrong –</w:t>
      </w:r>
      <w:r w:rsidR="00720B11">
        <w:t xml:space="preserve"> though such </w:t>
      </w:r>
      <w:proofErr w:type="spellStart"/>
      <w:r w:rsidR="00720B11">
        <w:t>awarenesses</w:t>
      </w:r>
      <w:proofErr w:type="spellEnd"/>
      <w:r w:rsidR="00720B11">
        <w:t xml:space="preserve"> c</w:t>
      </w:r>
      <w:r w:rsidR="00FD34D0">
        <w:t>an be surrendered and lost. These truths</w:t>
      </w:r>
      <w:r w:rsidR="00720B11">
        <w:t xml:space="preserve"> are aspects of human awareness like the awareness that we exist. One </w:t>
      </w:r>
      <w:r>
        <w:t>can think of</w:t>
      </w:r>
      <w:r w:rsidR="00FD34D0">
        <w:t xml:space="preserve"> them</w:t>
      </w:r>
      <w:r w:rsidR="00720B11">
        <w:t xml:space="preserve"> </w:t>
      </w:r>
      <w:r>
        <w:t xml:space="preserve">as </w:t>
      </w:r>
      <w:r w:rsidR="00720B11">
        <w:t>the general revelation available to all human</w:t>
      </w:r>
      <w:r>
        <w:t>ity through being</w:t>
      </w:r>
      <w:r w:rsidR="00720B11">
        <w:t xml:space="preserve"> made in God’s image. </w:t>
      </w:r>
      <w:r>
        <w:t>Further,</w:t>
      </w:r>
      <w:r w:rsidR="00720B11">
        <w:t xml:space="preserve"> the scriptures assume that there are truths about life and the world that human beings discover by looking at the world itself and </w:t>
      </w:r>
      <w:r>
        <w:t xml:space="preserve">by </w:t>
      </w:r>
      <w:r w:rsidR="00720B11">
        <w:t xml:space="preserve">reflecting on human experience. </w:t>
      </w:r>
      <w:r w:rsidR="003C348A">
        <w:t xml:space="preserve">It is the truths that cannot be discovered in this way (the “things above and below, things in front and behind”) that are the subjects of special revelation. </w:t>
      </w:r>
    </w:p>
    <w:p w:rsidR="001F2623" w:rsidRPr="00DC7A49" w:rsidRDefault="001F2623" w:rsidP="00DC7A49">
      <w:pPr>
        <w:rPr>
          <w:b/>
        </w:rPr>
      </w:pPr>
      <w:proofErr w:type="gramStart"/>
      <w:r w:rsidRPr="00DC7A49">
        <w:rPr>
          <w:b/>
        </w:rPr>
        <w:t>Praise and Protest</w:t>
      </w:r>
      <w:r w:rsidR="00DC7A49">
        <w:rPr>
          <w:b/>
        </w:rPr>
        <w:t>.</w:t>
      </w:r>
      <w:proofErr w:type="gramEnd"/>
      <w:r w:rsidR="00DC7A49">
        <w:rPr>
          <w:b/>
        </w:rPr>
        <w:t xml:space="preserve"> </w:t>
      </w:r>
      <w:r w:rsidR="00EE4A39">
        <w:t>A surprising feature of the</w:t>
      </w:r>
      <w:r>
        <w:t xml:space="preserve"> collection of writings called “Holy Scripture</w:t>
      </w:r>
      <w:r w:rsidR="00C337A3">
        <w:t>s</w:t>
      </w:r>
      <w:r>
        <w:t xml:space="preserve">” is the presence among them of substantial material </w:t>
      </w:r>
      <w:r w:rsidR="003C348A">
        <w:t>that addresses</w:t>
      </w:r>
      <w:r>
        <w:t xml:space="preserve"> God</w:t>
      </w:r>
      <w:r w:rsidR="00EE4A39">
        <w:t>,</w:t>
      </w:r>
      <w:r>
        <w:t xml:space="preserve"> as opposed to narrating the story of God’s involvement with people or laying down God’s expectations of people or conveying</w:t>
      </w:r>
      <w:r w:rsidR="00EE4A39">
        <w:t xml:space="preserve"> messages God has given. T</w:t>
      </w:r>
      <w:r>
        <w:t>he Psalms are the main such repository,</w:t>
      </w:r>
      <w:r w:rsidR="00EE4A39">
        <w:t xml:space="preserve"> but</w:t>
      </w:r>
      <w:r>
        <w:t xml:space="preserve"> L</w:t>
      </w:r>
      <w:r w:rsidR="00EE4A39">
        <w:t>amentations takes the same form;</w:t>
      </w:r>
      <w:r>
        <w:t xml:space="preserve"> </w:t>
      </w:r>
      <w:r w:rsidR="00FD34D0">
        <w:t xml:space="preserve">Job and </w:t>
      </w:r>
      <w:r>
        <w:t>Ecclesiastes also l</w:t>
      </w:r>
      <w:r w:rsidR="00FD34D0">
        <w:t>argely comprises protest</w:t>
      </w:r>
      <w:r>
        <w:t>.</w:t>
      </w:r>
    </w:p>
    <w:p w:rsidR="001F2623" w:rsidRDefault="003C348A" w:rsidP="001F2623">
      <w:r>
        <w:t>While t</w:t>
      </w:r>
      <w:r w:rsidR="00FD34D0">
        <w:t xml:space="preserve">he New Testament </w:t>
      </w:r>
      <w:r w:rsidR="001F2623">
        <w:t>quote</w:t>
      </w:r>
      <w:r w:rsidR="00FD34D0">
        <w:t>s</w:t>
      </w:r>
      <w:r w:rsidR="001F2623">
        <w:t xml:space="preserve"> the Psal</w:t>
      </w:r>
      <w:r>
        <w:t>ms in the conviction that they have</w:t>
      </w:r>
      <w:r w:rsidR="001F2623">
        <w:t xml:space="preserve"> a similar nature to prophecy as God’s words (e.g., Acts 1:20; 2:25-31)</w:t>
      </w:r>
      <w:r>
        <w:t>, t</w:t>
      </w:r>
      <w:r w:rsidR="00FD34D0">
        <w:t>he form of the P</w:t>
      </w:r>
      <w:r w:rsidR="005E773D">
        <w:t>salms</w:t>
      </w:r>
      <w:r>
        <w:t xml:space="preserve"> suggests that most of them bega</w:t>
      </w:r>
      <w:r w:rsidR="005E773D">
        <w:t>n life as prayers and praises addressed to God. Apparently the Israelite community</w:t>
      </w:r>
      <w:r w:rsidR="00FD34D0">
        <w:t xml:space="preserve"> believed them to be prayers and</w:t>
      </w:r>
      <w:r w:rsidR="005E773D">
        <w:t xml:space="preserve"> praises that were acceptable to God</w:t>
      </w:r>
      <w:r w:rsidR="00FD34D0">
        <w:t xml:space="preserve"> and could model proper prayer and praise</w:t>
      </w:r>
      <w:r w:rsidR="005E773D">
        <w:t>. The form of the Psalter as a whole reflects</w:t>
      </w:r>
      <w:r w:rsidR="00FD34D0">
        <w:t xml:space="preserve"> this conviction. It</w:t>
      </w:r>
      <w:r w:rsidR="005E773D">
        <w:t xml:space="preserve"> comprises five books of praise and prayer, with </w:t>
      </w:r>
      <w:r w:rsidR="00084222">
        <w:t xml:space="preserve">“Amen” </w:t>
      </w:r>
      <w:r w:rsidR="005E773D">
        <w:t>codas after Psalms</w:t>
      </w:r>
      <w:r w:rsidR="00DF0188">
        <w:t xml:space="preserve"> 41, 72, 89, and 106 to mark this</w:t>
      </w:r>
      <w:r w:rsidR="005E773D">
        <w:t xml:space="preserve"> structure (</w:t>
      </w:r>
      <w:r w:rsidR="00084222">
        <w:t>the headings “Book One” and so</w:t>
      </w:r>
      <w:r>
        <w:t xml:space="preserve"> on</w:t>
      </w:r>
      <w:r w:rsidR="00FD34D0">
        <w:t xml:space="preserve"> which appear in </w:t>
      </w:r>
      <w:r w:rsidR="00084222">
        <w:t xml:space="preserve">English translations make the point explicit, but the “Amen” codas themselves are part of the Hebrew text). The five books of praise and protest thus correspond to the five books of the </w:t>
      </w:r>
      <w:r w:rsidR="00084222">
        <w:lastRenderedPageBreak/>
        <w:t>Torah. They offer instruction on prai</w:t>
      </w:r>
      <w:r w:rsidR="00DF0188">
        <w:t>se and prayer in the form of one hundred and fifty</w:t>
      </w:r>
      <w:r w:rsidR="00084222">
        <w:t xml:space="preserve"> examples of praise and protest that the community has recognized as acceptable to God and in keeping with the Torah and the Prophets. </w:t>
      </w:r>
    </w:p>
    <w:p w:rsidR="00DC7A49" w:rsidRDefault="00084222" w:rsidP="00DC7A49">
      <w:r>
        <w:t xml:space="preserve">The fact that they address God in confrontational ways and ask God for things that seem scandalous to modern readers has raised the question whether they are </w:t>
      </w:r>
      <w:r w:rsidR="006F5FFA">
        <w:t>present in the Psalter as examples of prayers that people pr</w:t>
      </w:r>
      <w:r w:rsidR="00DF0188">
        <w:t>ayed rather than of prayers whose content</w:t>
      </w:r>
      <w:r w:rsidR="006F5FFA">
        <w:t xml:space="preserve"> God approves</w:t>
      </w:r>
      <w:r w:rsidR="00EE4A39">
        <w:t xml:space="preserve">. </w:t>
      </w:r>
      <w:r w:rsidR="006F5FFA">
        <w:t xml:space="preserve"> </w:t>
      </w:r>
      <w:r w:rsidR="00EE4A39">
        <w:t xml:space="preserve">But </w:t>
      </w:r>
      <w:r w:rsidR="006F5FFA">
        <w:t xml:space="preserve">there </w:t>
      </w:r>
      <w:r w:rsidR="00EE4A39">
        <w:t xml:space="preserve">is </w:t>
      </w:r>
      <w:r w:rsidR="006F5FFA">
        <w:t>only a quantitative difference between the pr</w:t>
      </w:r>
      <w:r w:rsidR="00A80AD2">
        <w:t>otests in the Psalms and one</w:t>
      </w:r>
      <w:r w:rsidR="006F5FFA">
        <w:t>s that appear elsewhere, including the New Testa</w:t>
      </w:r>
      <w:r w:rsidR="00EE4A39">
        <w:t>ment (Rev 6:9-11), so this “solution” to that modern problem seems implausible.</w:t>
      </w:r>
      <w:r w:rsidR="003C348A">
        <w:t xml:space="preserve"> There is a link with the fact that t</w:t>
      </w:r>
      <w:r w:rsidR="00DD7889">
        <w:t xml:space="preserve">he Psalms comprise the densest collection of theological affirmations in </w:t>
      </w:r>
      <w:r w:rsidR="00C337A3">
        <w:t xml:space="preserve">the </w:t>
      </w:r>
      <w:r w:rsidR="00DD7889">
        <w:t>scripture</w:t>
      </w:r>
      <w:r w:rsidR="00C337A3">
        <w:t>s</w:t>
      </w:r>
      <w:r w:rsidR="00DD7889">
        <w:t xml:space="preserve">. </w:t>
      </w:r>
      <w:r w:rsidR="003C348A">
        <w:t xml:space="preserve">It would be ironic if they are present in </w:t>
      </w:r>
      <w:r w:rsidR="00C337A3">
        <w:t xml:space="preserve">the </w:t>
      </w:r>
      <w:r w:rsidR="003C348A">
        <w:t>scripture</w:t>
      </w:r>
      <w:r w:rsidR="00C337A3">
        <w:t>s</w:t>
      </w:r>
      <w:r w:rsidR="003C348A">
        <w:t xml:space="preserve"> only as examples of the way people prayed not as embodying that may proper</w:t>
      </w:r>
      <w:r w:rsidR="00DF0188">
        <w:t>ly be said of God. T</w:t>
      </w:r>
      <w:r w:rsidR="003C348A">
        <w:t>he Psalms</w:t>
      </w:r>
      <w:r w:rsidR="00EE4A39">
        <w:t xml:space="preserve"> </w:t>
      </w:r>
      <w:r w:rsidR="00D97CF9">
        <w:t>have been thought to provide</w:t>
      </w:r>
      <w:r w:rsidR="00EE4A39">
        <w:t xml:space="preserve"> evidence for some theological ideas such as divine omniscience</w:t>
      </w:r>
      <w:r w:rsidR="003C348A">
        <w:t xml:space="preserve"> that have been favored by theologians and ordinary people but are hard to find in </w:t>
      </w:r>
      <w:r w:rsidR="00C337A3">
        <w:t xml:space="preserve">the </w:t>
      </w:r>
      <w:r w:rsidR="003C348A">
        <w:t>scripture</w:t>
      </w:r>
      <w:r w:rsidR="00C337A3">
        <w:t>s</w:t>
      </w:r>
      <w:r w:rsidR="006B69E4">
        <w:t>, but</w:t>
      </w:r>
      <w:r w:rsidR="003C348A">
        <w:t xml:space="preserve"> iron</w:t>
      </w:r>
      <w:r w:rsidR="006B69E4">
        <w:t>icall</w:t>
      </w:r>
      <w:r w:rsidR="003C348A">
        <w:t xml:space="preserve">y, </w:t>
      </w:r>
      <w:r w:rsidR="00EE4A39">
        <w:t xml:space="preserve">the chief proof text for this idea (Ps 139:1) works in the opposite direction in that it describes God as getting to know about the psalmist and thus as not knowing about the psalmist through an inherent omniscience. The Psalms make other scandalous statements about matters such as God’s abandonment </w:t>
      </w:r>
      <w:r w:rsidR="00DD7889">
        <w:t xml:space="preserve">or sleepiness </w:t>
      </w:r>
      <w:r w:rsidR="00EE4A39">
        <w:t xml:space="preserve">(which Christian thinking </w:t>
      </w:r>
      <w:r w:rsidR="00D97CF9">
        <w:t xml:space="preserve">commonly </w:t>
      </w:r>
      <w:r w:rsidR="00EE4A39">
        <w:t>refor</w:t>
      </w:r>
      <w:r w:rsidR="00DD7889">
        <w:t>mulates as apparent abandonment or sleepiness).</w:t>
      </w:r>
    </w:p>
    <w:p w:rsidR="00997752" w:rsidRDefault="005410CB" w:rsidP="001017B2">
      <w:proofErr w:type="gramStart"/>
      <w:r w:rsidRPr="00DC7A49">
        <w:rPr>
          <w:b/>
        </w:rPr>
        <w:t>The Scriptures</w:t>
      </w:r>
      <w:r w:rsidR="00DC7A49">
        <w:rPr>
          <w:b/>
        </w:rPr>
        <w:t xml:space="preserve"> and Theology.</w:t>
      </w:r>
      <w:proofErr w:type="gramEnd"/>
      <w:r w:rsidR="00DC7A49">
        <w:rPr>
          <w:b/>
        </w:rPr>
        <w:t xml:space="preserve"> </w:t>
      </w:r>
      <w:r w:rsidR="003C348A">
        <w:t>W</w:t>
      </w:r>
      <w:r w:rsidR="002945EE">
        <w:t xml:space="preserve">e have been considering </w:t>
      </w:r>
      <w:r w:rsidR="00997752">
        <w:t>way</w:t>
      </w:r>
      <w:r w:rsidR="002945EE">
        <w:t>s in which</w:t>
      </w:r>
      <w:r w:rsidR="00997752">
        <w:t xml:space="preserve"> one might look at </w:t>
      </w:r>
      <w:r w:rsidR="00C337A3">
        <w:t xml:space="preserve">the </w:t>
      </w:r>
      <w:r w:rsidR="00997752">
        <w:t>scripture</w:t>
      </w:r>
      <w:r w:rsidR="00C337A3">
        <w:t>s</w:t>
      </w:r>
      <w:r w:rsidR="00997752">
        <w:t xml:space="preserve"> theologica</w:t>
      </w:r>
      <w:r w:rsidR="003C348A">
        <w:t>lly. The converse question is</w:t>
      </w:r>
      <w:proofErr w:type="gramStart"/>
      <w:r w:rsidR="003C348A">
        <w:t>,</w:t>
      </w:r>
      <w:proofErr w:type="gramEnd"/>
      <w:r w:rsidR="003C348A">
        <w:t xml:space="preserve"> h</w:t>
      </w:r>
      <w:r w:rsidR="00997752">
        <w:t xml:space="preserve">ow do we look at theology scripturally? What is the relationship between scripture and theology? </w:t>
      </w:r>
    </w:p>
    <w:p w:rsidR="00997752" w:rsidRPr="005410CB" w:rsidRDefault="00441ADD" w:rsidP="005410CB">
      <w:pPr>
        <w:rPr>
          <w:b/>
        </w:rPr>
      </w:pPr>
      <w:proofErr w:type="gramStart"/>
      <w:r w:rsidRPr="00DC7A49">
        <w:rPr>
          <w:b/>
          <w:i/>
        </w:rPr>
        <w:t>Biblical theology and systematic theology</w:t>
      </w:r>
      <w:r w:rsidR="005410CB">
        <w:rPr>
          <w:b/>
        </w:rPr>
        <w:t>.</w:t>
      </w:r>
      <w:proofErr w:type="gramEnd"/>
      <w:r w:rsidR="005410CB">
        <w:rPr>
          <w:b/>
        </w:rPr>
        <w:t xml:space="preserve"> </w:t>
      </w:r>
      <w:r w:rsidR="00997752">
        <w:t xml:space="preserve">Theology in the West developed through an interaction between a Middle Eastern way of thinking and a European way of thinking. The Creeds  and the doctrines they presuppose such as the Trinity reflect the process whereby the thinking embodied in the scriptures came to be formulated in conceptual categories that were </w:t>
      </w:r>
      <w:r w:rsidR="00D244EE">
        <w:t xml:space="preserve">recognizable </w:t>
      </w:r>
      <w:r w:rsidR="006B69E4">
        <w:t xml:space="preserve">to Christian leaders </w:t>
      </w:r>
      <w:r w:rsidR="00997752">
        <w:t>familiar with Greek thin</w:t>
      </w:r>
      <w:r w:rsidR="006B69E4">
        <w:t>king; hence the use of term</w:t>
      </w:r>
      <w:r w:rsidR="00997752">
        <w:t>s such as “hypostasis” and “persona.”</w:t>
      </w:r>
      <w:r w:rsidR="00BA18F5">
        <w:t xml:space="preserve"> It was a necessary aspect of</w:t>
      </w:r>
      <w:r w:rsidR="00997752">
        <w:t xml:space="preserve"> the </w:t>
      </w:r>
      <w:proofErr w:type="spellStart"/>
      <w:r w:rsidR="00997752">
        <w:t>contexualization</w:t>
      </w:r>
      <w:proofErr w:type="spellEnd"/>
      <w:r w:rsidR="00997752">
        <w:t xml:space="preserve"> of the gospel in their context. </w:t>
      </w:r>
    </w:p>
    <w:p w:rsidR="002B0FFA" w:rsidRDefault="00BA18F5" w:rsidP="001017B2">
      <w:r>
        <w:t>One difficulty with this particular form of contextuali</w:t>
      </w:r>
      <w:r w:rsidR="00D97CF9">
        <w:t xml:space="preserve">zation was that </w:t>
      </w:r>
      <w:r>
        <w:t xml:space="preserve">these European categories </w:t>
      </w:r>
      <w:r w:rsidR="00D97CF9">
        <w:t>obscured the vivid and dynamic</w:t>
      </w:r>
      <w:r w:rsidR="002B0FFA">
        <w:t xml:space="preserve"> content of what </w:t>
      </w:r>
      <w:r w:rsidR="002945EE">
        <w:t xml:space="preserve">the </w:t>
      </w:r>
      <w:r w:rsidR="002B0FFA">
        <w:t>scripture</w:t>
      </w:r>
      <w:r w:rsidR="002945EE">
        <w:t>s communicate</w:t>
      </w:r>
      <w:r w:rsidR="00D97CF9">
        <w:t>. Theology had</w:t>
      </w:r>
      <w:r w:rsidR="002B0FFA">
        <w:t xml:space="preserve"> to focus on problems such as the sense in which Jesus could be both divine and human or </w:t>
      </w:r>
      <w:r w:rsidR="003C348A">
        <w:t xml:space="preserve">the sense in which </w:t>
      </w:r>
      <w:r w:rsidR="002B0FFA">
        <w:t>God can be both one a</w:t>
      </w:r>
      <w:r w:rsidR="003C348A">
        <w:t>nd three, which easily distract</w:t>
      </w:r>
      <w:r w:rsidR="00D244EE">
        <w:t xml:space="preserve"> from convey</w:t>
      </w:r>
      <w:r w:rsidR="002B0FFA">
        <w:t xml:space="preserve">ing a sense of the </w:t>
      </w:r>
      <w:r w:rsidR="00D97CF9">
        <w:t xml:space="preserve">vigorous </w:t>
      </w:r>
      <w:r w:rsidR="002B0FFA">
        <w:t>presentation of God and of Jesus in the scriptures.</w:t>
      </w:r>
      <w:r w:rsidR="0065388F">
        <w:t xml:space="preserve"> </w:t>
      </w:r>
      <w:r w:rsidR="00D97CF9">
        <w:t>Images and metaphors become</w:t>
      </w:r>
      <w:r w:rsidR="00D244EE">
        <w:t xml:space="preserve"> analytic concepts.  </w:t>
      </w:r>
      <w:r w:rsidR="0065388F">
        <w:t>Do</w:t>
      </w:r>
      <w:r w:rsidR="006B69E4">
        <w:t>ctrines of the atonement find it difficult to convey</w:t>
      </w:r>
      <w:r w:rsidR="00D97CF9">
        <w:t xml:space="preserve"> the lively</w:t>
      </w:r>
      <w:r w:rsidR="0065388F">
        <w:t xml:space="preserve"> nature of Paul’s account of the significance of Jesus’</w:t>
      </w:r>
      <w:r w:rsidR="00B06A14">
        <w:t xml:space="preserve"> execution</w:t>
      </w:r>
      <w:r w:rsidR="0065388F">
        <w:t>.</w:t>
      </w:r>
      <w:r w:rsidR="00D244EE">
        <w:t xml:space="preserve"> </w:t>
      </w:r>
    </w:p>
    <w:p w:rsidR="001017B2" w:rsidRDefault="002B0FFA" w:rsidP="002B0FFA">
      <w:r>
        <w:t>It was also hard for these European categories to preserve</w:t>
      </w:r>
      <w:r w:rsidR="00BA18F5">
        <w:t xml:space="preserve"> the centrally narrative character of the scriptural message.</w:t>
      </w:r>
      <w:r w:rsidR="006B69E4">
        <w:t xml:space="preserve"> The creeds illustrate the</w:t>
      </w:r>
      <w:r>
        <w:t xml:space="preserve"> difficulty. While they do justice to the narrative character of Jesus’ own life, they do not set it in the context of the story that runs through the scriptures as a whole. There are no narrative statements about God, only about Jesus.</w:t>
      </w:r>
    </w:p>
    <w:p w:rsidR="00356F5E" w:rsidRDefault="006B69E4" w:rsidP="002B0FFA">
      <w:r>
        <w:t>M</w:t>
      </w:r>
      <w:r w:rsidR="00356F5E">
        <w:t xml:space="preserve">aking a distinction between systematic theology and biblical theology might </w:t>
      </w:r>
      <w:r>
        <w:t xml:space="preserve">be expected to </w:t>
      </w:r>
      <w:r w:rsidR="00356F5E">
        <w:t xml:space="preserve">help with this difficulty. </w:t>
      </w:r>
      <w:r w:rsidR="00825A75">
        <w:t xml:space="preserve">Systematic theology is a discipline that seeks to express the nature of Christian faith as a coherent whole in light of the categories of analytical Western thinking and concepts. Biblical theology might then be seen as a discipline that seeks to express the nature of Christian faith as a whole </w:t>
      </w:r>
      <w:r w:rsidR="002945EE">
        <w:t>in the terms of the scriptures themselves</w:t>
      </w:r>
      <w:r w:rsidR="00D97CF9">
        <w:t xml:space="preserve">. In practice, however, </w:t>
      </w:r>
      <w:r w:rsidR="00825A75">
        <w:t>attempts at biblical theology also reflect the categories and concepts of Western thinking. Partly out of an awareness of this difficulty, ventures into biblical theology are inclined to stop short of attempting to out</w:t>
      </w:r>
      <w:r w:rsidR="00D97CF9">
        <w:t>line one biblical theology and</w:t>
      </w:r>
      <w:r w:rsidR="00825A75">
        <w:t xml:space="preserve"> more often seek to describe a set of biblical theologies (plural): the theology of Genesis or Jeremiah, of Paul or John</w:t>
      </w:r>
      <w:r w:rsidR="007E504F">
        <w:t xml:space="preserve">, </w:t>
      </w:r>
      <w:r w:rsidR="00D97CF9">
        <w:t xml:space="preserve">of </w:t>
      </w:r>
      <w:r w:rsidR="007E504F">
        <w:t>Old Testament or New Testament.</w:t>
      </w:r>
    </w:p>
    <w:p w:rsidR="002B0FFA" w:rsidRDefault="007E504F" w:rsidP="002B0FFA">
      <w:r>
        <w:t xml:space="preserve">We have noted that </w:t>
      </w:r>
      <w:proofErr w:type="gramStart"/>
      <w:r>
        <w:t>o</w:t>
      </w:r>
      <w:r w:rsidR="002B0FFA">
        <w:t>ne theological significance</w:t>
      </w:r>
      <w:proofErr w:type="gramEnd"/>
      <w:r w:rsidR="002B0FFA">
        <w:t xml:space="preserve"> of the prominen</w:t>
      </w:r>
      <w:r w:rsidR="0065388F">
        <w:t xml:space="preserve">ce of narrative in </w:t>
      </w:r>
      <w:r w:rsidR="002945EE">
        <w:t xml:space="preserve">the </w:t>
      </w:r>
      <w:r w:rsidR="0065388F">
        <w:t>scripture</w:t>
      </w:r>
      <w:r w:rsidR="002945EE">
        <w:t>s</w:t>
      </w:r>
      <w:r w:rsidR="0065388F">
        <w:t xml:space="preserve"> is the fact that theological statements need to do justice to the fact that Christian faith centrally involves </w:t>
      </w:r>
      <w:r w:rsidR="0065388F">
        <w:lastRenderedPageBreak/>
        <w:t>commit</w:t>
      </w:r>
      <w:r>
        <w:t>ting oneself to the vital importance</w:t>
      </w:r>
      <w:r w:rsidR="0065388F">
        <w:t xml:space="preserve"> of something that happened in the past. Another </w:t>
      </w:r>
      <w:r>
        <w:t xml:space="preserve">theological significance of the prominence of narrative </w:t>
      </w:r>
      <w:r w:rsidR="0065388F">
        <w:t>is that narrative makes it possible to discuss theological questions in a way that does justice to their depth and complexity. The narrative account of Moses’ interaction with Pharaoh in Exodus, for instance, constitutes a nuanced discussion of the interrelationship between divine sovereignty and human responsibility, but it is hard to preserve the subtlety of this presentation when one abandons narrative form. The same applies to the Sinai narrative in Exodus with its narrative discussions of the idea of God’</w:t>
      </w:r>
      <w:r w:rsidR="00032224">
        <w:t>s presence and of the various possible responses God can make to the r</w:t>
      </w:r>
      <w:r>
        <w:t>ebellion of his people. It</w:t>
      </w:r>
      <w:r w:rsidR="00032224">
        <w:t xml:space="preserve"> applies to the discussion in Job of the meaning of human suffering and of its implications for an understanding of God’s relationship with us, which is presented as a kind of debate in which all the participants make significant contributions even if some are more relevant than others to Job himself.</w:t>
      </w:r>
      <w:r>
        <w:t xml:space="preserve"> It a</w:t>
      </w:r>
      <w:r w:rsidR="006B69E4">
        <w:t>pplies to the juxtaposition of Jesus’ ministry of power and then his submission to</w:t>
      </w:r>
      <w:r>
        <w:t xml:space="preserve"> martyrdom in the two halves of Mark’s Gospel.</w:t>
      </w:r>
    </w:p>
    <w:p w:rsidR="00D57FCD" w:rsidRPr="005410CB" w:rsidRDefault="00837578" w:rsidP="005410CB">
      <w:pPr>
        <w:rPr>
          <w:b/>
        </w:rPr>
      </w:pPr>
      <w:proofErr w:type="gramStart"/>
      <w:r w:rsidRPr="00DC7A49">
        <w:rPr>
          <w:b/>
          <w:i/>
        </w:rPr>
        <w:t>Unity and diversity</w:t>
      </w:r>
      <w:r w:rsidR="005410CB">
        <w:rPr>
          <w:b/>
        </w:rPr>
        <w:t>.</w:t>
      </w:r>
      <w:proofErr w:type="gramEnd"/>
      <w:r w:rsidR="005410CB">
        <w:rPr>
          <w:b/>
        </w:rPr>
        <w:t xml:space="preserve"> </w:t>
      </w:r>
      <w:r w:rsidR="00D57FCD">
        <w:t>The common Christian designation of th</w:t>
      </w:r>
      <w:r w:rsidR="00474729">
        <w:t>e scriptures (plural)</w:t>
      </w:r>
      <w:r w:rsidR="00D57FCD">
        <w:t xml:space="preserve"> as “Scripture” </w:t>
      </w:r>
      <w:r w:rsidR="00474729">
        <w:t>(singular) implies a unity about the</w:t>
      </w:r>
      <w:r w:rsidR="00D57FCD">
        <w:t xml:space="preserve"> c</w:t>
      </w:r>
      <w:r w:rsidR="00474729">
        <w:t>ollection of works as a whole. But o</w:t>
      </w:r>
      <w:r w:rsidR="00D57FCD">
        <w:t xml:space="preserve">ne characteristic that imperils the idea of their having authority or being inspired or constituting a divine revelation is the diversity and inconsistency they manifest. Thus some parts of the Old Testament emphasize the importance of offerings in the temple, while other parts declare that these do not matter. In the New Testament, Paul declares that people are put right with God through faith alone and not by doing the right thing, and adds that people need only to consider the story of Abraham to see that it is so. James declares that people are put right </w:t>
      </w:r>
      <w:r w:rsidR="00D97CF9">
        <w:t xml:space="preserve">with God </w:t>
      </w:r>
      <w:r w:rsidR="00D57FCD">
        <w:t>by doing the right thing and not by faith alone, and adds that people need only to consider the story of Abraham to see that it is so. In response</w:t>
      </w:r>
      <w:r w:rsidR="00D97CF9">
        <w:t xml:space="preserve"> to an awareness of such diversity</w:t>
      </w:r>
      <w:r w:rsidR="00D57FCD">
        <w:t xml:space="preserve">, one might choose between different texts, or one might see them as witnessing to different aspects of what is truthful and right, or one might see them as reflecting different contexts. One problem that </w:t>
      </w:r>
      <w:r w:rsidR="00D97CF9">
        <w:t>then emerges is that readers are likely to</w:t>
      </w:r>
      <w:r w:rsidR="00D57FCD">
        <w:t xml:space="preserve"> foc</w:t>
      </w:r>
      <w:r w:rsidR="00D97CF9">
        <w:t>us on the affirmations they appreciate</w:t>
      </w:r>
      <w:r w:rsidR="00D57FCD">
        <w:t xml:space="preserve"> and already affirm, and </w:t>
      </w:r>
      <w:r w:rsidR="006B69E4">
        <w:t xml:space="preserve">to </w:t>
      </w:r>
      <w:r w:rsidR="00D57FCD">
        <w:t>discount the ones for which they care less, instead of focusing on the ones they are inclined to discount.</w:t>
      </w:r>
    </w:p>
    <w:p w:rsidR="00D57FCD" w:rsidRDefault="00D57FCD" w:rsidP="00D57FCD">
      <w:r>
        <w:t xml:space="preserve">Yahweh’s discourse to Job points to a further insight and a further question. As a human being, Yahweh points </w:t>
      </w:r>
      <w:proofErr w:type="gramStart"/>
      <w:r>
        <w:t>out,</w:t>
      </w:r>
      <w:proofErr w:type="gramEnd"/>
      <w:r>
        <w:t xml:space="preserve"> Job has only a very small place in the world and only a very partial understanding of God and his ways in the world. In a post-modern context, the partial nature of what we perceive has become central to our awareness. This awareness heightens the importance of that scriptural way of doing theology that recognizes complexity and seeks to analyze it, rather than thinking it can be resolved. This awareness also links with the classic post-modern suspicion of meta-narratives, if by a meta-narrative one means a total system or theory or explanation of reality. </w:t>
      </w:r>
    </w:p>
    <w:p w:rsidR="00DC7A49" w:rsidRDefault="00D57FCD" w:rsidP="00DC7A49">
      <w:r>
        <w:t xml:space="preserve">In connection with the scriptures, it is appropriate also to use the term meta-narrative in the narrower sense of an overarching story, and then to note that suspicion of meta-narratives encourages a questioning of the kind of meta-narrative that has emerged from theology and has aimed to encapsulate the scriptural message (e.g., creation, fall, redemption, second coming). It provides another stimulus to the recognition that this summary of the implicit meta-narrative of the scriptures is oversimplified. The scriptures themselves incorporate a series of “local narratives” and do not construct a grand narrative out of them. We might, indeed, more tentatively infer from the scriptures a meta-narrative (in </w:t>
      </w:r>
      <w:r w:rsidR="00474729">
        <w:t>the more literal sense) that does</w:t>
      </w:r>
      <w:r>
        <w:t xml:space="preserve"> more justice to the scriptures’ many local narratives, a narrative about creation, human rebellion, God’s promises to Israel’s ancestors, God’s involvement with Israel itself, Israel’s exile and restoration, Jesus’ coming, ministry, martyrdom, and resurrection, the outpouring of God’s spirit and the spreading of the Jesus story, and the prospect of his final appearing and our resurrection.   Christian faith does affirm such a narrative insofar as this is a proper summary of the narrative that we </w:t>
      </w:r>
      <w:r w:rsidR="006B69E4">
        <w:t>might infer from the scriptures. I</w:t>
      </w:r>
      <w:r>
        <w:t xml:space="preserve">t is a grand narrative within which we need to live. </w:t>
      </w:r>
    </w:p>
    <w:p w:rsidR="00E72812" w:rsidRPr="00DC7A49" w:rsidRDefault="00B06A14" w:rsidP="00DC7A49">
      <w:pPr>
        <w:rPr>
          <w:b/>
        </w:rPr>
      </w:pPr>
      <w:proofErr w:type="gramStart"/>
      <w:r w:rsidRPr="00DC7A49">
        <w:rPr>
          <w:b/>
        </w:rPr>
        <w:t>The Scriptures of the</w:t>
      </w:r>
      <w:r w:rsidR="005410CB" w:rsidRPr="00DC7A49">
        <w:rPr>
          <w:b/>
        </w:rPr>
        <w:t xml:space="preserve"> Old Covenant and</w:t>
      </w:r>
      <w:r w:rsidRPr="00DC7A49">
        <w:rPr>
          <w:b/>
        </w:rPr>
        <w:t xml:space="preserve"> of the New</w:t>
      </w:r>
      <w:r w:rsidR="00DC7A49">
        <w:rPr>
          <w:b/>
        </w:rPr>
        <w:t>.</w:t>
      </w:r>
      <w:proofErr w:type="gramEnd"/>
      <w:r w:rsidR="00DC7A49">
        <w:rPr>
          <w:b/>
        </w:rPr>
        <w:t xml:space="preserve"> </w:t>
      </w:r>
      <w:r w:rsidR="00DE35EB">
        <w:t xml:space="preserve">The diversity and inconsistency within the scriptures emerges particularly clearly in differences between the two Testaments. </w:t>
      </w:r>
      <w:r>
        <w:t xml:space="preserve">Corresponding to the </w:t>
      </w:r>
      <w:r>
        <w:lastRenderedPageBreak/>
        <w:t xml:space="preserve">nature of the scriptures themselves are several ways of seeing the relationship between the Testaments. </w:t>
      </w:r>
    </w:p>
    <w:p w:rsidR="00B06A14" w:rsidRPr="005410CB" w:rsidRDefault="00837578" w:rsidP="005410CB">
      <w:pPr>
        <w:rPr>
          <w:b/>
        </w:rPr>
      </w:pPr>
      <w:proofErr w:type="gramStart"/>
      <w:r w:rsidRPr="00DC7A49">
        <w:rPr>
          <w:b/>
          <w:i/>
        </w:rPr>
        <w:t>Continuity and difference</w:t>
      </w:r>
      <w:r w:rsidR="005410CB">
        <w:rPr>
          <w:b/>
        </w:rPr>
        <w:t>.</w:t>
      </w:r>
      <w:proofErr w:type="gramEnd"/>
      <w:r w:rsidR="005410CB">
        <w:rPr>
          <w:b/>
        </w:rPr>
        <w:t xml:space="preserve"> </w:t>
      </w:r>
      <w:r w:rsidR="00B06A14">
        <w:t>Between them they give a prominent place to the story of Israel, of Jesus, and of the early church, and t</w:t>
      </w:r>
      <w:r w:rsidR="00474729">
        <w:t>he New Testament sees its story as the continuation of the story in the Torah, the Prophets, and the Writings</w:t>
      </w:r>
      <w:r w:rsidR="00B06A14">
        <w:t xml:space="preserve">. </w:t>
      </w:r>
      <w:r w:rsidR="00474729">
        <w:t>John Bright thus sees the scriptures as a drama in which the Old Testament is Act One and the New Testam</w:t>
      </w:r>
      <w:r w:rsidR="006B69E4">
        <w:t>ent Act Two. While the Old Testament story hardly</w:t>
      </w:r>
      <w:r w:rsidR="00474729">
        <w:t xml:space="preserve"> requires</w:t>
      </w:r>
      <w:r w:rsidR="00B06A14">
        <w:t xml:space="preserve"> continuation in </w:t>
      </w:r>
      <w:r w:rsidR="00474729">
        <w:t>a story such as th</w:t>
      </w:r>
      <w:r w:rsidR="006B69E4">
        <w:t xml:space="preserve">at in the New Testament, </w:t>
      </w:r>
      <w:r w:rsidR="00474729">
        <w:t xml:space="preserve">it is </w:t>
      </w:r>
      <w:r w:rsidR="00B06A14">
        <w:t>possible to argue that the Old Testament story does not reac</w:t>
      </w:r>
      <w:r w:rsidR="00474729">
        <w:t>h closure</w:t>
      </w:r>
      <w:r w:rsidR="006B69E4">
        <w:t xml:space="preserve"> and needs some form of continuation</w:t>
      </w:r>
      <w:r w:rsidR="00474729">
        <w:t>. Genesis-Kings ends</w:t>
      </w:r>
      <w:r w:rsidR="00B06A14">
        <w:t xml:space="preserve"> with exile and a coda telling only of the release of the Davidic king. Chronicles-Ezra-Nehemiah relate the restoration of Judah but close with Judah still chafing under Persian a</w:t>
      </w:r>
      <w:r w:rsidR="006B69E4">
        <w:t>uthority and needing the further</w:t>
      </w:r>
      <w:r w:rsidR="00B06A14">
        <w:t xml:space="preserve"> action of </w:t>
      </w:r>
      <w:r w:rsidR="006B69E4">
        <w:t>reformers such as Nehemiah. I</w:t>
      </w:r>
      <w:r w:rsidR="00B06A14">
        <w:t xml:space="preserve">t is </w:t>
      </w:r>
      <w:r w:rsidR="006B69E4">
        <w:t xml:space="preserve">then </w:t>
      </w:r>
      <w:r w:rsidR="00B06A14">
        <w:t xml:space="preserve">possible to see the story of Jesus and the early church as bringing </w:t>
      </w:r>
      <w:r w:rsidR="006B69E4">
        <w:t>the restoration of Judah. Yet the New Testament’</w:t>
      </w:r>
      <w:r w:rsidR="00B06A14">
        <w:t>s story also does not reach closure. Judah is no</w:t>
      </w:r>
      <w:r w:rsidR="00474729">
        <w:t xml:space="preserve">t free of the Roman yoke and </w:t>
      </w:r>
      <w:r w:rsidR="00B06A14">
        <w:t>does not recognize its Messiah; the church does not look like a community in which the new covenant has become a reali</w:t>
      </w:r>
      <w:r w:rsidR="006B69E4">
        <w:t>ty. T</w:t>
      </w:r>
      <w:r w:rsidR="00B06A14">
        <w:t xml:space="preserve">he </w:t>
      </w:r>
      <w:r w:rsidR="006B69E4">
        <w:t>New Testament does make clear</w:t>
      </w:r>
      <w:r w:rsidR="00B06A14">
        <w:t xml:space="preserve"> that one cannot understand its story except as the continuation of the Old Testament story.</w:t>
      </w:r>
      <w:r w:rsidR="00E72812">
        <w:t xml:space="preserve"> </w:t>
      </w:r>
      <w:r w:rsidR="00FC509C">
        <w:t>I</w:t>
      </w:r>
      <w:r w:rsidR="00474729">
        <w:t>t</w:t>
      </w:r>
      <w:r w:rsidR="00B06A14">
        <w:t xml:space="preserve"> is the narrative link between the two Testaments’ </w:t>
      </w:r>
      <w:proofErr w:type="gramStart"/>
      <w:r w:rsidR="00B06A14">
        <w:t>story</w:t>
      </w:r>
      <w:proofErr w:type="gramEnd"/>
      <w:r w:rsidR="00B06A14">
        <w:t xml:space="preserve"> that requires Christian faith to give a status to Israel’s scriptures that it does not give to the religious traditions of other nations.</w:t>
      </w:r>
    </w:p>
    <w:p w:rsidR="00B06A14" w:rsidRDefault="00E72812" w:rsidP="00E72812">
      <w:r>
        <w:t xml:space="preserve">Another New Testament way of making a link with the Old Testament is to note that promises expressed in the Old Testament are fulfilled within the New. Thus Mark begins with a reference to God’s promise to send a messenger who would herald the Lord’s own coming, and sees John the baptizer as fulfilling this role. When John is born, his father sees his birth as an indication that God has acted “as he said through his holy prophets” (Luke 1:70). In parallel with the way the story in </w:t>
      </w:r>
      <w:r w:rsidR="00474729">
        <w:t>the New</w:t>
      </w:r>
      <w:r>
        <w:t xml:space="preserve"> </w:t>
      </w:r>
      <w:r w:rsidR="00474729">
        <w:t>Testament links with that in the Old</w:t>
      </w:r>
      <w:r>
        <w:t>, it is not simply the case that Old Testament promises are ful</w:t>
      </w:r>
      <w:r w:rsidR="00791125">
        <w:t>filled in the New. F</w:t>
      </w:r>
      <w:r w:rsidR="00B06A14">
        <w:t xml:space="preserve">ulfillment is a motif within the Old Testament </w:t>
      </w:r>
      <w:r w:rsidR="00791125">
        <w:t xml:space="preserve">itself, </w:t>
      </w:r>
      <w:r w:rsidR="00B06A14">
        <w:t xml:space="preserve">and living in hope in light of God’s promise is a feature of New Testament faith. </w:t>
      </w:r>
    </w:p>
    <w:p w:rsidR="003D3B27" w:rsidRPr="001017B2" w:rsidRDefault="003D3B27" w:rsidP="003D3B27">
      <w:r>
        <w:t xml:space="preserve">Christians often think in terms of the Old Testament God being wrathful and the New Testament God being </w:t>
      </w:r>
      <w:proofErr w:type="gramStart"/>
      <w:r>
        <w:t>loving</w:t>
      </w:r>
      <w:proofErr w:type="gramEnd"/>
      <w:r>
        <w:t xml:space="preserve">, but such distinctions hardly survive a reading of the scriptures themselves. Jewish readers are not inclined to see the God of the Torah, the Prophets, and the Writings as wrathful. Neither does the New Testament itself make this contrast. Whereas God spoke piecemeal through the Prophets and has now spoken through a Son (Heb 1:1), the content of the speaking is the same. Further, wrath is a prominent theme in the New Testament. It is Jesus who introduces into the scripture the idea that God sends people to Hell. This </w:t>
      </w:r>
      <w:r w:rsidR="00FC509C">
        <w:t xml:space="preserve">particular </w:t>
      </w:r>
      <w:r>
        <w:t>fact does link with the one major theological difference between the Testaments, which is that the Torah, the Prophets, and the Writings assume that when people die they simply go to Sheol or Hades, whereas the New Testam</w:t>
      </w:r>
      <w:r w:rsidR="00FC509C">
        <w:t>ent is able to declare a</w:t>
      </w:r>
      <w:r>
        <w:t xml:space="preserve"> new</w:t>
      </w:r>
      <w:r w:rsidR="00FC509C">
        <w:t xml:space="preserve"> piece of news</w:t>
      </w:r>
      <w:r>
        <w:t>, that God has “given us a new birth into a lively hope through the resurrection of Jesus Christ from the dead” (1 Peter 1:3). It is this fact to which Hebrews testifies, in declaring that the new covenant is better than the old. The two Testam</w:t>
      </w:r>
      <w:r w:rsidR="00FC509C">
        <w:t>ents thus complement each other:</w:t>
      </w:r>
      <w:r>
        <w:t xml:space="preserve"> Dietrich </w:t>
      </w:r>
      <w:proofErr w:type="spellStart"/>
      <w:r>
        <w:t>Bonhoeffer</w:t>
      </w:r>
      <w:proofErr w:type="spellEnd"/>
      <w:r>
        <w:t xml:space="preserve"> noted that it was only when God had driven home in the Old Testament the importance of this life that he could risk entrusting people with the news about resurrection life.</w:t>
      </w:r>
    </w:p>
    <w:p w:rsidR="00B06A14" w:rsidRDefault="003D3B27" w:rsidP="003D3B27">
      <w:proofErr w:type="gramStart"/>
      <w:r w:rsidRPr="00DC7A49">
        <w:rPr>
          <w:b/>
          <w:i/>
        </w:rPr>
        <w:t>Vision and accommodation</w:t>
      </w:r>
      <w:r>
        <w:rPr>
          <w:b/>
        </w:rPr>
        <w:t>.</w:t>
      </w:r>
      <w:proofErr w:type="gramEnd"/>
      <w:r>
        <w:rPr>
          <w:b/>
        </w:rPr>
        <w:t xml:space="preserve"> </w:t>
      </w:r>
      <w:r>
        <w:t>In laying out God’s expectations,</w:t>
      </w:r>
      <w:r w:rsidR="00FC509C">
        <w:t xml:space="preserve"> Jesus declares,</w:t>
      </w:r>
      <w:r w:rsidR="00B06A14">
        <w:t xml:space="preserve"> “You have heard it said, but I say…</w:t>
      </w:r>
      <w:r w:rsidR="00FC509C">
        <w:t>,</w:t>
      </w:r>
      <w:r w:rsidR="00B06A14">
        <w:t xml:space="preserve">” and at first sight may seem to be introducing a higher standard than the Old Testament. But it is hard to locate any point at which his expectations are not </w:t>
      </w:r>
      <w:r w:rsidR="00FC509C">
        <w:t xml:space="preserve">already </w:t>
      </w:r>
      <w:r w:rsidR="00B06A14">
        <w:t>expressed in the Old Testament. For instance, it has already urged that people fo</w:t>
      </w:r>
      <w:r w:rsidR="00474729">
        <w:t>rswear anger and lust, that their</w:t>
      </w:r>
      <w:r w:rsidR="00B06A14">
        <w:t xml:space="preserve"> word should be trustworthy, that they should be forgiving rather than seek redress, and that they should love their enemies. There are other points at which the Old Testament approves of redress and </w:t>
      </w:r>
      <w:r w:rsidR="00FC509C">
        <w:t xml:space="preserve">of </w:t>
      </w:r>
      <w:r w:rsidR="00B06A14">
        <w:t>attacks on ene</w:t>
      </w:r>
      <w:r w:rsidR="00474729">
        <w:t xml:space="preserve">mies; but then, there are also </w:t>
      </w:r>
      <w:r w:rsidR="00B06A14">
        <w:t xml:space="preserve">points at which the New Testament indicates an acceptance of slavery and </w:t>
      </w:r>
      <w:r w:rsidR="00FC509C">
        <w:t xml:space="preserve">of </w:t>
      </w:r>
      <w:r w:rsidR="00B06A14">
        <w:t>the submission of wives to husbands in a way that implies a lower standard than the Old Testament. Both Old and New have mixed standards</w:t>
      </w:r>
      <w:r>
        <w:t>.</w:t>
      </w:r>
    </w:p>
    <w:p w:rsidR="003D3B27" w:rsidRPr="003D3B27" w:rsidRDefault="00791125" w:rsidP="003D3B27">
      <w:pPr>
        <w:rPr>
          <w:b/>
        </w:rPr>
      </w:pPr>
      <w:r>
        <w:t>One clue that Jesus offers to the inconsistency in the instr</w:t>
      </w:r>
      <w:r w:rsidR="00FC509C">
        <w:t>uctions in the Torah comes</w:t>
      </w:r>
      <w:r>
        <w:t xml:space="preserve"> in </w:t>
      </w:r>
      <w:r>
        <w:lastRenderedPageBreak/>
        <w:t>connection with divorce (e.g., Mark 10). Some Pharisees note that Deuteronomy 24 permits divorce; Jesus notes that Genesis 1-2 implicitly rules it out. Jesus’ comment is that Genesis indicates what God intended from the beginning, while Deuteronomy makes allowance for the human stubbornness that causes divorce. On another occasion he identifies the command to love God and to love one’s neighbor as the commands in the Torah on which the rest of the Torah and the Prophets depend, and one could infer that Deuteronomy’s regulation about a divorce certificate is an expression of love in the way it provides some evidence of status to a woman who has been divorced.</w:t>
      </w:r>
      <w:r w:rsidR="003D3B27">
        <w:rPr>
          <w:b/>
        </w:rPr>
        <w:t xml:space="preserve"> </w:t>
      </w:r>
      <w:r w:rsidR="003D3B27">
        <w:t xml:space="preserve">So aspects of the Torah are expressed in a way that reflects God’s creation intent, </w:t>
      </w:r>
      <w:r w:rsidR="00FC509C">
        <w:t xml:space="preserve">while </w:t>
      </w:r>
      <w:r w:rsidR="003D3B27">
        <w:t>other aspects ma</w:t>
      </w:r>
      <w:r w:rsidR="00FC509C">
        <w:t>ke allowance for human sinfuln</w:t>
      </w:r>
      <w:r w:rsidR="003D3B27">
        <w:t>ess. The same is true about the New Testament. The vocation of interpretation involves perceiving how expectations in both Testaments relate to the creation ideal and how they make that allowance.</w:t>
      </w:r>
    </w:p>
    <w:p w:rsidR="00B06A14" w:rsidRDefault="0057600C" w:rsidP="00B06A14">
      <w:r>
        <w:t>If there is a difference between the Testaments c</w:t>
      </w:r>
      <w:r w:rsidR="00B06A14">
        <w:t>oncerning God</w:t>
      </w:r>
      <w:r>
        <w:t xml:space="preserve">’s expectations, it </w:t>
      </w:r>
      <w:r w:rsidR="00B06A14">
        <w:t>lie</w:t>
      </w:r>
      <w:r>
        <w:t xml:space="preserve">s not in their levels but in their </w:t>
      </w:r>
      <w:r w:rsidR="00B06A14">
        <w:t>foci. The Old Testament speaks both to the obligations of the individual and to those of the nation. It is the duty of the individual to be forgiving (as Joseph is in relation to his brothers); it is the duty of the nation or the local community to see that justice is done in a way that honors “an eye for an eye.” The New Testament does not speak to the administration of local community life o</w:t>
      </w:r>
      <w:r>
        <w:t>r the administration of justice, as it does not offer any regulations to control slavery.</w:t>
      </w:r>
    </w:p>
    <w:p w:rsidR="0065388F" w:rsidRDefault="00B06A14" w:rsidP="005B4912">
      <w:r>
        <w:t xml:space="preserve">A related difference is the two Testaments’ approach to worship and purity. In both areas the early church reverts to something like </w:t>
      </w:r>
      <w:r w:rsidR="0057600C">
        <w:t xml:space="preserve">the </w:t>
      </w:r>
      <w:r>
        <w:t>pattern of the</w:t>
      </w:r>
      <w:r w:rsidR="0057600C">
        <w:t xml:space="preserve"> time of Abraham, though </w:t>
      </w:r>
      <w:r>
        <w:t xml:space="preserve">it </w:t>
      </w:r>
      <w:r w:rsidR="0057600C">
        <w:t xml:space="preserve">also </w:t>
      </w:r>
      <w:r>
        <w:t>takes fo</w:t>
      </w:r>
      <w:r w:rsidR="00FC509C">
        <w:t>r granted participation in the ongoing worship in</w:t>
      </w:r>
      <w:r>
        <w:t xml:space="preserve"> the temple. After the destruction of Jerusalem the</w:t>
      </w:r>
      <w:r w:rsidR="00FC509C">
        <w:t xml:space="preserve"> post-New Testament church </w:t>
      </w:r>
      <w:r w:rsidR="0057600C">
        <w:t xml:space="preserve">in due course </w:t>
      </w:r>
      <w:r>
        <w:t>follow</w:t>
      </w:r>
      <w:r w:rsidR="00FC509C">
        <w:t>s</w:t>
      </w:r>
      <w:r>
        <w:t xml:space="preserve"> the line taken by the Old Testament, building churches, appointing priests, and developing set forms of worship. The purity rules are </w:t>
      </w:r>
      <w:r w:rsidR="0057600C">
        <w:t xml:space="preserve">even </w:t>
      </w:r>
      <w:r>
        <w:t>more unequivocally annulled</w:t>
      </w:r>
      <w:r w:rsidR="0057600C">
        <w:t xml:space="preserve"> in the </w:t>
      </w:r>
      <w:r w:rsidR="00FC509C">
        <w:t>New Testament. T</w:t>
      </w:r>
      <w:r w:rsidR="0057600C">
        <w:t>hese rules</w:t>
      </w:r>
      <w:r>
        <w:t xml:space="preserve"> were designed as an adjunct to God’s missional purpose, which involved keeping Israel distinct from the nations in order to attract the nations. In Acts God inverts his strategy; the purity rules are annulled in order to serve that same missional purpose.</w:t>
      </w:r>
    </w:p>
    <w:p w:rsidR="0057600C" w:rsidRDefault="0057600C" w:rsidP="005B4912">
      <w:r>
        <w:t>As the account of God’s activity in effecting his purpose for the world</w:t>
      </w:r>
      <w:r w:rsidR="00FC509C">
        <w:t>,</w:t>
      </w:r>
      <w:r>
        <w:t xml:space="preserve"> and as his commentary on that purpose and its implications for his people, the scriptures tell the story in whose context the church is invited and challenged to live if it wants to be Christian.</w:t>
      </w:r>
    </w:p>
    <w:p w:rsidR="00F56F81" w:rsidRDefault="00F56F81" w:rsidP="005B4912"/>
    <w:p w:rsidR="00F56F81" w:rsidRPr="00C72A51" w:rsidRDefault="00F56F81" w:rsidP="00F56F81">
      <w:pPr>
        <w:pStyle w:val="Heading2"/>
      </w:pPr>
      <w:r w:rsidRPr="00C72A51">
        <w:t>Bibliography</w:t>
      </w:r>
    </w:p>
    <w:p w:rsidR="00F56F81" w:rsidRPr="00C72A51" w:rsidRDefault="00F56F81" w:rsidP="00F56F81"/>
    <w:p w:rsidR="00F56F81" w:rsidRPr="00C72A51" w:rsidRDefault="00F56F81" w:rsidP="00F56F81">
      <w:pPr>
        <w:pStyle w:val="List"/>
        <w:rPr>
          <w:rFonts w:asciiTheme="minorHAnsi" w:hAnsiTheme="minorHAnsi"/>
        </w:rPr>
      </w:pPr>
      <w:r w:rsidRPr="00C72A51">
        <w:rPr>
          <w:rFonts w:asciiTheme="minorHAnsi" w:hAnsiTheme="minorHAnsi"/>
        </w:rPr>
        <w:t>Abraham</w:t>
      </w:r>
      <w:r>
        <w:rPr>
          <w:rFonts w:asciiTheme="minorHAnsi" w:hAnsiTheme="minorHAnsi"/>
        </w:rPr>
        <w:t>, William</w:t>
      </w:r>
      <w:r w:rsidRPr="00C72A51">
        <w:rPr>
          <w:rFonts w:asciiTheme="minorHAnsi" w:hAnsiTheme="minorHAnsi"/>
        </w:rPr>
        <w:t xml:space="preserve">.  </w:t>
      </w:r>
      <w:proofErr w:type="gramStart"/>
      <w:r w:rsidRPr="00C72A51">
        <w:rPr>
          <w:rFonts w:asciiTheme="minorHAnsi" w:hAnsiTheme="minorHAnsi"/>
          <w:i/>
          <w:iCs/>
        </w:rPr>
        <w:t>Canon and Criterion in Christian Theology</w:t>
      </w:r>
      <w:r w:rsidRPr="00C72A51">
        <w:rPr>
          <w:rFonts w:asciiTheme="minorHAnsi" w:hAnsiTheme="minorHAnsi"/>
        </w:rPr>
        <w:t>.</w:t>
      </w:r>
      <w:proofErr w:type="gramEnd"/>
      <w:r w:rsidRPr="00C72A51">
        <w:rPr>
          <w:rFonts w:asciiTheme="minorHAnsi" w:hAnsiTheme="minorHAnsi"/>
        </w:rPr>
        <w:t xml:space="preserve">  Oxford/New York: OUP, 1998.</w:t>
      </w:r>
    </w:p>
    <w:p w:rsidR="00F56F81" w:rsidRPr="00C72A51" w:rsidRDefault="00F56F81" w:rsidP="00F56F81">
      <w:pPr>
        <w:pStyle w:val="PlainText"/>
      </w:pPr>
      <w:r w:rsidRPr="00C72A51">
        <w:t xml:space="preserve">Barr, James. </w:t>
      </w:r>
      <w:proofErr w:type="gramStart"/>
      <w:r w:rsidRPr="00C72A51">
        <w:rPr>
          <w:rFonts w:cs="Courier New"/>
          <w:i/>
        </w:rPr>
        <w:t>The Bible in the Modern World</w:t>
      </w:r>
      <w:r w:rsidRPr="00C72A51">
        <w:rPr>
          <w:rFonts w:cs="Courier New"/>
        </w:rPr>
        <w:t>.</w:t>
      </w:r>
      <w:proofErr w:type="gramEnd"/>
      <w:r w:rsidRPr="00C72A51">
        <w:rPr>
          <w:rFonts w:cs="Courier New"/>
        </w:rPr>
        <w:t xml:space="preserve">  London: SCM/New York: Harper, 1973.  </w:t>
      </w:r>
    </w:p>
    <w:p w:rsidR="00FC509C" w:rsidRPr="00C72A51" w:rsidRDefault="00FC509C" w:rsidP="00FC509C">
      <w:pPr>
        <w:pStyle w:val="ListParagraph"/>
        <w:rPr>
          <w:rFonts w:asciiTheme="minorHAnsi" w:hAnsiTheme="minorHAnsi"/>
        </w:rPr>
      </w:pPr>
      <w:r w:rsidRPr="00C72A51">
        <w:rPr>
          <w:rFonts w:asciiTheme="minorHAnsi" w:hAnsiTheme="minorHAnsi"/>
          <w:i/>
        </w:rPr>
        <w:t>-- The Scope and Authority of the Bible</w:t>
      </w:r>
      <w:r w:rsidRPr="00C72A51">
        <w:rPr>
          <w:rFonts w:asciiTheme="minorHAnsi" w:hAnsiTheme="minorHAnsi"/>
        </w:rPr>
        <w:t xml:space="preserve">. Philadelphia: Westminster, 1980. = </w:t>
      </w:r>
      <w:r w:rsidRPr="00C72A51">
        <w:rPr>
          <w:rFonts w:asciiTheme="minorHAnsi" w:hAnsiTheme="minorHAnsi"/>
          <w:i/>
        </w:rPr>
        <w:t xml:space="preserve">Explorations in Theology </w:t>
      </w:r>
      <w:r w:rsidRPr="00C72A51">
        <w:rPr>
          <w:rFonts w:asciiTheme="minorHAnsi" w:hAnsiTheme="minorHAnsi"/>
        </w:rPr>
        <w:t>7. London: SCM, 1980.</w:t>
      </w:r>
    </w:p>
    <w:p w:rsidR="00F56F81" w:rsidRPr="00C72A51" w:rsidRDefault="00F56F81" w:rsidP="00F56F81">
      <w:pPr>
        <w:pStyle w:val="PlainText"/>
        <w:rPr>
          <w:rFonts w:cs="Courier New"/>
        </w:rPr>
      </w:pPr>
      <w:r>
        <w:rPr>
          <w:rFonts w:cs="Courier New"/>
          <w:i/>
        </w:rPr>
        <w:t xml:space="preserve">-- </w:t>
      </w:r>
      <w:r w:rsidRPr="00C72A51">
        <w:rPr>
          <w:rFonts w:cs="Courier New"/>
          <w:i/>
        </w:rPr>
        <w:t>Holy Scripture: Canon, Authority, Criticism</w:t>
      </w:r>
      <w:r w:rsidRPr="00C72A51">
        <w:rPr>
          <w:rFonts w:cs="Courier New"/>
        </w:rPr>
        <w:t xml:space="preserve">.  Philadelphia: Westminster/Oxford: OUP, 1983. </w:t>
      </w:r>
    </w:p>
    <w:p w:rsidR="00F56F81" w:rsidRPr="00C72A51" w:rsidRDefault="00F56F81" w:rsidP="00F56F81">
      <w:pPr>
        <w:pStyle w:val="ListParagraph"/>
        <w:rPr>
          <w:rFonts w:asciiTheme="minorHAnsi" w:hAnsiTheme="minorHAnsi"/>
        </w:rPr>
      </w:pPr>
      <w:r w:rsidRPr="00C72A51">
        <w:rPr>
          <w:rFonts w:asciiTheme="minorHAnsi" w:hAnsiTheme="minorHAnsi"/>
        </w:rPr>
        <w:t xml:space="preserve">Bartlett, David. L. </w:t>
      </w:r>
      <w:r w:rsidRPr="00C72A51">
        <w:rPr>
          <w:rFonts w:asciiTheme="minorHAnsi" w:hAnsiTheme="minorHAnsi"/>
          <w:i/>
        </w:rPr>
        <w:t>The Shape of Scriptural Authority</w:t>
      </w:r>
      <w:r w:rsidRPr="00C72A51">
        <w:rPr>
          <w:rFonts w:asciiTheme="minorHAnsi" w:hAnsiTheme="minorHAnsi"/>
        </w:rPr>
        <w:t>. Philadelphia: Fortress, 1983.</w:t>
      </w:r>
    </w:p>
    <w:p w:rsidR="00F56F81" w:rsidRPr="00C72A51" w:rsidRDefault="00F56F81" w:rsidP="00F56F81">
      <w:pPr>
        <w:pStyle w:val="ListParagraph"/>
      </w:pPr>
      <w:proofErr w:type="spellStart"/>
      <w:r>
        <w:t>Bauckham</w:t>
      </w:r>
      <w:proofErr w:type="spellEnd"/>
      <w:r>
        <w:t>, Richard, and Benjamin</w:t>
      </w:r>
      <w:r w:rsidRPr="00C72A51">
        <w:t xml:space="preserve"> </w:t>
      </w:r>
      <w:proofErr w:type="spellStart"/>
      <w:r w:rsidRPr="00C72A51">
        <w:t>Drewery</w:t>
      </w:r>
      <w:proofErr w:type="spellEnd"/>
      <w:r w:rsidRPr="00C72A51">
        <w:t xml:space="preserve"> (</w:t>
      </w:r>
      <w:proofErr w:type="gramStart"/>
      <w:r w:rsidRPr="00C72A51">
        <w:t>ed</w:t>
      </w:r>
      <w:r>
        <w:t>s</w:t>
      </w:r>
      <w:proofErr w:type="gramEnd"/>
      <w:r w:rsidRPr="00C72A51">
        <w:t xml:space="preserve">.).  </w:t>
      </w:r>
      <w:r w:rsidRPr="00C72A51">
        <w:rPr>
          <w:i/>
        </w:rPr>
        <w:t>Scripture, Tradition and Reason</w:t>
      </w:r>
      <w:r w:rsidRPr="00C72A51">
        <w:t xml:space="preserve"> (R. P. C. Hanson Festschrift).  Edinburgh: Clark, 1988</w:t>
      </w:r>
      <w:r>
        <w:t>.</w:t>
      </w:r>
    </w:p>
    <w:p w:rsidR="00F56F81" w:rsidRPr="00051E55" w:rsidRDefault="00F56F81" w:rsidP="00F56F81">
      <w:pPr>
        <w:pStyle w:val="PlainText"/>
        <w:rPr>
          <w:rFonts w:cs="Courier New"/>
        </w:rPr>
      </w:pPr>
      <w:proofErr w:type="spellStart"/>
      <w:r w:rsidRPr="00051E55">
        <w:rPr>
          <w:rFonts w:cs="Courier New"/>
        </w:rPr>
        <w:t>Berkouwer</w:t>
      </w:r>
      <w:proofErr w:type="spellEnd"/>
      <w:r w:rsidRPr="00051E55">
        <w:rPr>
          <w:rFonts w:cs="Courier New"/>
        </w:rPr>
        <w:t xml:space="preserve">, G. C.  </w:t>
      </w:r>
      <w:proofErr w:type="gramStart"/>
      <w:r w:rsidRPr="00051E55">
        <w:rPr>
          <w:rFonts w:cs="Courier New"/>
          <w:i/>
        </w:rPr>
        <w:t>Holy Scripture</w:t>
      </w:r>
      <w:r w:rsidRPr="00051E55">
        <w:rPr>
          <w:rFonts w:cs="Courier New"/>
        </w:rPr>
        <w:t>.</w:t>
      </w:r>
      <w:proofErr w:type="gramEnd"/>
      <w:r w:rsidRPr="00051E55">
        <w:rPr>
          <w:rFonts w:cs="Courier New"/>
        </w:rPr>
        <w:t xml:space="preserve">  Grand Rapids: Eerdmans, 1975.  </w:t>
      </w:r>
    </w:p>
    <w:p w:rsidR="00F56F81" w:rsidRPr="00051E55" w:rsidRDefault="00F56F81" w:rsidP="00F56F81">
      <w:pPr>
        <w:pStyle w:val="List"/>
        <w:rPr>
          <w:rFonts w:asciiTheme="minorHAnsi" w:hAnsiTheme="minorHAnsi"/>
        </w:rPr>
      </w:pPr>
      <w:proofErr w:type="spellStart"/>
      <w:r w:rsidRPr="00051E55">
        <w:rPr>
          <w:rFonts w:asciiTheme="minorHAnsi" w:hAnsiTheme="minorHAnsi"/>
        </w:rPr>
        <w:t>Bonhoeffer</w:t>
      </w:r>
      <w:proofErr w:type="spellEnd"/>
      <w:r w:rsidRPr="00051E55">
        <w:rPr>
          <w:rFonts w:asciiTheme="minorHAnsi" w:hAnsiTheme="minorHAnsi"/>
        </w:rPr>
        <w:t xml:space="preserve">, Dietrich. </w:t>
      </w:r>
      <w:proofErr w:type="gramStart"/>
      <w:r w:rsidRPr="00051E55">
        <w:rPr>
          <w:rFonts w:asciiTheme="minorHAnsi" w:hAnsiTheme="minorHAnsi" w:cstheme="majorBidi"/>
          <w:i/>
        </w:rPr>
        <w:t>Letters and Papers from Prison</w:t>
      </w:r>
      <w:r w:rsidRPr="00051E55">
        <w:rPr>
          <w:rFonts w:asciiTheme="minorHAnsi" w:hAnsiTheme="minorHAnsi" w:cstheme="majorBidi"/>
        </w:rPr>
        <w:t>.</w:t>
      </w:r>
      <w:proofErr w:type="gramEnd"/>
      <w:r w:rsidRPr="00051E55">
        <w:rPr>
          <w:rFonts w:asciiTheme="minorHAnsi" w:hAnsiTheme="minorHAnsi" w:cstheme="majorBidi"/>
        </w:rPr>
        <w:t xml:space="preserve"> Reprinted London: Collins, 1962.</w:t>
      </w:r>
    </w:p>
    <w:p w:rsidR="00F56F81" w:rsidRDefault="00F56F81" w:rsidP="00F56F81">
      <w:pPr>
        <w:pStyle w:val="List"/>
        <w:rPr>
          <w:rFonts w:asciiTheme="minorHAnsi" w:hAnsiTheme="minorHAnsi"/>
        </w:rPr>
      </w:pPr>
      <w:proofErr w:type="spellStart"/>
      <w:r w:rsidRPr="00051E55">
        <w:rPr>
          <w:rFonts w:asciiTheme="minorHAnsi" w:hAnsiTheme="minorHAnsi"/>
        </w:rPr>
        <w:t>Brenneman</w:t>
      </w:r>
      <w:proofErr w:type="spellEnd"/>
      <w:r>
        <w:rPr>
          <w:rFonts w:asciiTheme="minorHAnsi" w:hAnsiTheme="minorHAnsi"/>
        </w:rPr>
        <w:t>, J. M</w:t>
      </w:r>
      <w:r w:rsidRPr="00C72A51">
        <w:rPr>
          <w:rFonts w:asciiTheme="minorHAnsi" w:hAnsiTheme="minorHAnsi"/>
        </w:rPr>
        <w:t xml:space="preserve">.  </w:t>
      </w:r>
      <w:proofErr w:type="gramStart"/>
      <w:r w:rsidRPr="00C72A51">
        <w:rPr>
          <w:rFonts w:asciiTheme="minorHAnsi" w:hAnsiTheme="minorHAnsi"/>
          <w:i/>
        </w:rPr>
        <w:t>Canons in Conflict</w:t>
      </w:r>
      <w:r w:rsidRPr="00C72A51">
        <w:rPr>
          <w:rFonts w:asciiTheme="minorHAnsi" w:hAnsiTheme="minorHAnsi"/>
        </w:rPr>
        <w:t>.</w:t>
      </w:r>
      <w:proofErr w:type="gramEnd"/>
      <w:r w:rsidRPr="00C72A51">
        <w:rPr>
          <w:rFonts w:asciiTheme="minorHAnsi" w:hAnsiTheme="minorHAnsi"/>
        </w:rPr>
        <w:t xml:space="preserve">  </w:t>
      </w:r>
      <w:r>
        <w:rPr>
          <w:rFonts w:asciiTheme="minorHAnsi" w:hAnsiTheme="minorHAnsi"/>
        </w:rPr>
        <w:t xml:space="preserve">Oxford/New York: OUP, </w:t>
      </w:r>
      <w:r w:rsidRPr="00C72A51">
        <w:rPr>
          <w:rFonts w:asciiTheme="minorHAnsi" w:hAnsiTheme="minorHAnsi"/>
        </w:rPr>
        <w:t>1997.</w:t>
      </w:r>
    </w:p>
    <w:p w:rsidR="00F56F81" w:rsidRPr="00051E55" w:rsidRDefault="00F56F81" w:rsidP="00F56F81">
      <w:pPr>
        <w:pStyle w:val="List"/>
        <w:rPr>
          <w:rFonts w:asciiTheme="minorHAnsi" w:hAnsiTheme="minorHAnsi"/>
        </w:rPr>
      </w:pPr>
      <w:r>
        <w:rPr>
          <w:rFonts w:asciiTheme="minorHAnsi" w:hAnsiTheme="minorHAnsi"/>
        </w:rPr>
        <w:t xml:space="preserve">Bright, John. </w:t>
      </w:r>
      <w:proofErr w:type="gramStart"/>
      <w:r>
        <w:rPr>
          <w:rFonts w:asciiTheme="minorHAnsi" w:hAnsiTheme="minorHAnsi"/>
          <w:i/>
        </w:rPr>
        <w:t>The Authority of the Old Testament</w:t>
      </w:r>
      <w:r>
        <w:rPr>
          <w:rFonts w:asciiTheme="minorHAnsi" w:hAnsiTheme="minorHAnsi"/>
        </w:rPr>
        <w:t>.</w:t>
      </w:r>
      <w:proofErr w:type="gramEnd"/>
      <w:r>
        <w:rPr>
          <w:rFonts w:asciiTheme="minorHAnsi" w:hAnsiTheme="minorHAnsi"/>
        </w:rPr>
        <w:t xml:space="preserve"> Nashville: Abingdon/London: SCM, 1967.</w:t>
      </w:r>
    </w:p>
    <w:p w:rsidR="00F56F81" w:rsidRPr="00C72A51" w:rsidRDefault="00F56F81" w:rsidP="00F56F81">
      <w:pPr>
        <w:pStyle w:val="ListParagraph"/>
        <w:rPr>
          <w:rFonts w:asciiTheme="minorHAnsi" w:hAnsiTheme="minorHAnsi"/>
        </w:rPr>
      </w:pPr>
      <w:r>
        <w:rPr>
          <w:rFonts w:asciiTheme="minorHAnsi" w:hAnsiTheme="minorHAnsi"/>
        </w:rPr>
        <w:t>Brown, Willia</w:t>
      </w:r>
      <w:r w:rsidRPr="00C72A51">
        <w:rPr>
          <w:rFonts w:asciiTheme="minorHAnsi" w:hAnsiTheme="minorHAnsi"/>
        </w:rPr>
        <w:t>m P. (</w:t>
      </w:r>
      <w:proofErr w:type="gramStart"/>
      <w:r w:rsidRPr="00C72A51">
        <w:rPr>
          <w:rFonts w:asciiTheme="minorHAnsi" w:hAnsiTheme="minorHAnsi"/>
        </w:rPr>
        <w:t>ed</w:t>
      </w:r>
      <w:proofErr w:type="gramEnd"/>
      <w:r w:rsidRPr="00C72A51">
        <w:rPr>
          <w:rFonts w:asciiTheme="minorHAnsi" w:hAnsiTheme="minorHAnsi"/>
        </w:rPr>
        <w:t xml:space="preserve">.). </w:t>
      </w:r>
      <w:proofErr w:type="gramStart"/>
      <w:r w:rsidRPr="00C72A51">
        <w:rPr>
          <w:rFonts w:asciiTheme="minorHAnsi" w:hAnsiTheme="minorHAnsi"/>
          <w:i/>
        </w:rPr>
        <w:t>Engaging Biblical Authority</w:t>
      </w:r>
      <w:r w:rsidRPr="00C72A51">
        <w:rPr>
          <w:rFonts w:asciiTheme="minorHAnsi" w:hAnsiTheme="minorHAnsi"/>
        </w:rPr>
        <w:t>.</w:t>
      </w:r>
      <w:proofErr w:type="gramEnd"/>
      <w:r w:rsidRPr="00C72A51">
        <w:rPr>
          <w:rFonts w:asciiTheme="minorHAnsi" w:hAnsiTheme="minorHAnsi"/>
        </w:rPr>
        <w:t xml:space="preserve">  Louisville/London: WJK, 2007.</w:t>
      </w:r>
    </w:p>
    <w:p w:rsidR="00F56F81" w:rsidRPr="00462286" w:rsidRDefault="00F56F81" w:rsidP="00F56F81">
      <w:pPr>
        <w:pStyle w:val="ListParagraph"/>
        <w:rPr>
          <w:rFonts w:asciiTheme="minorHAnsi" w:hAnsiTheme="minorHAnsi"/>
        </w:rPr>
      </w:pPr>
      <w:proofErr w:type="spellStart"/>
      <w:r>
        <w:rPr>
          <w:rFonts w:asciiTheme="minorHAnsi" w:hAnsiTheme="minorHAnsi"/>
        </w:rPr>
        <w:t>Brueggemann</w:t>
      </w:r>
      <w:proofErr w:type="spellEnd"/>
      <w:r>
        <w:rPr>
          <w:rFonts w:asciiTheme="minorHAnsi" w:hAnsiTheme="minorHAnsi"/>
        </w:rPr>
        <w:t xml:space="preserve">, Walter. </w:t>
      </w:r>
      <w:proofErr w:type="gramStart"/>
      <w:r>
        <w:rPr>
          <w:rFonts w:asciiTheme="minorHAnsi" w:hAnsiTheme="minorHAnsi"/>
          <w:i/>
        </w:rPr>
        <w:t>The Book that Breathes New Life</w:t>
      </w:r>
      <w:r>
        <w:rPr>
          <w:rFonts w:asciiTheme="minorHAnsi" w:hAnsiTheme="minorHAnsi"/>
        </w:rPr>
        <w:t>.</w:t>
      </w:r>
      <w:proofErr w:type="gramEnd"/>
      <w:r>
        <w:rPr>
          <w:rFonts w:asciiTheme="minorHAnsi" w:hAnsiTheme="minorHAnsi"/>
        </w:rPr>
        <w:t xml:space="preserve"> Minneapolis: Fortress, 2005.</w:t>
      </w:r>
    </w:p>
    <w:p w:rsidR="00F56F81" w:rsidRPr="00C72A51" w:rsidRDefault="00F56F81" w:rsidP="00F56F81">
      <w:pPr>
        <w:pStyle w:val="ListParagraph"/>
        <w:rPr>
          <w:rFonts w:asciiTheme="minorHAnsi" w:hAnsiTheme="minorHAnsi"/>
        </w:rPr>
      </w:pPr>
      <w:proofErr w:type="spellStart"/>
      <w:r w:rsidRPr="00C72A51">
        <w:rPr>
          <w:rFonts w:asciiTheme="minorHAnsi" w:hAnsiTheme="minorHAnsi"/>
        </w:rPr>
        <w:t>Bultmann</w:t>
      </w:r>
      <w:proofErr w:type="spellEnd"/>
      <w:r w:rsidRPr="00C72A51">
        <w:rPr>
          <w:rFonts w:asciiTheme="minorHAnsi" w:hAnsiTheme="minorHAnsi"/>
        </w:rPr>
        <w:t xml:space="preserve">, R. </w:t>
      </w:r>
      <w:r>
        <w:rPr>
          <w:rFonts w:asciiTheme="minorHAnsi" w:hAnsiTheme="minorHAnsi"/>
        </w:rPr>
        <w:t>“Prophecy and Fulfillment.” I</w:t>
      </w:r>
      <w:r w:rsidRPr="00C72A51">
        <w:rPr>
          <w:rFonts w:asciiTheme="minorHAnsi" w:hAnsiTheme="minorHAnsi"/>
        </w:rPr>
        <w:t xml:space="preserve">n </w:t>
      </w:r>
      <w:r w:rsidRPr="00C72A51">
        <w:rPr>
          <w:rFonts w:asciiTheme="minorHAnsi" w:hAnsiTheme="minorHAnsi"/>
          <w:i/>
        </w:rPr>
        <w:t xml:space="preserve">Essays on </w:t>
      </w:r>
      <w:r w:rsidRPr="00C72A51">
        <w:rPr>
          <w:rFonts w:asciiTheme="minorHAnsi" w:eastAsia="Calibri" w:hAnsiTheme="minorHAnsi"/>
          <w:i/>
          <w:iCs/>
        </w:rPr>
        <w:t>Old Testament Interpretation</w:t>
      </w:r>
      <w:r w:rsidRPr="00C72A51">
        <w:rPr>
          <w:rFonts w:asciiTheme="minorHAnsi" w:eastAsia="Calibri" w:hAnsiTheme="minorHAnsi"/>
        </w:rPr>
        <w:t xml:space="preserve"> (ed. C. Westermann; London: SCM, 1963) = </w:t>
      </w:r>
      <w:r w:rsidRPr="00C72A51">
        <w:rPr>
          <w:rFonts w:asciiTheme="minorHAnsi" w:eastAsia="Calibri" w:hAnsiTheme="minorHAnsi"/>
          <w:i/>
          <w:iCs/>
        </w:rPr>
        <w:t xml:space="preserve">Essays on Old Testament Hermeneutics </w:t>
      </w:r>
      <w:r w:rsidRPr="00C72A51">
        <w:rPr>
          <w:rFonts w:asciiTheme="minorHAnsi" w:eastAsia="Calibri" w:hAnsiTheme="minorHAnsi"/>
        </w:rPr>
        <w:t>(Richmond: Knox, 1963)</w:t>
      </w:r>
      <w:r w:rsidRPr="00C72A51">
        <w:rPr>
          <w:rFonts w:asciiTheme="minorHAnsi" w:hAnsiTheme="minorHAnsi"/>
        </w:rPr>
        <w:t>,</w:t>
      </w:r>
      <w:r w:rsidRPr="00C72A51">
        <w:rPr>
          <w:rFonts w:asciiTheme="minorHAnsi" w:eastAsia="Calibri" w:hAnsiTheme="minorHAnsi"/>
        </w:rPr>
        <w:t xml:space="preserve"> </w:t>
      </w:r>
      <w:r>
        <w:rPr>
          <w:rFonts w:asciiTheme="minorHAnsi" w:eastAsia="Calibri" w:hAnsiTheme="minorHAnsi"/>
        </w:rPr>
        <w:t xml:space="preserve">pp. </w:t>
      </w:r>
      <w:r w:rsidRPr="00C72A51">
        <w:rPr>
          <w:rFonts w:asciiTheme="minorHAnsi" w:hAnsiTheme="minorHAnsi"/>
        </w:rPr>
        <w:t>50-</w:t>
      </w:r>
      <w:r w:rsidRPr="00C72A51">
        <w:rPr>
          <w:rFonts w:asciiTheme="minorHAnsi" w:hAnsiTheme="minorHAnsi"/>
        </w:rPr>
        <w:lastRenderedPageBreak/>
        <w:t>75.</w:t>
      </w:r>
    </w:p>
    <w:p w:rsidR="00F56F81" w:rsidRPr="00C72A51" w:rsidRDefault="00F56F81" w:rsidP="00F56F81">
      <w:pPr>
        <w:pStyle w:val="ListParagraph"/>
        <w:rPr>
          <w:rFonts w:asciiTheme="minorHAnsi" w:hAnsiTheme="minorHAnsi"/>
        </w:rPr>
      </w:pPr>
      <w:proofErr w:type="spellStart"/>
      <w:r w:rsidRPr="00C72A51">
        <w:rPr>
          <w:rFonts w:asciiTheme="minorHAnsi" w:hAnsiTheme="minorHAnsi"/>
        </w:rPr>
        <w:t>Frei</w:t>
      </w:r>
      <w:proofErr w:type="spellEnd"/>
      <w:r w:rsidRPr="00C72A51">
        <w:rPr>
          <w:rFonts w:asciiTheme="minorHAnsi" w:hAnsiTheme="minorHAnsi"/>
        </w:rPr>
        <w:t>,</w:t>
      </w:r>
      <w:r w:rsidRPr="00C72A51">
        <w:rPr>
          <w:rFonts w:asciiTheme="minorHAnsi" w:hAnsiTheme="minorHAnsi"/>
          <w:i/>
        </w:rPr>
        <w:t xml:space="preserve"> </w:t>
      </w:r>
      <w:r w:rsidRPr="00C72A51">
        <w:rPr>
          <w:rFonts w:asciiTheme="minorHAnsi" w:hAnsiTheme="minorHAnsi"/>
        </w:rPr>
        <w:t>Hans.</w:t>
      </w:r>
      <w:r w:rsidRPr="00C72A51">
        <w:rPr>
          <w:rFonts w:asciiTheme="minorHAnsi" w:hAnsiTheme="minorHAnsi"/>
          <w:i/>
        </w:rPr>
        <w:t xml:space="preserve"> </w:t>
      </w:r>
      <w:proofErr w:type="gramStart"/>
      <w:r w:rsidRPr="00C72A51">
        <w:rPr>
          <w:rFonts w:asciiTheme="minorHAnsi" w:hAnsiTheme="minorHAnsi"/>
          <w:i/>
        </w:rPr>
        <w:t>The Eclipse of Biblical Narrative</w:t>
      </w:r>
      <w:r w:rsidRPr="00C72A51">
        <w:rPr>
          <w:rFonts w:asciiTheme="minorHAnsi" w:hAnsiTheme="minorHAnsi"/>
        </w:rPr>
        <w:t>.</w:t>
      </w:r>
      <w:proofErr w:type="gramEnd"/>
      <w:r w:rsidRPr="00C72A51">
        <w:rPr>
          <w:rFonts w:asciiTheme="minorHAnsi" w:hAnsiTheme="minorHAnsi"/>
        </w:rPr>
        <w:t xml:space="preserve"> New Haven/London: Yale UP, 1974.</w:t>
      </w:r>
    </w:p>
    <w:p w:rsidR="00F56F81" w:rsidRDefault="00F56F81" w:rsidP="00F56F81">
      <w:pPr>
        <w:pStyle w:val="ListParagraph"/>
        <w:rPr>
          <w:rFonts w:asciiTheme="minorHAnsi" w:hAnsiTheme="minorHAnsi"/>
        </w:rPr>
      </w:pPr>
      <w:proofErr w:type="spellStart"/>
      <w:r w:rsidRPr="00C72A51">
        <w:rPr>
          <w:rFonts w:asciiTheme="minorHAnsi" w:hAnsiTheme="minorHAnsi"/>
        </w:rPr>
        <w:t>Fretheim</w:t>
      </w:r>
      <w:proofErr w:type="spellEnd"/>
      <w:r w:rsidRPr="00C72A51">
        <w:rPr>
          <w:rFonts w:asciiTheme="minorHAnsi" w:hAnsiTheme="minorHAnsi"/>
        </w:rPr>
        <w:t xml:space="preserve">, Terence E., and </w:t>
      </w:r>
      <w:proofErr w:type="spellStart"/>
      <w:r w:rsidRPr="00C72A51">
        <w:rPr>
          <w:rFonts w:asciiTheme="minorHAnsi" w:hAnsiTheme="minorHAnsi"/>
        </w:rPr>
        <w:t>Karlfried</w:t>
      </w:r>
      <w:proofErr w:type="spellEnd"/>
      <w:r w:rsidRPr="00C72A51">
        <w:rPr>
          <w:rFonts w:asciiTheme="minorHAnsi" w:hAnsiTheme="minorHAnsi"/>
        </w:rPr>
        <w:t xml:space="preserve"> Froehlich (</w:t>
      </w:r>
      <w:proofErr w:type="gramStart"/>
      <w:r w:rsidRPr="00C72A51">
        <w:rPr>
          <w:rFonts w:asciiTheme="minorHAnsi" w:hAnsiTheme="minorHAnsi"/>
        </w:rPr>
        <w:t>eds</w:t>
      </w:r>
      <w:proofErr w:type="gramEnd"/>
      <w:r w:rsidRPr="00C72A51">
        <w:rPr>
          <w:rFonts w:asciiTheme="minorHAnsi" w:hAnsiTheme="minorHAnsi"/>
        </w:rPr>
        <w:t xml:space="preserve">.). </w:t>
      </w:r>
      <w:proofErr w:type="gramStart"/>
      <w:r w:rsidRPr="00C72A51">
        <w:rPr>
          <w:rFonts w:asciiTheme="minorHAnsi" w:hAnsiTheme="minorHAnsi"/>
          <w:i/>
        </w:rPr>
        <w:t>The Bible as Word of God in a Postmodern Age</w:t>
      </w:r>
      <w:r w:rsidRPr="00C72A51">
        <w:rPr>
          <w:rFonts w:asciiTheme="minorHAnsi" w:hAnsiTheme="minorHAnsi"/>
        </w:rPr>
        <w:t>.</w:t>
      </w:r>
      <w:proofErr w:type="gramEnd"/>
      <w:r w:rsidRPr="00C72A51">
        <w:rPr>
          <w:rFonts w:asciiTheme="minorHAnsi" w:hAnsiTheme="minorHAnsi"/>
        </w:rPr>
        <w:t xml:space="preserve"> Minneapolis: Fortress, 1998. </w:t>
      </w:r>
      <w:proofErr w:type="gramStart"/>
      <w:r w:rsidRPr="00C72A51">
        <w:rPr>
          <w:rFonts w:asciiTheme="minorHAnsi" w:hAnsiTheme="minorHAnsi"/>
        </w:rPr>
        <w:t xml:space="preserve">Reprinted Eugene, OR: </w:t>
      </w:r>
      <w:proofErr w:type="spellStart"/>
      <w:r w:rsidRPr="00C72A51">
        <w:rPr>
          <w:rFonts w:asciiTheme="minorHAnsi" w:hAnsiTheme="minorHAnsi"/>
        </w:rPr>
        <w:t>Wipf</w:t>
      </w:r>
      <w:proofErr w:type="spellEnd"/>
      <w:r w:rsidRPr="00C72A51">
        <w:rPr>
          <w:rFonts w:asciiTheme="minorHAnsi" w:hAnsiTheme="minorHAnsi"/>
        </w:rPr>
        <w:t xml:space="preserve"> and Stock, 2002.</w:t>
      </w:r>
      <w:proofErr w:type="gramEnd"/>
    </w:p>
    <w:p w:rsidR="00FC509C" w:rsidRPr="00FC509C" w:rsidRDefault="00F56F81" w:rsidP="00F56F81">
      <w:pPr>
        <w:pStyle w:val="ListParagraph"/>
      </w:pPr>
      <w:r w:rsidRPr="00C72A51">
        <w:t xml:space="preserve">Goldingay, John. </w:t>
      </w:r>
      <w:proofErr w:type="gramStart"/>
      <w:r w:rsidR="00FC509C">
        <w:rPr>
          <w:i/>
        </w:rPr>
        <w:t>Theological Diversity and the Authority of the Old Testament.</w:t>
      </w:r>
      <w:proofErr w:type="gramEnd"/>
      <w:r w:rsidR="00FC509C">
        <w:rPr>
          <w:i/>
        </w:rPr>
        <w:t xml:space="preserve"> </w:t>
      </w:r>
      <w:r w:rsidR="00FC509C">
        <w:t xml:space="preserve">Grand Rapids: Eerdmans, </w:t>
      </w:r>
      <w:r w:rsidR="001F7636">
        <w:t>1986/Carlisle: Paternoster, 1995.</w:t>
      </w:r>
    </w:p>
    <w:p w:rsidR="00F56F81" w:rsidRDefault="00FC509C" w:rsidP="00F56F81">
      <w:pPr>
        <w:pStyle w:val="ListParagraph"/>
      </w:pPr>
      <w:r>
        <w:t xml:space="preserve">-- </w:t>
      </w:r>
      <w:r w:rsidR="00F56F81" w:rsidRPr="00C72A51">
        <w:rPr>
          <w:i/>
        </w:rPr>
        <w:t>Models for Scripture</w:t>
      </w:r>
      <w:r w:rsidR="00F56F81" w:rsidRPr="00C72A51">
        <w:t>. Grand Rapids: Eerdmans/Carlisle: Paternoster, 1994.</w:t>
      </w:r>
    </w:p>
    <w:p w:rsidR="00F56F81" w:rsidRDefault="00F56F81" w:rsidP="00F56F81">
      <w:pPr>
        <w:pStyle w:val="ListParagraph"/>
      </w:pPr>
      <w:proofErr w:type="gramStart"/>
      <w:r>
        <w:t xml:space="preserve">Green, Joel B., and Max Turner (eds.), </w:t>
      </w:r>
      <w:r>
        <w:rPr>
          <w:i/>
        </w:rPr>
        <w:t>Between Two Horizons.</w:t>
      </w:r>
      <w:proofErr w:type="gramEnd"/>
      <w:r>
        <w:rPr>
          <w:i/>
        </w:rPr>
        <w:t xml:space="preserve"> </w:t>
      </w:r>
      <w:r>
        <w:t>Eerdmans, Grand Rapids, 1999.</w:t>
      </w:r>
    </w:p>
    <w:p w:rsidR="00F56F81" w:rsidRPr="00DF2BB5" w:rsidRDefault="00F56F81" w:rsidP="00F56F81">
      <w:pPr>
        <w:pStyle w:val="ListParagraph"/>
        <w:rPr>
          <w:rFonts w:asciiTheme="minorHAnsi" w:hAnsiTheme="minorHAnsi"/>
        </w:rPr>
      </w:pPr>
      <w:r>
        <w:t xml:space="preserve">Hooker, Richard. </w:t>
      </w:r>
      <w:proofErr w:type="gramStart"/>
      <w:r>
        <w:rPr>
          <w:i/>
        </w:rPr>
        <w:t>Of the Laws of Ecclesiastical Polity.</w:t>
      </w:r>
      <w:proofErr w:type="gramEnd"/>
      <w:r>
        <w:rPr>
          <w:i/>
        </w:rPr>
        <w:t xml:space="preserve"> </w:t>
      </w:r>
      <w:proofErr w:type="gramStart"/>
      <w:r>
        <w:t>Many editions.</w:t>
      </w:r>
      <w:proofErr w:type="gramEnd"/>
    </w:p>
    <w:p w:rsidR="00F56F81" w:rsidRPr="00462286" w:rsidRDefault="00F56F81" w:rsidP="00F56F81">
      <w:pPr>
        <w:ind w:firstLine="0"/>
      </w:pPr>
      <w:proofErr w:type="spellStart"/>
      <w:r>
        <w:t>Jodock</w:t>
      </w:r>
      <w:proofErr w:type="spellEnd"/>
      <w:r>
        <w:t>,</w:t>
      </w:r>
      <w:r w:rsidRPr="00462286">
        <w:t xml:space="preserve"> </w:t>
      </w:r>
      <w:r>
        <w:t xml:space="preserve">Darrell. </w:t>
      </w:r>
      <w:r>
        <w:rPr>
          <w:i/>
        </w:rPr>
        <w:t>The Church’s Bible</w:t>
      </w:r>
      <w:r>
        <w:t>. Minneapolis: Fortress, 1989.</w:t>
      </w:r>
    </w:p>
    <w:p w:rsidR="00F56F81" w:rsidRDefault="00F56F81" w:rsidP="00F56F81">
      <w:pPr>
        <w:ind w:firstLine="0"/>
      </w:pPr>
      <w:r w:rsidRPr="00C72A51">
        <w:t>Martin, Lee M., and James A. Sanders (</w:t>
      </w:r>
      <w:proofErr w:type="gramStart"/>
      <w:r w:rsidRPr="00C72A51">
        <w:t>ed</w:t>
      </w:r>
      <w:proofErr w:type="gramEnd"/>
      <w:r w:rsidRPr="00C72A51">
        <w:t xml:space="preserve">.).  </w:t>
      </w:r>
      <w:proofErr w:type="gramStart"/>
      <w:r w:rsidRPr="00C72A51">
        <w:rPr>
          <w:i/>
        </w:rPr>
        <w:t>The Canon Debate</w:t>
      </w:r>
      <w:r w:rsidRPr="00C72A51">
        <w:t>.</w:t>
      </w:r>
      <w:proofErr w:type="gramEnd"/>
      <w:r>
        <w:t xml:space="preserve"> Peabody, MA: Hendrickson, 2002.</w:t>
      </w:r>
    </w:p>
    <w:p w:rsidR="00F56F81" w:rsidRDefault="00F56F81" w:rsidP="00F56F81">
      <w:pPr>
        <w:ind w:firstLine="0"/>
        <w:rPr>
          <w:rFonts w:cs="Courier New"/>
        </w:rPr>
      </w:pPr>
      <w:proofErr w:type="gramStart"/>
      <w:r w:rsidRPr="00C72A51">
        <w:rPr>
          <w:rFonts w:cs="Courier New"/>
        </w:rPr>
        <w:t>Packer, J. I.</w:t>
      </w:r>
      <w:proofErr w:type="gramEnd"/>
      <w:r w:rsidRPr="00C72A51">
        <w:rPr>
          <w:rFonts w:cs="Courier New"/>
        </w:rPr>
        <w:t xml:space="preserve">  </w:t>
      </w:r>
      <w:proofErr w:type="gramStart"/>
      <w:r w:rsidRPr="00C72A51">
        <w:rPr>
          <w:rFonts w:cs="Courier New"/>
          <w:i/>
        </w:rPr>
        <w:t>"Fundamentalism" and the Word of God</w:t>
      </w:r>
      <w:r w:rsidRPr="00C72A51">
        <w:rPr>
          <w:rFonts w:cs="Courier New"/>
        </w:rPr>
        <w:t>.</w:t>
      </w:r>
      <w:proofErr w:type="gramEnd"/>
      <w:r w:rsidRPr="00C72A51">
        <w:rPr>
          <w:rFonts w:cs="Courier New"/>
        </w:rPr>
        <w:t xml:space="preserve">  London: IVF/Grand </w:t>
      </w:r>
      <w:r>
        <w:rPr>
          <w:rFonts w:cs="Courier New"/>
        </w:rPr>
        <w:t>Rapids: Eerdmans, 1958.</w:t>
      </w:r>
    </w:p>
    <w:p w:rsidR="00F56F81" w:rsidRDefault="00F56F81" w:rsidP="00F56F81">
      <w:pPr>
        <w:ind w:firstLine="0"/>
      </w:pPr>
      <w:proofErr w:type="spellStart"/>
      <w:r w:rsidRPr="00C72A51">
        <w:t>Pannenberg</w:t>
      </w:r>
      <w:proofErr w:type="spellEnd"/>
      <w:r w:rsidRPr="00C72A51">
        <w:t>, Wolfgang (</w:t>
      </w:r>
      <w:proofErr w:type="gramStart"/>
      <w:r w:rsidRPr="00C72A51">
        <w:t>ed</w:t>
      </w:r>
      <w:proofErr w:type="gramEnd"/>
      <w:r w:rsidRPr="00C72A51">
        <w:t xml:space="preserve">.).  </w:t>
      </w:r>
      <w:proofErr w:type="gramStart"/>
      <w:r w:rsidRPr="00C72A51">
        <w:rPr>
          <w:i/>
          <w:iCs/>
        </w:rPr>
        <w:t>Revelation as History</w:t>
      </w:r>
      <w:r w:rsidRPr="00C72A51">
        <w:t>.</w:t>
      </w:r>
      <w:proofErr w:type="gramEnd"/>
      <w:r w:rsidRPr="00C72A51">
        <w:t xml:space="preserve">  New York/London: Macmillan, 1968.</w:t>
      </w:r>
    </w:p>
    <w:p w:rsidR="00F56F81" w:rsidRPr="00C72A51" w:rsidRDefault="00F56F81" w:rsidP="00F56F81">
      <w:pPr>
        <w:pStyle w:val="ListParagraph"/>
      </w:pPr>
      <w:proofErr w:type="spellStart"/>
      <w:r w:rsidRPr="00C72A51">
        <w:t>Reventlow</w:t>
      </w:r>
      <w:proofErr w:type="spellEnd"/>
      <w:r w:rsidRPr="00C72A51">
        <w:t xml:space="preserve">, H. Graf.  </w:t>
      </w:r>
      <w:proofErr w:type="gramStart"/>
      <w:r w:rsidRPr="00C72A51">
        <w:rPr>
          <w:i/>
        </w:rPr>
        <w:t>The Authority of the Bible and the Rise of the Modern World</w:t>
      </w:r>
      <w:r>
        <w:t>.</w:t>
      </w:r>
      <w:proofErr w:type="gramEnd"/>
      <w:r>
        <w:t xml:space="preserve">  London: SCM, </w:t>
      </w:r>
      <w:r w:rsidRPr="00C72A51">
        <w:t xml:space="preserve">1984/Philadelphia: Fortress, 1985. </w:t>
      </w:r>
    </w:p>
    <w:p w:rsidR="00F56F81" w:rsidRPr="00C72A51" w:rsidRDefault="00F56F81" w:rsidP="00F56F81">
      <w:pPr>
        <w:pStyle w:val="PlainText"/>
        <w:rPr>
          <w:rFonts w:cs="Courier New"/>
        </w:rPr>
      </w:pPr>
      <w:r w:rsidRPr="00C72A51">
        <w:rPr>
          <w:rFonts w:cs="Courier New"/>
        </w:rPr>
        <w:t xml:space="preserve">Robinson, H. W.  </w:t>
      </w:r>
      <w:proofErr w:type="gramStart"/>
      <w:r w:rsidRPr="00C72A51">
        <w:rPr>
          <w:rFonts w:cs="Courier New"/>
          <w:i/>
        </w:rPr>
        <w:t>Inspiration and Revelation in the Old Testament</w:t>
      </w:r>
      <w:r w:rsidRPr="00C72A51">
        <w:rPr>
          <w:rFonts w:cs="Courier New"/>
        </w:rPr>
        <w:t>.</w:t>
      </w:r>
      <w:proofErr w:type="gramEnd"/>
      <w:r w:rsidRPr="00C72A51">
        <w:rPr>
          <w:rFonts w:cs="Courier New"/>
        </w:rPr>
        <w:t xml:space="preserve">  Oxford/New York: OUP, 1946. </w:t>
      </w:r>
    </w:p>
    <w:p w:rsidR="00F56F81" w:rsidRPr="00C72A51" w:rsidRDefault="00F56F81" w:rsidP="00F56F81">
      <w:pPr>
        <w:pStyle w:val="ListParagraph"/>
        <w:rPr>
          <w:rFonts w:asciiTheme="minorHAnsi" w:hAnsiTheme="minorHAnsi"/>
        </w:rPr>
      </w:pPr>
      <w:proofErr w:type="spellStart"/>
      <w:r w:rsidRPr="00C72A51">
        <w:rPr>
          <w:rFonts w:asciiTheme="minorHAnsi" w:hAnsiTheme="minorHAnsi"/>
        </w:rPr>
        <w:t>Schneiders</w:t>
      </w:r>
      <w:proofErr w:type="spellEnd"/>
      <w:r w:rsidRPr="00C72A51">
        <w:rPr>
          <w:rFonts w:asciiTheme="minorHAnsi" w:hAnsiTheme="minorHAnsi"/>
        </w:rPr>
        <w:t xml:space="preserve">, Sandra M. </w:t>
      </w:r>
      <w:proofErr w:type="gramStart"/>
      <w:r w:rsidRPr="00C72A51">
        <w:rPr>
          <w:rFonts w:asciiTheme="minorHAnsi" w:hAnsiTheme="minorHAnsi"/>
          <w:i/>
        </w:rPr>
        <w:t>The Revelatory Text</w:t>
      </w:r>
      <w:r w:rsidRPr="00C72A51">
        <w:rPr>
          <w:rFonts w:asciiTheme="minorHAnsi" w:hAnsiTheme="minorHAnsi"/>
        </w:rPr>
        <w:t>.</w:t>
      </w:r>
      <w:proofErr w:type="gramEnd"/>
      <w:r w:rsidRPr="00C72A51">
        <w:rPr>
          <w:rFonts w:asciiTheme="minorHAnsi" w:hAnsiTheme="minorHAnsi"/>
        </w:rPr>
        <w:t xml:space="preserve"> 2</w:t>
      </w:r>
      <w:r w:rsidRPr="00C72A51">
        <w:rPr>
          <w:rFonts w:asciiTheme="minorHAnsi" w:hAnsiTheme="minorHAnsi"/>
          <w:vertAlign w:val="superscript"/>
        </w:rPr>
        <w:t>nd</w:t>
      </w:r>
      <w:r w:rsidRPr="00C72A51">
        <w:rPr>
          <w:rFonts w:asciiTheme="minorHAnsi" w:hAnsiTheme="minorHAnsi"/>
        </w:rPr>
        <w:t xml:space="preserve"> ed. Collegeville, MN: Liturgical, 1999.</w:t>
      </w:r>
    </w:p>
    <w:p w:rsidR="00F56F81" w:rsidRPr="00C72A51" w:rsidRDefault="00F56F81" w:rsidP="00F56F81">
      <w:pPr>
        <w:pStyle w:val="ListParagraph"/>
        <w:rPr>
          <w:rFonts w:asciiTheme="minorHAnsi" w:hAnsiTheme="minorHAnsi"/>
        </w:rPr>
      </w:pPr>
      <w:r w:rsidRPr="00C72A51">
        <w:rPr>
          <w:rFonts w:asciiTheme="minorHAnsi" w:hAnsiTheme="minorHAnsi"/>
        </w:rPr>
        <w:t xml:space="preserve">Warfield, Benjamin B. </w:t>
      </w:r>
      <w:proofErr w:type="gramStart"/>
      <w:r w:rsidRPr="00C72A51">
        <w:rPr>
          <w:rFonts w:asciiTheme="minorHAnsi" w:hAnsiTheme="minorHAnsi"/>
          <w:i/>
        </w:rPr>
        <w:t>The Inspiration and Authority of the Bible</w:t>
      </w:r>
      <w:r w:rsidRPr="00C72A51">
        <w:rPr>
          <w:rFonts w:asciiTheme="minorHAnsi" w:hAnsiTheme="minorHAnsi"/>
        </w:rPr>
        <w:t>.</w:t>
      </w:r>
      <w:proofErr w:type="gramEnd"/>
      <w:r w:rsidRPr="00C72A51">
        <w:rPr>
          <w:rFonts w:asciiTheme="minorHAnsi" w:hAnsiTheme="minorHAnsi"/>
        </w:rPr>
        <w:t xml:space="preserve"> Philadelphia: Presbyterian and Reformed, 1948/London: Marshall, 1951.</w:t>
      </w:r>
    </w:p>
    <w:p w:rsidR="00F56F81" w:rsidRPr="00C72A51" w:rsidRDefault="00F56F81" w:rsidP="00F56F81">
      <w:pPr>
        <w:pStyle w:val="ListParagraph"/>
        <w:rPr>
          <w:rFonts w:asciiTheme="minorHAnsi" w:hAnsiTheme="minorHAnsi"/>
        </w:rPr>
      </w:pPr>
      <w:r w:rsidRPr="00C72A51">
        <w:rPr>
          <w:rFonts w:asciiTheme="minorHAnsi" w:hAnsiTheme="minorHAnsi"/>
        </w:rPr>
        <w:t xml:space="preserve">Wright, N. T. </w:t>
      </w:r>
      <w:proofErr w:type="gramStart"/>
      <w:r w:rsidRPr="00C72A51">
        <w:rPr>
          <w:rFonts w:asciiTheme="minorHAnsi" w:hAnsiTheme="minorHAnsi"/>
          <w:i/>
        </w:rPr>
        <w:t>Last Word</w:t>
      </w:r>
      <w:r w:rsidRPr="00C72A51">
        <w:rPr>
          <w:rFonts w:asciiTheme="minorHAnsi" w:hAnsiTheme="minorHAnsi"/>
        </w:rPr>
        <w:t>.</w:t>
      </w:r>
      <w:proofErr w:type="gramEnd"/>
      <w:r w:rsidRPr="00C72A51">
        <w:rPr>
          <w:rFonts w:asciiTheme="minorHAnsi" w:hAnsiTheme="minorHAnsi"/>
        </w:rPr>
        <w:t xml:space="preserve"> San Francisco: Harper, 2005.</w:t>
      </w:r>
    </w:p>
    <w:p w:rsidR="00F56F81" w:rsidRPr="008C6676" w:rsidRDefault="00F56F81" w:rsidP="00F56F81"/>
    <w:p w:rsidR="00F56F81" w:rsidRPr="008C6676" w:rsidRDefault="00F56F81" w:rsidP="00F56F81">
      <w:r>
        <w:t>John Goldingay</w:t>
      </w:r>
    </w:p>
    <w:p w:rsidR="00F56F81" w:rsidRDefault="00F56F81" w:rsidP="005B4912"/>
    <w:sectPr w:rsidR="00F56F81"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D1" w:rsidRDefault="006640D1" w:rsidP="003175A3">
      <w:r>
        <w:separator/>
      </w:r>
    </w:p>
  </w:endnote>
  <w:endnote w:type="continuationSeparator" w:id="0">
    <w:p w:rsidR="006640D1" w:rsidRDefault="006640D1" w:rsidP="00317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D1" w:rsidRDefault="006640D1" w:rsidP="003175A3">
      <w:r>
        <w:separator/>
      </w:r>
    </w:p>
  </w:footnote>
  <w:footnote w:type="continuationSeparator" w:id="0">
    <w:p w:rsidR="006640D1" w:rsidRDefault="006640D1" w:rsidP="00317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849E5"/>
    <w:rsid w:val="00000AEC"/>
    <w:rsid w:val="000020BC"/>
    <w:rsid w:val="00002194"/>
    <w:rsid w:val="00006248"/>
    <w:rsid w:val="00006E05"/>
    <w:rsid w:val="000076FB"/>
    <w:rsid w:val="00010C92"/>
    <w:rsid w:val="00012AF7"/>
    <w:rsid w:val="00013B5B"/>
    <w:rsid w:val="00017FD8"/>
    <w:rsid w:val="00022AED"/>
    <w:rsid w:val="00026AE5"/>
    <w:rsid w:val="00030C69"/>
    <w:rsid w:val="00032224"/>
    <w:rsid w:val="00037B5E"/>
    <w:rsid w:val="0004056A"/>
    <w:rsid w:val="00042CAA"/>
    <w:rsid w:val="00043D6C"/>
    <w:rsid w:val="00045513"/>
    <w:rsid w:val="0004632B"/>
    <w:rsid w:val="0005302B"/>
    <w:rsid w:val="00054875"/>
    <w:rsid w:val="00054A9D"/>
    <w:rsid w:val="00057FC8"/>
    <w:rsid w:val="00060D82"/>
    <w:rsid w:val="00064274"/>
    <w:rsid w:val="00066D35"/>
    <w:rsid w:val="00071463"/>
    <w:rsid w:val="0007185E"/>
    <w:rsid w:val="000756CA"/>
    <w:rsid w:val="00075B65"/>
    <w:rsid w:val="0007664A"/>
    <w:rsid w:val="0008334F"/>
    <w:rsid w:val="000835CE"/>
    <w:rsid w:val="00084222"/>
    <w:rsid w:val="0008596D"/>
    <w:rsid w:val="00085B28"/>
    <w:rsid w:val="00086FAF"/>
    <w:rsid w:val="00087E49"/>
    <w:rsid w:val="00093860"/>
    <w:rsid w:val="00094CA3"/>
    <w:rsid w:val="000A0FA5"/>
    <w:rsid w:val="000A268D"/>
    <w:rsid w:val="000A3829"/>
    <w:rsid w:val="000A57CB"/>
    <w:rsid w:val="000A79C4"/>
    <w:rsid w:val="000B0EEB"/>
    <w:rsid w:val="000B12D1"/>
    <w:rsid w:val="000B245B"/>
    <w:rsid w:val="000B2603"/>
    <w:rsid w:val="000B3BE0"/>
    <w:rsid w:val="000B6CE3"/>
    <w:rsid w:val="000C00AA"/>
    <w:rsid w:val="000C00D8"/>
    <w:rsid w:val="000C06E4"/>
    <w:rsid w:val="000C16B3"/>
    <w:rsid w:val="000C2F0E"/>
    <w:rsid w:val="000C3EFA"/>
    <w:rsid w:val="000C5EB6"/>
    <w:rsid w:val="000C6668"/>
    <w:rsid w:val="000D106C"/>
    <w:rsid w:val="000D2CCD"/>
    <w:rsid w:val="000D47C0"/>
    <w:rsid w:val="000D63E0"/>
    <w:rsid w:val="000E2F4C"/>
    <w:rsid w:val="000E3D50"/>
    <w:rsid w:val="000E4458"/>
    <w:rsid w:val="000E5C22"/>
    <w:rsid w:val="000F0456"/>
    <w:rsid w:val="000F1317"/>
    <w:rsid w:val="000F4CEA"/>
    <w:rsid w:val="001017B2"/>
    <w:rsid w:val="001067DA"/>
    <w:rsid w:val="00106AA8"/>
    <w:rsid w:val="001129F0"/>
    <w:rsid w:val="00112E40"/>
    <w:rsid w:val="00112F07"/>
    <w:rsid w:val="00115B1B"/>
    <w:rsid w:val="00117160"/>
    <w:rsid w:val="00120DFF"/>
    <w:rsid w:val="0012452C"/>
    <w:rsid w:val="001251DF"/>
    <w:rsid w:val="00125DD1"/>
    <w:rsid w:val="001351B7"/>
    <w:rsid w:val="00137EA9"/>
    <w:rsid w:val="0014023B"/>
    <w:rsid w:val="001432A7"/>
    <w:rsid w:val="00144211"/>
    <w:rsid w:val="00152D31"/>
    <w:rsid w:val="00154DED"/>
    <w:rsid w:val="001561C9"/>
    <w:rsid w:val="0016532D"/>
    <w:rsid w:val="00167C9B"/>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924FB"/>
    <w:rsid w:val="00192A40"/>
    <w:rsid w:val="001A058E"/>
    <w:rsid w:val="001A5506"/>
    <w:rsid w:val="001A59ED"/>
    <w:rsid w:val="001B5D46"/>
    <w:rsid w:val="001B712F"/>
    <w:rsid w:val="001C50E5"/>
    <w:rsid w:val="001C67F5"/>
    <w:rsid w:val="001D73EC"/>
    <w:rsid w:val="001E3A29"/>
    <w:rsid w:val="001E3BA7"/>
    <w:rsid w:val="001E71E4"/>
    <w:rsid w:val="001E7E5B"/>
    <w:rsid w:val="001F067A"/>
    <w:rsid w:val="001F2623"/>
    <w:rsid w:val="001F69C9"/>
    <w:rsid w:val="001F6BD3"/>
    <w:rsid w:val="001F7636"/>
    <w:rsid w:val="00201E0A"/>
    <w:rsid w:val="002024B3"/>
    <w:rsid w:val="002062E4"/>
    <w:rsid w:val="002076C9"/>
    <w:rsid w:val="00210747"/>
    <w:rsid w:val="002113D9"/>
    <w:rsid w:val="00212032"/>
    <w:rsid w:val="00214EBF"/>
    <w:rsid w:val="0021649A"/>
    <w:rsid w:val="002175EA"/>
    <w:rsid w:val="002216ED"/>
    <w:rsid w:val="002321EE"/>
    <w:rsid w:val="00233755"/>
    <w:rsid w:val="00233D42"/>
    <w:rsid w:val="0023526B"/>
    <w:rsid w:val="00240391"/>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49E5"/>
    <w:rsid w:val="0028507A"/>
    <w:rsid w:val="00287120"/>
    <w:rsid w:val="00291495"/>
    <w:rsid w:val="00292B86"/>
    <w:rsid w:val="002945EE"/>
    <w:rsid w:val="002961C0"/>
    <w:rsid w:val="0029692F"/>
    <w:rsid w:val="002A0CBC"/>
    <w:rsid w:val="002A207A"/>
    <w:rsid w:val="002A3FEA"/>
    <w:rsid w:val="002A7027"/>
    <w:rsid w:val="002B0FFA"/>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6318"/>
    <w:rsid w:val="002F63F2"/>
    <w:rsid w:val="0030447F"/>
    <w:rsid w:val="00305B98"/>
    <w:rsid w:val="00306ED9"/>
    <w:rsid w:val="0030774E"/>
    <w:rsid w:val="00307FF9"/>
    <w:rsid w:val="00312158"/>
    <w:rsid w:val="003123EA"/>
    <w:rsid w:val="00313D7E"/>
    <w:rsid w:val="003175A3"/>
    <w:rsid w:val="00320120"/>
    <w:rsid w:val="00322950"/>
    <w:rsid w:val="0032379F"/>
    <w:rsid w:val="00326F6B"/>
    <w:rsid w:val="00330F6E"/>
    <w:rsid w:val="003321E6"/>
    <w:rsid w:val="00333C7B"/>
    <w:rsid w:val="00337438"/>
    <w:rsid w:val="003404DF"/>
    <w:rsid w:val="00341625"/>
    <w:rsid w:val="003514D3"/>
    <w:rsid w:val="00356F5E"/>
    <w:rsid w:val="00360DAA"/>
    <w:rsid w:val="00363EA3"/>
    <w:rsid w:val="003654BA"/>
    <w:rsid w:val="00366F1B"/>
    <w:rsid w:val="003671A8"/>
    <w:rsid w:val="00371986"/>
    <w:rsid w:val="00371B31"/>
    <w:rsid w:val="00373FCF"/>
    <w:rsid w:val="003742FF"/>
    <w:rsid w:val="00376E55"/>
    <w:rsid w:val="00380018"/>
    <w:rsid w:val="003807E8"/>
    <w:rsid w:val="003811EE"/>
    <w:rsid w:val="00381B85"/>
    <w:rsid w:val="0038583B"/>
    <w:rsid w:val="0039196A"/>
    <w:rsid w:val="00391A1B"/>
    <w:rsid w:val="003924FB"/>
    <w:rsid w:val="00396120"/>
    <w:rsid w:val="003966FD"/>
    <w:rsid w:val="003A33BD"/>
    <w:rsid w:val="003A4E88"/>
    <w:rsid w:val="003A6FED"/>
    <w:rsid w:val="003B1FF6"/>
    <w:rsid w:val="003B406B"/>
    <w:rsid w:val="003B5741"/>
    <w:rsid w:val="003B6DB7"/>
    <w:rsid w:val="003B7AA3"/>
    <w:rsid w:val="003C1790"/>
    <w:rsid w:val="003C32DB"/>
    <w:rsid w:val="003C348A"/>
    <w:rsid w:val="003C49B8"/>
    <w:rsid w:val="003C5C50"/>
    <w:rsid w:val="003C707B"/>
    <w:rsid w:val="003D004F"/>
    <w:rsid w:val="003D27BC"/>
    <w:rsid w:val="003D3B27"/>
    <w:rsid w:val="003D531A"/>
    <w:rsid w:val="003D57EB"/>
    <w:rsid w:val="003D6B67"/>
    <w:rsid w:val="003E6ED3"/>
    <w:rsid w:val="003F1067"/>
    <w:rsid w:val="003F6BCB"/>
    <w:rsid w:val="0040215B"/>
    <w:rsid w:val="004062F6"/>
    <w:rsid w:val="00412E2B"/>
    <w:rsid w:val="00415188"/>
    <w:rsid w:val="0042614E"/>
    <w:rsid w:val="0043073F"/>
    <w:rsid w:val="00433440"/>
    <w:rsid w:val="004340DC"/>
    <w:rsid w:val="004369A3"/>
    <w:rsid w:val="00440D2D"/>
    <w:rsid w:val="00441ADD"/>
    <w:rsid w:val="00447195"/>
    <w:rsid w:val="00460910"/>
    <w:rsid w:val="00462E11"/>
    <w:rsid w:val="00467406"/>
    <w:rsid w:val="004709F1"/>
    <w:rsid w:val="00472C32"/>
    <w:rsid w:val="004746A8"/>
    <w:rsid w:val="00474729"/>
    <w:rsid w:val="004751BA"/>
    <w:rsid w:val="00475DD9"/>
    <w:rsid w:val="00477D17"/>
    <w:rsid w:val="004824E2"/>
    <w:rsid w:val="00482FFC"/>
    <w:rsid w:val="00493AEA"/>
    <w:rsid w:val="004A0908"/>
    <w:rsid w:val="004A4B69"/>
    <w:rsid w:val="004B045B"/>
    <w:rsid w:val="004B4A81"/>
    <w:rsid w:val="004B4E38"/>
    <w:rsid w:val="004C5F35"/>
    <w:rsid w:val="004C5F3D"/>
    <w:rsid w:val="004C7A55"/>
    <w:rsid w:val="004D067C"/>
    <w:rsid w:val="004D0A8E"/>
    <w:rsid w:val="004D673D"/>
    <w:rsid w:val="004E350E"/>
    <w:rsid w:val="004E39AC"/>
    <w:rsid w:val="004F4F0E"/>
    <w:rsid w:val="004F5026"/>
    <w:rsid w:val="004F68F1"/>
    <w:rsid w:val="005054D4"/>
    <w:rsid w:val="00506C91"/>
    <w:rsid w:val="005115C1"/>
    <w:rsid w:val="005124D2"/>
    <w:rsid w:val="00512C3B"/>
    <w:rsid w:val="005179FB"/>
    <w:rsid w:val="00520CF9"/>
    <w:rsid w:val="005224D1"/>
    <w:rsid w:val="00524701"/>
    <w:rsid w:val="00526301"/>
    <w:rsid w:val="00526BFA"/>
    <w:rsid w:val="00526CF1"/>
    <w:rsid w:val="005354F3"/>
    <w:rsid w:val="00536AF5"/>
    <w:rsid w:val="005377EA"/>
    <w:rsid w:val="005410CB"/>
    <w:rsid w:val="00543013"/>
    <w:rsid w:val="005431B5"/>
    <w:rsid w:val="00543BF7"/>
    <w:rsid w:val="00545551"/>
    <w:rsid w:val="00551372"/>
    <w:rsid w:val="005528E8"/>
    <w:rsid w:val="00552B94"/>
    <w:rsid w:val="00557E63"/>
    <w:rsid w:val="00561DBE"/>
    <w:rsid w:val="00565332"/>
    <w:rsid w:val="0056651F"/>
    <w:rsid w:val="00570450"/>
    <w:rsid w:val="00571E83"/>
    <w:rsid w:val="0057457F"/>
    <w:rsid w:val="00575FB6"/>
    <w:rsid w:val="0057600C"/>
    <w:rsid w:val="005775C1"/>
    <w:rsid w:val="00577E2A"/>
    <w:rsid w:val="00580AF7"/>
    <w:rsid w:val="00584FCC"/>
    <w:rsid w:val="00585E58"/>
    <w:rsid w:val="00586AFB"/>
    <w:rsid w:val="00587B9C"/>
    <w:rsid w:val="0059061D"/>
    <w:rsid w:val="00593299"/>
    <w:rsid w:val="0059331C"/>
    <w:rsid w:val="005969AF"/>
    <w:rsid w:val="005A50C4"/>
    <w:rsid w:val="005A7DE6"/>
    <w:rsid w:val="005B02D8"/>
    <w:rsid w:val="005B3621"/>
    <w:rsid w:val="005B4912"/>
    <w:rsid w:val="005B6F5E"/>
    <w:rsid w:val="005C0104"/>
    <w:rsid w:val="005C6C6E"/>
    <w:rsid w:val="005C70A8"/>
    <w:rsid w:val="005D0F75"/>
    <w:rsid w:val="005D4B73"/>
    <w:rsid w:val="005E03A9"/>
    <w:rsid w:val="005E1703"/>
    <w:rsid w:val="005E1A7F"/>
    <w:rsid w:val="005E385F"/>
    <w:rsid w:val="005E53EC"/>
    <w:rsid w:val="005E773D"/>
    <w:rsid w:val="005F0EA7"/>
    <w:rsid w:val="005F2130"/>
    <w:rsid w:val="005F7341"/>
    <w:rsid w:val="00601466"/>
    <w:rsid w:val="00601E17"/>
    <w:rsid w:val="00606627"/>
    <w:rsid w:val="0061123A"/>
    <w:rsid w:val="00613706"/>
    <w:rsid w:val="006263FD"/>
    <w:rsid w:val="00627A96"/>
    <w:rsid w:val="00631972"/>
    <w:rsid w:val="00634332"/>
    <w:rsid w:val="006354CB"/>
    <w:rsid w:val="00637083"/>
    <w:rsid w:val="00637CF1"/>
    <w:rsid w:val="006451F6"/>
    <w:rsid w:val="00646157"/>
    <w:rsid w:val="00647CFA"/>
    <w:rsid w:val="006524F4"/>
    <w:rsid w:val="0065381E"/>
    <w:rsid w:val="0065388F"/>
    <w:rsid w:val="00663706"/>
    <w:rsid w:val="006640D1"/>
    <w:rsid w:val="006656A6"/>
    <w:rsid w:val="00666627"/>
    <w:rsid w:val="00667C63"/>
    <w:rsid w:val="00670FF9"/>
    <w:rsid w:val="00674F85"/>
    <w:rsid w:val="00675A5C"/>
    <w:rsid w:val="00684470"/>
    <w:rsid w:val="00685159"/>
    <w:rsid w:val="00686339"/>
    <w:rsid w:val="00686DCE"/>
    <w:rsid w:val="00687D02"/>
    <w:rsid w:val="00694E89"/>
    <w:rsid w:val="006A20BD"/>
    <w:rsid w:val="006A3F83"/>
    <w:rsid w:val="006A429B"/>
    <w:rsid w:val="006A469C"/>
    <w:rsid w:val="006B2730"/>
    <w:rsid w:val="006B2FED"/>
    <w:rsid w:val="006B3528"/>
    <w:rsid w:val="006B661D"/>
    <w:rsid w:val="006B69E4"/>
    <w:rsid w:val="006B7907"/>
    <w:rsid w:val="006C5412"/>
    <w:rsid w:val="006C5975"/>
    <w:rsid w:val="006D589F"/>
    <w:rsid w:val="006D611A"/>
    <w:rsid w:val="006D622D"/>
    <w:rsid w:val="006E4410"/>
    <w:rsid w:val="006E4D06"/>
    <w:rsid w:val="006F0A3D"/>
    <w:rsid w:val="006F1865"/>
    <w:rsid w:val="006F2BC3"/>
    <w:rsid w:val="006F5FFA"/>
    <w:rsid w:val="00702953"/>
    <w:rsid w:val="00707A75"/>
    <w:rsid w:val="00711DB5"/>
    <w:rsid w:val="00716243"/>
    <w:rsid w:val="00720161"/>
    <w:rsid w:val="00720B11"/>
    <w:rsid w:val="00724800"/>
    <w:rsid w:val="00727432"/>
    <w:rsid w:val="007303F0"/>
    <w:rsid w:val="0073194B"/>
    <w:rsid w:val="0073471A"/>
    <w:rsid w:val="00737A5E"/>
    <w:rsid w:val="00740137"/>
    <w:rsid w:val="007416B6"/>
    <w:rsid w:val="00745B68"/>
    <w:rsid w:val="007464B5"/>
    <w:rsid w:val="00746552"/>
    <w:rsid w:val="00747E9E"/>
    <w:rsid w:val="00750F72"/>
    <w:rsid w:val="00750F9C"/>
    <w:rsid w:val="0075296B"/>
    <w:rsid w:val="00752F39"/>
    <w:rsid w:val="00754439"/>
    <w:rsid w:val="007548A9"/>
    <w:rsid w:val="00755AE5"/>
    <w:rsid w:val="00755EFD"/>
    <w:rsid w:val="00757D05"/>
    <w:rsid w:val="00764461"/>
    <w:rsid w:val="00766F3D"/>
    <w:rsid w:val="007734DA"/>
    <w:rsid w:val="00774E53"/>
    <w:rsid w:val="00780164"/>
    <w:rsid w:val="00782E1A"/>
    <w:rsid w:val="00785FC8"/>
    <w:rsid w:val="00791125"/>
    <w:rsid w:val="007943F7"/>
    <w:rsid w:val="007A0633"/>
    <w:rsid w:val="007A06DF"/>
    <w:rsid w:val="007A0B0C"/>
    <w:rsid w:val="007A1823"/>
    <w:rsid w:val="007A1F6B"/>
    <w:rsid w:val="007A215F"/>
    <w:rsid w:val="007A66A7"/>
    <w:rsid w:val="007A769D"/>
    <w:rsid w:val="007A7F47"/>
    <w:rsid w:val="007B4B71"/>
    <w:rsid w:val="007B74CF"/>
    <w:rsid w:val="007B7619"/>
    <w:rsid w:val="007C0DD7"/>
    <w:rsid w:val="007C27B4"/>
    <w:rsid w:val="007C5B89"/>
    <w:rsid w:val="007D0359"/>
    <w:rsid w:val="007D7273"/>
    <w:rsid w:val="007D7691"/>
    <w:rsid w:val="007E0338"/>
    <w:rsid w:val="007E2D1F"/>
    <w:rsid w:val="007E450F"/>
    <w:rsid w:val="007E504F"/>
    <w:rsid w:val="007F1AFC"/>
    <w:rsid w:val="007F4177"/>
    <w:rsid w:val="007F6781"/>
    <w:rsid w:val="007F688B"/>
    <w:rsid w:val="007F6EA6"/>
    <w:rsid w:val="00805920"/>
    <w:rsid w:val="00811196"/>
    <w:rsid w:val="00812215"/>
    <w:rsid w:val="00812C78"/>
    <w:rsid w:val="00821680"/>
    <w:rsid w:val="008225B0"/>
    <w:rsid w:val="0082574A"/>
    <w:rsid w:val="00825A75"/>
    <w:rsid w:val="00826EFE"/>
    <w:rsid w:val="00827DEF"/>
    <w:rsid w:val="00837578"/>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4EB3"/>
    <w:rsid w:val="008776B5"/>
    <w:rsid w:val="00877D54"/>
    <w:rsid w:val="00877ECB"/>
    <w:rsid w:val="008807F9"/>
    <w:rsid w:val="00882870"/>
    <w:rsid w:val="00884126"/>
    <w:rsid w:val="00884438"/>
    <w:rsid w:val="00890D85"/>
    <w:rsid w:val="00890FA1"/>
    <w:rsid w:val="00893253"/>
    <w:rsid w:val="0089483C"/>
    <w:rsid w:val="00894C16"/>
    <w:rsid w:val="00895B95"/>
    <w:rsid w:val="008A051A"/>
    <w:rsid w:val="008A1C05"/>
    <w:rsid w:val="008A2851"/>
    <w:rsid w:val="008A29A5"/>
    <w:rsid w:val="008A3623"/>
    <w:rsid w:val="008A6B15"/>
    <w:rsid w:val="008B222D"/>
    <w:rsid w:val="008B22F2"/>
    <w:rsid w:val="008B33AF"/>
    <w:rsid w:val="008B3DD6"/>
    <w:rsid w:val="008B426F"/>
    <w:rsid w:val="008B4F90"/>
    <w:rsid w:val="008B741A"/>
    <w:rsid w:val="008B75E4"/>
    <w:rsid w:val="008B7940"/>
    <w:rsid w:val="008C0B23"/>
    <w:rsid w:val="008C3BA5"/>
    <w:rsid w:val="008C4557"/>
    <w:rsid w:val="008C5D12"/>
    <w:rsid w:val="008C6A86"/>
    <w:rsid w:val="008D02E7"/>
    <w:rsid w:val="008D5323"/>
    <w:rsid w:val="008D7CBE"/>
    <w:rsid w:val="008D7DAD"/>
    <w:rsid w:val="008E2D46"/>
    <w:rsid w:val="008E422F"/>
    <w:rsid w:val="008E6606"/>
    <w:rsid w:val="008F042F"/>
    <w:rsid w:val="008F27BA"/>
    <w:rsid w:val="008F34A8"/>
    <w:rsid w:val="008F592A"/>
    <w:rsid w:val="008F5E1D"/>
    <w:rsid w:val="009056D0"/>
    <w:rsid w:val="00905926"/>
    <w:rsid w:val="009132BD"/>
    <w:rsid w:val="00924702"/>
    <w:rsid w:val="00931603"/>
    <w:rsid w:val="00934000"/>
    <w:rsid w:val="00941140"/>
    <w:rsid w:val="00941F3A"/>
    <w:rsid w:val="00947886"/>
    <w:rsid w:val="0095148F"/>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39D"/>
    <w:rsid w:val="00987A42"/>
    <w:rsid w:val="0099084C"/>
    <w:rsid w:val="00991397"/>
    <w:rsid w:val="00995666"/>
    <w:rsid w:val="00995780"/>
    <w:rsid w:val="00997230"/>
    <w:rsid w:val="00997752"/>
    <w:rsid w:val="009A0281"/>
    <w:rsid w:val="009A49F6"/>
    <w:rsid w:val="009A7135"/>
    <w:rsid w:val="009A7604"/>
    <w:rsid w:val="009B215F"/>
    <w:rsid w:val="009B2571"/>
    <w:rsid w:val="009B2A5C"/>
    <w:rsid w:val="009B4BCA"/>
    <w:rsid w:val="009C0510"/>
    <w:rsid w:val="009C059B"/>
    <w:rsid w:val="009C267D"/>
    <w:rsid w:val="009D0075"/>
    <w:rsid w:val="009D31DD"/>
    <w:rsid w:val="009D3A65"/>
    <w:rsid w:val="009E0526"/>
    <w:rsid w:val="009E124E"/>
    <w:rsid w:val="009E4016"/>
    <w:rsid w:val="009E4CBF"/>
    <w:rsid w:val="009F0C5C"/>
    <w:rsid w:val="009F196A"/>
    <w:rsid w:val="009F3108"/>
    <w:rsid w:val="009F6583"/>
    <w:rsid w:val="009F7087"/>
    <w:rsid w:val="00A011D5"/>
    <w:rsid w:val="00A0340F"/>
    <w:rsid w:val="00A04B66"/>
    <w:rsid w:val="00A052E8"/>
    <w:rsid w:val="00A05916"/>
    <w:rsid w:val="00A06701"/>
    <w:rsid w:val="00A11C1A"/>
    <w:rsid w:val="00A14835"/>
    <w:rsid w:val="00A1486F"/>
    <w:rsid w:val="00A26837"/>
    <w:rsid w:val="00A31A0D"/>
    <w:rsid w:val="00A35188"/>
    <w:rsid w:val="00A3631D"/>
    <w:rsid w:val="00A3729C"/>
    <w:rsid w:val="00A41ADD"/>
    <w:rsid w:val="00A431E4"/>
    <w:rsid w:val="00A43F2F"/>
    <w:rsid w:val="00A45DB8"/>
    <w:rsid w:val="00A4712D"/>
    <w:rsid w:val="00A4722F"/>
    <w:rsid w:val="00A47FAB"/>
    <w:rsid w:val="00A50C02"/>
    <w:rsid w:val="00A52154"/>
    <w:rsid w:val="00A52AC8"/>
    <w:rsid w:val="00A550FB"/>
    <w:rsid w:val="00A5549E"/>
    <w:rsid w:val="00A555B3"/>
    <w:rsid w:val="00A56AD1"/>
    <w:rsid w:val="00A624D9"/>
    <w:rsid w:val="00A62D21"/>
    <w:rsid w:val="00A62F31"/>
    <w:rsid w:val="00A6378E"/>
    <w:rsid w:val="00A63D9D"/>
    <w:rsid w:val="00A65748"/>
    <w:rsid w:val="00A65D5D"/>
    <w:rsid w:val="00A66EF8"/>
    <w:rsid w:val="00A67813"/>
    <w:rsid w:val="00A71515"/>
    <w:rsid w:val="00A764D2"/>
    <w:rsid w:val="00A808FE"/>
    <w:rsid w:val="00A80AD2"/>
    <w:rsid w:val="00A84067"/>
    <w:rsid w:val="00A84F04"/>
    <w:rsid w:val="00A868FB"/>
    <w:rsid w:val="00A870A9"/>
    <w:rsid w:val="00A902BD"/>
    <w:rsid w:val="00A9154B"/>
    <w:rsid w:val="00A94CD9"/>
    <w:rsid w:val="00A952D5"/>
    <w:rsid w:val="00A967BC"/>
    <w:rsid w:val="00A968A1"/>
    <w:rsid w:val="00A97E33"/>
    <w:rsid w:val="00AA0758"/>
    <w:rsid w:val="00AA11DB"/>
    <w:rsid w:val="00AA55E8"/>
    <w:rsid w:val="00AA72EB"/>
    <w:rsid w:val="00AB0DDA"/>
    <w:rsid w:val="00AB1494"/>
    <w:rsid w:val="00AC3EF1"/>
    <w:rsid w:val="00AC5D16"/>
    <w:rsid w:val="00AD135D"/>
    <w:rsid w:val="00AD49A4"/>
    <w:rsid w:val="00AE1CDC"/>
    <w:rsid w:val="00AE2681"/>
    <w:rsid w:val="00AE5254"/>
    <w:rsid w:val="00AE7808"/>
    <w:rsid w:val="00B03985"/>
    <w:rsid w:val="00B03D17"/>
    <w:rsid w:val="00B04291"/>
    <w:rsid w:val="00B06626"/>
    <w:rsid w:val="00B06A14"/>
    <w:rsid w:val="00B074CA"/>
    <w:rsid w:val="00B10992"/>
    <w:rsid w:val="00B155D0"/>
    <w:rsid w:val="00B16F30"/>
    <w:rsid w:val="00B20299"/>
    <w:rsid w:val="00B216E3"/>
    <w:rsid w:val="00B2358C"/>
    <w:rsid w:val="00B2417F"/>
    <w:rsid w:val="00B25876"/>
    <w:rsid w:val="00B267C7"/>
    <w:rsid w:val="00B27A55"/>
    <w:rsid w:val="00B31EA2"/>
    <w:rsid w:val="00B3205C"/>
    <w:rsid w:val="00B33799"/>
    <w:rsid w:val="00B35BF1"/>
    <w:rsid w:val="00B35EAF"/>
    <w:rsid w:val="00B40AB5"/>
    <w:rsid w:val="00B463CB"/>
    <w:rsid w:val="00B47951"/>
    <w:rsid w:val="00B5310E"/>
    <w:rsid w:val="00B5353F"/>
    <w:rsid w:val="00B53CB9"/>
    <w:rsid w:val="00B5412A"/>
    <w:rsid w:val="00B554A9"/>
    <w:rsid w:val="00B56A5F"/>
    <w:rsid w:val="00B575B7"/>
    <w:rsid w:val="00B60D10"/>
    <w:rsid w:val="00B66190"/>
    <w:rsid w:val="00B671A2"/>
    <w:rsid w:val="00B73C6D"/>
    <w:rsid w:val="00B75585"/>
    <w:rsid w:val="00B8193C"/>
    <w:rsid w:val="00B8384D"/>
    <w:rsid w:val="00B846B5"/>
    <w:rsid w:val="00B91DF8"/>
    <w:rsid w:val="00BA18F5"/>
    <w:rsid w:val="00BA255D"/>
    <w:rsid w:val="00BA4487"/>
    <w:rsid w:val="00BA64FA"/>
    <w:rsid w:val="00BB3B22"/>
    <w:rsid w:val="00BB67F2"/>
    <w:rsid w:val="00BB6A55"/>
    <w:rsid w:val="00BC1751"/>
    <w:rsid w:val="00BC2005"/>
    <w:rsid w:val="00BC2CB4"/>
    <w:rsid w:val="00BC4838"/>
    <w:rsid w:val="00BC4B99"/>
    <w:rsid w:val="00BC642F"/>
    <w:rsid w:val="00BD070A"/>
    <w:rsid w:val="00BD2FA2"/>
    <w:rsid w:val="00BD32FB"/>
    <w:rsid w:val="00BD350C"/>
    <w:rsid w:val="00BD3D9F"/>
    <w:rsid w:val="00BD4132"/>
    <w:rsid w:val="00BD6F2C"/>
    <w:rsid w:val="00BD6F71"/>
    <w:rsid w:val="00BE1FFA"/>
    <w:rsid w:val="00BE2096"/>
    <w:rsid w:val="00BE22D6"/>
    <w:rsid w:val="00BE2635"/>
    <w:rsid w:val="00BE350F"/>
    <w:rsid w:val="00BE5CAE"/>
    <w:rsid w:val="00BE669A"/>
    <w:rsid w:val="00BF12D9"/>
    <w:rsid w:val="00BF1991"/>
    <w:rsid w:val="00BF1AC2"/>
    <w:rsid w:val="00BF1E32"/>
    <w:rsid w:val="00BF4A96"/>
    <w:rsid w:val="00BF6970"/>
    <w:rsid w:val="00BF74E8"/>
    <w:rsid w:val="00C002A0"/>
    <w:rsid w:val="00C0329A"/>
    <w:rsid w:val="00C0399E"/>
    <w:rsid w:val="00C03DE4"/>
    <w:rsid w:val="00C04A31"/>
    <w:rsid w:val="00C070F4"/>
    <w:rsid w:val="00C21B6D"/>
    <w:rsid w:val="00C22A11"/>
    <w:rsid w:val="00C25724"/>
    <w:rsid w:val="00C27E7E"/>
    <w:rsid w:val="00C3011F"/>
    <w:rsid w:val="00C32314"/>
    <w:rsid w:val="00C32708"/>
    <w:rsid w:val="00C337A3"/>
    <w:rsid w:val="00C35F7D"/>
    <w:rsid w:val="00C36782"/>
    <w:rsid w:val="00C44E96"/>
    <w:rsid w:val="00C5264A"/>
    <w:rsid w:val="00C52923"/>
    <w:rsid w:val="00C56DD2"/>
    <w:rsid w:val="00C613DB"/>
    <w:rsid w:val="00C62230"/>
    <w:rsid w:val="00C63AF3"/>
    <w:rsid w:val="00C67583"/>
    <w:rsid w:val="00C716F1"/>
    <w:rsid w:val="00C7552D"/>
    <w:rsid w:val="00C7661D"/>
    <w:rsid w:val="00C76E6F"/>
    <w:rsid w:val="00C80707"/>
    <w:rsid w:val="00C83FFA"/>
    <w:rsid w:val="00C85373"/>
    <w:rsid w:val="00C87E36"/>
    <w:rsid w:val="00C91228"/>
    <w:rsid w:val="00C92017"/>
    <w:rsid w:val="00C92968"/>
    <w:rsid w:val="00CA1476"/>
    <w:rsid w:val="00CA2A86"/>
    <w:rsid w:val="00CC158A"/>
    <w:rsid w:val="00CC3E39"/>
    <w:rsid w:val="00CC449C"/>
    <w:rsid w:val="00CD1335"/>
    <w:rsid w:val="00CD1FCD"/>
    <w:rsid w:val="00CD7D7B"/>
    <w:rsid w:val="00CE1062"/>
    <w:rsid w:val="00CE4343"/>
    <w:rsid w:val="00CF0902"/>
    <w:rsid w:val="00CF2D3C"/>
    <w:rsid w:val="00CF302D"/>
    <w:rsid w:val="00CF3A63"/>
    <w:rsid w:val="00CF452B"/>
    <w:rsid w:val="00CF50B0"/>
    <w:rsid w:val="00CF6776"/>
    <w:rsid w:val="00D03CF6"/>
    <w:rsid w:val="00D11AAF"/>
    <w:rsid w:val="00D11BB4"/>
    <w:rsid w:val="00D13BEA"/>
    <w:rsid w:val="00D163BF"/>
    <w:rsid w:val="00D17C38"/>
    <w:rsid w:val="00D17F67"/>
    <w:rsid w:val="00D2074D"/>
    <w:rsid w:val="00D224D7"/>
    <w:rsid w:val="00D22FFE"/>
    <w:rsid w:val="00D23D3F"/>
    <w:rsid w:val="00D244EE"/>
    <w:rsid w:val="00D30CD9"/>
    <w:rsid w:val="00D31B00"/>
    <w:rsid w:val="00D325F9"/>
    <w:rsid w:val="00D330DF"/>
    <w:rsid w:val="00D34466"/>
    <w:rsid w:val="00D34490"/>
    <w:rsid w:val="00D42A9A"/>
    <w:rsid w:val="00D44774"/>
    <w:rsid w:val="00D46AA3"/>
    <w:rsid w:val="00D5059E"/>
    <w:rsid w:val="00D50625"/>
    <w:rsid w:val="00D51A98"/>
    <w:rsid w:val="00D520B7"/>
    <w:rsid w:val="00D539BF"/>
    <w:rsid w:val="00D54973"/>
    <w:rsid w:val="00D56061"/>
    <w:rsid w:val="00D57D85"/>
    <w:rsid w:val="00D57FCD"/>
    <w:rsid w:val="00D61255"/>
    <w:rsid w:val="00D62BDA"/>
    <w:rsid w:val="00D63440"/>
    <w:rsid w:val="00D715AA"/>
    <w:rsid w:val="00D7264B"/>
    <w:rsid w:val="00D7403C"/>
    <w:rsid w:val="00D74466"/>
    <w:rsid w:val="00D74632"/>
    <w:rsid w:val="00D81340"/>
    <w:rsid w:val="00D82766"/>
    <w:rsid w:val="00D82785"/>
    <w:rsid w:val="00D842E1"/>
    <w:rsid w:val="00D8433D"/>
    <w:rsid w:val="00D84B45"/>
    <w:rsid w:val="00D8566B"/>
    <w:rsid w:val="00D87FF1"/>
    <w:rsid w:val="00D908C5"/>
    <w:rsid w:val="00D92460"/>
    <w:rsid w:val="00D96264"/>
    <w:rsid w:val="00D96429"/>
    <w:rsid w:val="00D97AC6"/>
    <w:rsid w:val="00D97CF9"/>
    <w:rsid w:val="00DA0AFC"/>
    <w:rsid w:val="00DA12E8"/>
    <w:rsid w:val="00DA7308"/>
    <w:rsid w:val="00DB7BA5"/>
    <w:rsid w:val="00DC0D86"/>
    <w:rsid w:val="00DC1A35"/>
    <w:rsid w:val="00DC298B"/>
    <w:rsid w:val="00DC2BC0"/>
    <w:rsid w:val="00DC4C08"/>
    <w:rsid w:val="00DC4C3A"/>
    <w:rsid w:val="00DC7A49"/>
    <w:rsid w:val="00DD0247"/>
    <w:rsid w:val="00DD1895"/>
    <w:rsid w:val="00DD222B"/>
    <w:rsid w:val="00DD3AA8"/>
    <w:rsid w:val="00DD4657"/>
    <w:rsid w:val="00DD4C33"/>
    <w:rsid w:val="00DD7889"/>
    <w:rsid w:val="00DE1A08"/>
    <w:rsid w:val="00DE35EB"/>
    <w:rsid w:val="00DE46D8"/>
    <w:rsid w:val="00DE589E"/>
    <w:rsid w:val="00DF0188"/>
    <w:rsid w:val="00DF2727"/>
    <w:rsid w:val="00DF3722"/>
    <w:rsid w:val="00DF5C5B"/>
    <w:rsid w:val="00E05649"/>
    <w:rsid w:val="00E13350"/>
    <w:rsid w:val="00E14521"/>
    <w:rsid w:val="00E146E4"/>
    <w:rsid w:val="00E15724"/>
    <w:rsid w:val="00E17444"/>
    <w:rsid w:val="00E22573"/>
    <w:rsid w:val="00E23027"/>
    <w:rsid w:val="00E257E8"/>
    <w:rsid w:val="00E270AD"/>
    <w:rsid w:val="00E31BB8"/>
    <w:rsid w:val="00E36188"/>
    <w:rsid w:val="00E37EA8"/>
    <w:rsid w:val="00E37F29"/>
    <w:rsid w:val="00E413E8"/>
    <w:rsid w:val="00E452D2"/>
    <w:rsid w:val="00E475FE"/>
    <w:rsid w:val="00E5007E"/>
    <w:rsid w:val="00E51454"/>
    <w:rsid w:val="00E5196C"/>
    <w:rsid w:val="00E632BC"/>
    <w:rsid w:val="00E649ED"/>
    <w:rsid w:val="00E65810"/>
    <w:rsid w:val="00E65C08"/>
    <w:rsid w:val="00E6702A"/>
    <w:rsid w:val="00E67474"/>
    <w:rsid w:val="00E70354"/>
    <w:rsid w:val="00E7247E"/>
    <w:rsid w:val="00E72812"/>
    <w:rsid w:val="00E73B23"/>
    <w:rsid w:val="00E759D2"/>
    <w:rsid w:val="00E77BD2"/>
    <w:rsid w:val="00E83EEB"/>
    <w:rsid w:val="00E84530"/>
    <w:rsid w:val="00E87BCB"/>
    <w:rsid w:val="00E87EA0"/>
    <w:rsid w:val="00E91F35"/>
    <w:rsid w:val="00E95570"/>
    <w:rsid w:val="00E959B8"/>
    <w:rsid w:val="00E96B65"/>
    <w:rsid w:val="00EA0953"/>
    <w:rsid w:val="00EA46A8"/>
    <w:rsid w:val="00EA4EE0"/>
    <w:rsid w:val="00EA56D7"/>
    <w:rsid w:val="00EA6915"/>
    <w:rsid w:val="00EB024C"/>
    <w:rsid w:val="00EB1002"/>
    <w:rsid w:val="00EB3801"/>
    <w:rsid w:val="00EC314D"/>
    <w:rsid w:val="00EC4ED0"/>
    <w:rsid w:val="00EC6E8F"/>
    <w:rsid w:val="00ED0E5B"/>
    <w:rsid w:val="00ED2B0D"/>
    <w:rsid w:val="00ED350D"/>
    <w:rsid w:val="00ED43EB"/>
    <w:rsid w:val="00ED4DC7"/>
    <w:rsid w:val="00ED4EAE"/>
    <w:rsid w:val="00ED7282"/>
    <w:rsid w:val="00ED7461"/>
    <w:rsid w:val="00EE011D"/>
    <w:rsid w:val="00EE039F"/>
    <w:rsid w:val="00EE41A8"/>
    <w:rsid w:val="00EE4A39"/>
    <w:rsid w:val="00EE4B3B"/>
    <w:rsid w:val="00EE69D3"/>
    <w:rsid w:val="00EF1E0A"/>
    <w:rsid w:val="00EF57F4"/>
    <w:rsid w:val="00F004A9"/>
    <w:rsid w:val="00F0117E"/>
    <w:rsid w:val="00F014CB"/>
    <w:rsid w:val="00F01DE6"/>
    <w:rsid w:val="00F02470"/>
    <w:rsid w:val="00F053DC"/>
    <w:rsid w:val="00F13B3D"/>
    <w:rsid w:val="00F21841"/>
    <w:rsid w:val="00F21E41"/>
    <w:rsid w:val="00F22B9B"/>
    <w:rsid w:val="00F22C55"/>
    <w:rsid w:val="00F238BE"/>
    <w:rsid w:val="00F26AB7"/>
    <w:rsid w:val="00F321F8"/>
    <w:rsid w:val="00F35C94"/>
    <w:rsid w:val="00F36A73"/>
    <w:rsid w:val="00F36C14"/>
    <w:rsid w:val="00F419E3"/>
    <w:rsid w:val="00F46C7A"/>
    <w:rsid w:val="00F510AE"/>
    <w:rsid w:val="00F51285"/>
    <w:rsid w:val="00F51A50"/>
    <w:rsid w:val="00F522B6"/>
    <w:rsid w:val="00F53912"/>
    <w:rsid w:val="00F53A2A"/>
    <w:rsid w:val="00F55C2F"/>
    <w:rsid w:val="00F56F81"/>
    <w:rsid w:val="00F622DE"/>
    <w:rsid w:val="00F6570D"/>
    <w:rsid w:val="00F72263"/>
    <w:rsid w:val="00F72B68"/>
    <w:rsid w:val="00F72BB1"/>
    <w:rsid w:val="00F812BE"/>
    <w:rsid w:val="00F81786"/>
    <w:rsid w:val="00F8379B"/>
    <w:rsid w:val="00F83DA9"/>
    <w:rsid w:val="00F87F74"/>
    <w:rsid w:val="00F906DA"/>
    <w:rsid w:val="00F9078B"/>
    <w:rsid w:val="00F92F28"/>
    <w:rsid w:val="00F94D10"/>
    <w:rsid w:val="00FA41B9"/>
    <w:rsid w:val="00FB1127"/>
    <w:rsid w:val="00FB2338"/>
    <w:rsid w:val="00FB3790"/>
    <w:rsid w:val="00FB4B83"/>
    <w:rsid w:val="00FB5971"/>
    <w:rsid w:val="00FC0CE0"/>
    <w:rsid w:val="00FC0FD9"/>
    <w:rsid w:val="00FC201C"/>
    <w:rsid w:val="00FC3FC5"/>
    <w:rsid w:val="00FC4924"/>
    <w:rsid w:val="00FC5045"/>
    <w:rsid w:val="00FC509C"/>
    <w:rsid w:val="00FC59D2"/>
    <w:rsid w:val="00FC62E0"/>
    <w:rsid w:val="00FC73D5"/>
    <w:rsid w:val="00FD1F75"/>
    <w:rsid w:val="00FD34D0"/>
    <w:rsid w:val="00FD38A2"/>
    <w:rsid w:val="00FD4DF3"/>
    <w:rsid w:val="00FD588A"/>
    <w:rsid w:val="00FD6493"/>
    <w:rsid w:val="00FD69BC"/>
    <w:rsid w:val="00FD6AF9"/>
    <w:rsid w:val="00FD74F1"/>
    <w:rsid w:val="00FD7A94"/>
    <w:rsid w:val="00FD7C52"/>
    <w:rsid w:val="00FE09F1"/>
    <w:rsid w:val="00FE144B"/>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2849E5"/>
    <w:rPr>
      <w:rFonts w:ascii="Tahoma" w:hAnsi="Tahoma" w:cs="Tahoma"/>
      <w:sz w:val="16"/>
      <w:szCs w:val="16"/>
    </w:rPr>
  </w:style>
  <w:style w:type="character" w:customStyle="1" w:styleId="DocumentMapChar">
    <w:name w:val="Document Map Char"/>
    <w:basedOn w:val="DefaultParagraphFont"/>
    <w:link w:val="DocumentMap"/>
    <w:uiPriority w:val="99"/>
    <w:semiHidden/>
    <w:rsid w:val="002849E5"/>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3175A3"/>
    <w:rPr>
      <w:sz w:val="20"/>
    </w:rPr>
  </w:style>
  <w:style w:type="character" w:customStyle="1" w:styleId="FootnoteTextChar">
    <w:name w:val="Footnote Text Char"/>
    <w:basedOn w:val="DefaultParagraphFont"/>
    <w:link w:val="FootnoteText"/>
    <w:uiPriority w:val="99"/>
    <w:semiHidden/>
    <w:rsid w:val="003175A3"/>
    <w:rPr>
      <w:rFonts w:eastAsiaTheme="minorEastAsia" w:cs="Times New Roman"/>
      <w:sz w:val="20"/>
      <w:szCs w:val="20"/>
    </w:rPr>
  </w:style>
  <w:style w:type="character" w:styleId="FootnoteReference">
    <w:name w:val="footnote reference"/>
    <w:basedOn w:val="DefaultParagraphFont"/>
    <w:uiPriority w:val="99"/>
    <w:semiHidden/>
    <w:unhideWhenUsed/>
    <w:rsid w:val="003175A3"/>
    <w:rPr>
      <w:vertAlign w:val="superscript"/>
    </w:rPr>
  </w:style>
  <w:style w:type="paragraph" w:styleId="List">
    <w:name w:val="List"/>
    <w:basedOn w:val="Normal"/>
    <w:rsid w:val="00F56F81"/>
    <w:pPr>
      <w:widowControl/>
      <w:autoSpaceDE/>
      <w:autoSpaceDN/>
      <w:adjustRightInd/>
      <w:ind w:left="360" w:hanging="36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29526054">
      <w:bodyDiv w:val="1"/>
      <w:marLeft w:val="0"/>
      <w:marRight w:val="0"/>
      <w:marTop w:val="0"/>
      <w:marBottom w:val="0"/>
      <w:divBdr>
        <w:top w:val="none" w:sz="0" w:space="0" w:color="auto"/>
        <w:left w:val="none" w:sz="0" w:space="0" w:color="auto"/>
        <w:bottom w:val="none" w:sz="0" w:space="0" w:color="auto"/>
        <w:right w:val="none" w:sz="0" w:space="0" w:color="auto"/>
      </w:divBdr>
    </w:div>
    <w:div w:id="1598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3465</TotalTime>
  <Pages>12</Pages>
  <Words>7629</Words>
  <Characters>43490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51017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26</cp:revision>
  <dcterms:created xsi:type="dcterms:W3CDTF">2013-03-22T17:12:00Z</dcterms:created>
  <dcterms:modified xsi:type="dcterms:W3CDTF">2013-08-05T21:22:00Z</dcterms:modified>
</cp:coreProperties>
</file>